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DC8C" w14:textId="22CFE2EA" w:rsidR="00EA471D" w:rsidRPr="00033D70" w:rsidRDefault="00033D70" w:rsidP="00360C66">
      <w:pPr>
        <w:pStyle w:val="Title"/>
      </w:pPr>
      <w:r>
        <w:rPr>
          <w:noProof/>
          <w:lang w:eastAsia="en-AU"/>
        </w:rPr>
        <w:drawing>
          <wp:anchor distT="0" distB="0" distL="114300" distR="114300" simplePos="0" relativeHeight="251658240" behindDoc="1" locked="0" layoutInCell="1" allowOverlap="1" wp14:anchorId="73EBC921" wp14:editId="495CBFE7">
            <wp:simplePos x="0" y="0"/>
            <wp:positionH relativeFrom="page">
              <wp:posOffset>8626</wp:posOffset>
            </wp:positionH>
            <wp:positionV relativeFrom="page">
              <wp:posOffset>25879</wp:posOffset>
            </wp:positionV>
            <wp:extent cx="7559643" cy="10820891"/>
            <wp:effectExtent l="0" t="0" r="3810" b="0"/>
            <wp:wrapNone/>
            <wp:docPr id="3" name="Picture 3" descr="Title of the report" title="Codesign of pathways for the applications to the prostheses lis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5427" cy="10829171"/>
                    </a:xfrm>
                    <a:prstGeom prst="rect">
                      <a:avLst/>
                    </a:prstGeom>
                  </pic:spPr>
                </pic:pic>
              </a:graphicData>
            </a:graphic>
            <wp14:sizeRelH relativeFrom="margin">
              <wp14:pctWidth>0</wp14:pctWidth>
            </wp14:sizeRelH>
            <wp14:sizeRelV relativeFrom="margin">
              <wp14:pctHeight>0</wp14:pctHeight>
            </wp14:sizeRelV>
          </wp:anchor>
        </w:drawing>
      </w:r>
      <w:r w:rsidR="000357B2" w:rsidRPr="00033D70">
        <w:t xml:space="preserve">Options for a </w:t>
      </w:r>
      <w:r w:rsidR="00F05D4E" w:rsidRPr="00033D70">
        <w:t>R</w:t>
      </w:r>
      <w:r w:rsidR="000357B2" w:rsidRPr="00033D70">
        <w:t xml:space="preserve">eformed Prostheses List </w:t>
      </w:r>
      <w:r w:rsidR="0076390B" w:rsidRPr="00033D70">
        <w:t>Pre-Listing</w:t>
      </w:r>
      <w:r w:rsidR="000357B2" w:rsidRPr="00033D70">
        <w:t xml:space="preserve"> </w:t>
      </w:r>
      <w:r w:rsidR="000C3424" w:rsidRPr="00033D70">
        <w:t xml:space="preserve">Assessment </w:t>
      </w:r>
      <w:r w:rsidR="00F05D4E" w:rsidRPr="00033D70">
        <w:t>F</w:t>
      </w:r>
      <w:r w:rsidR="000357B2" w:rsidRPr="00033D70">
        <w:t xml:space="preserve">ramework and </w:t>
      </w:r>
      <w:r w:rsidR="00F05D4E" w:rsidRPr="00033D70">
        <w:t>G</w:t>
      </w:r>
      <w:r w:rsidR="000357B2" w:rsidRPr="00033D70">
        <w:t xml:space="preserve">overnance </w:t>
      </w:r>
      <w:r w:rsidR="00F05D4E" w:rsidRPr="00033D70">
        <w:t>S</w:t>
      </w:r>
      <w:r w:rsidR="000357B2" w:rsidRPr="00033D70">
        <w:t>tructure</w:t>
      </w:r>
    </w:p>
    <w:p w14:paraId="370B5B40" w14:textId="4BE5861B" w:rsidR="00F5782F" w:rsidRDefault="00033D70" w:rsidP="00360C66">
      <w:pPr>
        <w:pStyle w:val="Subtitle"/>
        <w:rPr>
          <w:b w:val="0"/>
        </w:rPr>
      </w:pPr>
      <w:r>
        <w:t>FINAL</w:t>
      </w:r>
      <w:r w:rsidR="000357B2">
        <w:t xml:space="preserve"> </w:t>
      </w:r>
      <w:r w:rsidR="00F5782F" w:rsidRPr="00F5782F">
        <w:t>REPORT</w:t>
      </w:r>
    </w:p>
    <w:p w14:paraId="3AE08F57" w14:textId="0C50EF4C" w:rsidR="00033D70" w:rsidRPr="00F5782F" w:rsidRDefault="00033D70" w:rsidP="00360C66">
      <w:pPr>
        <w:pStyle w:val="Subtitle"/>
        <w:spacing w:before="120" w:after="120"/>
      </w:pPr>
      <w:r>
        <w:t>July</w:t>
      </w:r>
      <w:r w:rsidRPr="00F5782F">
        <w:t xml:space="preserve"> 20</w:t>
      </w:r>
      <w:r>
        <w:t>22</w:t>
      </w:r>
    </w:p>
    <w:p w14:paraId="0D18A14E" w14:textId="77777777" w:rsidR="000A4D1B" w:rsidRDefault="000A4D1B" w:rsidP="00360C66">
      <w:pPr>
        <w:sectPr w:rsidR="000A4D1B" w:rsidSect="00B32C95">
          <w:footerReference w:type="default" r:id="rId12"/>
          <w:footerReference w:type="first" r:id="rId13"/>
          <w:pgSz w:w="11906" w:h="16838"/>
          <w:pgMar w:top="1440" w:right="1440" w:bottom="1440" w:left="1440" w:header="708" w:footer="567" w:gutter="0"/>
          <w:cols w:space="708"/>
          <w:titlePg/>
          <w:docGrid w:linePitch="360"/>
        </w:sectPr>
      </w:pPr>
    </w:p>
    <w:p w14:paraId="4E4AB9E2" w14:textId="7FB991BB" w:rsidR="00981A9E" w:rsidRPr="00360C66" w:rsidRDefault="00981A9E" w:rsidP="00360C66">
      <w:r w:rsidRPr="00360C66">
        <w:lastRenderedPageBreak/>
        <w:t xml:space="preserve">This </w:t>
      </w:r>
      <w:r w:rsidR="00EC322F" w:rsidRPr="00360C66">
        <w:t>report</w:t>
      </w:r>
      <w:r w:rsidRPr="00360C66">
        <w:t xml:space="preserve"> was written by:</w:t>
      </w:r>
    </w:p>
    <w:p w14:paraId="4E237068" w14:textId="77777777" w:rsidR="00AC5284" w:rsidRPr="00360C66" w:rsidRDefault="00AC5284" w:rsidP="00AC5284">
      <w:pPr>
        <w:rPr>
          <w:rStyle w:val="Strong"/>
        </w:rPr>
      </w:pPr>
      <w:r w:rsidRPr="00360C66">
        <w:rPr>
          <w:rStyle w:val="Strong"/>
        </w:rPr>
        <w:t>David Tamblyn</w:t>
      </w:r>
    </w:p>
    <w:p w14:paraId="129F8D31" w14:textId="53E13064" w:rsidR="00981A9E" w:rsidRPr="00360C66" w:rsidRDefault="000357B2" w:rsidP="00981A9E">
      <w:pPr>
        <w:rPr>
          <w:rStyle w:val="Strong"/>
        </w:rPr>
      </w:pPr>
      <w:r w:rsidRPr="00360C66">
        <w:rPr>
          <w:rStyle w:val="Strong"/>
        </w:rPr>
        <w:t>Jac</w:t>
      </w:r>
      <w:r w:rsidR="00F05D4E" w:rsidRPr="00360C66">
        <w:rPr>
          <w:rStyle w:val="Strong"/>
        </w:rPr>
        <w:t>queline</w:t>
      </w:r>
      <w:r w:rsidRPr="00360C66">
        <w:rPr>
          <w:rStyle w:val="Strong"/>
        </w:rPr>
        <w:t xml:space="preserve"> Parsons</w:t>
      </w:r>
    </w:p>
    <w:p w14:paraId="7D475D96" w14:textId="2AA86569" w:rsidR="00981A9E" w:rsidRPr="00360C66" w:rsidRDefault="000357B2" w:rsidP="00981A9E">
      <w:pPr>
        <w:rPr>
          <w:rStyle w:val="Strong"/>
        </w:rPr>
      </w:pPr>
      <w:r w:rsidRPr="00360C66">
        <w:rPr>
          <w:rStyle w:val="Strong"/>
        </w:rPr>
        <w:t>Klara Salinger</w:t>
      </w:r>
    </w:p>
    <w:p w14:paraId="0A0E854D" w14:textId="3BCF8770" w:rsidR="00F05D4E" w:rsidRPr="00D44EFE" w:rsidRDefault="00F05D4E" w:rsidP="00981A9E">
      <w:pPr>
        <w:rPr>
          <w:rFonts w:cs="OptimaLTStd-Medium"/>
          <w:b/>
          <w:sz w:val="26"/>
          <w:szCs w:val="26"/>
        </w:rPr>
      </w:pPr>
      <w:r w:rsidRPr="00360C66">
        <w:rPr>
          <w:rStyle w:val="Strong"/>
        </w:rPr>
        <w:t>Tracy Merlin</w:t>
      </w:r>
    </w:p>
    <w:p w14:paraId="48A45A92" w14:textId="77777777" w:rsidR="00981A9E" w:rsidRPr="00360C66" w:rsidRDefault="00981A9E" w:rsidP="00981A9E">
      <w:pPr>
        <w:rPr>
          <w:rStyle w:val="Strong"/>
        </w:rPr>
      </w:pPr>
      <w:r w:rsidRPr="00360C66">
        <w:rPr>
          <w:rStyle w:val="Strong"/>
        </w:rPr>
        <w:t>Adelaide Health Technology Assessment (AHTA)</w:t>
      </w:r>
    </w:p>
    <w:p w14:paraId="64335C3E" w14:textId="77777777" w:rsidR="00981A9E" w:rsidRPr="00360C66" w:rsidRDefault="00981A9E" w:rsidP="00981A9E">
      <w:pPr>
        <w:rPr>
          <w:rStyle w:val="Strong"/>
        </w:rPr>
      </w:pPr>
      <w:r w:rsidRPr="00360C66">
        <w:rPr>
          <w:rStyle w:val="Strong"/>
        </w:rPr>
        <w:t>School of Public Health, University of Adelaide</w:t>
      </w:r>
    </w:p>
    <w:p w14:paraId="0B7C4AD0" w14:textId="77777777" w:rsidR="004A318B" w:rsidRDefault="00981A9E" w:rsidP="00981A9E">
      <w:pPr>
        <w:jc w:val="center"/>
      </w:pPr>
      <w:bookmarkStart w:id="0" w:name="_Toc421286207"/>
      <w:r>
        <w:rPr>
          <w:rFonts w:ascii="Arial Narrow" w:hAnsi="Arial Narrow"/>
          <w:b/>
          <w:noProof/>
          <w:lang w:eastAsia="en-AU"/>
        </w:rPr>
        <w:drawing>
          <wp:inline distT="0" distB="0" distL="0" distR="0" wp14:anchorId="49DF72E7" wp14:editId="0E699B36">
            <wp:extent cx="2383467" cy="1555799"/>
            <wp:effectExtent l="0" t="0" r="0" b="6350"/>
            <wp:docPr id="1" name="Picture 1" descr="The University of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Adelaid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8061" cy="1565325"/>
                    </a:xfrm>
                    <a:prstGeom prst="rect">
                      <a:avLst/>
                    </a:prstGeom>
                    <a:noFill/>
                    <a:ln>
                      <a:noFill/>
                    </a:ln>
                  </pic:spPr>
                </pic:pic>
              </a:graphicData>
            </a:graphic>
          </wp:inline>
        </w:drawing>
      </w:r>
      <w:r>
        <w:rPr>
          <w:rFonts w:ascii="Arial Narrow" w:hAnsi="Arial Narrow"/>
          <w:b/>
          <w:noProof/>
          <w:lang w:eastAsia="en-AU"/>
        </w:rPr>
        <w:drawing>
          <wp:inline distT="0" distB="0" distL="0" distR="0" wp14:anchorId="0F13C57A" wp14:editId="6D26E967">
            <wp:extent cx="1689875" cy="1412847"/>
            <wp:effectExtent l="0" t="0" r="5715" b="0"/>
            <wp:docPr id="2" name="Picture 1" descr="AHTA logo" title="Adelaide Health Technology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440" cy="1421680"/>
                    </a:xfrm>
                    <a:prstGeom prst="rect">
                      <a:avLst/>
                    </a:prstGeom>
                    <a:noFill/>
                    <a:ln>
                      <a:noFill/>
                    </a:ln>
                  </pic:spPr>
                </pic:pic>
              </a:graphicData>
            </a:graphic>
          </wp:inline>
        </w:drawing>
      </w:r>
      <w:r w:rsidR="004A318B">
        <w:br w:type="page"/>
      </w:r>
    </w:p>
    <w:bookmarkEnd w:id="0" w:displacedByCustomXml="next"/>
    <w:sdt>
      <w:sdtPr>
        <w:rPr>
          <w:rFonts w:asciiTheme="minorHAnsi" w:eastAsiaTheme="minorHAnsi" w:hAnsiTheme="minorHAnsi" w:cstheme="minorBidi"/>
          <w:bCs w:val="0"/>
          <w:color w:val="auto"/>
          <w:spacing w:val="0"/>
          <w:kern w:val="0"/>
          <w:sz w:val="22"/>
          <w:szCs w:val="22"/>
          <w:lang w:val="en-AU"/>
        </w:rPr>
        <w:id w:val="-1274557990"/>
        <w:docPartObj>
          <w:docPartGallery w:val="Table of Contents"/>
          <w:docPartUnique/>
        </w:docPartObj>
      </w:sdtPr>
      <w:sdtEndPr>
        <w:rPr>
          <w:b/>
          <w:noProof/>
        </w:rPr>
      </w:sdtEndPr>
      <w:sdtContent>
        <w:p w14:paraId="37A7E9DA" w14:textId="25557205" w:rsidR="00D7585C" w:rsidRDefault="00D7585C" w:rsidP="000A4D1B">
          <w:pPr>
            <w:pStyle w:val="TOCHeading"/>
          </w:pPr>
          <w:r>
            <w:t>Contents</w:t>
          </w:r>
        </w:p>
        <w:p w14:paraId="64926948" w14:textId="046977B3" w:rsidR="00D113FD" w:rsidRDefault="00D7585C">
          <w:pPr>
            <w:pStyle w:val="TOC1"/>
            <w:rPr>
              <w:rFonts w:eastAsiaTheme="minorEastAsia"/>
              <w:b w:val="0"/>
              <w:lang w:eastAsia="en-AU" w:bidi="ar-SA"/>
            </w:rPr>
          </w:pPr>
          <w:r>
            <w:fldChar w:fldCharType="begin"/>
          </w:r>
          <w:r>
            <w:instrText xml:space="preserve"> TOC \o "1-3" \h \z \u </w:instrText>
          </w:r>
          <w:r>
            <w:fldChar w:fldCharType="separate"/>
          </w:r>
          <w:hyperlink w:anchor="_Toc125984770" w:history="1">
            <w:r w:rsidR="00D113FD" w:rsidRPr="00F53E34">
              <w:rPr>
                <w:rStyle w:val="Hyperlink"/>
              </w:rPr>
              <w:t>Summary</w:t>
            </w:r>
            <w:r w:rsidR="00D113FD">
              <w:rPr>
                <w:webHidden/>
              </w:rPr>
              <w:tab/>
            </w:r>
            <w:r w:rsidR="00D113FD">
              <w:rPr>
                <w:webHidden/>
              </w:rPr>
              <w:fldChar w:fldCharType="begin"/>
            </w:r>
            <w:r w:rsidR="00D113FD">
              <w:rPr>
                <w:webHidden/>
              </w:rPr>
              <w:instrText xml:space="preserve"> PAGEREF _Toc125984770 \h </w:instrText>
            </w:r>
            <w:r w:rsidR="00D113FD">
              <w:rPr>
                <w:webHidden/>
              </w:rPr>
            </w:r>
            <w:r w:rsidR="00D113FD">
              <w:rPr>
                <w:webHidden/>
              </w:rPr>
              <w:fldChar w:fldCharType="separate"/>
            </w:r>
            <w:r w:rsidR="00D113FD">
              <w:rPr>
                <w:webHidden/>
              </w:rPr>
              <w:t>4</w:t>
            </w:r>
            <w:r w:rsidR="00D113FD">
              <w:rPr>
                <w:webHidden/>
              </w:rPr>
              <w:fldChar w:fldCharType="end"/>
            </w:r>
          </w:hyperlink>
        </w:p>
        <w:p w14:paraId="5FDDCFD0" w14:textId="7954E6F9" w:rsidR="00D113FD" w:rsidRDefault="00D113FD">
          <w:pPr>
            <w:pStyle w:val="TOC1"/>
            <w:rPr>
              <w:rFonts w:eastAsiaTheme="minorEastAsia"/>
              <w:b w:val="0"/>
              <w:lang w:eastAsia="en-AU" w:bidi="ar-SA"/>
            </w:rPr>
          </w:pPr>
          <w:hyperlink w:anchor="_Toc125984771" w:history="1">
            <w:r w:rsidRPr="00F53E34">
              <w:rPr>
                <w:rStyle w:val="Hyperlink"/>
              </w:rPr>
              <w:t>Acronyms</w:t>
            </w:r>
            <w:r>
              <w:rPr>
                <w:webHidden/>
              </w:rPr>
              <w:tab/>
            </w:r>
            <w:r>
              <w:rPr>
                <w:webHidden/>
              </w:rPr>
              <w:fldChar w:fldCharType="begin"/>
            </w:r>
            <w:r>
              <w:rPr>
                <w:webHidden/>
              </w:rPr>
              <w:instrText xml:space="preserve"> PAGEREF _Toc125984771 \h </w:instrText>
            </w:r>
            <w:r>
              <w:rPr>
                <w:webHidden/>
              </w:rPr>
            </w:r>
            <w:r>
              <w:rPr>
                <w:webHidden/>
              </w:rPr>
              <w:fldChar w:fldCharType="separate"/>
            </w:r>
            <w:r>
              <w:rPr>
                <w:webHidden/>
              </w:rPr>
              <w:t>6</w:t>
            </w:r>
            <w:r>
              <w:rPr>
                <w:webHidden/>
              </w:rPr>
              <w:fldChar w:fldCharType="end"/>
            </w:r>
          </w:hyperlink>
        </w:p>
        <w:p w14:paraId="5B7A448A" w14:textId="2844552B" w:rsidR="00D113FD" w:rsidRDefault="00D113FD">
          <w:pPr>
            <w:pStyle w:val="TOC1"/>
            <w:rPr>
              <w:rFonts w:eastAsiaTheme="minorEastAsia"/>
              <w:b w:val="0"/>
              <w:lang w:eastAsia="en-AU" w:bidi="ar-SA"/>
            </w:rPr>
          </w:pPr>
          <w:hyperlink w:anchor="_Toc125984772" w:history="1">
            <w:r w:rsidRPr="00F53E34">
              <w:rPr>
                <w:rStyle w:val="Hyperlink"/>
              </w:rPr>
              <w:t>Glossary</w:t>
            </w:r>
            <w:r>
              <w:rPr>
                <w:webHidden/>
              </w:rPr>
              <w:tab/>
            </w:r>
            <w:r>
              <w:rPr>
                <w:webHidden/>
              </w:rPr>
              <w:fldChar w:fldCharType="begin"/>
            </w:r>
            <w:r>
              <w:rPr>
                <w:webHidden/>
              </w:rPr>
              <w:instrText xml:space="preserve"> PAGEREF _Toc125984772 \h </w:instrText>
            </w:r>
            <w:r>
              <w:rPr>
                <w:webHidden/>
              </w:rPr>
            </w:r>
            <w:r>
              <w:rPr>
                <w:webHidden/>
              </w:rPr>
              <w:fldChar w:fldCharType="separate"/>
            </w:r>
            <w:r>
              <w:rPr>
                <w:webHidden/>
              </w:rPr>
              <w:t>7</w:t>
            </w:r>
            <w:r>
              <w:rPr>
                <w:webHidden/>
              </w:rPr>
              <w:fldChar w:fldCharType="end"/>
            </w:r>
          </w:hyperlink>
        </w:p>
        <w:p w14:paraId="7CA44423" w14:textId="025030F6" w:rsidR="00D113FD" w:rsidRDefault="00D113FD">
          <w:pPr>
            <w:pStyle w:val="TOC1"/>
            <w:rPr>
              <w:rFonts w:eastAsiaTheme="minorEastAsia"/>
              <w:b w:val="0"/>
              <w:lang w:eastAsia="en-AU" w:bidi="ar-SA"/>
            </w:rPr>
          </w:pPr>
          <w:hyperlink w:anchor="_Toc125984773" w:history="1">
            <w:r w:rsidRPr="00F53E34">
              <w:rPr>
                <w:rStyle w:val="Hyperlink"/>
              </w:rPr>
              <w:t>Introduction</w:t>
            </w:r>
            <w:r>
              <w:rPr>
                <w:webHidden/>
              </w:rPr>
              <w:tab/>
            </w:r>
            <w:r>
              <w:rPr>
                <w:webHidden/>
              </w:rPr>
              <w:fldChar w:fldCharType="begin"/>
            </w:r>
            <w:r>
              <w:rPr>
                <w:webHidden/>
              </w:rPr>
              <w:instrText xml:space="preserve"> PAGEREF _Toc125984773 \h </w:instrText>
            </w:r>
            <w:r>
              <w:rPr>
                <w:webHidden/>
              </w:rPr>
            </w:r>
            <w:r>
              <w:rPr>
                <w:webHidden/>
              </w:rPr>
              <w:fldChar w:fldCharType="separate"/>
            </w:r>
            <w:r>
              <w:rPr>
                <w:webHidden/>
              </w:rPr>
              <w:t>8</w:t>
            </w:r>
            <w:r>
              <w:rPr>
                <w:webHidden/>
              </w:rPr>
              <w:fldChar w:fldCharType="end"/>
            </w:r>
          </w:hyperlink>
        </w:p>
        <w:p w14:paraId="44D6E308" w14:textId="7B218A3B" w:rsidR="00D113FD" w:rsidRDefault="00D113FD">
          <w:pPr>
            <w:pStyle w:val="TOC2"/>
            <w:rPr>
              <w:rFonts w:eastAsiaTheme="minorEastAsia"/>
              <w:lang w:eastAsia="en-AU" w:bidi="ar-SA"/>
            </w:rPr>
          </w:pPr>
          <w:hyperlink w:anchor="_Toc125984774" w:history="1">
            <w:r w:rsidRPr="00F53E34">
              <w:rPr>
                <w:rStyle w:val="Hyperlink"/>
              </w:rPr>
              <w:t>Objectives</w:t>
            </w:r>
            <w:r>
              <w:rPr>
                <w:webHidden/>
              </w:rPr>
              <w:tab/>
            </w:r>
            <w:r>
              <w:rPr>
                <w:webHidden/>
              </w:rPr>
              <w:fldChar w:fldCharType="begin"/>
            </w:r>
            <w:r>
              <w:rPr>
                <w:webHidden/>
              </w:rPr>
              <w:instrText xml:space="preserve"> PAGEREF _Toc125984774 \h </w:instrText>
            </w:r>
            <w:r>
              <w:rPr>
                <w:webHidden/>
              </w:rPr>
            </w:r>
            <w:r>
              <w:rPr>
                <w:webHidden/>
              </w:rPr>
              <w:fldChar w:fldCharType="separate"/>
            </w:r>
            <w:r>
              <w:rPr>
                <w:webHidden/>
              </w:rPr>
              <w:t>8</w:t>
            </w:r>
            <w:r>
              <w:rPr>
                <w:webHidden/>
              </w:rPr>
              <w:fldChar w:fldCharType="end"/>
            </w:r>
          </w:hyperlink>
        </w:p>
        <w:p w14:paraId="02D08E8A" w14:textId="087EA0C3" w:rsidR="00D113FD" w:rsidRDefault="00D113FD">
          <w:pPr>
            <w:pStyle w:val="TOC1"/>
            <w:rPr>
              <w:rFonts w:eastAsiaTheme="minorEastAsia"/>
              <w:b w:val="0"/>
              <w:lang w:eastAsia="en-AU" w:bidi="ar-SA"/>
            </w:rPr>
          </w:pPr>
          <w:hyperlink w:anchor="_Toc125984775" w:history="1">
            <w:r w:rsidRPr="00F53E34">
              <w:rPr>
                <w:rStyle w:val="Hyperlink"/>
              </w:rPr>
              <w:t>Methodology</w:t>
            </w:r>
            <w:r>
              <w:rPr>
                <w:webHidden/>
              </w:rPr>
              <w:tab/>
            </w:r>
            <w:r>
              <w:rPr>
                <w:webHidden/>
              </w:rPr>
              <w:fldChar w:fldCharType="begin"/>
            </w:r>
            <w:r>
              <w:rPr>
                <w:webHidden/>
              </w:rPr>
              <w:instrText xml:space="preserve"> PAGEREF _Toc125984775 \h </w:instrText>
            </w:r>
            <w:r>
              <w:rPr>
                <w:webHidden/>
              </w:rPr>
            </w:r>
            <w:r>
              <w:rPr>
                <w:webHidden/>
              </w:rPr>
              <w:fldChar w:fldCharType="separate"/>
            </w:r>
            <w:r>
              <w:rPr>
                <w:webHidden/>
              </w:rPr>
              <w:t>9</w:t>
            </w:r>
            <w:r>
              <w:rPr>
                <w:webHidden/>
              </w:rPr>
              <w:fldChar w:fldCharType="end"/>
            </w:r>
          </w:hyperlink>
        </w:p>
        <w:p w14:paraId="15F8F570" w14:textId="5E2DDA8D" w:rsidR="00D113FD" w:rsidRDefault="00D113FD">
          <w:pPr>
            <w:pStyle w:val="TOC1"/>
            <w:rPr>
              <w:rFonts w:eastAsiaTheme="minorEastAsia"/>
              <w:b w:val="0"/>
              <w:lang w:eastAsia="en-AU" w:bidi="ar-SA"/>
            </w:rPr>
          </w:pPr>
          <w:hyperlink w:anchor="_Toc125984776" w:history="1">
            <w:r w:rsidRPr="00F53E34">
              <w:rPr>
                <w:rStyle w:val="Hyperlink"/>
              </w:rPr>
              <w:t>Australian Government HTA Principles</w:t>
            </w:r>
            <w:r>
              <w:rPr>
                <w:webHidden/>
              </w:rPr>
              <w:tab/>
            </w:r>
            <w:r>
              <w:rPr>
                <w:webHidden/>
              </w:rPr>
              <w:fldChar w:fldCharType="begin"/>
            </w:r>
            <w:r>
              <w:rPr>
                <w:webHidden/>
              </w:rPr>
              <w:instrText xml:space="preserve"> PAGEREF _Toc125984776 \h </w:instrText>
            </w:r>
            <w:r>
              <w:rPr>
                <w:webHidden/>
              </w:rPr>
            </w:r>
            <w:r>
              <w:rPr>
                <w:webHidden/>
              </w:rPr>
              <w:fldChar w:fldCharType="separate"/>
            </w:r>
            <w:r>
              <w:rPr>
                <w:webHidden/>
              </w:rPr>
              <w:t>11</w:t>
            </w:r>
            <w:r>
              <w:rPr>
                <w:webHidden/>
              </w:rPr>
              <w:fldChar w:fldCharType="end"/>
            </w:r>
          </w:hyperlink>
        </w:p>
        <w:p w14:paraId="0AEC911A" w14:textId="7C06BE20" w:rsidR="00D113FD" w:rsidRDefault="00D113FD">
          <w:pPr>
            <w:pStyle w:val="TOC2"/>
            <w:rPr>
              <w:rFonts w:eastAsiaTheme="minorEastAsia"/>
              <w:lang w:eastAsia="en-AU" w:bidi="ar-SA"/>
            </w:rPr>
          </w:pPr>
          <w:hyperlink w:anchor="_Toc125984777" w:history="1">
            <w:r w:rsidRPr="00F53E34">
              <w:rPr>
                <w:rStyle w:val="Hyperlink"/>
              </w:rPr>
              <w:t>Prostheses List HTA principles</w:t>
            </w:r>
            <w:r>
              <w:rPr>
                <w:webHidden/>
              </w:rPr>
              <w:tab/>
            </w:r>
            <w:r>
              <w:rPr>
                <w:webHidden/>
              </w:rPr>
              <w:fldChar w:fldCharType="begin"/>
            </w:r>
            <w:r>
              <w:rPr>
                <w:webHidden/>
              </w:rPr>
              <w:instrText xml:space="preserve"> PAGEREF _Toc125984777 \h </w:instrText>
            </w:r>
            <w:r>
              <w:rPr>
                <w:webHidden/>
              </w:rPr>
            </w:r>
            <w:r>
              <w:rPr>
                <w:webHidden/>
              </w:rPr>
              <w:fldChar w:fldCharType="separate"/>
            </w:r>
            <w:r>
              <w:rPr>
                <w:webHidden/>
              </w:rPr>
              <w:t>11</w:t>
            </w:r>
            <w:r>
              <w:rPr>
                <w:webHidden/>
              </w:rPr>
              <w:fldChar w:fldCharType="end"/>
            </w:r>
          </w:hyperlink>
        </w:p>
        <w:p w14:paraId="30873A89" w14:textId="37A471D0" w:rsidR="00D113FD" w:rsidRDefault="00D113FD">
          <w:pPr>
            <w:pStyle w:val="TOC2"/>
            <w:rPr>
              <w:rFonts w:eastAsiaTheme="minorEastAsia"/>
              <w:lang w:eastAsia="en-AU" w:bidi="ar-SA"/>
            </w:rPr>
          </w:pPr>
          <w:hyperlink w:anchor="_Toc125984778" w:history="1">
            <w:r w:rsidRPr="00F53E34">
              <w:rPr>
                <w:rStyle w:val="Hyperlink"/>
              </w:rPr>
              <w:t>Comparison with other Australian Government processes: PBAC and MSAC</w:t>
            </w:r>
            <w:r>
              <w:rPr>
                <w:webHidden/>
              </w:rPr>
              <w:tab/>
            </w:r>
            <w:r>
              <w:rPr>
                <w:webHidden/>
              </w:rPr>
              <w:fldChar w:fldCharType="begin"/>
            </w:r>
            <w:r>
              <w:rPr>
                <w:webHidden/>
              </w:rPr>
              <w:instrText xml:space="preserve"> PAGEREF _Toc125984778 \h </w:instrText>
            </w:r>
            <w:r>
              <w:rPr>
                <w:webHidden/>
              </w:rPr>
            </w:r>
            <w:r>
              <w:rPr>
                <w:webHidden/>
              </w:rPr>
              <w:fldChar w:fldCharType="separate"/>
            </w:r>
            <w:r>
              <w:rPr>
                <w:webHidden/>
              </w:rPr>
              <w:t>11</w:t>
            </w:r>
            <w:r>
              <w:rPr>
                <w:webHidden/>
              </w:rPr>
              <w:fldChar w:fldCharType="end"/>
            </w:r>
          </w:hyperlink>
        </w:p>
        <w:p w14:paraId="4EDD5410" w14:textId="03666056" w:rsidR="00D113FD" w:rsidRDefault="00D113FD">
          <w:pPr>
            <w:pStyle w:val="TOC3"/>
            <w:rPr>
              <w:rFonts w:eastAsiaTheme="minorEastAsia"/>
              <w:lang w:eastAsia="en-AU" w:bidi="ar-SA"/>
            </w:rPr>
          </w:pPr>
          <w:hyperlink w:anchor="_Toc125984779" w:history="1">
            <w:r w:rsidRPr="00F53E34">
              <w:rPr>
                <w:rStyle w:val="Hyperlink"/>
              </w:rPr>
              <w:t>Committee operation and process</w:t>
            </w:r>
            <w:r>
              <w:rPr>
                <w:webHidden/>
              </w:rPr>
              <w:tab/>
            </w:r>
            <w:r>
              <w:rPr>
                <w:webHidden/>
              </w:rPr>
              <w:fldChar w:fldCharType="begin"/>
            </w:r>
            <w:r>
              <w:rPr>
                <w:webHidden/>
              </w:rPr>
              <w:instrText xml:space="preserve"> PAGEREF _Toc125984779 \h </w:instrText>
            </w:r>
            <w:r>
              <w:rPr>
                <w:webHidden/>
              </w:rPr>
            </w:r>
            <w:r>
              <w:rPr>
                <w:webHidden/>
              </w:rPr>
              <w:fldChar w:fldCharType="separate"/>
            </w:r>
            <w:r>
              <w:rPr>
                <w:webHidden/>
              </w:rPr>
              <w:t>11</w:t>
            </w:r>
            <w:r>
              <w:rPr>
                <w:webHidden/>
              </w:rPr>
              <w:fldChar w:fldCharType="end"/>
            </w:r>
          </w:hyperlink>
        </w:p>
        <w:p w14:paraId="1BEECFCB" w14:textId="1265A123" w:rsidR="00D113FD" w:rsidRDefault="00D113FD">
          <w:pPr>
            <w:pStyle w:val="TOC3"/>
            <w:rPr>
              <w:rFonts w:eastAsiaTheme="minorEastAsia"/>
              <w:lang w:eastAsia="en-AU" w:bidi="ar-SA"/>
            </w:rPr>
          </w:pPr>
          <w:hyperlink w:anchor="_Toc125984780" w:history="1">
            <w:r w:rsidRPr="00F53E34">
              <w:rPr>
                <w:rStyle w:val="Hyperlink"/>
              </w:rPr>
              <w:t>Structure and development of reports</w:t>
            </w:r>
            <w:r>
              <w:rPr>
                <w:webHidden/>
              </w:rPr>
              <w:tab/>
            </w:r>
            <w:r>
              <w:rPr>
                <w:webHidden/>
              </w:rPr>
              <w:fldChar w:fldCharType="begin"/>
            </w:r>
            <w:r>
              <w:rPr>
                <w:webHidden/>
              </w:rPr>
              <w:instrText xml:space="preserve"> PAGEREF _Toc125984780 \h </w:instrText>
            </w:r>
            <w:r>
              <w:rPr>
                <w:webHidden/>
              </w:rPr>
            </w:r>
            <w:r>
              <w:rPr>
                <w:webHidden/>
              </w:rPr>
              <w:fldChar w:fldCharType="separate"/>
            </w:r>
            <w:r>
              <w:rPr>
                <w:webHidden/>
              </w:rPr>
              <w:t>14</w:t>
            </w:r>
            <w:r>
              <w:rPr>
                <w:webHidden/>
              </w:rPr>
              <w:fldChar w:fldCharType="end"/>
            </w:r>
          </w:hyperlink>
        </w:p>
        <w:p w14:paraId="33A65A64" w14:textId="31D4B446" w:rsidR="00D113FD" w:rsidRDefault="00D113FD">
          <w:pPr>
            <w:pStyle w:val="TOC1"/>
            <w:rPr>
              <w:rFonts w:eastAsiaTheme="minorEastAsia"/>
              <w:b w:val="0"/>
              <w:lang w:eastAsia="en-AU" w:bidi="ar-SA"/>
            </w:rPr>
          </w:pPr>
          <w:hyperlink w:anchor="_Toc125984781" w:history="1">
            <w:r w:rsidRPr="00F53E34">
              <w:rPr>
                <w:rStyle w:val="Hyperlink"/>
              </w:rPr>
              <w:t>The Prostheses List Process</w:t>
            </w:r>
            <w:r>
              <w:rPr>
                <w:webHidden/>
              </w:rPr>
              <w:tab/>
            </w:r>
            <w:r>
              <w:rPr>
                <w:webHidden/>
              </w:rPr>
              <w:fldChar w:fldCharType="begin"/>
            </w:r>
            <w:r>
              <w:rPr>
                <w:webHidden/>
              </w:rPr>
              <w:instrText xml:space="preserve"> PAGEREF _Toc125984781 \h </w:instrText>
            </w:r>
            <w:r>
              <w:rPr>
                <w:webHidden/>
              </w:rPr>
            </w:r>
            <w:r>
              <w:rPr>
                <w:webHidden/>
              </w:rPr>
              <w:fldChar w:fldCharType="separate"/>
            </w:r>
            <w:r>
              <w:rPr>
                <w:webHidden/>
              </w:rPr>
              <w:t>16</w:t>
            </w:r>
            <w:r>
              <w:rPr>
                <w:webHidden/>
              </w:rPr>
              <w:fldChar w:fldCharType="end"/>
            </w:r>
          </w:hyperlink>
        </w:p>
        <w:p w14:paraId="0FE67849" w14:textId="70BE21E5" w:rsidR="00D113FD" w:rsidRDefault="00D113FD">
          <w:pPr>
            <w:pStyle w:val="TOC2"/>
            <w:rPr>
              <w:rFonts w:eastAsiaTheme="minorEastAsia"/>
              <w:lang w:eastAsia="en-AU" w:bidi="ar-SA"/>
            </w:rPr>
          </w:pPr>
          <w:hyperlink w:anchor="_Toc125984782" w:history="1">
            <w:r w:rsidRPr="00F53E34">
              <w:rPr>
                <w:rStyle w:val="Hyperlink"/>
              </w:rPr>
              <w:t>Characteristics of a reformed listing process</w:t>
            </w:r>
            <w:r>
              <w:rPr>
                <w:webHidden/>
              </w:rPr>
              <w:tab/>
            </w:r>
            <w:r>
              <w:rPr>
                <w:webHidden/>
              </w:rPr>
              <w:fldChar w:fldCharType="begin"/>
            </w:r>
            <w:r>
              <w:rPr>
                <w:webHidden/>
              </w:rPr>
              <w:instrText xml:space="preserve"> PAGEREF _Toc125984782 \h </w:instrText>
            </w:r>
            <w:r>
              <w:rPr>
                <w:webHidden/>
              </w:rPr>
            </w:r>
            <w:r>
              <w:rPr>
                <w:webHidden/>
              </w:rPr>
              <w:fldChar w:fldCharType="separate"/>
            </w:r>
            <w:r>
              <w:rPr>
                <w:webHidden/>
              </w:rPr>
              <w:t>16</w:t>
            </w:r>
            <w:r>
              <w:rPr>
                <w:webHidden/>
              </w:rPr>
              <w:fldChar w:fldCharType="end"/>
            </w:r>
          </w:hyperlink>
        </w:p>
        <w:p w14:paraId="17A146B6" w14:textId="155D71A1" w:rsidR="00D113FD" w:rsidRDefault="00D113FD">
          <w:pPr>
            <w:pStyle w:val="TOC2"/>
            <w:rPr>
              <w:rFonts w:eastAsiaTheme="minorEastAsia"/>
              <w:lang w:eastAsia="en-AU" w:bidi="ar-SA"/>
            </w:rPr>
          </w:pPr>
          <w:hyperlink w:anchor="_Toc125984783" w:history="1">
            <w:r w:rsidRPr="00F53E34">
              <w:rPr>
                <w:rStyle w:val="Hyperlink"/>
              </w:rPr>
              <w:t>Guidelines and templates</w:t>
            </w:r>
            <w:r>
              <w:rPr>
                <w:webHidden/>
              </w:rPr>
              <w:tab/>
            </w:r>
            <w:r>
              <w:rPr>
                <w:webHidden/>
              </w:rPr>
              <w:fldChar w:fldCharType="begin"/>
            </w:r>
            <w:r>
              <w:rPr>
                <w:webHidden/>
              </w:rPr>
              <w:instrText xml:space="preserve"> PAGEREF _Toc125984783 \h </w:instrText>
            </w:r>
            <w:r>
              <w:rPr>
                <w:webHidden/>
              </w:rPr>
            </w:r>
            <w:r>
              <w:rPr>
                <w:webHidden/>
              </w:rPr>
              <w:fldChar w:fldCharType="separate"/>
            </w:r>
            <w:r>
              <w:rPr>
                <w:webHidden/>
              </w:rPr>
              <w:t>17</w:t>
            </w:r>
            <w:r>
              <w:rPr>
                <w:webHidden/>
              </w:rPr>
              <w:fldChar w:fldCharType="end"/>
            </w:r>
          </w:hyperlink>
        </w:p>
        <w:p w14:paraId="212284D1" w14:textId="0B512C0D" w:rsidR="00D113FD" w:rsidRDefault="00D113FD">
          <w:pPr>
            <w:pStyle w:val="TOC2"/>
            <w:rPr>
              <w:rFonts w:eastAsiaTheme="minorEastAsia"/>
              <w:lang w:eastAsia="en-AU" w:bidi="ar-SA"/>
            </w:rPr>
          </w:pPr>
          <w:hyperlink w:anchor="_Toc125984784" w:history="1">
            <w:r w:rsidRPr="00F53E34">
              <w:rPr>
                <w:rStyle w:val="Hyperlink"/>
              </w:rPr>
              <w:t>External evaluation</w:t>
            </w:r>
            <w:r>
              <w:rPr>
                <w:webHidden/>
              </w:rPr>
              <w:tab/>
            </w:r>
            <w:r>
              <w:rPr>
                <w:webHidden/>
              </w:rPr>
              <w:fldChar w:fldCharType="begin"/>
            </w:r>
            <w:r>
              <w:rPr>
                <w:webHidden/>
              </w:rPr>
              <w:instrText xml:space="preserve"> PAGEREF _Toc125984784 \h </w:instrText>
            </w:r>
            <w:r>
              <w:rPr>
                <w:webHidden/>
              </w:rPr>
            </w:r>
            <w:r>
              <w:rPr>
                <w:webHidden/>
              </w:rPr>
              <w:fldChar w:fldCharType="separate"/>
            </w:r>
            <w:r>
              <w:rPr>
                <w:webHidden/>
              </w:rPr>
              <w:t>18</w:t>
            </w:r>
            <w:r>
              <w:rPr>
                <w:webHidden/>
              </w:rPr>
              <w:fldChar w:fldCharType="end"/>
            </w:r>
          </w:hyperlink>
        </w:p>
        <w:p w14:paraId="444E1174" w14:textId="592E6B37" w:rsidR="00D113FD" w:rsidRDefault="00D113FD">
          <w:pPr>
            <w:pStyle w:val="TOC2"/>
            <w:rPr>
              <w:rFonts w:eastAsiaTheme="minorEastAsia"/>
              <w:lang w:eastAsia="en-AU" w:bidi="ar-SA"/>
            </w:rPr>
          </w:pPr>
          <w:hyperlink w:anchor="_Toc125984785" w:history="1">
            <w:r w:rsidRPr="00F53E34">
              <w:rPr>
                <w:rStyle w:val="Hyperlink"/>
              </w:rPr>
              <w:t>Committee composition</w:t>
            </w:r>
            <w:r>
              <w:rPr>
                <w:webHidden/>
              </w:rPr>
              <w:tab/>
            </w:r>
            <w:r>
              <w:rPr>
                <w:webHidden/>
              </w:rPr>
              <w:fldChar w:fldCharType="begin"/>
            </w:r>
            <w:r>
              <w:rPr>
                <w:webHidden/>
              </w:rPr>
              <w:instrText xml:space="preserve"> PAGEREF _Toc125984785 \h </w:instrText>
            </w:r>
            <w:r>
              <w:rPr>
                <w:webHidden/>
              </w:rPr>
            </w:r>
            <w:r>
              <w:rPr>
                <w:webHidden/>
              </w:rPr>
              <w:fldChar w:fldCharType="separate"/>
            </w:r>
            <w:r>
              <w:rPr>
                <w:webHidden/>
              </w:rPr>
              <w:t>19</w:t>
            </w:r>
            <w:r>
              <w:rPr>
                <w:webHidden/>
              </w:rPr>
              <w:fldChar w:fldCharType="end"/>
            </w:r>
          </w:hyperlink>
        </w:p>
        <w:p w14:paraId="02006C95" w14:textId="4701E05E" w:rsidR="00D113FD" w:rsidRDefault="00D113FD">
          <w:pPr>
            <w:pStyle w:val="TOC3"/>
            <w:rPr>
              <w:rFonts w:eastAsiaTheme="minorEastAsia"/>
              <w:lang w:eastAsia="en-AU" w:bidi="ar-SA"/>
            </w:rPr>
          </w:pPr>
          <w:hyperlink w:anchor="_Toc125984786" w:history="1">
            <w:r w:rsidRPr="00F53E34">
              <w:rPr>
                <w:rStyle w:val="Hyperlink"/>
              </w:rPr>
              <w:t>Stakeholder representation on PL decision-making committee</w:t>
            </w:r>
            <w:r>
              <w:rPr>
                <w:webHidden/>
              </w:rPr>
              <w:tab/>
            </w:r>
            <w:r>
              <w:rPr>
                <w:webHidden/>
              </w:rPr>
              <w:fldChar w:fldCharType="begin"/>
            </w:r>
            <w:r>
              <w:rPr>
                <w:webHidden/>
              </w:rPr>
              <w:instrText xml:space="preserve"> PAGEREF _Toc125984786 \h </w:instrText>
            </w:r>
            <w:r>
              <w:rPr>
                <w:webHidden/>
              </w:rPr>
            </w:r>
            <w:r>
              <w:rPr>
                <w:webHidden/>
              </w:rPr>
              <w:fldChar w:fldCharType="separate"/>
            </w:r>
            <w:r>
              <w:rPr>
                <w:webHidden/>
              </w:rPr>
              <w:t>19</w:t>
            </w:r>
            <w:r>
              <w:rPr>
                <w:webHidden/>
              </w:rPr>
              <w:fldChar w:fldCharType="end"/>
            </w:r>
          </w:hyperlink>
        </w:p>
        <w:p w14:paraId="655230A5" w14:textId="45C0C4B9" w:rsidR="00D113FD" w:rsidRDefault="00D113FD">
          <w:pPr>
            <w:pStyle w:val="TOC2"/>
            <w:rPr>
              <w:rFonts w:eastAsiaTheme="minorEastAsia"/>
              <w:lang w:eastAsia="en-AU" w:bidi="ar-SA"/>
            </w:rPr>
          </w:pPr>
          <w:hyperlink w:anchor="_Toc125984787" w:history="1">
            <w:r w:rsidRPr="00F53E34">
              <w:rPr>
                <w:rStyle w:val="Hyperlink"/>
              </w:rPr>
              <w:t>Reporting and documentation</w:t>
            </w:r>
            <w:r>
              <w:rPr>
                <w:webHidden/>
              </w:rPr>
              <w:tab/>
            </w:r>
            <w:r>
              <w:rPr>
                <w:webHidden/>
              </w:rPr>
              <w:fldChar w:fldCharType="begin"/>
            </w:r>
            <w:r>
              <w:rPr>
                <w:webHidden/>
              </w:rPr>
              <w:instrText xml:space="preserve"> PAGEREF _Toc125984787 \h </w:instrText>
            </w:r>
            <w:r>
              <w:rPr>
                <w:webHidden/>
              </w:rPr>
            </w:r>
            <w:r>
              <w:rPr>
                <w:webHidden/>
              </w:rPr>
              <w:fldChar w:fldCharType="separate"/>
            </w:r>
            <w:r>
              <w:rPr>
                <w:webHidden/>
              </w:rPr>
              <w:t>20</w:t>
            </w:r>
            <w:r>
              <w:rPr>
                <w:webHidden/>
              </w:rPr>
              <w:fldChar w:fldCharType="end"/>
            </w:r>
          </w:hyperlink>
        </w:p>
        <w:p w14:paraId="1D2123B4" w14:textId="0236CD1E" w:rsidR="00D113FD" w:rsidRDefault="00D113FD">
          <w:pPr>
            <w:pStyle w:val="TOC2"/>
            <w:rPr>
              <w:rFonts w:eastAsiaTheme="minorEastAsia"/>
              <w:lang w:eastAsia="en-AU" w:bidi="ar-SA"/>
            </w:rPr>
          </w:pPr>
          <w:hyperlink w:anchor="_Toc125984788" w:history="1">
            <w:r w:rsidRPr="00F53E34">
              <w:rPr>
                <w:rStyle w:val="Hyperlink"/>
              </w:rPr>
              <w:t>Wider committee responsibilities</w:t>
            </w:r>
            <w:r>
              <w:rPr>
                <w:webHidden/>
              </w:rPr>
              <w:tab/>
            </w:r>
            <w:r>
              <w:rPr>
                <w:webHidden/>
              </w:rPr>
              <w:fldChar w:fldCharType="begin"/>
            </w:r>
            <w:r>
              <w:rPr>
                <w:webHidden/>
              </w:rPr>
              <w:instrText xml:space="preserve"> PAGEREF _Toc125984788 \h </w:instrText>
            </w:r>
            <w:r>
              <w:rPr>
                <w:webHidden/>
              </w:rPr>
            </w:r>
            <w:r>
              <w:rPr>
                <w:webHidden/>
              </w:rPr>
              <w:fldChar w:fldCharType="separate"/>
            </w:r>
            <w:r>
              <w:rPr>
                <w:webHidden/>
              </w:rPr>
              <w:t>21</w:t>
            </w:r>
            <w:r>
              <w:rPr>
                <w:webHidden/>
              </w:rPr>
              <w:fldChar w:fldCharType="end"/>
            </w:r>
          </w:hyperlink>
        </w:p>
        <w:p w14:paraId="1B63813E" w14:textId="1E07AC02" w:rsidR="00D113FD" w:rsidRDefault="00D113FD">
          <w:pPr>
            <w:pStyle w:val="TOC1"/>
            <w:rPr>
              <w:rFonts w:eastAsiaTheme="minorEastAsia"/>
              <w:b w:val="0"/>
              <w:lang w:eastAsia="en-AU" w:bidi="ar-SA"/>
            </w:rPr>
          </w:pPr>
          <w:hyperlink w:anchor="_Toc125984789" w:history="1">
            <w:r w:rsidRPr="00F53E34">
              <w:rPr>
                <w:rStyle w:val="Hyperlink"/>
              </w:rPr>
              <w:t>Governance</w:t>
            </w:r>
            <w:r>
              <w:rPr>
                <w:webHidden/>
              </w:rPr>
              <w:tab/>
            </w:r>
            <w:r>
              <w:rPr>
                <w:webHidden/>
              </w:rPr>
              <w:fldChar w:fldCharType="begin"/>
            </w:r>
            <w:r>
              <w:rPr>
                <w:webHidden/>
              </w:rPr>
              <w:instrText xml:space="preserve"> PAGEREF _Toc125984789 \h </w:instrText>
            </w:r>
            <w:r>
              <w:rPr>
                <w:webHidden/>
              </w:rPr>
            </w:r>
            <w:r>
              <w:rPr>
                <w:webHidden/>
              </w:rPr>
              <w:fldChar w:fldCharType="separate"/>
            </w:r>
            <w:r>
              <w:rPr>
                <w:webHidden/>
              </w:rPr>
              <w:t>22</w:t>
            </w:r>
            <w:r>
              <w:rPr>
                <w:webHidden/>
              </w:rPr>
              <w:fldChar w:fldCharType="end"/>
            </w:r>
          </w:hyperlink>
        </w:p>
        <w:p w14:paraId="5361DAA0" w14:textId="2CF4DFFB" w:rsidR="00D113FD" w:rsidRDefault="00D113FD">
          <w:pPr>
            <w:pStyle w:val="TOC2"/>
            <w:rPr>
              <w:rFonts w:eastAsiaTheme="minorEastAsia"/>
              <w:lang w:eastAsia="en-AU" w:bidi="ar-SA"/>
            </w:rPr>
          </w:pPr>
          <w:hyperlink w:anchor="_Toc125984790" w:history="1">
            <w:r w:rsidRPr="00F53E34">
              <w:rPr>
                <w:rStyle w:val="Hyperlink"/>
              </w:rPr>
              <w:t>Option 1: PLAC remains but optimised with membership expanded and Clinical Advisory Groups remain</w:t>
            </w:r>
            <w:r>
              <w:rPr>
                <w:webHidden/>
              </w:rPr>
              <w:tab/>
            </w:r>
            <w:r>
              <w:rPr>
                <w:webHidden/>
              </w:rPr>
              <w:fldChar w:fldCharType="begin"/>
            </w:r>
            <w:r>
              <w:rPr>
                <w:webHidden/>
              </w:rPr>
              <w:instrText xml:space="preserve"> PAGEREF _Toc125984790 \h </w:instrText>
            </w:r>
            <w:r>
              <w:rPr>
                <w:webHidden/>
              </w:rPr>
            </w:r>
            <w:r>
              <w:rPr>
                <w:webHidden/>
              </w:rPr>
              <w:fldChar w:fldCharType="separate"/>
            </w:r>
            <w:r>
              <w:rPr>
                <w:webHidden/>
              </w:rPr>
              <w:t>24</w:t>
            </w:r>
            <w:r>
              <w:rPr>
                <w:webHidden/>
              </w:rPr>
              <w:fldChar w:fldCharType="end"/>
            </w:r>
          </w:hyperlink>
        </w:p>
        <w:p w14:paraId="6C0D0151" w14:textId="0F4E97B4" w:rsidR="00D113FD" w:rsidRDefault="00D113FD">
          <w:pPr>
            <w:pStyle w:val="TOC2"/>
            <w:rPr>
              <w:rFonts w:eastAsiaTheme="minorEastAsia"/>
              <w:lang w:eastAsia="en-AU" w:bidi="ar-SA"/>
            </w:rPr>
          </w:pPr>
          <w:hyperlink w:anchor="_Toc125984791" w:history="1">
            <w:r w:rsidRPr="00F53E34">
              <w:rPr>
                <w:rStyle w:val="Hyperlink"/>
              </w:rPr>
              <w:t>Option 2: Optimisation of current PLAC and Clinical Advisory Group configuration</w:t>
            </w:r>
            <w:r>
              <w:rPr>
                <w:webHidden/>
              </w:rPr>
              <w:tab/>
            </w:r>
            <w:r>
              <w:rPr>
                <w:webHidden/>
              </w:rPr>
              <w:fldChar w:fldCharType="begin"/>
            </w:r>
            <w:r>
              <w:rPr>
                <w:webHidden/>
              </w:rPr>
              <w:instrText xml:space="preserve"> PAGEREF _Toc125984791 \h </w:instrText>
            </w:r>
            <w:r>
              <w:rPr>
                <w:webHidden/>
              </w:rPr>
            </w:r>
            <w:r>
              <w:rPr>
                <w:webHidden/>
              </w:rPr>
              <w:fldChar w:fldCharType="separate"/>
            </w:r>
            <w:r>
              <w:rPr>
                <w:webHidden/>
              </w:rPr>
              <w:t>25</w:t>
            </w:r>
            <w:r>
              <w:rPr>
                <w:webHidden/>
              </w:rPr>
              <w:fldChar w:fldCharType="end"/>
            </w:r>
          </w:hyperlink>
        </w:p>
        <w:p w14:paraId="49F86E6C" w14:textId="2E0BA4E0" w:rsidR="00D113FD" w:rsidRDefault="00D113FD">
          <w:pPr>
            <w:pStyle w:val="TOC2"/>
            <w:rPr>
              <w:rFonts w:eastAsiaTheme="minorEastAsia"/>
              <w:lang w:eastAsia="en-AU" w:bidi="ar-SA"/>
            </w:rPr>
          </w:pPr>
          <w:hyperlink w:anchor="_Toc125984792" w:history="1">
            <w:r w:rsidRPr="00F53E34">
              <w:rPr>
                <w:rStyle w:val="Hyperlink"/>
              </w:rPr>
              <w:t>Option 3: Dissolve the PLAC and subcommittees and form a panel of PL experts who can advise the MSAC executive. Retain optimisation.</w:t>
            </w:r>
            <w:r>
              <w:rPr>
                <w:webHidden/>
              </w:rPr>
              <w:tab/>
            </w:r>
            <w:r>
              <w:rPr>
                <w:webHidden/>
              </w:rPr>
              <w:fldChar w:fldCharType="begin"/>
            </w:r>
            <w:r>
              <w:rPr>
                <w:webHidden/>
              </w:rPr>
              <w:instrText xml:space="preserve"> PAGEREF _Toc125984792 \h </w:instrText>
            </w:r>
            <w:r>
              <w:rPr>
                <w:webHidden/>
              </w:rPr>
            </w:r>
            <w:r>
              <w:rPr>
                <w:webHidden/>
              </w:rPr>
              <w:fldChar w:fldCharType="separate"/>
            </w:r>
            <w:r>
              <w:rPr>
                <w:webHidden/>
              </w:rPr>
              <w:t>26</w:t>
            </w:r>
            <w:r>
              <w:rPr>
                <w:webHidden/>
              </w:rPr>
              <w:fldChar w:fldCharType="end"/>
            </w:r>
          </w:hyperlink>
        </w:p>
        <w:p w14:paraId="5AB0F196" w14:textId="11E12D9F" w:rsidR="00D113FD" w:rsidRDefault="00D113FD">
          <w:pPr>
            <w:pStyle w:val="TOC2"/>
            <w:rPr>
              <w:rFonts w:eastAsiaTheme="minorEastAsia"/>
              <w:lang w:eastAsia="en-AU" w:bidi="ar-SA"/>
            </w:rPr>
          </w:pPr>
          <w:hyperlink w:anchor="_Toc125984793" w:history="1">
            <w:r w:rsidRPr="00F53E34">
              <w:rPr>
                <w:rStyle w:val="Hyperlink"/>
              </w:rPr>
              <w:t>Option 4: PLAC and its subcommittees are dissolved and replaced by a smaller executive PL committee</w:t>
            </w:r>
            <w:r>
              <w:rPr>
                <w:webHidden/>
              </w:rPr>
              <w:tab/>
            </w:r>
            <w:r>
              <w:rPr>
                <w:webHidden/>
              </w:rPr>
              <w:fldChar w:fldCharType="begin"/>
            </w:r>
            <w:r>
              <w:rPr>
                <w:webHidden/>
              </w:rPr>
              <w:instrText xml:space="preserve"> PAGEREF _Toc125984793 \h </w:instrText>
            </w:r>
            <w:r>
              <w:rPr>
                <w:webHidden/>
              </w:rPr>
            </w:r>
            <w:r>
              <w:rPr>
                <w:webHidden/>
              </w:rPr>
              <w:fldChar w:fldCharType="separate"/>
            </w:r>
            <w:r>
              <w:rPr>
                <w:webHidden/>
              </w:rPr>
              <w:t>27</w:t>
            </w:r>
            <w:r>
              <w:rPr>
                <w:webHidden/>
              </w:rPr>
              <w:fldChar w:fldCharType="end"/>
            </w:r>
          </w:hyperlink>
        </w:p>
        <w:p w14:paraId="5130E4DA" w14:textId="376545BA" w:rsidR="00D113FD" w:rsidRDefault="00D113FD">
          <w:pPr>
            <w:pStyle w:val="TOC1"/>
            <w:rPr>
              <w:rFonts w:eastAsiaTheme="minorEastAsia"/>
              <w:b w:val="0"/>
              <w:lang w:eastAsia="en-AU" w:bidi="ar-SA"/>
            </w:rPr>
          </w:pPr>
          <w:hyperlink w:anchor="_Toc125984794" w:history="1">
            <w:r w:rsidRPr="00F53E34">
              <w:rPr>
                <w:rStyle w:val="Hyperlink"/>
              </w:rPr>
              <w:t>Conclusions</w:t>
            </w:r>
            <w:r>
              <w:rPr>
                <w:webHidden/>
              </w:rPr>
              <w:tab/>
            </w:r>
            <w:r>
              <w:rPr>
                <w:webHidden/>
              </w:rPr>
              <w:fldChar w:fldCharType="begin"/>
            </w:r>
            <w:r>
              <w:rPr>
                <w:webHidden/>
              </w:rPr>
              <w:instrText xml:space="preserve"> PAGEREF _Toc125984794 \h </w:instrText>
            </w:r>
            <w:r>
              <w:rPr>
                <w:webHidden/>
              </w:rPr>
            </w:r>
            <w:r>
              <w:rPr>
                <w:webHidden/>
              </w:rPr>
              <w:fldChar w:fldCharType="separate"/>
            </w:r>
            <w:r>
              <w:rPr>
                <w:webHidden/>
              </w:rPr>
              <w:t>29</w:t>
            </w:r>
            <w:r>
              <w:rPr>
                <w:webHidden/>
              </w:rPr>
              <w:fldChar w:fldCharType="end"/>
            </w:r>
          </w:hyperlink>
        </w:p>
        <w:p w14:paraId="5BC86579" w14:textId="6EB75F3F" w:rsidR="00D113FD" w:rsidRDefault="00D113FD">
          <w:pPr>
            <w:pStyle w:val="TOC1"/>
            <w:rPr>
              <w:rFonts w:eastAsiaTheme="minorEastAsia"/>
              <w:b w:val="0"/>
              <w:lang w:eastAsia="en-AU" w:bidi="ar-SA"/>
            </w:rPr>
          </w:pPr>
          <w:hyperlink w:anchor="_Toc125984795" w:history="1">
            <w:r w:rsidRPr="00F53E34">
              <w:rPr>
                <w:rStyle w:val="Hyperlink"/>
              </w:rPr>
              <w:t>References</w:t>
            </w:r>
            <w:r>
              <w:rPr>
                <w:webHidden/>
              </w:rPr>
              <w:tab/>
            </w:r>
            <w:r>
              <w:rPr>
                <w:webHidden/>
              </w:rPr>
              <w:fldChar w:fldCharType="begin"/>
            </w:r>
            <w:r>
              <w:rPr>
                <w:webHidden/>
              </w:rPr>
              <w:instrText xml:space="preserve"> PAGEREF _Toc125984795 \h </w:instrText>
            </w:r>
            <w:r>
              <w:rPr>
                <w:webHidden/>
              </w:rPr>
            </w:r>
            <w:r>
              <w:rPr>
                <w:webHidden/>
              </w:rPr>
              <w:fldChar w:fldCharType="separate"/>
            </w:r>
            <w:r>
              <w:rPr>
                <w:webHidden/>
              </w:rPr>
              <w:t>30</w:t>
            </w:r>
            <w:r>
              <w:rPr>
                <w:webHidden/>
              </w:rPr>
              <w:fldChar w:fldCharType="end"/>
            </w:r>
          </w:hyperlink>
        </w:p>
        <w:p w14:paraId="3FC3283D" w14:textId="31E9AA79" w:rsidR="00D7585C" w:rsidRDefault="00D7585C">
          <w:r>
            <w:rPr>
              <w:b/>
              <w:bCs/>
              <w:noProof/>
            </w:rPr>
            <w:fldChar w:fldCharType="end"/>
          </w:r>
        </w:p>
      </w:sdtContent>
    </w:sdt>
    <w:p w14:paraId="17533E9B" w14:textId="42C520F3" w:rsidR="004E1652" w:rsidRDefault="004E1652"/>
    <w:p w14:paraId="49940EE8" w14:textId="77777777" w:rsidR="00D7585C" w:rsidRDefault="00D7585C">
      <w:pPr>
        <w:sectPr w:rsidR="00D7585C" w:rsidSect="00B32C95">
          <w:pgSz w:w="11906" w:h="16838"/>
          <w:pgMar w:top="1440" w:right="1440" w:bottom="1440" w:left="1440" w:header="708" w:footer="567" w:gutter="0"/>
          <w:cols w:space="708"/>
          <w:titlePg/>
          <w:docGrid w:linePitch="360"/>
        </w:sectPr>
      </w:pPr>
    </w:p>
    <w:p w14:paraId="158F12D0" w14:textId="1D4B144A" w:rsidR="003B4C97" w:rsidRDefault="003B4C97" w:rsidP="00D7585C">
      <w:pPr>
        <w:pStyle w:val="Heading1"/>
      </w:pPr>
      <w:bookmarkStart w:id="1" w:name="_Toc125470865"/>
      <w:bookmarkStart w:id="2" w:name="_Toc125984770"/>
      <w:r>
        <w:lastRenderedPageBreak/>
        <w:t>Summary</w:t>
      </w:r>
      <w:bookmarkEnd w:id="1"/>
      <w:bookmarkEnd w:id="2"/>
    </w:p>
    <w:p w14:paraId="5C17C0C5" w14:textId="561F9B21" w:rsidR="00521F8E" w:rsidRDefault="00521F8E" w:rsidP="00D7585C">
      <w:r>
        <w:t xml:space="preserve">As part of the Australian Government Department of </w:t>
      </w:r>
      <w:r w:rsidR="00125B5E">
        <w:t>H</w:t>
      </w:r>
      <w:r>
        <w:t>ealth</w:t>
      </w:r>
      <w:r w:rsidR="00012377">
        <w:t xml:space="preserve"> and Aged Care</w:t>
      </w:r>
      <w:r>
        <w:t xml:space="preserve"> Prostheses List Reform program, Adelaide Health Technology Assessment have developed a framework and several options for governance that will align the Prostheses List (PL) processes with those of other health technology assessment (HTA) processes within the Government. This will help to ensure that the </w:t>
      </w:r>
      <w:r w:rsidR="0076390B">
        <w:t>PL</w:t>
      </w:r>
      <w:r>
        <w:t xml:space="preserve"> fulfils its purpose of ensuring that privately insured Australians have access to clinically effective prostheses that meet their health care needs.</w:t>
      </w:r>
    </w:p>
    <w:p w14:paraId="164B3E34" w14:textId="77777777" w:rsidR="00521F8E" w:rsidRDefault="00521F8E" w:rsidP="00D7585C">
      <w:r>
        <w:t>The underlying principles that guide the HTA system in Australia state that HTA processes should be sustainable; transparent, accountable and independent; consultative and reflective of Australia community values; administratively efficient; flexible and fit for purpose; and, informed by robust and relevant evidence. These principles have guided the options provided for governance and helped to inform the framework under which a revised PL could operate.</w:t>
      </w:r>
    </w:p>
    <w:p w14:paraId="5F9E154C" w14:textId="1A25C3A0" w:rsidR="00521F8E" w:rsidRDefault="00521F8E" w:rsidP="00D7585C">
      <w:r>
        <w:t>A comparison of the PL, the Pharmaceutical Benefits Scheme</w:t>
      </w:r>
      <w:r w:rsidR="00D77B6F">
        <w:t xml:space="preserve"> (PBS)</w:t>
      </w:r>
      <w:r>
        <w:t xml:space="preserve"> and the Medicare Benefits Scheme </w:t>
      </w:r>
      <w:r w:rsidR="00D77B6F">
        <w:t xml:space="preserve">(MBS) </w:t>
      </w:r>
      <w:r>
        <w:t xml:space="preserve">processes was undertaken. Key differences included responsibility for undertaking the HTA, membership of stakeholders on committees, and provision of guidelines and templates for applications and evaluators. Other </w:t>
      </w:r>
      <w:r w:rsidR="000C3424">
        <w:t>reviews</w:t>
      </w:r>
      <w:r>
        <w:t xml:space="preserve"> of the </w:t>
      </w:r>
      <w:r w:rsidR="0076390B">
        <w:t>PL</w:t>
      </w:r>
      <w:r>
        <w:t xml:space="preserve"> process have identified similar issues. It is suggested that the following elements be included in a reformed PL process:</w:t>
      </w:r>
    </w:p>
    <w:p w14:paraId="4EA3FE98" w14:textId="618A08BE" w:rsidR="00521F8E" w:rsidRPr="00D7585C" w:rsidRDefault="001212D6" w:rsidP="00AB2522">
      <w:pPr>
        <w:pStyle w:val="ListBullet"/>
      </w:pPr>
      <w:r w:rsidRPr="00D7585C">
        <w:t>Improved g</w:t>
      </w:r>
      <w:r w:rsidR="00521F8E" w:rsidRPr="00D7585C">
        <w:t xml:space="preserve">uidelines and templates to clarify eligibility for pathways, evidence requirements and presentation of information to encourage a consistent approach across all applications </w:t>
      </w:r>
    </w:p>
    <w:p w14:paraId="046ADBF9" w14:textId="7C135A9E" w:rsidR="00521F8E" w:rsidRPr="00D7585C" w:rsidRDefault="00521F8E" w:rsidP="00AB2522">
      <w:pPr>
        <w:pStyle w:val="ListBullet"/>
      </w:pPr>
      <w:r w:rsidRPr="00D7585C">
        <w:t xml:space="preserve">External, independent HTA evaluation of PL applications </w:t>
      </w:r>
    </w:p>
    <w:p w14:paraId="22317B0F" w14:textId="3D272DD5" w:rsidR="00521F8E" w:rsidRPr="00D7585C" w:rsidRDefault="00521F8E" w:rsidP="00AB2522">
      <w:pPr>
        <w:pStyle w:val="ListBullet"/>
      </w:pPr>
      <w:r w:rsidRPr="00D7585C">
        <w:t>Stakeholders removed from decision-making committees</w:t>
      </w:r>
    </w:p>
    <w:p w14:paraId="50D3A6E9" w14:textId="77777777" w:rsidR="00517AF4" w:rsidRPr="00D7585C" w:rsidRDefault="006B00FF" w:rsidP="00AB2522">
      <w:pPr>
        <w:pStyle w:val="ListBullet"/>
      </w:pPr>
      <w:r w:rsidRPr="00D7585C">
        <w:t>Publication</w:t>
      </w:r>
      <w:r w:rsidR="00521F8E" w:rsidRPr="00D7585C">
        <w:t xml:space="preserve"> of Public Summary Documents </w:t>
      </w:r>
      <w:r w:rsidR="000613C3" w:rsidRPr="00D7585C">
        <w:t>that</w:t>
      </w:r>
      <w:r w:rsidR="00521F8E" w:rsidRPr="00D7585C">
        <w:t xml:space="preserve"> outline the rationale for decisions made by the committee</w:t>
      </w:r>
      <w:r w:rsidRPr="00D7585C">
        <w:t>.</w:t>
      </w:r>
    </w:p>
    <w:p w14:paraId="0B13E8D2" w14:textId="077E44E8" w:rsidR="00F9508E" w:rsidRDefault="006B00FF" w:rsidP="003B4C97">
      <w:r>
        <w:t xml:space="preserve">Several </w:t>
      </w:r>
      <w:r w:rsidR="00F27446">
        <w:t xml:space="preserve">alternatives </w:t>
      </w:r>
      <w:r>
        <w:t>for governance of a reformed PL process have been suggested</w:t>
      </w:r>
      <w:r w:rsidR="00F27446">
        <w:t xml:space="preserve"> by the department and stakeholders through a recent consultation process on assessment pathways</w:t>
      </w:r>
      <w:r>
        <w:t xml:space="preserve">. </w:t>
      </w:r>
      <w:r w:rsidR="001212D6">
        <w:t xml:space="preserve">Most </w:t>
      </w:r>
      <w:r>
        <w:t xml:space="preserve">include optimising </w:t>
      </w:r>
      <w:r w:rsidR="00901DD6">
        <w:t>Prostheses List Advisory C</w:t>
      </w:r>
      <w:r>
        <w:t>ommittee</w:t>
      </w:r>
      <w:r w:rsidR="00901DD6">
        <w:t xml:space="preserve"> (PLAC)</w:t>
      </w:r>
      <w:r>
        <w:t xml:space="preserve"> membership through removing stakeholders whilst incorporating formal feedback mechanisms during the assessment process, </w:t>
      </w:r>
      <w:r w:rsidR="0074409E">
        <w:t>re-examining</w:t>
      </w:r>
      <w:r w:rsidR="00F9508E">
        <w:t xml:space="preserve"> the </w:t>
      </w:r>
      <w:r w:rsidR="00325B77">
        <w:t xml:space="preserve">role of clinical experts and the </w:t>
      </w:r>
      <w:r w:rsidR="00F9508E">
        <w:t xml:space="preserve">Clinical Advisory Groups, </w:t>
      </w:r>
      <w:r>
        <w:t xml:space="preserve">the provision of </w:t>
      </w:r>
      <w:r w:rsidR="001212D6">
        <w:t xml:space="preserve">improved </w:t>
      </w:r>
      <w:r>
        <w:t>guidelines and templates for applications and evaluation groups</w:t>
      </w:r>
      <w:r w:rsidR="00901DD6">
        <w:t>, and the publication of Public Summary Documents</w:t>
      </w:r>
      <w:r>
        <w:t xml:space="preserve">. </w:t>
      </w:r>
    </w:p>
    <w:p w14:paraId="3FF36241" w14:textId="122630A1" w:rsidR="00521F8E" w:rsidRDefault="006B00FF" w:rsidP="003B4C97">
      <w:r>
        <w:t xml:space="preserve">The governance options </w:t>
      </w:r>
      <w:r w:rsidR="00F27446">
        <w:t xml:space="preserve">proposed </w:t>
      </w:r>
      <w:r>
        <w:t xml:space="preserve">are also related to the HTA pathways which </w:t>
      </w:r>
      <w:r w:rsidR="00325B77">
        <w:t xml:space="preserve">are being </w:t>
      </w:r>
      <w:r>
        <w:t>developed in collaboration with stakeholders. Much of the efficiency gain in the process will be obtained through better pathways which appropriately resource assessment dependent on</w:t>
      </w:r>
      <w:r w:rsidR="00325B77">
        <w:t xml:space="preserve"> the</w:t>
      </w:r>
      <w:r>
        <w:t xml:space="preserve"> risk</w:t>
      </w:r>
      <w:r w:rsidR="00125B5E">
        <w:t xml:space="preserve"> to </w:t>
      </w:r>
      <w:r w:rsidR="000C3424">
        <w:t>consumers, and to the health system more widely,</w:t>
      </w:r>
      <w:r w:rsidR="00125B5E">
        <w:t xml:space="preserve"> of including a device on the</w:t>
      </w:r>
      <w:r w:rsidR="00325B77">
        <w:t xml:space="preserve"> </w:t>
      </w:r>
      <w:r w:rsidR="002A0923">
        <w:t>PL</w:t>
      </w:r>
      <w:r>
        <w:t xml:space="preserve">. </w:t>
      </w:r>
    </w:p>
    <w:p w14:paraId="1747118F" w14:textId="622C081E" w:rsidR="0050674A" w:rsidRDefault="0050674A" w:rsidP="003B4C97">
      <w:r>
        <w:t xml:space="preserve">In summary, the governance options </w:t>
      </w:r>
      <w:r w:rsidR="00F9508E">
        <w:t xml:space="preserve">proposed </w:t>
      </w:r>
      <w:r>
        <w:t>enable the PL process to reflect the underl</w:t>
      </w:r>
      <w:r w:rsidR="00E9695A">
        <w:t>y</w:t>
      </w:r>
      <w:r>
        <w:t xml:space="preserve">ing principles of HTA to a greater or lesser extent. Some options will require more resources for the Department, which may impact on sustainability, however cost-recovery will aid in this. The use of </w:t>
      </w:r>
      <w:r w:rsidR="004F1ED7">
        <w:t xml:space="preserve">improved </w:t>
      </w:r>
      <w:r>
        <w:t xml:space="preserve">guidelines and templates, the provision of Public Summary Documents, and the use of external, independent evaluators will all contribute to the process becoming more transparent, accountable and independent. Formal feedback mechanisms </w:t>
      </w:r>
      <w:r w:rsidR="000613C3">
        <w:t>that</w:t>
      </w:r>
      <w:r>
        <w:t xml:space="preserve"> enable all stakeholders to engage </w:t>
      </w:r>
      <w:r w:rsidR="005C29CF">
        <w:t xml:space="preserve">in a timely manner </w:t>
      </w:r>
      <w:r>
        <w:t xml:space="preserve">ensure that the process is consultative and reflects Australian community values. </w:t>
      </w:r>
      <w:r>
        <w:lastRenderedPageBreak/>
        <w:t>To ensure administrative efficiency, the new pathways will help allocate resources appropriately according to risk, and the guidelines and templates will add to this efficiency by clarifying the evidence that is required for eligibility for each pathway.</w:t>
      </w:r>
      <w:r w:rsidR="005C29CF">
        <w:t xml:space="preserve"> The new pathways will also enable the process to be flexible and fit-for-purpose. Aligning the PL process with the other HTA processes, and being clear about the evidentiary requirements for each type of listing, will ensure that each decision is inform</w:t>
      </w:r>
      <w:r w:rsidR="00125B5E">
        <w:t>ed</w:t>
      </w:r>
      <w:r w:rsidR="005C29CF">
        <w:t xml:space="preserve"> by robust and relevant evidence.</w:t>
      </w:r>
    </w:p>
    <w:p w14:paraId="54D528B0" w14:textId="15DBCEFF" w:rsidR="003121D0" w:rsidRDefault="002E6FBD">
      <w:r>
        <w:br w:type="page"/>
      </w:r>
    </w:p>
    <w:p w14:paraId="1086D629" w14:textId="4AF763CA" w:rsidR="003830D1" w:rsidRDefault="003830D1" w:rsidP="003B4C97">
      <w:pPr>
        <w:pStyle w:val="Heading1"/>
      </w:pPr>
      <w:bookmarkStart w:id="3" w:name="_Ref506890818"/>
      <w:bookmarkStart w:id="4" w:name="_Toc125470866"/>
      <w:bookmarkStart w:id="5" w:name="_Toc125984771"/>
      <w:r w:rsidRPr="00C23F5C">
        <w:lastRenderedPageBreak/>
        <w:t>Acronyms</w:t>
      </w:r>
      <w:bookmarkEnd w:id="3"/>
      <w:bookmarkEnd w:id="4"/>
      <w:bookmarkEnd w:id="5"/>
    </w:p>
    <w:tbl>
      <w:tblPr>
        <w:tblStyle w:val="ListTable3-Accent11"/>
        <w:tblW w:w="0" w:type="auto"/>
        <w:tblLook w:val="04A0" w:firstRow="1" w:lastRow="0" w:firstColumn="1" w:lastColumn="0" w:noHBand="0" w:noVBand="1"/>
        <w:tblDescription w:val="This table is a list of acronyms used in the document."/>
      </w:tblPr>
      <w:tblGrid>
        <w:gridCol w:w="2263"/>
        <w:gridCol w:w="6753"/>
      </w:tblGrid>
      <w:tr w:rsidR="00EC7AD4" w14:paraId="04B66EC8" w14:textId="77777777" w:rsidTr="00AB25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3" w:type="dxa"/>
          </w:tcPr>
          <w:p w14:paraId="7BFB265B" w14:textId="77777777" w:rsidR="00EC7AD4" w:rsidRPr="004F18BF" w:rsidRDefault="00EC7AD4" w:rsidP="001269D5">
            <w:r>
              <w:t>Acronym</w:t>
            </w:r>
          </w:p>
        </w:tc>
        <w:tc>
          <w:tcPr>
            <w:tcW w:w="6753" w:type="dxa"/>
          </w:tcPr>
          <w:p w14:paraId="6CFB6DF6" w14:textId="371D3604" w:rsidR="00EC7AD4" w:rsidRDefault="002322F7" w:rsidP="001269D5">
            <w:pPr>
              <w:cnfStyle w:val="100000000000" w:firstRow="1" w:lastRow="0" w:firstColumn="0" w:lastColumn="0" w:oddVBand="0" w:evenVBand="0" w:oddHBand="0" w:evenHBand="0" w:firstRowFirstColumn="0" w:firstRowLastColumn="0" w:lastRowFirstColumn="0" w:lastRowLastColumn="0"/>
            </w:pPr>
            <w:r>
              <w:t>Description</w:t>
            </w:r>
          </w:p>
        </w:tc>
      </w:tr>
      <w:tr w:rsidR="00EC7AD4" w14:paraId="23FB7142"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5C49E3C" w14:textId="77777777" w:rsidR="00EC7AD4" w:rsidRDefault="00EC7AD4" w:rsidP="001269D5">
            <w:r>
              <w:t>ADAR</w:t>
            </w:r>
          </w:p>
        </w:tc>
        <w:tc>
          <w:tcPr>
            <w:tcW w:w="6753" w:type="dxa"/>
          </w:tcPr>
          <w:p w14:paraId="42F74AC0" w14:textId="77777777" w:rsidR="00EC7AD4" w:rsidRDefault="00EC7AD4" w:rsidP="001269D5">
            <w:pPr>
              <w:cnfStyle w:val="000000100000" w:firstRow="0" w:lastRow="0" w:firstColumn="0" w:lastColumn="0" w:oddVBand="0" w:evenVBand="0" w:oddHBand="1" w:evenHBand="0" w:firstRowFirstColumn="0" w:firstRowLastColumn="0" w:lastRowFirstColumn="0" w:lastRowLastColumn="0"/>
            </w:pPr>
            <w:r>
              <w:t>Applicant developed assessment report (MSAC process)</w:t>
            </w:r>
          </w:p>
        </w:tc>
      </w:tr>
      <w:tr w:rsidR="00EC7AD4" w14:paraId="1BCD6F5A"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0034ABB9" w14:textId="77777777" w:rsidR="00EC7AD4" w:rsidRDefault="00EC7AD4" w:rsidP="001269D5">
            <w:r>
              <w:t>ARTG</w:t>
            </w:r>
          </w:p>
        </w:tc>
        <w:tc>
          <w:tcPr>
            <w:tcW w:w="6753" w:type="dxa"/>
          </w:tcPr>
          <w:p w14:paraId="7FAC9B44" w14:textId="77777777" w:rsidR="00EC7AD4" w:rsidRDefault="00EC7AD4" w:rsidP="001269D5">
            <w:pPr>
              <w:cnfStyle w:val="000000000000" w:firstRow="0" w:lastRow="0" w:firstColumn="0" w:lastColumn="0" w:oddVBand="0" w:evenVBand="0" w:oddHBand="0" w:evenHBand="0" w:firstRowFirstColumn="0" w:firstRowLastColumn="0" w:lastRowFirstColumn="0" w:lastRowLastColumn="0"/>
            </w:pPr>
            <w:r>
              <w:t>Australian Register of Therapeutic Goods</w:t>
            </w:r>
          </w:p>
        </w:tc>
      </w:tr>
      <w:tr w:rsidR="00EC7AD4" w14:paraId="15442955"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33583EC" w14:textId="77777777" w:rsidR="00EC7AD4" w:rsidRDefault="00EC7AD4" w:rsidP="001269D5">
            <w:r>
              <w:t>ATAGI</w:t>
            </w:r>
          </w:p>
        </w:tc>
        <w:tc>
          <w:tcPr>
            <w:tcW w:w="6753" w:type="dxa"/>
          </w:tcPr>
          <w:p w14:paraId="2712BF5D" w14:textId="77777777" w:rsidR="00EC7AD4" w:rsidRDefault="00EC7AD4" w:rsidP="001269D5">
            <w:pPr>
              <w:cnfStyle w:val="000000100000" w:firstRow="0" w:lastRow="0" w:firstColumn="0" w:lastColumn="0" w:oddVBand="0" w:evenVBand="0" w:oddHBand="1" w:evenHBand="0" w:firstRowFirstColumn="0" w:firstRowLastColumn="0" w:lastRowFirstColumn="0" w:lastRowLastColumn="0"/>
            </w:pPr>
            <w:r>
              <w:t>Australian Technical Advisory Group on Immunisation</w:t>
            </w:r>
          </w:p>
        </w:tc>
      </w:tr>
      <w:tr w:rsidR="00EC7AD4" w14:paraId="3A2151E1"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72F24D7C" w14:textId="77777777" w:rsidR="00EC7AD4" w:rsidRDefault="00EC7AD4" w:rsidP="001269D5">
            <w:r>
              <w:t>CAG</w:t>
            </w:r>
          </w:p>
        </w:tc>
        <w:tc>
          <w:tcPr>
            <w:tcW w:w="6753" w:type="dxa"/>
          </w:tcPr>
          <w:p w14:paraId="5493834F" w14:textId="77777777" w:rsidR="00EC7AD4" w:rsidRDefault="00EC7AD4" w:rsidP="001269D5">
            <w:pPr>
              <w:cnfStyle w:val="000000000000" w:firstRow="0" w:lastRow="0" w:firstColumn="0" w:lastColumn="0" w:oddVBand="0" w:evenVBand="0" w:oddHBand="0" w:evenHBand="0" w:firstRowFirstColumn="0" w:firstRowLastColumn="0" w:lastRowFirstColumn="0" w:lastRowLastColumn="0"/>
            </w:pPr>
            <w:r>
              <w:t>Clinical Advisory Group</w:t>
            </w:r>
          </w:p>
        </w:tc>
      </w:tr>
      <w:tr w:rsidR="00EC7AD4" w14:paraId="5F14BA09"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3C5549" w14:textId="77777777" w:rsidR="00EC7AD4" w:rsidRPr="004F18BF" w:rsidRDefault="00EC7AD4" w:rsidP="001269D5">
            <w:r>
              <w:t>DCAR</w:t>
            </w:r>
          </w:p>
        </w:tc>
        <w:tc>
          <w:tcPr>
            <w:tcW w:w="6753" w:type="dxa"/>
          </w:tcPr>
          <w:p w14:paraId="4FA098DA" w14:textId="77777777" w:rsidR="00EC7AD4" w:rsidRDefault="00EC7AD4" w:rsidP="001269D5">
            <w:pPr>
              <w:cnfStyle w:val="000000100000" w:firstRow="0" w:lastRow="0" w:firstColumn="0" w:lastColumn="0" w:oddVBand="0" w:evenVBand="0" w:oddHBand="1" w:evenHBand="0" w:firstRowFirstColumn="0" w:firstRowLastColumn="0" w:lastRowFirstColumn="0" w:lastRowLastColumn="0"/>
            </w:pPr>
            <w:r>
              <w:t>Department contracted assessment report (MSAC process)</w:t>
            </w:r>
          </w:p>
        </w:tc>
      </w:tr>
      <w:tr w:rsidR="00EC7AD4" w14:paraId="1BC26CAB"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3931D91D" w14:textId="77777777" w:rsidR="00EC7AD4" w:rsidRDefault="00EC7AD4" w:rsidP="001269D5">
            <w:r>
              <w:t>DUSC</w:t>
            </w:r>
          </w:p>
        </w:tc>
        <w:tc>
          <w:tcPr>
            <w:tcW w:w="6753" w:type="dxa"/>
          </w:tcPr>
          <w:p w14:paraId="48631250" w14:textId="1731ACEA" w:rsidR="00EC7AD4" w:rsidRDefault="00EC7AD4" w:rsidP="001269D5">
            <w:pPr>
              <w:cnfStyle w:val="000000000000" w:firstRow="0" w:lastRow="0" w:firstColumn="0" w:lastColumn="0" w:oddVBand="0" w:evenVBand="0" w:oddHBand="0" w:evenHBand="0" w:firstRowFirstColumn="0" w:firstRowLastColumn="0" w:lastRowFirstColumn="0" w:lastRowLastColumn="0"/>
            </w:pPr>
            <w:r>
              <w:t xml:space="preserve">Drug Utilisation </w:t>
            </w:r>
            <w:r w:rsidR="003711F5">
              <w:t>Sub-committee</w:t>
            </w:r>
          </w:p>
        </w:tc>
      </w:tr>
      <w:tr w:rsidR="00EC7AD4" w14:paraId="74DFC7F1"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CCF9B4A" w14:textId="77777777" w:rsidR="00EC7AD4" w:rsidRDefault="00EC7AD4" w:rsidP="001269D5">
            <w:r>
              <w:t>ESC</w:t>
            </w:r>
          </w:p>
        </w:tc>
        <w:tc>
          <w:tcPr>
            <w:tcW w:w="6753" w:type="dxa"/>
          </w:tcPr>
          <w:p w14:paraId="13851E15" w14:textId="60B69810" w:rsidR="00EC7AD4" w:rsidRDefault="00EC7AD4" w:rsidP="001269D5">
            <w:pPr>
              <w:cnfStyle w:val="000000100000" w:firstRow="0" w:lastRow="0" w:firstColumn="0" w:lastColumn="0" w:oddVBand="0" w:evenVBand="0" w:oddHBand="1" w:evenHBand="0" w:firstRowFirstColumn="0" w:firstRowLastColumn="0" w:lastRowFirstColumn="0" w:lastRowLastColumn="0"/>
            </w:pPr>
            <w:r>
              <w:t xml:space="preserve">Evaluation </w:t>
            </w:r>
            <w:r w:rsidR="003711F5">
              <w:t>Sub-committee</w:t>
            </w:r>
            <w:r>
              <w:t xml:space="preserve"> (MSAC ESC) or Economic </w:t>
            </w:r>
            <w:r w:rsidR="003711F5">
              <w:t>Sub-committee</w:t>
            </w:r>
            <w:r>
              <w:t xml:space="preserve"> (PBAC ESC)</w:t>
            </w:r>
          </w:p>
        </w:tc>
      </w:tr>
      <w:tr w:rsidR="00EC7AD4" w14:paraId="3847070E"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48067138" w14:textId="77777777" w:rsidR="00EC7AD4" w:rsidRDefault="00EC7AD4" w:rsidP="001269D5">
            <w:r>
              <w:t>HTA</w:t>
            </w:r>
          </w:p>
        </w:tc>
        <w:tc>
          <w:tcPr>
            <w:tcW w:w="6753" w:type="dxa"/>
          </w:tcPr>
          <w:p w14:paraId="3A32572C" w14:textId="77777777" w:rsidR="00EC7AD4" w:rsidRDefault="00EC7AD4" w:rsidP="001269D5">
            <w:pPr>
              <w:cnfStyle w:val="000000000000" w:firstRow="0" w:lastRow="0" w:firstColumn="0" w:lastColumn="0" w:oddVBand="0" w:evenVBand="0" w:oddHBand="0" w:evenHBand="0" w:firstRowFirstColumn="0" w:firstRowLastColumn="0" w:lastRowFirstColumn="0" w:lastRowLastColumn="0"/>
            </w:pPr>
            <w:r>
              <w:t>Health Technology Assessment</w:t>
            </w:r>
          </w:p>
        </w:tc>
      </w:tr>
      <w:tr w:rsidR="00EC7AD4" w14:paraId="1BD65700"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5FDE49E" w14:textId="77777777" w:rsidR="00EC7AD4" w:rsidRDefault="00EC7AD4" w:rsidP="001269D5">
            <w:r>
              <w:t>MBS</w:t>
            </w:r>
          </w:p>
        </w:tc>
        <w:tc>
          <w:tcPr>
            <w:tcW w:w="6753" w:type="dxa"/>
          </w:tcPr>
          <w:p w14:paraId="2838886C" w14:textId="77777777" w:rsidR="00EC7AD4" w:rsidRPr="00C233D8" w:rsidRDefault="00EC7AD4" w:rsidP="001269D5">
            <w:pPr>
              <w:jc w:val="both"/>
              <w:cnfStyle w:val="000000100000" w:firstRow="0" w:lastRow="0" w:firstColumn="0" w:lastColumn="0" w:oddVBand="0" w:evenVBand="0" w:oddHBand="1" w:evenHBand="0" w:firstRowFirstColumn="0" w:firstRowLastColumn="0" w:lastRowFirstColumn="0" w:lastRowLastColumn="0"/>
            </w:pPr>
            <w:r>
              <w:t>Medicare Benefits Schedule</w:t>
            </w:r>
          </w:p>
        </w:tc>
      </w:tr>
      <w:tr w:rsidR="00EC7AD4" w14:paraId="04A0426A"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08D46495" w14:textId="77777777" w:rsidR="00EC7AD4" w:rsidRDefault="00EC7AD4" w:rsidP="001269D5">
            <w:r>
              <w:t>MSAC</w:t>
            </w:r>
          </w:p>
        </w:tc>
        <w:tc>
          <w:tcPr>
            <w:tcW w:w="6753" w:type="dxa"/>
          </w:tcPr>
          <w:p w14:paraId="572369D7" w14:textId="77777777" w:rsidR="00EC7AD4" w:rsidRDefault="00EC7AD4" w:rsidP="001269D5">
            <w:pPr>
              <w:cnfStyle w:val="000000000000" w:firstRow="0" w:lastRow="0" w:firstColumn="0" w:lastColumn="0" w:oddVBand="0" w:evenVBand="0" w:oddHBand="0" w:evenHBand="0" w:firstRowFirstColumn="0" w:firstRowLastColumn="0" w:lastRowFirstColumn="0" w:lastRowLastColumn="0"/>
            </w:pPr>
            <w:r>
              <w:t>Medical Services Advisory Committee</w:t>
            </w:r>
          </w:p>
        </w:tc>
      </w:tr>
      <w:tr w:rsidR="00EC7AD4" w14:paraId="324D4D5A"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207FCD" w14:textId="77777777" w:rsidR="00EC7AD4" w:rsidRDefault="00EC7AD4" w:rsidP="001269D5">
            <w:r>
              <w:t>PASC</w:t>
            </w:r>
          </w:p>
        </w:tc>
        <w:tc>
          <w:tcPr>
            <w:tcW w:w="6753" w:type="dxa"/>
          </w:tcPr>
          <w:p w14:paraId="60D3A427" w14:textId="07162EE6" w:rsidR="00EC7AD4" w:rsidRDefault="00EC7AD4" w:rsidP="001269D5">
            <w:pPr>
              <w:cnfStyle w:val="000000100000" w:firstRow="0" w:lastRow="0" w:firstColumn="0" w:lastColumn="0" w:oddVBand="0" w:evenVBand="0" w:oddHBand="1" w:evenHBand="0" w:firstRowFirstColumn="0" w:firstRowLastColumn="0" w:lastRowFirstColumn="0" w:lastRowLastColumn="0"/>
            </w:pPr>
            <w:r>
              <w:t xml:space="preserve">PICO confirmation Advisory </w:t>
            </w:r>
            <w:r w:rsidR="003711F5">
              <w:t>Sub-committee</w:t>
            </w:r>
          </w:p>
        </w:tc>
      </w:tr>
      <w:tr w:rsidR="00EC7AD4" w14:paraId="3F3DDD83"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5A9D3FB9" w14:textId="77777777" w:rsidR="00EC7AD4" w:rsidRDefault="00EC7AD4" w:rsidP="001269D5">
            <w:r>
              <w:t>PBAC</w:t>
            </w:r>
          </w:p>
        </w:tc>
        <w:tc>
          <w:tcPr>
            <w:tcW w:w="6753" w:type="dxa"/>
          </w:tcPr>
          <w:p w14:paraId="5DA287BA" w14:textId="77777777" w:rsidR="00EC7AD4" w:rsidRDefault="00EC7AD4" w:rsidP="001269D5">
            <w:pPr>
              <w:cnfStyle w:val="000000000000" w:firstRow="0" w:lastRow="0" w:firstColumn="0" w:lastColumn="0" w:oddVBand="0" w:evenVBand="0" w:oddHBand="0" w:evenHBand="0" w:firstRowFirstColumn="0" w:firstRowLastColumn="0" w:lastRowFirstColumn="0" w:lastRowLastColumn="0"/>
            </w:pPr>
            <w:r>
              <w:t>Pharmaceutical Benefits Advisory Committee</w:t>
            </w:r>
          </w:p>
        </w:tc>
      </w:tr>
      <w:tr w:rsidR="00EC7AD4" w14:paraId="733C0D93"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367B67E" w14:textId="77777777" w:rsidR="00EC7AD4" w:rsidRDefault="00EC7AD4" w:rsidP="001269D5">
            <w:r>
              <w:t>PBS</w:t>
            </w:r>
          </w:p>
        </w:tc>
        <w:tc>
          <w:tcPr>
            <w:tcW w:w="6753" w:type="dxa"/>
          </w:tcPr>
          <w:p w14:paraId="7CD0D9AF" w14:textId="77777777" w:rsidR="00EC7AD4" w:rsidRDefault="00EC7AD4" w:rsidP="001269D5">
            <w:pPr>
              <w:cnfStyle w:val="000000100000" w:firstRow="0" w:lastRow="0" w:firstColumn="0" w:lastColumn="0" w:oddVBand="0" w:evenVBand="0" w:oddHBand="1" w:evenHBand="0" w:firstRowFirstColumn="0" w:firstRowLastColumn="0" w:lastRowFirstColumn="0" w:lastRowLastColumn="0"/>
            </w:pPr>
            <w:r>
              <w:t>Pharmaceutical Benefits Scheme</w:t>
            </w:r>
          </w:p>
        </w:tc>
      </w:tr>
      <w:tr w:rsidR="00EC7AD4" w14:paraId="3D6E4401"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61E1BC1B" w14:textId="77777777" w:rsidR="00EC7AD4" w:rsidRDefault="00EC7AD4" w:rsidP="001269D5">
            <w:r>
              <w:t>PICO</w:t>
            </w:r>
          </w:p>
        </w:tc>
        <w:tc>
          <w:tcPr>
            <w:tcW w:w="6753" w:type="dxa"/>
          </w:tcPr>
          <w:p w14:paraId="2BFA53D1" w14:textId="77777777" w:rsidR="00EC7AD4" w:rsidRDefault="00EC7AD4" w:rsidP="001269D5">
            <w:pPr>
              <w:cnfStyle w:val="000000000000" w:firstRow="0" w:lastRow="0" w:firstColumn="0" w:lastColumn="0" w:oddVBand="0" w:evenVBand="0" w:oddHBand="0" w:evenHBand="0" w:firstRowFirstColumn="0" w:firstRowLastColumn="0" w:lastRowFirstColumn="0" w:lastRowLastColumn="0"/>
            </w:pPr>
            <w:r>
              <w:t>Population Intervention Comparator Outcome</w:t>
            </w:r>
          </w:p>
        </w:tc>
      </w:tr>
      <w:tr w:rsidR="00EC7AD4" w14:paraId="17D0417C"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A33B45A" w14:textId="77777777" w:rsidR="00EC7AD4" w:rsidRDefault="00EC7AD4" w:rsidP="001269D5">
            <w:r>
              <w:t>PL</w:t>
            </w:r>
          </w:p>
        </w:tc>
        <w:tc>
          <w:tcPr>
            <w:tcW w:w="6753" w:type="dxa"/>
          </w:tcPr>
          <w:p w14:paraId="3C9AC04E" w14:textId="77777777" w:rsidR="00EC7AD4" w:rsidRDefault="00EC7AD4" w:rsidP="001269D5">
            <w:pPr>
              <w:cnfStyle w:val="000000100000" w:firstRow="0" w:lastRow="0" w:firstColumn="0" w:lastColumn="0" w:oddVBand="0" w:evenVBand="0" w:oddHBand="1" w:evenHBand="0" w:firstRowFirstColumn="0" w:firstRowLastColumn="0" w:lastRowFirstColumn="0" w:lastRowLastColumn="0"/>
            </w:pPr>
            <w:r>
              <w:t>Prostheses List</w:t>
            </w:r>
          </w:p>
        </w:tc>
      </w:tr>
      <w:tr w:rsidR="00EC7AD4" w14:paraId="47B47EF5"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2B6D0106" w14:textId="77777777" w:rsidR="00EC7AD4" w:rsidRDefault="00EC7AD4" w:rsidP="001269D5">
            <w:r>
              <w:t>PLAC</w:t>
            </w:r>
          </w:p>
        </w:tc>
        <w:tc>
          <w:tcPr>
            <w:tcW w:w="6753" w:type="dxa"/>
          </w:tcPr>
          <w:p w14:paraId="0FCD07E4" w14:textId="77777777" w:rsidR="00EC7AD4" w:rsidRDefault="00EC7AD4" w:rsidP="001269D5">
            <w:pPr>
              <w:cnfStyle w:val="000000000000" w:firstRow="0" w:lastRow="0" w:firstColumn="0" w:lastColumn="0" w:oddVBand="0" w:evenVBand="0" w:oddHBand="0" w:evenHBand="0" w:firstRowFirstColumn="0" w:firstRowLastColumn="0" w:lastRowFirstColumn="0" w:lastRowLastColumn="0"/>
            </w:pPr>
            <w:r>
              <w:t>Prostheses List Advisory Committee</w:t>
            </w:r>
          </w:p>
        </w:tc>
      </w:tr>
      <w:tr w:rsidR="001F52FA" w14:paraId="33E31347"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364D0F4" w14:textId="73EFE19C" w:rsidR="001F52FA" w:rsidRDefault="001F52FA" w:rsidP="001269D5">
            <w:proofErr w:type="spellStart"/>
            <w:r>
              <w:t>PoCE</w:t>
            </w:r>
            <w:proofErr w:type="spellEnd"/>
          </w:p>
        </w:tc>
        <w:tc>
          <w:tcPr>
            <w:tcW w:w="6753" w:type="dxa"/>
          </w:tcPr>
          <w:p w14:paraId="6DB0D4DD" w14:textId="7A5499D5" w:rsidR="001F52FA" w:rsidRDefault="001F52FA" w:rsidP="001269D5">
            <w:pPr>
              <w:cnfStyle w:val="000000100000" w:firstRow="0" w:lastRow="0" w:firstColumn="0" w:lastColumn="0" w:oddVBand="0" w:evenVBand="0" w:oddHBand="1" w:evenHBand="0" w:firstRowFirstColumn="0" w:firstRowLastColumn="0" w:lastRowFirstColumn="0" w:lastRowLastColumn="0"/>
            </w:pPr>
            <w:r>
              <w:t>Panel of Clinical Experts</w:t>
            </w:r>
          </w:p>
        </w:tc>
      </w:tr>
      <w:tr w:rsidR="00EC7AD4" w14:paraId="67483F34" w14:textId="77777777" w:rsidTr="00AB2522">
        <w:tc>
          <w:tcPr>
            <w:cnfStyle w:val="001000000000" w:firstRow="0" w:lastRow="0" w:firstColumn="1" w:lastColumn="0" w:oddVBand="0" w:evenVBand="0" w:oddHBand="0" w:evenHBand="0" w:firstRowFirstColumn="0" w:firstRowLastColumn="0" w:lastRowFirstColumn="0" w:lastRowLastColumn="0"/>
            <w:tcW w:w="2263" w:type="dxa"/>
          </w:tcPr>
          <w:p w14:paraId="24FE5A74" w14:textId="77777777" w:rsidR="00EC7AD4" w:rsidRDefault="00EC7AD4" w:rsidP="001269D5">
            <w:r>
              <w:t>TGA</w:t>
            </w:r>
          </w:p>
        </w:tc>
        <w:tc>
          <w:tcPr>
            <w:tcW w:w="6753" w:type="dxa"/>
          </w:tcPr>
          <w:p w14:paraId="4CE0CDE9" w14:textId="77777777" w:rsidR="00EC7AD4" w:rsidRDefault="00EC7AD4" w:rsidP="001269D5">
            <w:pPr>
              <w:cnfStyle w:val="000000000000" w:firstRow="0" w:lastRow="0" w:firstColumn="0" w:lastColumn="0" w:oddVBand="0" w:evenVBand="0" w:oddHBand="0" w:evenHBand="0" w:firstRowFirstColumn="0" w:firstRowLastColumn="0" w:lastRowFirstColumn="0" w:lastRowLastColumn="0"/>
            </w:pPr>
            <w:r>
              <w:t>Therapeutic Goods Administration</w:t>
            </w:r>
          </w:p>
        </w:tc>
      </w:tr>
    </w:tbl>
    <w:p w14:paraId="1A994216" w14:textId="77777777" w:rsidR="003830D1" w:rsidRPr="003B4C97" w:rsidRDefault="003830D1">
      <w:r w:rsidRPr="003B4C97">
        <w:br w:type="page"/>
      </w:r>
    </w:p>
    <w:p w14:paraId="04890EA4" w14:textId="2CC34AFE" w:rsidR="003830D1" w:rsidRPr="003B4C97" w:rsidRDefault="003830D1">
      <w:pPr>
        <w:pStyle w:val="Heading1"/>
      </w:pPr>
      <w:bookmarkStart w:id="6" w:name="_Toc125470867"/>
      <w:bookmarkStart w:id="7" w:name="_Toc125984772"/>
      <w:r>
        <w:lastRenderedPageBreak/>
        <w:t>Glossary</w:t>
      </w:r>
      <w:bookmarkEnd w:id="6"/>
      <w:bookmarkEnd w:id="7"/>
    </w:p>
    <w:tbl>
      <w:tblPr>
        <w:tblStyle w:val="ListTable3-Accent11"/>
        <w:tblW w:w="0" w:type="auto"/>
        <w:tblLook w:val="04A0" w:firstRow="1" w:lastRow="0" w:firstColumn="1" w:lastColumn="0" w:noHBand="0" w:noVBand="1"/>
        <w:tblDescription w:val="This table is a list of glossary terms used in the document."/>
      </w:tblPr>
      <w:tblGrid>
        <w:gridCol w:w="3114"/>
        <w:gridCol w:w="5902"/>
      </w:tblGrid>
      <w:tr w:rsidR="00EC7AD4" w14:paraId="7E2E10F4" w14:textId="77777777" w:rsidTr="00AB25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14" w:type="dxa"/>
          </w:tcPr>
          <w:p w14:paraId="116DF370" w14:textId="77777777" w:rsidR="00EC7AD4" w:rsidRPr="004F18BF" w:rsidRDefault="00EC7AD4" w:rsidP="001269D5">
            <w:r>
              <w:t>Term</w:t>
            </w:r>
          </w:p>
        </w:tc>
        <w:tc>
          <w:tcPr>
            <w:tcW w:w="5902" w:type="dxa"/>
          </w:tcPr>
          <w:p w14:paraId="4220C4E3" w14:textId="77777777" w:rsidR="00EC7AD4" w:rsidRDefault="00EC7AD4" w:rsidP="001269D5">
            <w:pPr>
              <w:cnfStyle w:val="100000000000" w:firstRow="1" w:lastRow="0" w:firstColumn="0" w:lastColumn="0" w:oddVBand="0" w:evenVBand="0" w:oddHBand="0" w:evenHBand="0" w:firstRowFirstColumn="0" w:firstRowLastColumn="0" w:lastRowFirstColumn="0" w:lastRowLastColumn="0"/>
            </w:pPr>
            <w:r>
              <w:t>Definition</w:t>
            </w:r>
          </w:p>
        </w:tc>
      </w:tr>
      <w:tr w:rsidR="00EC7AD4" w14:paraId="7042AF14"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BF7DBC" w14:textId="77777777" w:rsidR="00EC7AD4" w:rsidRDefault="00EC7AD4" w:rsidP="001269D5">
            <w:r>
              <w:t>Assessment Group</w:t>
            </w:r>
          </w:p>
        </w:tc>
        <w:tc>
          <w:tcPr>
            <w:tcW w:w="5902" w:type="dxa"/>
          </w:tcPr>
          <w:p w14:paraId="2B477AE7" w14:textId="5E245ABE" w:rsidR="00EC7AD4" w:rsidRDefault="00EC7AD4" w:rsidP="00EC7AD4">
            <w:pPr>
              <w:cnfStyle w:val="000000100000" w:firstRow="0" w:lastRow="0" w:firstColumn="0" w:lastColumn="0" w:oddVBand="0" w:evenVBand="0" w:oddHBand="1" w:evenHBand="0" w:firstRowFirstColumn="0" w:firstRowLastColumn="0" w:lastRowFirstColumn="0" w:lastRowLastColumn="0"/>
              <w:rPr>
                <w:lang w:val="en-GB"/>
              </w:rPr>
            </w:pPr>
            <w:r>
              <w:rPr>
                <w:lang w:val="en-GB"/>
              </w:rPr>
              <w:t>An independent consultancy group with expertise in health technology assessment that is contracted by the Department of Health</w:t>
            </w:r>
            <w:r w:rsidR="00012377">
              <w:rPr>
                <w:lang w:val="en-GB"/>
              </w:rPr>
              <w:t xml:space="preserve"> and Aged Care</w:t>
            </w:r>
            <w:r>
              <w:rPr>
                <w:lang w:val="en-GB"/>
              </w:rPr>
              <w:t xml:space="preserve"> to </w:t>
            </w:r>
            <w:r w:rsidR="004F1ED7">
              <w:rPr>
                <w:lang w:val="en-GB"/>
              </w:rPr>
              <w:t xml:space="preserve">assess </w:t>
            </w:r>
            <w:r>
              <w:rPr>
                <w:lang w:val="en-GB"/>
              </w:rPr>
              <w:t>applications.</w:t>
            </w:r>
          </w:p>
        </w:tc>
      </w:tr>
      <w:tr w:rsidR="00EC7AD4" w14:paraId="01E6F3F3" w14:textId="77777777" w:rsidTr="00AB2522">
        <w:tc>
          <w:tcPr>
            <w:cnfStyle w:val="001000000000" w:firstRow="0" w:lastRow="0" w:firstColumn="1" w:lastColumn="0" w:oddVBand="0" w:evenVBand="0" w:oddHBand="0" w:evenHBand="0" w:firstRowFirstColumn="0" w:firstRowLastColumn="0" w:lastRowFirstColumn="0" w:lastRowLastColumn="0"/>
            <w:tcW w:w="3114" w:type="dxa"/>
          </w:tcPr>
          <w:p w14:paraId="49439730" w14:textId="17718482" w:rsidR="00EC7AD4" w:rsidRDefault="00EC7AD4" w:rsidP="001F52FA">
            <w:r>
              <w:t xml:space="preserve">Clinical </w:t>
            </w:r>
            <w:r w:rsidR="001F52FA">
              <w:t>Advisory</w:t>
            </w:r>
            <w:r>
              <w:t xml:space="preserve"> Group</w:t>
            </w:r>
          </w:p>
        </w:tc>
        <w:tc>
          <w:tcPr>
            <w:tcW w:w="5902" w:type="dxa"/>
          </w:tcPr>
          <w:p w14:paraId="410BEF45" w14:textId="172CD7A9" w:rsidR="00EC7AD4" w:rsidRDefault="00EC7AD4" w:rsidP="00EC7AD4">
            <w:pPr>
              <w:cnfStyle w:val="000000000000" w:firstRow="0" w:lastRow="0" w:firstColumn="0" w:lastColumn="0" w:oddVBand="0" w:evenVBand="0" w:oddHBand="0" w:evenHBand="0" w:firstRowFirstColumn="0" w:firstRowLastColumn="0" w:lastRowFirstColumn="0" w:lastRowLastColumn="0"/>
              <w:rPr>
                <w:lang w:val="en-GB"/>
              </w:rPr>
            </w:pPr>
            <w:r>
              <w:rPr>
                <w:lang w:val="en-GB"/>
              </w:rPr>
              <w:t>A group of clinical experts familiar with the use of the device type and/or for a range of conditions who can provide advice to the Assessment Groups</w:t>
            </w:r>
            <w:r w:rsidR="004F1ED7">
              <w:rPr>
                <w:lang w:val="en-GB"/>
              </w:rPr>
              <w:t xml:space="preserve"> (if required) and Department</w:t>
            </w:r>
            <w:r>
              <w:rPr>
                <w:lang w:val="en-GB"/>
              </w:rPr>
              <w:t>.</w:t>
            </w:r>
          </w:p>
        </w:tc>
      </w:tr>
      <w:tr w:rsidR="001F52FA" w14:paraId="176DFBB9"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DC8080" w14:textId="23C1D4AB" w:rsidR="001F52FA" w:rsidRDefault="001F52FA" w:rsidP="001F52FA">
            <w:r>
              <w:t>Health Technology Assessment</w:t>
            </w:r>
          </w:p>
        </w:tc>
        <w:tc>
          <w:tcPr>
            <w:tcW w:w="5902" w:type="dxa"/>
          </w:tcPr>
          <w:p w14:paraId="0D3A7A2E" w14:textId="62BF6140" w:rsidR="001F52FA" w:rsidRDefault="001F52FA" w:rsidP="00EC7AD4">
            <w:pPr>
              <w:cnfStyle w:val="000000100000" w:firstRow="0" w:lastRow="0" w:firstColumn="0" w:lastColumn="0" w:oddVBand="0" w:evenVBand="0" w:oddHBand="1" w:evenHBand="0" w:firstRowFirstColumn="0" w:firstRowLastColumn="0" w:lastRowFirstColumn="0" w:lastRowLastColumn="0"/>
              <w:rPr>
                <w:lang w:val="en-GB"/>
              </w:rPr>
            </w:pPr>
            <w:r>
              <w:t>A multidisciplinary process that uses explicit methods to determine the value of a health technology at different points in its lifecycle. The purpose is to inform decision-making in order to promote an equitable, efficient, and high-quality health system. The process is formal, systematic and transparent, and uses state-of-the-art methods to consider the best available evidence.</w:t>
            </w:r>
          </w:p>
        </w:tc>
      </w:tr>
      <w:tr w:rsidR="00EC7AD4" w14:paraId="4D808401" w14:textId="77777777" w:rsidTr="00AB2522">
        <w:tc>
          <w:tcPr>
            <w:cnfStyle w:val="001000000000" w:firstRow="0" w:lastRow="0" w:firstColumn="1" w:lastColumn="0" w:oddVBand="0" w:evenVBand="0" w:oddHBand="0" w:evenHBand="0" w:firstRowFirstColumn="0" w:firstRowLastColumn="0" w:lastRowFirstColumn="0" w:lastRowLastColumn="0"/>
            <w:tcW w:w="3114" w:type="dxa"/>
          </w:tcPr>
          <w:p w14:paraId="53659E1A" w14:textId="77777777" w:rsidR="00EC7AD4" w:rsidRDefault="00EC7AD4" w:rsidP="001269D5">
            <w:r>
              <w:t>Post Market surveillance</w:t>
            </w:r>
          </w:p>
        </w:tc>
        <w:tc>
          <w:tcPr>
            <w:tcW w:w="5902" w:type="dxa"/>
          </w:tcPr>
          <w:p w14:paraId="7C6F1B8A" w14:textId="1BB40F31" w:rsidR="00EC7AD4" w:rsidRPr="000C026A" w:rsidRDefault="00EC7AD4" w:rsidP="001269D5">
            <w:pPr>
              <w:cnfStyle w:val="000000000000" w:firstRow="0" w:lastRow="0" w:firstColumn="0" w:lastColumn="0" w:oddVBand="0" w:evenVBand="0" w:oddHBand="0" w:evenHBand="0" w:firstRowFirstColumn="0" w:firstRowLastColumn="0" w:lastRowFirstColumn="0" w:lastRowLastColumn="0"/>
              <w:rPr>
                <w:iCs/>
              </w:rPr>
            </w:pPr>
            <w:r>
              <w:rPr>
                <w:iCs/>
              </w:rPr>
              <w:t xml:space="preserve">Activities conducted after a device is released onto the market. These data pertain to issues that arise with the device’s production, distribution and use. Post Market Surveillance </w:t>
            </w:r>
            <w:r w:rsidR="00D217BA">
              <w:rPr>
                <w:iCs/>
              </w:rPr>
              <w:t xml:space="preserve">data </w:t>
            </w:r>
            <w:r>
              <w:rPr>
                <w:iCs/>
              </w:rPr>
              <w:t>are</w:t>
            </w:r>
            <w:r w:rsidRPr="00512482">
              <w:rPr>
                <w:iCs/>
              </w:rPr>
              <w:t xml:space="preserve"> collected passively</w:t>
            </w:r>
            <w:r>
              <w:rPr>
                <w:iCs/>
              </w:rPr>
              <w:t xml:space="preserve"> through the manufacturer or regulatory agencies and are used to detect potential safety signals to the patient or user.</w:t>
            </w:r>
          </w:p>
        </w:tc>
      </w:tr>
      <w:tr w:rsidR="00EC7AD4" w14:paraId="48011B40" w14:textId="77777777" w:rsidTr="00AB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3946A9" w14:textId="6D1B8A2A" w:rsidR="00EC7AD4" w:rsidRDefault="00EC7AD4" w:rsidP="00EC7AD4">
            <w:r>
              <w:t xml:space="preserve">Technical </w:t>
            </w:r>
            <w:r w:rsidR="003711F5">
              <w:t>Sub-committee</w:t>
            </w:r>
          </w:p>
        </w:tc>
        <w:tc>
          <w:tcPr>
            <w:tcW w:w="5902" w:type="dxa"/>
          </w:tcPr>
          <w:p w14:paraId="67587804" w14:textId="4F8EF351" w:rsidR="00EC7AD4" w:rsidRDefault="00EC7AD4" w:rsidP="001269D5">
            <w:pPr>
              <w:cnfStyle w:val="000000100000" w:firstRow="0" w:lastRow="0" w:firstColumn="0" w:lastColumn="0" w:oddVBand="0" w:evenVBand="0" w:oddHBand="1" w:evenHBand="0" w:firstRowFirstColumn="0" w:firstRowLastColumn="0" w:lastRowFirstColumn="0" w:lastRowLastColumn="0"/>
            </w:pPr>
            <w:r>
              <w:t xml:space="preserve">A </w:t>
            </w:r>
            <w:r w:rsidR="003711F5">
              <w:t>Sub-committee</w:t>
            </w:r>
            <w:r>
              <w:t xml:space="preserve"> of the Advisory Committee that provides technical advice to its parent committee and to the Assessment Group</w:t>
            </w:r>
          </w:p>
        </w:tc>
      </w:tr>
    </w:tbl>
    <w:p w14:paraId="421B2E3D" w14:textId="77777777" w:rsidR="003830D1" w:rsidRPr="003B4C97" w:rsidRDefault="003830D1">
      <w:r>
        <w:br w:type="page"/>
      </w:r>
    </w:p>
    <w:p w14:paraId="27C9BA98" w14:textId="239A98DF" w:rsidR="00515084" w:rsidRPr="004A7EC9" w:rsidRDefault="0029009E">
      <w:pPr>
        <w:pStyle w:val="Heading1"/>
      </w:pPr>
      <w:bookmarkStart w:id="8" w:name="_Toc125470868"/>
      <w:bookmarkStart w:id="9" w:name="_Toc125984773"/>
      <w:r>
        <w:lastRenderedPageBreak/>
        <w:t>Introduction</w:t>
      </w:r>
      <w:bookmarkEnd w:id="8"/>
      <w:bookmarkEnd w:id="9"/>
    </w:p>
    <w:p w14:paraId="3019992A" w14:textId="18D56AC9" w:rsidR="0029009E" w:rsidRDefault="0029009E" w:rsidP="003B4C97">
      <w:pPr>
        <w:rPr>
          <w:lang w:val="en-GB"/>
        </w:rPr>
      </w:pPr>
      <w:r w:rsidRPr="0029009E">
        <w:rPr>
          <w:lang w:val="en-GB"/>
        </w:rPr>
        <w:t xml:space="preserve">The </w:t>
      </w:r>
      <w:r>
        <w:rPr>
          <w:lang w:val="en-GB"/>
        </w:rPr>
        <w:t xml:space="preserve">Australian </w:t>
      </w:r>
      <w:r w:rsidRPr="0029009E">
        <w:rPr>
          <w:lang w:val="en-GB"/>
        </w:rPr>
        <w:t>Government committed $22 million in the 2021-22 Federal Budget to improve the</w:t>
      </w:r>
      <w:r w:rsidR="002617A0">
        <w:rPr>
          <w:lang w:val="en-GB"/>
        </w:rPr>
        <w:t xml:space="preserve"> </w:t>
      </w:r>
      <w:r w:rsidR="00D50956">
        <w:rPr>
          <w:lang w:val="en-GB"/>
        </w:rPr>
        <w:t>PL</w:t>
      </w:r>
      <w:r w:rsidRPr="0029009E">
        <w:rPr>
          <w:lang w:val="en-GB"/>
        </w:rPr>
        <w:t xml:space="preserve"> and its arrangements. The Prostheses List Reform Taskforce</w:t>
      </w:r>
      <w:r w:rsidR="004F1ED7" w:rsidRPr="004F1ED7">
        <w:rPr>
          <w:lang w:val="en-GB"/>
        </w:rPr>
        <w:t xml:space="preserve"> </w:t>
      </w:r>
      <w:r w:rsidR="004F1ED7">
        <w:rPr>
          <w:lang w:val="en-GB"/>
        </w:rPr>
        <w:t>of t</w:t>
      </w:r>
      <w:r w:rsidR="004F1ED7" w:rsidRPr="001D6D48">
        <w:rPr>
          <w:lang w:val="en-GB"/>
        </w:rPr>
        <w:t xml:space="preserve">he </w:t>
      </w:r>
      <w:r w:rsidR="004F1ED7">
        <w:rPr>
          <w:lang w:val="en-GB"/>
        </w:rPr>
        <w:t>Australian Government Department of Health and Aged Care (‘the Department’)</w:t>
      </w:r>
      <w:r w:rsidRPr="0029009E">
        <w:rPr>
          <w:lang w:val="en-GB"/>
        </w:rPr>
        <w:t xml:space="preserve">, working with insurers, hospitals, manufacturers and clinicians, </w:t>
      </w:r>
      <w:r>
        <w:rPr>
          <w:lang w:val="en-GB"/>
        </w:rPr>
        <w:t>aims to</w:t>
      </w:r>
      <w:r w:rsidRPr="0029009E">
        <w:rPr>
          <w:lang w:val="en-GB"/>
        </w:rPr>
        <w:t xml:space="preserve"> ensure </w:t>
      </w:r>
      <w:r>
        <w:rPr>
          <w:lang w:val="en-GB"/>
        </w:rPr>
        <w:t xml:space="preserve">that </w:t>
      </w:r>
      <w:r w:rsidRPr="0029009E">
        <w:rPr>
          <w:lang w:val="en-GB"/>
        </w:rPr>
        <w:t xml:space="preserve">the </w:t>
      </w:r>
      <w:r w:rsidR="001402DF">
        <w:rPr>
          <w:lang w:val="en-GB"/>
        </w:rPr>
        <w:t>L</w:t>
      </w:r>
      <w:r w:rsidRPr="0029009E">
        <w:rPr>
          <w:lang w:val="en-GB"/>
        </w:rPr>
        <w:t>ist will be</w:t>
      </w:r>
      <w:r>
        <w:rPr>
          <w:lang w:val="en-GB"/>
        </w:rPr>
        <w:t>come</w:t>
      </w:r>
      <w:r w:rsidRPr="0029009E">
        <w:rPr>
          <w:lang w:val="en-GB"/>
        </w:rPr>
        <w:t xml:space="preserve"> more efficient, transparent and current.</w:t>
      </w:r>
      <w:r w:rsidR="00D63340">
        <w:rPr>
          <w:lang w:val="en-GB"/>
        </w:rPr>
        <w:fldChar w:fldCharType="begin"/>
      </w:r>
      <w:r w:rsidR="000F6AF0">
        <w:rPr>
          <w:lang w:val="en-GB"/>
        </w:rPr>
        <w:instrText xml:space="preserve"> ADDIN EN.CITE &lt;EndNote&gt;&lt;Cite&gt;&lt;Author&gt;Australian Government Department of Health&lt;/Author&gt;&lt;Year&gt;2021&lt;/Year&gt;&lt;RecNum&gt;1&lt;/RecNum&gt;&lt;DisplayText&gt;(1)&lt;/DisplayText&gt;&lt;record&gt;&lt;rec-number&gt;1&lt;/rec-number&gt;&lt;foreign-keys&gt;&lt;key app="EN" db-id="9srp00rfl2f0woefarq55vsgttze955atapd" timestamp="1650939665"&gt;1&lt;/key&gt;&lt;/foreign-keys&gt;&lt;ref-type name="Web Page"&gt;12&lt;/ref-type&gt;&lt;contributors&gt;&lt;authors&gt;&lt;author&gt;Australian Government Department of Health, .&lt;/author&gt;&lt;/authors&gt;&lt;/contributors&gt;&lt;titles&gt;&lt;title&gt;The Prostheses List reforms&lt;/title&gt;&lt;/titles&gt;&lt;dates&gt;&lt;year&gt;2021&lt;/year&gt;&lt;/dates&gt;&lt;urls&gt;&lt;related-urls&gt;&lt;url&gt;https://www.health.gov.au/health-topics/private-health-insurance/the-prostheses-list/the-prostheses-list-reforms&lt;/url&gt;&lt;/related-urls&gt;&lt;/urls&gt;&lt;custom2&gt;April 2022&lt;/custom2&gt;&lt;/record&gt;&lt;/Cite&gt;&lt;/EndNote&gt;</w:instrText>
      </w:r>
      <w:r w:rsidR="00D63340">
        <w:rPr>
          <w:lang w:val="en-GB"/>
        </w:rPr>
        <w:fldChar w:fldCharType="separate"/>
      </w:r>
      <w:r w:rsidR="00D63340">
        <w:rPr>
          <w:noProof/>
          <w:lang w:val="en-GB"/>
        </w:rPr>
        <w:t>(1)</w:t>
      </w:r>
      <w:r w:rsidR="00D63340">
        <w:rPr>
          <w:lang w:val="en-GB"/>
        </w:rPr>
        <w:fldChar w:fldCharType="end"/>
      </w:r>
    </w:p>
    <w:p w14:paraId="675E76B7" w14:textId="23FFA6A5" w:rsidR="00A36804" w:rsidRDefault="00006A40" w:rsidP="00E727FE">
      <w:pPr>
        <w:rPr>
          <w:lang w:val="en-GB"/>
        </w:rPr>
      </w:pPr>
      <w:r w:rsidRPr="00006A40">
        <w:rPr>
          <w:lang w:val="en-GB"/>
        </w:rPr>
        <w:t>Adelaide Health Technology Assessment</w:t>
      </w:r>
      <w:r w:rsidR="00D217BA">
        <w:rPr>
          <w:lang w:val="en-GB"/>
        </w:rPr>
        <w:t xml:space="preserve"> </w:t>
      </w:r>
      <w:r w:rsidR="00C92899" w:rsidRPr="00006A40">
        <w:rPr>
          <w:lang w:val="en-GB"/>
        </w:rPr>
        <w:t>(AHTA)</w:t>
      </w:r>
      <w:r w:rsidRPr="00006A40">
        <w:rPr>
          <w:lang w:val="en-GB"/>
        </w:rPr>
        <w:t xml:space="preserve">, University of Adelaide were contracted by the </w:t>
      </w:r>
      <w:r w:rsidR="00F05D4E" w:rsidRPr="00006A40">
        <w:rPr>
          <w:lang w:val="en-GB"/>
        </w:rPr>
        <w:t xml:space="preserve">Prostheses List Reform </w:t>
      </w:r>
      <w:r w:rsidR="00986449">
        <w:rPr>
          <w:lang w:val="en-GB"/>
        </w:rPr>
        <w:t>Taskforce</w:t>
      </w:r>
      <w:r w:rsidR="00F05D4E" w:rsidRPr="00006A40">
        <w:rPr>
          <w:lang w:val="en-GB"/>
        </w:rPr>
        <w:t xml:space="preserve"> </w:t>
      </w:r>
      <w:r w:rsidRPr="00006A40">
        <w:rPr>
          <w:lang w:val="en-GB"/>
        </w:rPr>
        <w:t>to propose</w:t>
      </w:r>
      <w:r w:rsidR="001F52FA">
        <w:rPr>
          <w:lang w:val="en-GB"/>
        </w:rPr>
        <w:t xml:space="preserve"> </w:t>
      </w:r>
      <w:r w:rsidRPr="00006A40">
        <w:rPr>
          <w:lang w:val="en-GB"/>
        </w:rPr>
        <w:t>governance options</w:t>
      </w:r>
      <w:r w:rsidR="001F52FA">
        <w:rPr>
          <w:lang w:val="en-GB"/>
        </w:rPr>
        <w:t xml:space="preserve"> and assessment pathways </w:t>
      </w:r>
      <w:r w:rsidRPr="00006A40">
        <w:rPr>
          <w:lang w:val="en-GB"/>
        </w:rPr>
        <w:t xml:space="preserve">for a reformed PL application and determination process. </w:t>
      </w:r>
    </w:p>
    <w:p w14:paraId="1159EAC2" w14:textId="56003B1E" w:rsidR="009D5A6F" w:rsidRDefault="00006A40" w:rsidP="00E727FE">
      <w:pPr>
        <w:rPr>
          <w:lang w:val="en-GB"/>
        </w:rPr>
      </w:pPr>
      <w:r w:rsidRPr="00D63340">
        <w:rPr>
          <w:lang w:val="en-GB"/>
        </w:rPr>
        <w:t xml:space="preserve">During the development of the governance structure and proposed assessment pathways, the </w:t>
      </w:r>
      <w:r w:rsidR="00C92899">
        <w:rPr>
          <w:lang w:val="en-GB"/>
        </w:rPr>
        <w:t>scope of the project was changed to allow</w:t>
      </w:r>
      <w:r w:rsidRPr="00D63340">
        <w:rPr>
          <w:lang w:val="en-GB"/>
        </w:rPr>
        <w:t xml:space="preserve"> greater stakeholder involvement. </w:t>
      </w:r>
      <w:r w:rsidR="0029009E">
        <w:rPr>
          <w:lang w:val="en-GB"/>
        </w:rPr>
        <w:t xml:space="preserve">This was in response to the signing of a </w:t>
      </w:r>
      <w:r w:rsidR="0029009E" w:rsidRPr="0029009E">
        <w:rPr>
          <w:lang w:val="en-GB"/>
        </w:rPr>
        <w:t>Mem</w:t>
      </w:r>
      <w:r w:rsidR="0029009E">
        <w:rPr>
          <w:lang w:val="en-GB"/>
        </w:rPr>
        <w:t>orandum of Understanding (MoU), o</w:t>
      </w:r>
      <w:r w:rsidR="0029009E" w:rsidRPr="0029009E">
        <w:rPr>
          <w:lang w:val="en-GB"/>
        </w:rPr>
        <w:t xml:space="preserve">n 14 March 2022, </w:t>
      </w:r>
      <w:r w:rsidR="0029009E">
        <w:rPr>
          <w:lang w:val="en-GB"/>
        </w:rPr>
        <w:t xml:space="preserve">between </w:t>
      </w:r>
      <w:r w:rsidR="0029009E" w:rsidRPr="0029009E">
        <w:rPr>
          <w:lang w:val="en-GB"/>
        </w:rPr>
        <w:t xml:space="preserve">the </w:t>
      </w:r>
      <w:r w:rsidR="00986449">
        <w:rPr>
          <w:lang w:val="en-GB"/>
        </w:rPr>
        <w:t xml:space="preserve">then </w:t>
      </w:r>
      <w:r w:rsidR="0029009E" w:rsidRPr="0029009E">
        <w:rPr>
          <w:lang w:val="en-GB"/>
        </w:rPr>
        <w:t>Minister for Health and Aged Care</w:t>
      </w:r>
      <w:r w:rsidR="00986449">
        <w:rPr>
          <w:lang w:val="en-GB"/>
        </w:rPr>
        <w:t>, the Hon Greg Hunt MP</w:t>
      </w:r>
      <w:r w:rsidR="0029009E" w:rsidRPr="0029009E">
        <w:rPr>
          <w:lang w:val="en-GB"/>
        </w:rPr>
        <w:t xml:space="preserve"> </w:t>
      </w:r>
      <w:r w:rsidR="0029009E">
        <w:rPr>
          <w:lang w:val="en-GB"/>
        </w:rPr>
        <w:t>and</w:t>
      </w:r>
      <w:r w:rsidR="0029009E" w:rsidRPr="0029009E">
        <w:rPr>
          <w:lang w:val="en-GB"/>
        </w:rPr>
        <w:t xml:space="preserve"> the Medical Technology Association of Australia (MTAA) </w:t>
      </w:r>
      <w:r w:rsidR="0029009E">
        <w:rPr>
          <w:lang w:val="en-GB"/>
        </w:rPr>
        <w:t>which</w:t>
      </w:r>
      <w:r w:rsidR="0029009E" w:rsidRPr="0029009E">
        <w:rPr>
          <w:lang w:val="en-GB"/>
        </w:rPr>
        <w:t xml:space="preserve"> set out the final policy parameters for the </w:t>
      </w:r>
      <w:r w:rsidR="00080D41">
        <w:rPr>
          <w:lang w:val="en-GB"/>
        </w:rPr>
        <w:t>PL</w:t>
      </w:r>
      <w:r w:rsidR="0029009E" w:rsidRPr="0029009E">
        <w:rPr>
          <w:lang w:val="en-GB"/>
        </w:rPr>
        <w:t xml:space="preserve"> Reforms.</w:t>
      </w:r>
      <w:r w:rsidR="00D63340">
        <w:rPr>
          <w:lang w:val="en-GB"/>
        </w:rPr>
        <w:fldChar w:fldCharType="begin"/>
      </w:r>
      <w:r w:rsidR="000F6AF0">
        <w:rPr>
          <w:lang w:val="en-GB"/>
        </w:rPr>
        <w:instrText xml:space="preserve"> ADDIN EN.CITE &lt;EndNote&gt;&lt;Cite&gt;&lt;Author&gt;Australian Government Department of Health&lt;/Author&gt;&lt;Year&gt;2021&lt;/Year&gt;&lt;RecNum&gt;1&lt;/RecNum&gt;&lt;DisplayText&gt;(1)&lt;/DisplayText&gt;&lt;record&gt;&lt;rec-number&gt;1&lt;/rec-number&gt;&lt;foreign-keys&gt;&lt;key app="EN" db-id="9srp00rfl2f0woefarq55vsgttze955atapd" timestamp="1650939665"&gt;1&lt;/key&gt;&lt;/foreign-keys&gt;&lt;ref-type name="Web Page"&gt;12&lt;/ref-type&gt;&lt;contributors&gt;&lt;authors&gt;&lt;author&gt;Australian Government Department of Health, .&lt;/author&gt;&lt;/authors&gt;&lt;/contributors&gt;&lt;titles&gt;&lt;title&gt;The Prostheses List reforms&lt;/title&gt;&lt;/titles&gt;&lt;dates&gt;&lt;year&gt;2021&lt;/year&gt;&lt;/dates&gt;&lt;urls&gt;&lt;related-urls&gt;&lt;url&gt;https://www.health.gov.au/health-topics/private-health-insurance/the-prostheses-list/the-prostheses-list-reforms&lt;/url&gt;&lt;/related-urls&gt;&lt;/urls&gt;&lt;custom2&gt;April 2022&lt;/custom2&gt;&lt;/record&gt;&lt;/Cite&gt;&lt;/EndNote&gt;</w:instrText>
      </w:r>
      <w:r w:rsidR="00D63340">
        <w:rPr>
          <w:lang w:val="en-GB"/>
        </w:rPr>
        <w:fldChar w:fldCharType="separate"/>
      </w:r>
      <w:r w:rsidR="00D63340">
        <w:rPr>
          <w:noProof/>
          <w:lang w:val="en-GB"/>
        </w:rPr>
        <w:t>(1)</w:t>
      </w:r>
      <w:r w:rsidR="00D63340">
        <w:rPr>
          <w:lang w:val="en-GB"/>
        </w:rPr>
        <w:fldChar w:fldCharType="end"/>
      </w:r>
      <w:r w:rsidR="0029009E">
        <w:rPr>
          <w:lang w:val="en-GB"/>
        </w:rPr>
        <w:t xml:space="preserve"> </w:t>
      </w:r>
      <w:r w:rsidR="00C92899">
        <w:rPr>
          <w:lang w:val="en-GB"/>
        </w:rPr>
        <w:t xml:space="preserve">As a consequence, </w:t>
      </w:r>
      <w:r w:rsidRPr="00D63340">
        <w:rPr>
          <w:lang w:val="en-GB"/>
        </w:rPr>
        <w:t xml:space="preserve">AHTA </w:t>
      </w:r>
      <w:r w:rsidR="001F52FA">
        <w:rPr>
          <w:lang w:val="en-GB"/>
        </w:rPr>
        <w:t>undertook</w:t>
      </w:r>
      <w:r w:rsidRPr="00D63340">
        <w:rPr>
          <w:lang w:val="en-GB"/>
        </w:rPr>
        <w:t xml:space="preserve"> further work with stakeholders to co-design the </w:t>
      </w:r>
      <w:r w:rsidR="0029009E">
        <w:rPr>
          <w:lang w:val="en-GB"/>
        </w:rPr>
        <w:t xml:space="preserve">PL </w:t>
      </w:r>
      <w:r w:rsidR="00C92899">
        <w:rPr>
          <w:lang w:val="en-GB"/>
        </w:rPr>
        <w:t xml:space="preserve">assessment </w:t>
      </w:r>
      <w:r w:rsidRPr="00D63340">
        <w:rPr>
          <w:lang w:val="en-GB"/>
        </w:rPr>
        <w:t>pathways</w:t>
      </w:r>
      <w:r w:rsidR="00AB0F81" w:rsidRPr="00D63340">
        <w:rPr>
          <w:lang w:val="en-GB"/>
        </w:rPr>
        <w:t xml:space="preserve">. The findings </w:t>
      </w:r>
      <w:r w:rsidR="00C92899">
        <w:rPr>
          <w:lang w:val="en-GB"/>
        </w:rPr>
        <w:t>from</w:t>
      </w:r>
      <w:r w:rsidR="00C92899" w:rsidRPr="00D63340">
        <w:rPr>
          <w:lang w:val="en-GB"/>
        </w:rPr>
        <w:t xml:space="preserve"> </w:t>
      </w:r>
      <w:r w:rsidR="00AB0F81" w:rsidRPr="00D63340">
        <w:rPr>
          <w:lang w:val="en-GB"/>
        </w:rPr>
        <w:t>multiple stakeholder consultation</w:t>
      </w:r>
      <w:r w:rsidR="00C92899">
        <w:rPr>
          <w:lang w:val="en-GB"/>
        </w:rPr>
        <w:t xml:space="preserve"> workshop</w:t>
      </w:r>
      <w:r w:rsidR="00AB0F81" w:rsidRPr="00D63340">
        <w:rPr>
          <w:lang w:val="en-GB"/>
        </w:rPr>
        <w:t>s</w:t>
      </w:r>
      <w:r w:rsidRPr="00D63340">
        <w:rPr>
          <w:lang w:val="en-GB"/>
        </w:rPr>
        <w:t xml:space="preserve"> </w:t>
      </w:r>
      <w:r w:rsidR="001F52FA">
        <w:rPr>
          <w:lang w:val="en-GB"/>
        </w:rPr>
        <w:t>are contained in</w:t>
      </w:r>
      <w:r w:rsidRPr="00D63340">
        <w:rPr>
          <w:lang w:val="en-GB"/>
        </w:rPr>
        <w:t xml:space="preserve"> a subsequent report. </w:t>
      </w:r>
      <w:r w:rsidR="00CC4776">
        <w:rPr>
          <w:lang w:val="en-GB"/>
        </w:rPr>
        <w:t xml:space="preserve">The MoU also sets out the implementation approach to the reference pricing reforms, and notes that regrouping of the </w:t>
      </w:r>
      <w:r w:rsidR="00080D41">
        <w:rPr>
          <w:lang w:val="en-GB"/>
        </w:rPr>
        <w:t xml:space="preserve">PL </w:t>
      </w:r>
      <w:r w:rsidR="00CC4776">
        <w:rPr>
          <w:lang w:val="en-GB"/>
        </w:rPr>
        <w:t xml:space="preserve">is not to be “an additional source of savings on top of the overall reference pricing savings”. Benefit setting, PL grouping </w:t>
      </w:r>
      <w:r w:rsidR="00540C26">
        <w:rPr>
          <w:lang w:val="en-GB"/>
        </w:rPr>
        <w:t xml:space="preserve">amendments and other aspects of the PL </w:t>
      </w:r>
      <w:r w:rsidR="00F46342">
        <w:rPr>
          <w:lang w:val="en-GB"/>
        </w:rPr>
        <w:t>R</w:t>
      </w:r>
      <w:r w:rsidR="00540C26">
        <w:rPr>
          <w:lang w:val="en-GB"/>
        </w:rPr>
        <w:t>eforms are</w:t>
      </w:r>
      <w:r w:rsidR="00CC4776">
        <w:rPr>
          <w:lang w:val="en-GB"/>
        </w:rPr>
        <w:t xml:space="preserve"> out of scope</w:t>
      </w:r>
      <w:r w:rsidR="00540C26">
        <w:rPr>
          <w:lang w:val="en-GB"/>
        </w:rPr>
        <w:t xml:space="preserve"> for this report.</w:t>
      </w:r>
    </w:p>
    <w:p w14:paraId="4E7ED0D9" w14:textId="75041252" w:rsidR="009C5059" w:rsidRDefault="009D5A6F" w:rsidP="00E727FE">
      <w:pPr>
        <w:rPr>
          <w:lang w:val="en-GB"/>
        </w:rPr>
      </w:pPr>
      <w:r w:rsidRPr="00026EB0">
        <w:rPr>
          <w:lang w:val="en-GB"/>
        </w:rPr>
        <w:t xml:space="preserve">This current report contains </w:t>
      </w:r>
      <w:r>
        <w:rPr>
          <w:lang w:val="en-GB"/>
        </w:rPr>
        <w:t>an</w:t>
      </w:r>
      <w:r w:rsidRPr="00026EB0">
        <w:rPr>
          <w:lang w:val="en-GB"/>
        </w:rPr>
        <w:t xml:space="preserve"> outline </w:t>
      </w:r>
      <w:r>
        <w:rPr>
          <w:lang w:val="en-GB"/>
        </w:rPr>
        <w:t>of</w:t>
      </w:r>
      <w:r w:rsidRPr="00026EB0">
        <w:rPr>
          <w:lang w:val="en-GB"/>
        </w:rPr>
        <w:t xml:space="preserve"> a framework and options for governance structures </w:t>
      </w:r>
      <w:r>
        <w:rPr>
          <w:lang w:val="en-GB"/>
        </w:rPr>
        <w:t>that would</w:t>
      </w:r>
      <w:r w:rsidRPr="00026EB0">
        <w:rPr>
          <w:lang w:val="en-GB"/>
        </w:rPr>
        <w:t xml:space="preserve"> align the PL application and assessment process with other HTA </w:t>
      </w:r>
      <w:r>
        <w:rPr>
          <w:lang w:val="en-GB"/>
        </w:rPr>
        <w:t>activities</w:t>
      </w:r>
      <w:r w:rsidRPr="00026EB0">
        <w:rPr>
          <w:lang w:val="en-GB"/>
        </w:rPr>
        <w:t xml:space="preserve"> in the Department.</w:t>
      </w:r>
    </w:p>
    <w:p w14:paraId="2FD51489" w14:textId="77777777" w:rsidR="0029009E" w:rsidRPr="00E727FE" w:rsidRDefault="0029009E" w:rsidP="00E727FE">
      <w:pPr>
        <w:pStyle w:val="Heading2"/>
      </w:pPr>
      <w:bookmarkStart w:id="10" w:name="_Toc125470869"/>
      <w:bookmarkStart w:id="11" w:name="_Toc125984774"/>
      <w:r>
        <w:t>Objectives</w:t>
      </w:r>
      <w:bookmarkEnd w:id="10"/>
      <w:bookmarkEnd w:id="11"/>
    </w:p>
    <w:p w14:paraId="0BF20B91" w14:textId="04B271CA" w:rsidR="00006A40" w:rsidRPr="00D63340" w:rsidRDefault="00C92899" w:rsidP="00D63340">
      <w:r w:rsidRPr="00F70190">
        <w:t xml:space="preserve">The project </w:t>
      </w:r>
      <w:r>
        <w:t>objectives</w:t>
      </w:r>
      <w:r w:rsidRPr="00F70190">
        <w:t xml:space="preserve"> and findings in this report relate to the initial scope of work </w:t>
      </w:r>
      <w:r w:rsidRPr="00F70190">
        <w:rPr>
          <w:lang w:val="en-GB"/>
        </w:rPr>
        <w:t>dated 5</w:t>
      </w:r>
      <w:r w:rsidRPr="00F70190">
        <w:rPr>
          <w:vertAlign w:val="superscript"/>
          <w:lang w:val="en-GB"/>
        </w:rPr>
        <w:t>th</w:t>
      </w:r>
      <w:r w:rsidRPr="00F70190">
        <w:rPr>
          <w:lang w:val="en-GB"/>
        </w:rPr>
        <w:t xml:space="preserve"> December 2021. </w:t>
      </w:r>
    </w:p>
    <w:p w14:paraId="41DE6C0D" w14:textId="44316FC7" w:rsidR="00AB0F81" w:rsidRPr="009C5059" w:rsidRDefault="00AB0F81" w:rsidP="00A36804">
      <w:r w:rsidRPr="009C5059">
        <w:t xml:space="preserve">The </w:t>
      </w:r>
      <w:r w:rsidR="00C92899">
        <w:t>objectives</w:t>
      </w:r>
      <w:r w:rsidR="00C92899" w:rsidRPr="009C5059">
        <w:t xml:space="preserve"> </w:t>
      </w:r>
      <w:r w:rsidRPr="009C5059">
        <w:t>of t</w:t>
      </w:r>
      <w:r w:rsidR="00A30330" w:rsidRPr="009C5059">
        <w:t xml:space="preserve">he project </w:t>
      </w:r>
      <w:r w:rsidR="009D5A6F">
        <w:t>a</w:t>
      </w:r>
      <w:r w:rsidR="00C92899">
        <w:t>re</w:t>
      </w:r>
      <w:r w:rsidR="00A30330" w:rsidRPr="009C5059">
        <w:t xml:space="preserve"> to:</w:t>
      </w:r>
    </w:p>
    <w:p w14:paraId="1C1D03DB" w14:textId="2839DFF1" w:rsidR="00A30330" w:rsidRDefault="00A30330" w:rsidP="00A91CAF">
      <w:pPr>
        <w:pStyle w:val="ListNumber"/>
      </w:pPr>
      <w:r>
        <w:t>Develop a</w:t>
      </w:r>
      <w:r w:rsidR="00080D41">
        <w:t xml:space="preserve"> pre-listing</w:t>
      </w:r>
      <w:r>
        <w:t xml:space="preserve"> assessment framework that will support decision making for </w:t>
      </w:r>
      <w:r w:rsidR="00080D41">
        <w:t>PL</w:t>
      </w:r>
      <w:r>
        <w:t xml:space="preserve"> applications that</w:t>
      </w:r>
      <w:r w:rsidR="00C92899">
        <w:t xml:space="preserve"> both</w:t>
      </w:r>
    </w:p>
    <w:p w14:paraId="666A9B70" w14:textId="3768F34C" w:rsidR="00A30330" w:rsidRDefault="00A30330" w:rsidP="00D7585C">
      <w:pPr>
        <w:pStyle w:val="ListNumber2"/>
      </w:pPr>
      <w:r>
        <w:t>Promotes assessment transparency</w:t>
      </w:r>
      <w:r w:rsidR="00C92899">
        <w:t>, and</w:t>
      </w:r>
    </w:p>
    <w:p w14:paraId="42D6B247" w14:textId="25387619" w:rsidR="00A30330" w:rsidRDefault="00A30330" w:rsidP="00D7585C">
      <w:pPr>
        <w:pStyle w:val="ListNumber2"/>
      </w:pPr>
      <w:r>
        <w:t>Removes ambiguity in decision making</w:t>
      </w:r>
      <w:r w:rsidR="00EB0A78">
        <w:t>.</w:t>
      </w:r>
    </w:p>
    <w:p w14:paraId="77ACF448" w14:textId="61BD3ACF" w:rsidR="00640AF3" w:rsidRDefault="00B66F00" w:rsidP="00A91CAF">
      <w:pPr>
        <w:pStyle w:val="ListNumber"/>
      </w:pPr>
      <w:r>
        <w:t>Develop a governance structure to support the assessment</w:t>
      </w:r>
      <w:r w:rsidR="00E90FD1">
        <w:t xml:space="preserve"> and </w:t>
      </w:r>
      <w:r w:rsidR="00D7585C">
        <w:t>decision-making</w:t>
      </w:r>
      <w:r>
        <w:t xml:space="preserve"> framework.</w:t>
      </w:r>
    </w:p>
    <w:p w14:paraId="0E075FC5" w14:textId="77777777" w:rsidR="00640AF3" w:rsidRDefault="00640AF3">
      <w:pPr>
        <w:rPr>
          <w:rFonts w:ascii="Calibri" w:eastAsia="Times New Roman" w:hAnsi="Calibri" w:cs="Times New Roman"/>
          <w:lang w:bidi="en-US"/>
        </w:rPr>
      </w:pPr>
      <w:r>
        <w:br w:type="page"/>
      </w:r>
    </w:p>
    <w:p w14:paraId="783FB468" w14:textId="4AA17188" w:rsidR="00B66F00" w:rsidRPr="004A7EC9" w:rsidRDefault="00B66F00" w:rsidP="00B66F00">
      <w:pPr>
        <w:pStyle w:val="Heading1"/>
      </w:pPr>
      <w:bookmarkStart w:id="12" w:name="_Toc125470870"/>
      <w:bookmarkStart w:id="13" w:name="_Toc125984775"/>
      <w:r>
        <w:lastRenderedPageBreak/>
        <w:t>Methodology</w:t>
      </w:r>
      <w:bookmarkEnd w:id="12"/>
      <w:bookmarkEnd w:id="13"/>
    </w:p>
    <w:p w14:paraId="7B8DB343" w14:textId="7D885593" w:rsidR="00966716" w:rsidRDefault="00C92899" w:rsidP="00A36804">
      <w:r>
        <w:t xml:space="preserve">To </w:t>
      </w:r>
      <w:r w:rsidR="00C00773">
        <w:t>develop</w:t>
      </w:r>
      <w:r>
        <w:t xml:space="preserve"> the prototype</w:t>
      </w:r>
      <w:r w:rsidR="00C00773">
        <w:t xml:space="preserve"> PL </w:t>
      </w:r>
      <w:r w:rsidR="00E052F1">
        <w:t xml:space="preserve">pre-listing </w:t>
      </w:r>
      <w:r w:rsidR="00C00773">
        <w:t xml:space="preserve">assessment pathways and </w:t>
      </w:r>
      <w:r>
        <w:t>proposed</w:t>
      </w:r>
      <w:r w:rsidR="00C00773">
        <w:t xml:space="preserve"> governance structures</w:t>
      </w:r>
      <w:r w:rsidR="00966716">
        <w:t xml:space="preserve"> for the prostheses and devices assessment activities</w:t>
      </w:r>
      <w:r w:rsidR="00C00773">
        <w:t xml:space="preserve"> </w:t>
      </w:r>
      <w:r w:rsidR="0029009E">
        <w:t xml:space="preserve">we synthesised material from a range of sources, including building upon work already undertaken as part of the </w:t>
      </w:r>
      <w:r w:rsidR="00F76917">
        <w:t>PL</w:t>
      </w:r>
      <w:r w:rsidR="0029009E">
        <w:t xml:space="preserve"> Reform process</w:t>
      </w:r>
      <w:r w:rsidR="001432C5">
        <w:t>.</w:t>
      </w:r>
      <w:r w:rsidR="00163467">
        <w:t xml:space="preserve"> </w:t>
      </w:r>
    </w:p>
    <w:p w14:paraId="7EBADEEA" w14:textId="1F6ED42E" w:rsidR="001432C5" w:rsidRDefault="00163467" w:rsidP="00A36804">
      <w:r>
        <w:t xml:space="preserve">A schematic of the process that was undertaken is </w:t>
      </w:r>
      <w:r w:rsidR="008B7CBD">
        <w:t>provided</w:t>
      </w:r>
      <w:r>
        <w:t xml:space="preserve"> in</w:t>
      </w:r>
      <w:r w:rsidR="00E90FD1">
        <w:t xml:space="preserve"> </w:t>
      </w:r>
      <w:r w:rsidR="00E90FD1">
        <w:fldChar w:fldCharType="begin"/>
      </w:r>
      <w:r w:rsidR="00E90FD1">
        <w:instrText xml:space="preserve"> REF _Ref104993314 \h </w:instrText>
      </w:r>
      <w:r w:rsidR="00E90FD1">
        <w:fldChar w:fldCharType="separate"/>
      </w:r>
      <w:r w:rsidR="00200D1D">
        <w:t xml:space="preserve">Figure </w:t>
      </w:r>
      <w:r w:rsidR="00200D1D">
        <w:rPr>
          <w:noProof/>
        </w:rPr>
        <w:t>1</w:t>
      </w:r>
      <w:r w:rsidR="00E90FD1">
        <w:fldChar w:fldCharType="end"/>
      </w:r>
      <w:r>
        <w:t>.</w:t>
      </w:r>
    </w:p>
    <w:p w14:paraId="008F2391" w14:textId="2A7EDF63" w:rsidR="00B54E7E" w:rsidRPr="00A91CAF" w:rsidRDefault="00B54E7E" w:rsidP="00DB5803">
      <w:pPr>
        <w:pStyle w:val="Caption"/>
      </w:pPr>
      <w:bookmarkStart w:id="14" w:name="_Ref104993314"/>
      <w:r w:rsidRPr="00A91CAF">
        <w:t xml:space="preserve">Figure </w:t>
      </w:r>
      <w:bookmarkStart w:id="15" w:name="_Ref101620942"/>
      <w:r w:rsidR="00E3432D" w:rsidRPr="00A91CAF">
        <w:fldChar w:fldCharType="begin"/>
      </w:r>
      <w:r w:rsidR="00E3432D" w:rsidRPr="00A91CAF">
        <w:instrText xml:space="preserve"> SEQ Figure \* ARABIC </w:instrText>
      </w:r>
      <w:r w:rsidR="00E3432D" w:rsidRPr="00A91CAF">
        <w:fldChar w:fldCharType="separate"/>
      </w:r>
      <w:r w:rsidR="00200D1D" w:rsidRPr="00A91CAF">
        <w:t>1</w:t>
      </w:r>
      <w:r w:rsidR="00E3432D" w:rsidRPr="00A91CAF">
        <w:fldChar w:fldCharType="end"/>
      </w:r>
      <w:bookmarkEnd w:id="14"/>
      <w:bookmarkEnd w:id="15"/>
      <w:r w:rsidRPr="00A91CAF">
        <w:t xml:space="preserve">. Methodology for the development of an assessment framework and governance structure for </w:t>
      </w:r>
      <w:r w:rsidR="00E90FD1" w:rsidRPr="00A91CAF">
        <w:t>applications to</w:t>
      </w:r>
      <w:r w:rsidR="00D63340" w:rsidRPr="00A91CAF">
        <w:t xml:space="preserve"> the Prosthese</w:t>
      </w:r>
      <w:r w:rsidRPr="00A91CAF">
        <w:t>s List</w:t>
      </w:r>
    </w:p>
    <w:p w14:paraId="17307833" w14:textId="6EF124DD" w:rsidR="00966716" w:rsidRDefault="00D13896" w:rsidP="008C7140">
      <w:r>
        <w:rPr>
          <w:noProof/>
          <w:lang w:eastAsia="en-AU"/>
        </w:rPr>
        <w:drawing>
          <wp:inline distT="0" distB="0" distL="0" distR="0" wp14:anchorId="0FF832D9" wp14:editId="33D579B8">
            <wp:extent cx="5695950" cy="6216650"/>
            <wp:effectExtent l="0" t="19050" r="19050" b="31750"/>
            <wp:docPr id="6" name="Diagram 6" descr="Figure 1 is a flowchart showing the  method for the development of an assessment framework and governance structure for applications to the Prostheses List&#10;&#10;Methodological steps taken in the preparation of this repo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29009E">
        <w:t xml:space="preserve"> </w:t>
      </w:r>
    </w:p>
    <w:p w14:paraId="1B0047DC" w14:textId="06844F85" w:rsidR="00966716" w:rsidRDefault="00966716">
      <w:pPr>
        <w:rPr>
          <w:rFonts w:ascii="Calibri" w:eastAsia="Times New Roman" w:hAnsi="Calibri" w:cs="Times New Roman"/>
          <w:lang w:bidi="en-US"/>
        </w:rPr>
      </w:pPr>
      <w:r>
        <w:br w:type="page"/>
      </w:r>
    </w:p>
    <w:p w14:paraId="7E06FA2D" w14:textId="695B00AB" w:rsidR="008C7140" w:rsidRPr="00E727FE" w:rsidRDefault="007D5611" w:rsidP="00E727FE">
      <w:r w:rsidRPr="00E727FE">
        <w:lastRenderedPageBreak/>
        <w:t>M</w:t>
      </w:r>
      <w:r w:rsidR="00685463" w:rsidRPr="00E727FE">
        <w:t xml:space="preserve">aterial that </w:t>
      </w:r>
      <w:r w:rsidR="00B50FC7" w:rsidRPr="00E727FE">
        <w:t>had been</w:t>
      </w:r>
      <w:r w:rsidR="00685463" w:rsidRPr="00E727FE">
        <w:t xml:space="preserve"> </w:t>
      </w:r>
      <w:r w:rsidR="00B50FC7" w:rsidRPr="00E727FE">
        <w:t xml:space="preserve">developed and submitted as part of the </w:t>
      </w:r>
      <w:r w:rsidR="00EC02A9" w:rsidRPr="00E727FE">
        <w:t>PL</w:t>
      </w:r>
      <w:r w:rsidR="00B50FC7" w:rsidRPr="00E727FE">
        <w:t xml:space="preserve"> Reform process to date was collated and then </w:t>
      </w:r>
      <w:r w:rsidR="006A28A0" w:rsidRPr="00E727FE">
        <w:t xml:space="preserve">provided </w:t>
      </w:r>
      <w:r w:rsidR="00B50FC7" w:rsidRPr="00E727FE">
        <w:t xml:space="preserve">to the consultant </w:t>
      </w:r>
      <w:r w:rsidR="006A28A0" w:rsidRPr="00E727FE">
        <w:t>by the Department</w:t>
      </w:r>
      <w:r w:rsidR="00B50FC7" w:rsidRPr="00E727FE">
        <w:t>. A list of the material that was reviewed</w:t>
      </w:r>
      <w:r w:rsidR="00685463" w:rsidRPr="00E727FE">
        <w:t xml:space="preserve"> </w:t>
      </w:r>
      <w:r w:rsidRPr="00E727FE">
        <w:t>to inform the development of the assessment framework and governance structures</w:t>
      </w:r>
      <w:r w:rsidR="00B50FC7" w:rsidRPr="00E727FE">
        <w:t xml:space="preserve"> is</w:t>
      </w:r>
      <w:r w:rsidRPr="00E727FE">
        <w:t xml:space="preserve"> </w:t>
      </w:r>
      <w:r w:rsidR="00B50FC7" w:rsidRPr="00E727FE">
        <w:t>g</w:t>
      </w:r>
      <w:r w:rsidR="008C7140" w:rsidRPr="00E727FE">
        <w:t>iven in</w:t>
      </w:r>
      <w:r w:rsidR="00B50FC7" w:rsidRPr="00E727FE">
        <w:t xml:space="preserve"> </w:t>
      </w:r>
      <w:r w:rsidR="008C7140" w:rsidRPr="00E727FE">
        <w:fldChar w:fldCharType="begin"/>
      </w:r>
      <w:r w:rsidR="008C7140" w:rsidRPr="00E727FE">
        <w:instrText xml:space="preserve"> REF _Ref101623014 \h </w:instrText>
      </w:r>
      <w:r w:rsidR="00E727FE">
        <w:instrText xml:space="preserve"> \* MERGEFORMAT </w:instrText>
      </w:r>
      <w:r w:rsidR="008C7140" w:rsidRPr="00E727FE">
        <w:fldChar w:fldCharType="separate"/>
      </w:r>
      <w:r w:rsidR="00200D1D" w:rsidRPr="00E727FE">
        <w:t>Table 1</w:t>
      </w:r>
      <w:r w:rsidR="008C7140" w:rsidRPr="00E727FE">
        <w:fldChar w:fldCharType="end"/>
      </w:r>
      <w:r w:rsidR="008C7140" w:rsidRPr="00E727FE">
        <w:t>.</w:t>
      </w:r>
    </w:p>
    <w:p w14:paraId="2DDCA3D2" w14:textId="1377E30C" w:rsidR="00B9263F" w:rsidRPr="00CD34EB" w:rsidRDefault="008C7140" w:rsidP="00DB5803">
      <w:pPr>
        <w:pStyle w:val="Caption"/>
      </w:pPr>
      <w:bookmarkStart w:id="16" w:name="_Ref101623014"/>
      <w:r>
        <w:t xml:space="preserve">Table </w:t>
      </w:r>
      <w:r>
        <w:fldChar w:fldCharType="begin"/>
      </w:r>
      <w:r>
        <w:instrText>SEQ Table \* ARABIC</w:instrText>
      </w:r>
      <w:r>
        <w:fldChar w:fldCharType="separate"/>
      </w:r>
      <w:r w:rsidR="00200D1D">
        <w:rPr>
          <w:noProof/>
        </w:rPr>
        <w:t>1</w:t>
      </w:r>
      <w:r>
        <w:fldChar w:fldCharType="end"/>
      </w:r>
      <w:bookmarkEnd w:id="16"/>
      <w:r>
        <w:t>. Materials compiled and evaluated as part of desktop review of Prostheses List processes</w:t>
      </w:r>
    </w:p>
    <w:tbl>
      <w:tblPr>
        <w:tblStyle w:val="ListTable3-Accent11"/>
        <w:tblW w:w="9634" w:type="dxa"/>
        <w:tblLook w:val="04A0" w:firstRow="1" w:lastRow="0" w:firstColumn="1" w:lastColumn="0" w:noHBand="0" w:noVBand="1"/>
        <w:tblDescription w:val="Table 1 is a list of materials compiled and evaluated / used in the development of the document."/>
      </w:tblPr>
      <w:tblGrid>
        <w:gridCol w:w="1696"/>
        <w:gridCol w:w="2694"/>
        <w:gridCol w:w="5244"/>
      </w:tblGrid>
      <w:tr w:rsidR="00B50FC7" w14:paraId="0C295C3B" w14:textId="77777777" w:rsidTr="00A91C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64A3DD58" w14:textId="5FD2B8CB" w:rsidR="00B50FC7" w:rsidRDefault="00B50FC7" w:rsidP="00B50FC7">
            <w:pPr>
              <w:spacing w:before="240"/>
              <w:jc w:val="both"/>
              <w:rPr>
                <w:szCs w:val="22"/>
              </w:rPr>
            </w:pPr>
            <w:r>
              <w:rPr>
                <w:szCs w:val="22"/>
              </w:rPr>
              <w:t>Date</w:t>
            </w:r>
          </w:p>
        </w:tc>
        <w:tc>
          <w:tcPr>
            <w:tcW w:w="2694" w:type="dxa"/>
          </w:tcPr>
          <w:p w14:paraId="7D6F7280" w14:textId="1960BBEA" w:rsidR="00B50FC7" w:rsidRDefault="00B50FC7" w:rsidP="00B50FC7">
            <w:pPr>
              <w:spacing w:before="240"/>
              <w:jc w:val="both"/>
              <w:cnfStyle w:val="100000000000" w:firstRow="1" w:lastRow="0" w:firstColumn="0" w:lastColumn="0" w:oddVBand="0" w:evenVBand="0" w:oddHBand="0" w:evenHBand="0" w:firstRowFirstColumn="0" w:firstRowLastColumn="0" w:lastRowFirstColumn="0" w:lastRowLastColumn="0"/>
              <w:rPr>
                <w:szCs w:val="22"/>
              </w:rPr>
            </w:pPr>
            <w:r>
              <w:rPr>
                <w:szCs w:val="22"/>
              </w:rPr>
              <w:t>Authors</w:t>
            </w:r>
          </w:p>
        </w:tc>
        <w:tc>
          <w:tcPr>
            <w:tcW w:w="5244" w:type="dxa"/>
          </w:tcPr>
          <w:p w14:paraId="37888A2B" w14:textId="4963E5BF" w:rsidR="00B50FC7" w:rsidRDefault="00B50FC7" w:rsidP="00B50FC7">
            <w:pPr>
              <w:spacing w:before="240"/>
              <w:jc w:val="both"/>
              <w:cnfStyle w:val="100000000000" w:firstRow="1" w:lastRow="0" w:firstColumn="0" w:lastColumn="0" w:oddVBand="0" w:evenVBand="0" w:oddHBand="0" w:evenHBand="0" w:firstRowFirstColumn="0" w:firstRowLastColumn="0" w:lastRowFirstColumn="0" w:lastRowLastColumn="0"/>
              <w:rPr>
                <w:szCs w:val="22"/>
              </w:rPr>
            </w:pPr>
            <w:r>
              <w:rPr>
                <w:szCs w:val="22"/>
              </w:rPr>
              <w:t>Title</w:t>
            </w:r>
          </w:p>
        </w:tc>
      </w:tr>
      <w:tr w:rsidR="00B50FC7" w:rsidRPr="008C7140" w14:paraId="2908149D"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26F21F4" w14:textId="6F94844B" w:rsidR="00B50FC7" w:rsidRPr="00E727FE" w:rsidRDefault="00753148" w:rsidP="00E727FE">
            <w:r w:rsidRPr="00E727FE">
              <w:t>2019</w:t>
            </w:r>
          </w:p>
        </w:tc>
        <w:tc>
          <w:tcPr>
            <w:tcW w:w="2694" w:type="dxa"/>
          </w:tcPr>
          <w:p w14:paraId="4C763AD2" w14:textId="6AA654CF" w:rsidR="00B50FC7" w:rsidRPr="00E727FE" w:rsidRDefault="00CD34EB" w:rsidP="00E727FE">
            <w:pPr>
              <w:cnfStyle w:val="000000100000" w:firstRow="0" w:lastRow="0" w:firstColumn="0" w:lastColumn="0" w:oddVBand="0" w:evenVBand="0" w:oddHBand="1" w:evenHBand="0" w:firstRowFirstColumn="0" w:firstRowLastColumn="0" w:lastRowFirstColumn="0" w:lastRowLastColumn="0"/>
              <w:rPr>
                <w:rFonts w:eastAsiaTheme="minorHAnsi"/>
              </w:rPr>
            </w:pPr>
            <w:r w:rsidRPr="00E727FE">
              <w:t>Department of Health</w:t>
            </w:r>
          </w:p>
        </w:tc>
        <w:tc>
          <w:tcPr>
            <w:tcW w:w="5244" w:type="dxa"/>
          </w:tcPr>
          <w:p w14:paraId="6EBB786E" w14:textId="7FA0CD88" w:rsidR="00753148" w:rsidRPr="00E727FE" w:rsidRDefault="00CD34EB" w:rsidP="00E727FE">
            <w:pPr>
              <w:cnfStyle w:val="000000100000" w:firstRow="0" w:lastRow="0" w:firstColumn="0" w:lastColumn="0" w:oddVBand="0" w:evenVBand="0" w:oddHBand="1" w:evenHBand="0" w:firstRowFirstColumn="0" w:firstRowLastColumn="0" w:lastRowFirstColumn="0" w:lastRowLastColumn="0"/>
            </w:pPr>
            <w:r w:rsidRPr="00E727FE">
              <w:t>PLAC Terms of References and Operational Guidelines</w:t>
            </w:r>
          </w:p>
        </w:tc>
      </w:tr>
      <w:tr w:rsidR="00753148" w:rsidRPr="008C7140" w14:paraId="3A3C493E" w14:textId="77777777" w:rsidTr="00A91CAF">
        <w:tc>
          <w:tcPr>
            <w:cnfStyle w:val="001000000000" w:firstRow="0" w:lastRow="0" w:firstColumn="1" w:lastColumn="0" w:oddVBand="0" w:evenVBand="0" w:oddHBand="0" w:evenHBand="0" w:firstRowFirstColumn="0" w:firstRowLastColumn="0" w:lastRowFirstColumn="0" w:lastRowLastColumn="0"/>
            <w:tcW w:w="1696" w:type="dxa"/>
          </w:tcPr>
          <w:p w14:paraId="5FEE58F3" w14:textId="6D131C4C" w:rsidR="00753148" w:rsidRPr="00E727FE" w:rsidRDefault="00753148" w:rsidP="00E727FE">
            <w:r w:rsidRPr="00E727FE">
              <w:t>June 2020</w:t>
            </w:r>
          </w:p>
        </w:tc>
        <w:tc>
          <w:tcPr>
            <w:tcW w:w="2694" w:type="dxa"/>
          </w:tcPr>
          <w:p w14:paraId="55D759B6" w14:textId="57E25663" w:rsidR="00753148" w:rsidRPr="00E727FE" w:rsidRDefault="00753148" w:rsidP="00E727FE">
            <w:pPr>
              <w:cnfStyle w:val="000000000000" w:firstRow="0" w:lastRow="0" w:firstColumn="0" w:lastColumn="0" w:oddVBand="0" w:evenVBand="0" w:oddHBand="0" w:evenHBand="0" w:firstRowFirstColumn="0" w:firstRowLastColumn="0" w:lastRowFirstColumn="0" w:lastRowLastColumn="0"/>
            </w:pPr>
            <w:r w:rsidRPr="00E727FE">
              <w:t>Department of Health</w:t>
            </w:r>
          </w:p>
        </w:tc>
        <w:tc>
          <w:tcPr>
            <w:tcW w:w="5244" w:type="dxa"/>
          </w:tcPr>
          <w:p w14:paraId="4199897D" w14:textId="0D086E6D" w:rsidR="00753148" w:rsidRPr="00E727FE" w:rsidRDefault="00753148" w:rsidP="00E727FE">
            <w:pPr>
              <w:cnfStyle w:val="000000000000" w:firstRow="0" w:lastRow="0" w:firstColumn="0" w:lastColumn="0" w:oddVBand="0" w:evenVBand="0" w:oddHBand="0" w:evenHBand="0" w:firstRowFirstColumn="0" w:firstRowLastColumn="0" w:lastRowFirstColumn="0" w:lastRowLastColumn="0"/>
            </w:pPr>
            <w:r w:rsidRPr="00E727FE">
              <w:t>Prostheses List - Guide to Listing</w:t>
            </w:r>
          </w:p>
        </w:tc>
      </w:tr>
      <w:tr w:rsidR="00FB6A89" w:rsidRPr="008C7140" w14:paraId="2FD08443"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76FCB88" w14:textId="77777777" w:rsidR="00FB6A89" w:rsidRPr="00E727FE" w:rsidRDefault="00FB6A89" w:rsidP="00E727FE">
            <w:r w:rsidRPr="00E727FE">
              <w:t>December 2020</w:t>
            </w:r>
          </w:p>
        </w:tc>
        <w:tc>
          <w:tcPr>
            <w:tcW w:w="2694" w:type="dxa"/>
          </w:tcPr>
          <w:p w14:paraId="76E017C4" w14:textId="77777777" w:rsidR="00FB6A89" w:rsidRPr="00E727FE" w:rsidRDefault="00FB6A89" w:rsidP="00E727FE">
            <w:pPr>
              <w:cnfStyle w:val="000000100000" w:firstRow="0" w:lastRow="0" w:firstColumn="0" w:lastColumn="0" w:oddVBand="0" w:evenVBand="0" w:oddHBand="1" w:evenHBand="0" w:firstRowFirstColumn="0" w:firstRowLastColumn="0" w:lastRowFirstColumn="0" w:lastRowLastColumn="0"/>
              <w:rPr>
                <w:rFonts w:eastAsiaTheme="minorHAnsi"/>
              </w:rPr>
            </w:pPr>
            <w:r w:rsidRPr="00E727FE">
              <w:t>Menzies Centre for Health Policy, University of Sydney</w:t>
            </w:r>
          </w:p>
        </w:tc>
        <w:tc>
          <w:tcPr>
            <w:tcW w:w="5244" w:type="dxa"/>
          </w:tcPr>
          <w:p w14:paraId="0DFCA19C" w14:textId="77777777" w:rsidR="00FB6A89" w:rsidRPr="00E727FE" w:rsidRDefault="00FB6A89" w:rsidP="00E727FE">
            <w:pPr>
              <w:cnfStyle w:val="000000100000" w:firstRow="0" w:lastRow="0" w:firstColumn="0" w:lastColumn="0" w:oddVBand="0" w:evenVBand="0" w:oddHBand="1" w:evenHBand="0" w:firstRowFirstColumn="0" w:firstRowLastColumn="0" w:lastRowFirstColumn="0" w:lastRowLastColumn="0"/>
              <w:rPr>
                <w:rFonts w:eastAsiaTheme="minorHAnsi"/>
              </w:rPr>
            </w:pPr>
            <w:r w:rsidRPr="00E727FE">
              <w:t>Options for a revised framework for setting and reviewing benefits for the Prostheses List</w:t>
            </w:r>
          </w:p>
        </w:tc>
      </w:tr>
      <w:tr w:rsidR="00B50FC7" w:rsidRPr="008C7140" w14:paraId="155B077B" w14:textId="77777777" w:rsidTr="00A91CAF">
        <w:tc>
          <w:tcPr>
            <w:cnfStyle w:val="001000000000" w:firstRow="0" w:lastRow="0" w:firstColumn="1" w:lastColumn="0" w:oddVBand="0" w:evenVBand="0" w:oddHBand="0" w:evenHBand="0" w:firstRowFirstColumn="0" w:firstRowLastColumn="0" w:lastRowFirstColumn="0" w:lastRowLastColumn="0"/>
            <w:tcW w:w="1696" w:type="dxa"/>
          </w:tcPr>
          <w:p w14:paraId="360BA03B" w14:textId="6FD1D403" w:rsidR="00B50FC7" w:rsidRPr="00E727FE" w:rsidRDefault="00CD34EB" w:rsidP="00E727FE">
            <w:r w:rsidRPr="00E727FE">
              <w:t>December 2021</w:t>
            </w:r>
          </w:p>
        </w:tc>
        <w:tc>
          <w:tcPr>
            <w:tcW w:w="2694" w:type="dxa"/>
          </w:tcPr>
          <w:p w14:paraId="770EBF10" w14:textId="622A5172" w:rsidR="00B50FC7" w:rsidRPr="00E727FE" w:rsidRDefault="008C7140" w:rsidP="00E727FE">
            <w:pPr>
              <w:cnfStyle w:val="000000000000" w:firstRow="0" w:lastRow="0" w:firstColumn="0" w:lastColumn="0" w:oddVBand="0" w:evenVBand="0" w:oddHBand="0" w:evenHBand="0" w:firstRowFirstColumn="0" w:firstRowLastColumn="0" w:lastRowFirstColumn="0" w:lastRowLastColumn="0"/>
              <w:rPr>
                <w:rFonts w:eastAsiaTheme="minorHAnsi"/>
              </w:rPr>
            </w:pPr>
            <w:r w:rsidRPr="00E727FE">
              <w:t>Prostheses List Advisory Committee</w:t>
            </w:r>
          </w:p>
        </w:tc>
        <w:tc>
          <w:tcPr>
            <w:tcW w:w="5244" w:type="dxa"/>
          </w:tcPr>
          <w:p w14:paraId="0BC4BB88" w14:textId="6C4869E9" w:rsidR="00B50FC7" w:rsidRPr="00E727FE" w:rsidRDefault="00CD34EB" w:rsidP="00E727FE">
            <w:pPr>
              <w:cnfStyle w:val="000000000000" w:firstRow="0" w:lastRow="0" w:firstColumn="0" w:lastColumn="0" w:oddVBand="0" w:evenVBand="0" w:oddHBand="0" w:evenHBand="0" w:firstRowFirstColumn="0" w:firstRowLastColumn="0" w:lastRowFirstColumn="0" w:lastRowLastColumn="0"/>
              <w:rPr>
                <w:rFonts w:eastAsiaTheme="minorHAnsi"/>
              </w:rPr>
            </w:pPr>
            <w:r w:rsidRPr="00E727FE">
              <w:t>Meeting minutes of December 2021 meeting</w:t>
            </w:r>
          </w:p>
        </w:tc>
      </w:tr>
      <w:tr w:rsidR="00B50FC7" w:rsidRPr="008C7140" w14:paraId="099AC9EC"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03AC090" w14:textId="4740039A" w:rsidR="00B50FC7" w:rsidRPr="00E727FE" w:rsidRDefault="00753148" w:rsidP="00E727FE">
            <w:r w:rsidRPr="00E727FE">
              <w:t>2021, 2022</w:t>
            </w:r>
          </w:p>
        </w:tc>
        <w:tc>
          <w:tcPr>
            <w:tcW w:w="2694" w:type="dxa"/>
          </w:tcPr>
          <w:p w14:paraId="48FA4E12" w14:textId="330A44FD" w:rsidR="00B50FC7" w:rsidRPr="00E727FE" w:rsidRDefault="007721A2" w:rsidP="00E727FE">
            <w:pPr>
              <w:cnfStyle w:val="000000100000" w:firstRow="0" w:lastRow="0" w:firstColumn="0" w:lastColumn="0" w:oddVBand="0" w:evenVBand="0" w:oddHBand="1" w:evenHBand="0" w:firstRowFirstColumn="0" w:firstRowLastColumn="0" w:lastRowFirstColumn="0" w:lastRowLastColumn="0"/>
              <w:rPr>
                <w:rFonts w:eastAsiaTheme="minorHAnsi"/>
              </w:rPr>
            </w:pPr>
            <w:r w:rsidRPr="00E727FE">
              <w:t>Department of Health</w:t>
            </w:r>
          </w:p>
        </w:tc>
        <w:tc>
          <w:tcPr>
            <w:tcW w:w="5244" w:type="dxa"/>
          </w:tcPr>
          <w:p w14:paraId="17A0B356" w14:textId="0433A691" w:rsidR="00B50FC7" w:rsidRPr="00E727FE" w:rsidRDefault="29BB83CC" w:rsidP="00E727FE">
            <w:pPr>
              <w:cnfStyle w:val="000000100000" w:firstRow="0" w:lastRow="0" w:firstColumn="0" w:lastColumn="0" w:oddVBand="0" w:evenVBand="0" w:oddHBand="1" w:evenHBand="0" w:firstRowFirstColumn="0" w:firstRowLastColumn="0" w:lastRowFirstColumn="0" w:lastRowLastColumn="0"/>
            </w:pPr>
            <w:r w:rsidRPr="00E727FE">
              <w:t>C</w:t>
            </w:r>
            <w:r w:rsidR="78A4AE1C" w:rsidRPr="00E727FE">
              <w:t xml:space="preserve">onsultation </w:t>
            </w:r>
            <w:r w:rsidR="31FD7CA9" w:rsidRPr="00E727FE">
              <w:t>papers:</w:t>
            </w:r>
          </w:p>
          <w:p w14:paraId="7E244919" w14:textId="3FD0F196" w:rsidR="00A83D47" w:rsidRPr="00E727FE" w:rsidRDefault="001402DF" w:rsidP="00E727FE">
            <w:pPr>
              <w:cnfStyle w:val="000000100000" w:firstRow="0" w:lastRow="0" w:firstColumn="0" w:lastColumn="0" w:oddVBand="0" w:evenVBand="0" w:oddHBand="1" w:evenHBand="0" w:firstRowFirstColumn="0" w:firstRowLastColumn="0" w:lastRowFirstColumn="0" w:lastRowLastColumn="0"/>
              <w:rPr>
                <w:rFonts w:eastAsiaTheme="minorHAnsi"/>
              </w:rPr>
            </w:pPr>
            <w:r w:rsidRPr="00E727FE">
              <w:rPr>
                <w:rFonts w:eastAsiaTheme="minorHAnsi"/>
              </w:rPr>
              <w:t>No 1: Prostheses List- Purpose, Definitions and Scope</w:t>
            </w:r>
            <w:r w:rsidR="00CD34EB" w:rsidRPr="00E727FE">
              <w:rPr>
                <w:rFonts w:eastAsiaTheme="minorHAnsi"/>
              </w:rPr>
              <w:t xml:space="preserve"> (including stakeholder feedback report)</w:t>
            </w:r>
          </w:p>
          <w:p w14:paraId="1E378A0B" w14:textId="77777777" w:rsidR="00012377" w:rsidRPr="00E727FE" w:rsidRDefault="001402DF" w:rsidP="00E727FE">
            <w:pPr>
              <w:cnfStyle w:val="000000100000" w:firstRow="0" w:lastRow="0" w:firstColumn="0" w:lastColumn="0" w:oddVBand="0" w:evenVBand="0" w:oddHBand="1" w:evenHBand="0" w:firstRowFirstColumn="0" w:firstRowLastColumn="0" w:lastRowFirstColumn="0" w:lastRowLastColumn="0"/>
              <w:rPr>
                <w:rFonts w:eastAsiaTheme="minorHAnsi"/>
              </w:rPr>
            </w:pPr>
            <w:r w:rsidRPr="00E727FE">
              <w:rPr>
                <w:rFonts w:eastAsiaTheme="minorHAnsi"/>
              </w:rPr>
              <w:t>No 2(a): Modernisation of Part B of the Prostheses List</w:t>
            </w:r>
          </w:p>
          <w:p w14:paraId="4591E8BF" w14:textId="2F4F22A4" w:rsidR="001402DF" w:rsidRPr="00E727FE" w:rsidRDefault="001402DF" w:rsidP="00E727FE">
            <w:pPr>
              <w:cnfStyle w:val="000000100000" w:firstRow="0" w:lastRow="0" w:firstColumn="0" w:lastColumn="0" w:oddVBand="0" w:evenVBand="0" w:oddHBand="1" w:evenHBand="0" w:firstRowFirstColumn="0" w:firstRowLastColumn="0" w:lastRowFirstColumn="0" w:lastRowLastColumn="0"/>
              <w:rPr>
                <w:rFonts w:eastAsiaTheme="minorHAnsi"/>
              </w:rPr>
            </w:pPr>
            <w:r w:rsidRPr="00E727FE">
              <w:rPr>
                <w:rFonts w:eastAsiaTheme="minorHAnsi"/>
              </w:rPr>
              <w:t>No 3</w:t>
            </w:r>
            <w:r w:rsidR="00E052F1" w:rsidRPr="00E727FE">
              <w:rPr>
                <w:rFonts w:eastAsiaTheme="minorHAnsi"/>
              </w:rPr>
              <w:t>(</w:t>
            </w:r>
            <w:r w:rsidRPr="00E727FE">
              <w:rPr>
                <w:rFonts w:eastAsiaTheme="minorHAnsi"/>
              </w:rPr>
              <w:t>a</w:t>
            </w:r>
            <w:r w:rsidR="00E052F1" w:rsidRPr="00E727FE">
              <w:rPr>
                <w:rFonts w:eastAsiaTheme="minorHAnsi"/>
              </w:rPr>
              <w:t>)</w:t>
            </w:r>
            <w:r w:rsidRPr="00E727FE">
              <w:rPr>
                <w:rFonts w:eastAsiaTheme="minorHAnsi"/>
              </w:rPr>
              <w:t>: A modernised fit-for-purpose listing process</w:t>
            </w:r>
            <w:r w:rsidR="00753148" w:rsidRPr="00E727FE">
              <w:rPr>
                <w:rFonts w:eastAsiaTheme="minorHAnsi"/>
              </w:rPr>
              <w:t xml:space="preserve"> </w:t>
            </w:r>
            <w:r w:rsidR="00012377" w:rsidRPr="00E727FE">
              <w:t>(Consultation paper 3(a))</w:t>
            </w:r>
          </w:p>
        </w:tc>
      </w:tr>
    </w:tbl>
    <w:p w14:paraId="78FE8BA3" w14:textId="7D28FC8A" w:rsidR="00B9263F" w:rsidRDefault="00B9263F" w:rsidP="00E727FE">
      <w:r>
        <w:t>In addition to materials provided by the Department, the following sources were consulted:</w:t>
      </w:r>
    </w:p>
    <w:p w14:paraId="662D6769" w14:textId="2D1DF5C3" w:rsidR="00EC2453" w:rsidRDefault="00B9263F" w:rsidP="00A91CAF">
      <w:pPr>
        <w:pStyle w:val="ListBullet"/>
      </w:pPr>
      <w:r>
        <w:t>Selected r</w:t>
      </w:r>
      <w:r w:rsidR="00EC2453">
        <w:t xml:space="preserve">ecent TGA regulatory assessments of </w:t>
      </w:r>
      <w:r w:rsidR="006A28A0">
        <w:t xml:space="preserve">medical </w:t>
      </w:r>
      <w:r w:rsidR="00EC2453">
        <w:t>devices</w:t>
      </w:r>
    </w:p>
    <w:p w14:paraId="0825FDCE" w14:textId="06D688E1" w:rsidR="00EC2453" w:rsidRDefault="00A04CAF" w:rsidP="00A91CAF">
      <w:pPr>
        <w:pStyle w:val="ListBullet"/>
      </w:pPr>
      <w:r>
        <w:t xml:space="preserve">Clinical evidence guidelines for medical devices, </w:t>
      </w:r>
      <w:r w:rsidR="00AC09C2">
        <w:t>Therapeutic Goods Administration (</w:t>
      </w:r>
      <w:r>
        <w:t>Version 3.0, November 2021</w:t>
      </w:r>
      <w:r w:rsidR="00790286">
        <w:t>)</w:t>
      </w:r>
      <w:r w:rsidR="000F6AF0">
        <w:fldChar w:fldCharType="begin"/>
      </w:r>
      <w:r w:rsidR="000F6AF0">
        <w:instrText xml:space="preserve"> ADDIN EN.CITE &lt;EndNote&gt;&lt;Cite&gt;&lt;Author&gt;Australian Government Department of Health&lt;/Author&gt;&lt;Year&gt;2021&lt;/Year&gt;&lt;RecNum&gt;9&lt;/RecNum&gt;&lt;DisplayText&gt;(2)&lt;/DisplayText&gt;&lt;record&gt;&lt;rec-number&gt;9&lt;/rec-number&gt;&lt;foreign-keys&gt;&lt;key app="EN" db-id="9srp00rfl2f0woefarq55vsgttze955atapd" timestamp="1657278218"&gt;9&lt;/key&gt;&lt;/foreign-keys&gt;&lt;ref-type name="Web Page"&gt;12&lt;/ref-type&gt;&lt;contributors&gt;&lt;authors&gt;&lt;author&gt;Australian Government Department of Health, .&lt;/author&gt;&lt;/authors&gt;&lt;/contributors&gt;&lt;titles&gt;&lt;title&gt;Clinical evidence guidelines for medical devices&lt;/title&gt;&lt;/titles&gt;&lt;dates&gt;&lt;year&gt;2021&lt;/year&gt;&lt;/dates&gt;&lt;urls&gt;&lt;related-urls&gt;&lt;url&gt;https://www.tga.gov.au/resource/clinical-evidence-guidelines-medical-devices&lt;/url&gt;&lt;/related-urls&gt;&lt;/urls&gt;&lt;/record&gt;&lt;/Cite&gt;&lt;/EndNote&gt;</w:instrText>
      </w:r>
      <w:r w:rsidR="000F6AF0">
        <w:fldChar w:fldCharType="separate"/>
      </w:r>
      <w:r w:rsidR="000F6AF0">
        <w:rPr>
          <w:noProof/>
        </w:rPr>
        <w:t>(2)</w:t>
      </w:r>
      <w:r w:rsidR="000F6AF0">
        <w:fldChar w:fldCharType="end"/>
      </w:r>
      <w:r w:rsidDel="00A04CAF">
        <w:t xml:space="preserve"> </w:t>
      </w:r>
    </w:p>
    <w:p w14:paraId="48E8D1A2" w14:textId="719AD078" w:rsidR="00753148" w:rsidRDefault="00753148" w:rsidP="00A91CAF">
      <w:pPr>
        <w:pStyle w:val="ListBullet"/>
      </w:pPr>
      <w:r>
        <w:t>Guidelines for preparing submissions to the Ph</w:t>
      </w:r>
      <w:r w:rsidR="00790286">
        <w:t>armaceutical Benefits Advisory C</w:t>
      </w:r>
      <w:r>
        <w:t xml:space="preserve">ommittee </w:t>
      </w:r>
      <w:r w:rsidR="00AC09C2">
        <w:t>(Version 5.0, September 2016)</w:t>
      </w:r>
      <w:r w:rsidR="000F6AF0">
        <w:fldChar w:fldCharType="begin"/>
      </w:r>
      <w:r w:rsidR="000F6AF0">
        <w:instrText xml:space="preserve"> ADDIN EN.CITE &lt;EndNote&gt;&lt;Cite&gt;&lt;Author&gt;Commonwealth of Australia Department of Health&lt;/Author&gt;&lt;Year&gt;2016&lt;/Year&gt;&lt;RecNum&gt;7&lt;/RecNum&gt;&lt;DisplayText&gt;(3)&lt;/DisplayText&gt;&lt;record&gt;&lt;rec-number&gt;7&lt;/rec-number&gt;&lt;foreign-keys&gt;&lt;key app="EN" db-id="9srp00rfl2f0woefarq55vsgttze955atapd" timestamp="1657277818"&gt;7&lt;/key&gt;&lt;/foreign-keys&gt;&lt;ref-type name="Web Page"&gt;12&lt;/ref-type&gt;&lt;contributors&gt;&lt;authors&gt;&lt;author&gt;Commonwealth of Australia Department of Health,&lt;/author&gt;&lt;/authors&gt;&lt;/contributors&gt;&lt;titles&gt;&lt;title&gt;Guidelines for preparing a submission to the Pharmaceutical Benefits Advisory Committee (Version 5.0)&lt;/title&gt;&lt;/titles&gt;&lt;dates&gt;&lt;year&gt;2016&lt;/year&gt;&lt;/dates&gt;&lt;urls&gt;&lt;related-urls&gt;&lt;url&gt;https://pbac.pbs.gov.au/content/information/files/pbac-guidelines-version-5.pdf&lt;/url&gt;&lt;/related-urls&gt;&lt;/urls&gt;&lt;/record&gt;&lt;/Cite&gt;&lt;/EndNote&gt;</w:instrText>
      </w:r>
      <w:r w:rsidR="000F6AF0">
        <w:fldChar w:fldCharType="separate"/>
      </w:r>
      <w:r w:rsidR="000F6AF0">
        <w:rPr>
          <w:noProof/>
        </w:rPr>
        <w:t>(3)</w:t>
      </w:r>
      <w:r w:rsidR="000F6AF0">
        <w:fldChar w:fldCharType="end"/>
      </w:r>
    </w:p>
    <w:p w14:paraId="3D569911" w14:textId="6D241770" w:rsidR="00B9263F" w:rsidRDefault="00753148" w:rsidP="00A91CAF">
      <w:pPr>
        <w:pStyle w:val="ListBullet"/>
      </w:pPr>
      <w:r>
        <w:t>Guidelines for preparing assessments for the M</w:t>
      </w:r>
      <w:r w:rsidR="00790286">
        <w:t xml:space="preserve">edical </w:t>
      </w:r>
      <w:r>
        <w:t>S</w:t>
      </w:r>
      <w:r w:rsidR="00790286">
        <w:t xml:space="preserve">ervices </w:t>
      </w:r>
      <w:r>
        <w:t>A</w:t>
      </w:r>
      <w:r w:rsidR="00790286">
        <w:t xml:space="preserve">dvisory </w:t>
      </w:r>
      <w:r>
        <w:t>C</w:t>
      </w:r>
      <w:r w:rsidR="00790286">
        <w:t>ommit</w:t>
      </w:r>
      <w:r w:rsidR="00E90FD1">
        <w:t>t</w:t>
      </w:r>
      <w:r w:rsidR="00790286">
        <w:t>ee</w:t>
      </w:r>
      <w:r w:rsidR="00AC09C2">
        <w:t xml:space="preserve"> (May 2021)</w:t>
      </w:r>
      <w:r w:rsidR="000F6AF0">
        <w:fldChar w:fldCharType="begin"/>
      </w:r>
      <w:r w:rsidR="000F6AF0">
        <w:instrText xml:space="preserve"> ADDIN EN.CITE &lt;EndNote&gt;&lt;Cite&gt;&lt;Author&gt;Australian Government Department of Health&lt;/Author&gt;&lt;Year&gt;2021&lt;/Year&gt;&lt;RecNum&gt;8&lt;/RecNum&gt;&lt;DisplayText&gt;(4)&lt;/DisplayText&gt;&lt;record&gt;&lt;rec-number&gt;8&lt;/rec-number&gt;&lt;foreign-keys&gt;&lt;key app="EN" db-id="9srp00rfl2f0woefarq55vsgttze955atapd" timestamp="1657278045"&gt;8&lt;/key&gt;&lt;/foreign-keys&gt;&lt;ref-type name="Web Page"&gt;12&lt;/ref-type&gt;&lt;contributors&gt;&lt;authors&gt;&lt;author&gt;Australian Government Department of Health, .&lt;/author&gt;&lt;/authors&gt;&lt;/contributors&gt;&lt;titles&gt;&lt;title&gt;Guidelines for preparing assessments for the Medical Services Advisory Committee&lt;/title&gt;&lt;/titles&gt;&lt;dates&gt;&lt;year&gt;2021&lt;/year&gt;&lt;/dates&gt;&lt;urls&gt;&lt;related-urls&gt;&lt;url&gt;http://www.msac.gov.au/internet/msac/publishing.nsf/Content/E0D4E4EDDE91EAC8CA2586E0007AFC75/$File/MSAC%20Guidelines-complete-16-FINAL(18May21).pdf&lt;/url&gt;&lt;/related-urls&gt;&lt;/urls&gt;&lt;/record&gt;&lt;/Cite&gt;&lt;/EndNote&gt;</w:instrText>
      </w:r>
      <w:r w:rsidR="000F6AF0">
        <w:fldChar w:fldCharType="separate"/>
      </w:r>
      <w:r w:rsidR="000F6AF0">
        <w:rPr>
          <w:noProof/>
        </w:rPr>
        <w:t>(4)</w:t>
      </w:r>
      <w:r w:rsidR="000F6AF0">
        <w:fldChar w:fldCharType="end"/>
      </w:r>
      <w:r w:rsidR="00AC09C2">
        <w:t xml:space="preserve"> </w:t>
      </w:r>
    </w:p>
    <w:p w14:paraId="440E0A5F" w14:textId="60C9B284" w:rsidR="00790286" w:rsidRDefault="00753148" w:rsidP="00A91CAF">
      <w:pPr>
        <w:pStyle w:val="ListBullet"/>
      </w:pPr>
      <w:r>
        <w:t xml:space="preserve">One meeting with </w:t>
      </w:r>
      <w:r w:rsidR="00D84D7C">
        <w:t xml:space="preserve">PLAC </w:t>
      </w:r>
      <w:r>
        <w:t>chair and</w:t>
      </w:r>
      <w:r w:rsidR="00790286">
        <w:t xml:space="preserve"> departmental PL administrators. </w:t>
      </w:r>
    </w:p>
    <w:p w14:paraId="7CC04E90" w14:textId="0985B232" w:rsidR="00B66F00" w:rsidRDefault="008C7140" w:rsidP="006D31AE">
      <w:r>
        <w:t xml:space="preserve">This information </w:t>
      </w:r>
      <w:r w:rsidRPr="00E727FE">
        <w:t>allowed a comparison and contrast between the c</w:t>
      </w:r>
      <w:r w:rsidR="006A28A0" w:rsidRPr="00E727FE">
        <w:t xml:space="preserve">urrent </w:t>
      </w:r>
      <w:r w:rsidR="004F1ED7" w:rsidRPr="00E727FE">
        <w:t>P</w:t>
      </w:r>
      <w:r w:rsidR="006A28A0" w:rsidRPr="00E727FE">
        <w:t xml:space="preserve">rostheses </w:t>
      </w:r>
      <w:r w:rsidR="004F1ED7" w:rsidRPr="00E727FE">
        <w:t>L</w:t>
      </w:r>
      <w:r w:rsidR="006A28A0" w:rsidRPr="00E727FE">
        <w:t xml:space="preserve">ist processes </w:t>
      </w:r>
      <w:r w:rsidR="00B50FC7" w:rsidRPr="00E727FE">
        <w:t xml:space="preserve">used by the Australian Government </w:t>
      </w:r>
      <w:r w:rsidRPr="00E727FE">
        <w:t>and</w:t>
      </w:r>
      <w:r w:rsidR="006A28A0" w:rsidRPr="00E727FE">
        <w:t xml:space="preserve"> </w:t>
      </w:r>
      <w:r w:rsidR="00B50FC7" w:rsidRPr="00E727FE">
        <w:t xml:space="preserve">the </w:t>
      </w:r>
      <w:r w:rsidR="006A28A0" w:rsidRPr="00E727FE">
        <w:t xml:space="preserve">HTA processes in place for other types of health technologies. These </w:t>
      </w:r>
      <w:r w:rsidRPr="00E727FE">
        <w:t>other HTA processes included those</w:t>
      </w:r>
      <w:r w:rsidR="006A28A0" w:rsidRPr="00E727FE">
        <w:t xml:space="preserve"> employed by the </w:t>
      </w:r>
      <w:r w:rsidR="00B9263F" w:rsidRPr="00E727FE">
        <w:t xml:space="preserve">MSAC </w:t>
      </w:r>
      <w:r w:rsidR="006A28A0" w:rsidRPr="00E727FE">
        <w:t xml:space="preserve">for the listing of medical services on the </w:t>
      </w:r>
      <w:r w:rsidR="00D77B6F" w:rsidRPr="00E727FE">
        <w:t>MBS</w:t>
      </w:r>
      <w:r w:rsidR="00F05AE7" w:rsidRPr="00E727FE">
        <w:t>, as well as</w:t>
      </w:r>
      <w:r w:rsidR="006A28A0" w:rsidRPr="00E727FE">
        <w:t xml:space="preserve"> the processes </w:t>
      </w:r>
      <w:r w:rsidR="00B9263F" w:rsidRPr="00E727FE">
        <w:t>established by the PBAC</w:t>
      </w:r>
      <w:r w:rsidR="00ED1E83" w:rsidRPr="00E727FE">
        <w:t xml:space="preserve"> </w:t>
      </w:r>
      <w:r w:rsidR="006A28A0" w:rsidRPr="00E727FE">
        <w:t xml:space="preserve">for the listing of medicines under the </w:t>
      </w:r>
      <w:r w:rsidR="00D77B6F" w:rsidRPr="00E727FE">
        <w:t>PBS</w:t>
      </w:r>
      <w:r w:rsidR="00ED1E83" w:rsidRPr="00E727FE">
        <w:t>.</w:t>
      </w:r>
      <w:r w:rsidR="00F05AE7" w:rsidRPr="00E727FE">
        <w:t xml:space="preserve"> </w:t>
      </w:r>
      <w:bookmarkStart w:id="17" w:name="_Hlk119400148"/>
      <w:r w:rsidR="00F05AE7" w:rsidRPr="00E727FE">
        <w:t>These comparisons</w:t>
      </w:r>
      <w:r w:rsidRPr="00E727FE">
        <w:t xml:space="preserve"> between PLAC, MSAC and PBAC processes</w:t>
      </w:r>
      <w:r w:rsidR="00F05AE7" w:rsidRPr="00E727FE">
        <w:t xml:space="preserve"> began with an assessment of </w:t>
      </w:r>
      <w:r w:rsidR="00F05AE7">
        <w:t>the</w:t>
      </w:r>
      <w:r>
        <w:t xml:space="preserve"> </w:t>
      </w:r>
      <w:r w:rsidR="00F05AE7">
        <w:t>principles</w:t>
      </w:r>
      <w:r w:rsidR="00DB078F" w:rsidRPr="00DB078F">
        <w:t xml:space="preserve"> </w:t>
      </w:r>
      <w:r w:rsidR="00DB078F">
        <w:t>underpinning their evaluation of health technologies</w:t>
      </w:r>
      <w:r w:rsidR="00F05AE7">
        <w:t>.</w:t>
      </w:r>
      <w:bookmarkEnd w:id="17"/>
    </w:p>
    <w:p w14:paraId="4268073F" w14:textId="77777777" w:rsidR="00196903" w:rsidRPr="006D31AE" w:rsidRDefault="00196903" w:rsidP="006D31AE">
      <w:r w:rsidRPr="006D31AE">
        <w:br w:type="page"/>
      </w:r>
    </w:p>
    <w:p w14:paraId="03E703FE" w14:textId="6785FBD5" w:rsidR="00B66F00" w:rsidRPr="004A7EC9" w:rsidRDefault="008D0CF1" w:rsidP="00B66F00">
      <w:pPr>
        <w:pStyle w:val="Heading1"/>
      </w:pPr>
      <w:bookmarkStart w:id="18" w:name="_Toc125470871"/>
      <w:bookmarkStart w:id="19" w:name="_Toc125984776"/>
      <w:r>
        <w:lastRenderedPageBreak/>
        <w:t xml:space="preserve">Australian Government HTA </w:t>
      </w:r>
      <w:r w:rsidR="00B50FC7">
        <w:t>P</w:t>
      </w:r>
      <w:r>
        <w:t>rinciples</w:t>
      </w:r>
      <w:bookmarkEnd w:id="18"/>
      <w:bookmarkEnd w:id="19"/>
    </w:p>
    <w:p w14:paraId="4F696049" w14:textId="00C61990" w:rsidR="008D0CF1" w:rsidRPr="00E727FE" w:rsidRDefault="008D0CF1" w:rsidP="00E727FE">
      <w:pPr>
        <w:pStyle w:val="Heading2"/>
      </w:pPr>
      <w:bookmarkStart w:id="20" w:name="_Toc125470872"/>
      <w:bookmarkStart w:id="21" w:name="_Toc125984777"/>
      <w:r>
        <w:t xml:space="preserve">Prostheses </w:t>
      </w:r>
      <w:r w:rsidR="00212FF6">
        <w:t>L</w:t>
      </w:r>
      <w:r>
        <w:t>ist HTA principles</w:t>
      </w:r>
      <w:bookmarkEnd w:id="20"/>
      <w:bookmarkEnd w:id="21"/>
    </w:p>
    <w:p w14:paraId="1D0507F6" w14:textId="57BA7C22" w:rsidR="00A36804" w:rsidRDefault="00A36804" w:rsidP="00E727FE">
      <w:r>
        <w:t xml:space="preserve">The purpose of the PL, under the </w:t>
      </w:r>
      <w:r w:rsidRPr="00731013">
        <w:rPr>
          <w:i/>
          <w:iCs/>
        </w:rPr>
        <w:t>Private Health Insurance Act (2007),</w:t>
      </w:r>
      <w:r>
        <w:t xml:space="preserve"> is to ensure that privately insured Australians have access to clinically effective prostheses that meet their health care needs. </w:t>
      </w:r>
      <w:r w:rsidR="000B00BA">
        <w:fldChar w:fldCharType="begin"/>
      </w:r>
      <w:r w:rsidR="000F6AF0">
        <w:instrText xml:space="preserve"> ADDIN EN.CITE &lt;EndNote&gt;&lt;Cite&gt;&lt;Author&gt;Australian Government Department of Health&lt;/Author&gt;&lt;Year&gt;2020&lt;/Year&gt;&lt;RecNum&gt;2&lt;/RecNum&gt;&lt;DisplayText&gt;(5)&lt;/DisplayText&gt;&lt;record&gt;&lt;rec-number&gt;2&lt;/rec-number&gt;&lt;foreign-keys&gt;&lt;key app="EN" db-id="9srp00rfl2f0woefarq55vsgttze955atapd" timestamp="1650942347"&gt;2&lt;/key&gt;&lt;/foreign-keys&gt;&lt;ref-type name="Report"&gt;27&lt;/ref-type&gt;&lt;contributors&gt;&lt;authors&gt;&lt;author&gt;Australian Government Department of Health, .&lt;/author&gt;&lt;/authors&gt;&lt;/contributors&gt;&lt;titles&gt;&lt;title&gt;Prostheses List Guide (Draft)&lt;/title&gt;&lt;/titles&gt;&lt;dates&gt;&lt;year&gt;2020&lt;/year&gt;&lt;/dates&gt;&lt;pub-location&gt;Canberra, Australia&lt;/pub-location&gt;&lt;publisher&gt;Department of Health&lt;/publisher&gt;&lt;urls&gt;&lt;/urls&gt;&lt;/record&gt;&lt;/Cite&gt;&lt;/EndNote&gt;</w:instrText>
      </w:r>
      <w:r w:rsidR="000B00BA">
        <w:fldChar w:fldCharType="separate"/>
      </w:r>
      <w:r w:rsidR="000F6AF0">
        <w:rPr>
          <w:noProof/>
        </w:rPr>
        <w:t>(5)</w:t>
      </w:r>
      <w:r w:rsidR="000B00BA">
        <w:fldChar w:fldCharType="end"/>
      </w:r>
      <w:r>
        <w:t xml:space="preserve"> </w:t>
      </w:r>
      <w:r w:rsidR="00212FF6">
        <w:t xml:space="preserve">Devices </w:t>
      </w:r>
      <w:r>
        <w:t xml:space="preserve">are included on the PL </w:t>
      </w:r>
      <w:r w:rsidR="00212FF6">
        <w:t xml:space="preserve">using a process that </w:t>
      </w:r>
      <w:r>
        <w:t xml:space="preserve">is designed to “help to ensure that benefits paid by insurers are relative to clinical effectiveness”. </w:t>
      </w:r>
      <w:r w:rsidR="000B00BA">
        <w:fldChar w:fldCharType="begin"/>
      </w:r>
      <w:r w:rsidR="000F6AF0">
        <w:instrText xml:space="preserve"> ADDIN EN.CITE &lt;EndNote&gt;&lt;Cite&gt;&lt;Author&gt;Australian Government Department of Health&lt;/Author&gt;&lt;Year&gt;2020&lt;/Year&gt;&lt;RecNum&gt;2&lt;/RecNum&gt;&lt;DisplayText&gt;(5)&lt;/DisplayText&gt;&lt;record&gt;&lt;rec-number&gt;2&lt;/rec-number&gt;&lt;foreign-keys&gt;&lt;key app="EN" db-id="9srp00rfl2f0woefarq55vsgttze955atapd" timestamp="1650942347"&gt;2&lt;/key&gt;&lt;/foreign-keys&gt;&lt;ref-type name="Report"&gt;27&lt;/ref-type&gt;&lt;contributors&gt;&lt;authors&gt;&lt;author&gt;Australian Government Department of Health, .&lt;/author&gt;&lt;/authors&gt;&lt;/contributors&gt;&lt;titles&gt;&lt;title&gt;Prostheses List Guide (Draft)&lt;/title&gt;&lt;/titles&gt;&lt;dates&gt;&lt;year&gt;2020&lt;/year&gt;&lt;/dates&gt;&lt;pub-location&gt;Canberra, Australia&lt;/pub-location&gt;&lt;publisher&gt;Department of Health&lt;/publisher&gt;&lt;urls&gt;&lt;/urls&gt;&lt;/record&gt;&lt;/Cite&gt;&lt;/EndNote&gt;</w:instrText>
      </w:r>
      <w:r w:rsidR="000B00BA">
        <w:fldChar w:fldCharType="separate"/>
      </w:r>
      <w:r w:rsidR="000F6AF0">
        <w:rPr>
          <w:noProof/>
        </w:rPr>
        <w:t>(5)</w:t>
      </w:r>
      <w:r w:rsidR="000B00BA">
        <w:fldChar w:fldCharType="end"/>
      </w:r>
    </w:p>
    <w:p w14:paraId="650F34CB" w14:textId="76633329" w:rsidR="00A36804" w:rsidRDefault="00A36804" w:rsidP="00A36804">
      <w:r>
        <w:t xml:space="preserve">As part of the broader HTA function within the Department, the operation of the PL should adhere to the vision for the Australian Government HTA Policy Framework, namely: </w:t>
      </w:r>
    </w:p>
    <w:p w14:paraId="13693414" w14:textId="0DF61809" w:rsidR="00A36804" w:rsidRPr="00604903" w:rsidRDefault="00A36804" w:rsidP="00A91CAF">
      <w:pPr>
        <w:pStyle w:val="Quote"/>
      </w:pPr>
      <w:r>
        <w:rPr>
          <w:lang w:eastAsia="en-AU"/>
        </w:rPr>
        <w:t>“</w:t>
      </w:r>
      <w:r w:rsidRPr="00604903">
        <w:rPr>
          <w:lang w:eastAsia="en-AU"/>
        </w:rPr>
        <w:t>Australians have timely, equitable and affordable access to the cost-effective health technologies needed to manage their health.</w:t>
      </w:r>
      <w:r>
        <w:rPr>
          <w:lang w:eastAsia="en-AU"/>
        </w:rPr>
        <w:t>”</w:t>
      </w:r>
      <w:r w:rsidR="00AD3393">
        <w:rPr>
          <w:lang w:eastAsia="en-AU"/>
        </w:rPr>
        <w:fldChar w:fldCharType="begin"/>
      </w:r>
      <w:r w:rsidR="000F6AF0">
        <w:rPr>
          <w:lang w:eastAsia="en-AU"/>
        </w:rPr>
        <w:instrText xml:space="preserve"> ADDIN EN.CITE &lt;EndNote&gt;&lt;Cite&gt;&lt;Author&gt;Australian Government Department of Health&lt;/Author&gt;&lt;Year&gt;2022&lt;/Year&gt;&lt;RecNum&gt;5&lt;/RecNum&gt;&lt;DisplayText&gt;(6)&lt;/DisplayText&gt;&lt;record&gt;&lt;rec-number&gt;5&lt;/rec-number&gt;&lt;foreign-keys&gt;&lt;key app="EN" db-id="9srp00rfl2f0woefarq55vsgttze955atapd" timestamp="1650953270"&gt;5&lt;/key&gt;&lt;/foreign-keys&gt;&lt;ref-type name="Web Page"&gt;12&lt;/ref-type&gt;&lt;contributors&gt;&lt;authors&gt;&lt;author&gt;Australian Government Department of Health, .&lt;/author&gt;&lt;/authors&gt;&lt;/contributors&gt;&lt;titles&gt;&lt;title&gt;Health Technology Assesment Policy Framework&lt;/title&gt;&lt;/titles&gt;&lt;dates&gt;&lt;year&gt;2022&lt;/year&gt;&lt;/dates&gt;&lt;urls&gt;&lt;related-urls&gt;&lt;url&gt;https://www1.health.gov.au/internet/hta/publishing.nsf/Content/policy-1&lt;/url&gt;&lt;/related-urls&gt;&lt;/urls&gt;&lt;/record&gt;&lt;/Cite&gt;&lt;/EndNote&gt;</w:instrText>
      </w:r>
      <w:r w:rsidR="00AD3393">
        <w:rPr>
          <w:lang w:eastAsia="en-AU"/>
        </w:rPr>
        <w:fldChar w:fldCharType="separate"/>
      </w:r>
      <w:r w:rsidR="000F6AF0">
        <w:rPr>
          <w:noProof/>
          <w:lang w:eastAsia="en-AU"/>
        </w:rPr>
        <w:t>(6)</w:t>
      </w:r>
      <w:r w:rsidR="00AD3393">
        <w:rPr>
          <w:lang w:eastAsia="en-AU"/>
        </w:rPr>
        <w:fldChar w:fldCharType="end"/>
      </w:r>
    </w:p>
    <w:p w14:paraId="45FF9F0F" w14:textId="4C22A580" w:rsidR="00A36804" w:rsidRDefault="00A36804" w:rsidP="00A36804">
      <w:r>
        <w:t xml:space="preserve">Although the PL is different in some ways to the other schemes that comprise the HTA operations of the Department, such as the Therapeutic Goods Administration (TGA), PBS and the MBS, the objectives of the </w:t>
      </w:r>
      <w:r w:rsidR="00B54E7E">
        <w:t xml:space="preserve">Australian Government </w:t>
      </w:r>
      <w:r>
        <w:t>HTA processes are universal:</w:t>
      </w:r>
    </w:p>
    <w:p w14:paraId="7A85DA56" w14:textId="154FAD22" w:rsidR="00A36804" w:rsidRPr="003D2395" w:rsidRDefault="00A36804" w:rsidP="00A91CAF">
      <w:pPr>
        <w:pStyle w:val="Quote"/>
      </w:pPr>
      <w:r w:rsidRPr="003D2395">
        <w:rPr>
          <w:lang w:eastAsia="en-AU"/>
        </w:rPr>
        <w:t>“That Australian Government HTA processes use the best available evidence and efficient methods to inform robust decisions about market entry and the subsidised use of health technologies. The Australian Government HTA system should also continually improve the evidence base for assessment and operate according to agreed principles.”</w:t>
      </w:r>
      <w:r w:rsidR="00AD3393">
        <w:rPr>
          <w:lang w:eastAsia="en-AU"/>
        </w:rPr>
        <w:fldChar w:fldCharType="begin"/>
      </w:r>
      <w:r w:rsidR="000F6AF0">
        <w:rPr>
          <w:lang w:eastAsia="en-AU"/>
        </w:rPr>
        <w:instrText xml:space="preserve"> ADDIN EN.CITE &lt;EndNote&gt;&lt;Cite&gt;&lt;Author&gt;Australian Government Department of Health&lt;/Author&gt;&lt;Year&gt;2022&lt;/Year&gt;&lt;RecNum&gt;5&lt;/RecNum&gt;&lt;DisplayText&gt;(6)&lt;/DisplayText&gt;&lt;record&gt;&lt;rec-number&gt;5&lt;/rec-number&gt;&lt;foreign-keys&gt;&lt;key app="EN" db-id="9srp00rfl2f0woefarq55vsgttze955atapd" timestamp="1650953270"&gt;5&lt;/key&gt;&lt;/foreign-keys&gt;&lt;ref-type name="Web Page"&gt;12&lt;/ref-type&gt;&lt;contributors&gt;&lt;authors&gt;&lt;author&gt;Australian Government Department of Health, .&lt;/author&gt;&lt;/authors&gt;&lt;/contributors&gt;&lt;titles&gt;&lt;title&gt;Health Technology Assesment Policy Framework&lt;/title&gt;&lt;/titles&gt;&lt;dates&gt;&lt;year&gt;2022&lt;/year&gt;&lt;/dates&gt;&lt;urls&gt;&lt;related-urls&gt;&lt;url&gt;https://www1.health.gov.au/internet/hta/publishing.nsf/Content/policy-1&lt;/url&gt;&lt;/related-urls&gt;&lt;/urls&gt;&lt;/record&gt;&lt;/Cite&gt;&lt;/EndNote&gt;</w:instrText>
      </w:r>
      <w:r w:rsidR="00AD3393">
        <w:rPr>
          <w:lang w:eastAsia="en-AU"/>
        </w:rPr>
        <w:fldChar w:fldCharType="separate"/>
      </w:r>
      <w:r w:rsidR="000F6AF0">
        <w:rPr>
          <w:noProof/>
          <w:lang w:eastAsia="en-AU"/>
        </w:rPr>
        <w:t>(6)</w:t>
      </w:r>
      <w:r w:rsidR="00AD3393">
        <w:rPr>
          <w:lang w:eastAsia="en-AU"/>
        </w:rPr>
        <w:fldChar w:fldCharType="end"/>
      </w:r>
    </w:p>
    <w:p w14:paraId="7C1617EA" w14:textId="77777777" w:rsidR="00A36804" w:rsidRDefault="00A36804" w:rsidP="00A36804">
      <w:r>
        <w:t>Specifically, the Australian Government HTA processes should be:</w:t>
      </w:r>
    </w:p>
    <w:p w14:paraId="76A063D1" w14:textId="7A4E4D24" w:rsidR="00A36804" w:rsidRDefault="00A36804" w:rsidP="00A91CAF">
      <w:pPr>
        <w:pStyle w:val="ListBullet"/>
      </w:pPr>
      <w:r>
        <w:t>Sustainable</w:t>
      </w:r>
    </w:p>
    <w:p w14:paraId="022233DA" w14:textId="0E6860A6" w:rsidR="00A36804" w:rsidRDefault="00A36804" w:rsidP="00A91CAF">
      <w:pPr>
        <w:pStyle w:val="ListBullet"/>
      </w:pPr>
      <w:r>
        <w:t>Transparent, independent and accountable</w:t>
      </w:r>
    </w:p>
    <w:p w14:paraId="752BED76" w14:textId="701E1918" w:rsidR="00A36804" w:rsidRDefault="00A36804" w:rsidP="00A91CAF">
      <w:pPr>
        <w:pStyle w:val="ListBullet"/>
      </w:pPr>
      <w:r>
        <w:t>Consultative and reflective of Australian community values</w:t>
      </w:r>
    </w:p>
    <w:p w14:paraId="3141BBB6" w14:textId="2CE6659D" w:rsidR="00A36804" w:rsidRDefault="00A36804" w:rsidP="00A91CAF">
      <w:pPr>
        <w:pStyle w:val="ListBullet"/>
      </w:pPr>
      <w:r>
        <w:t>Administratively efficient</w:t>
      </w:r>
    </w:p>
    <w:p w14:paraId="41CAF8A1" w14:textId="2DD7B315" w:rsidR="00A36804" w:rsidRDefault="00A36804" w:rsidP="00A91CAF">
      <w:pPr>
        <w:pStyle w:val="ListBullet"/>
      </w:pPr>
      <w:r>
        <w:t>Flexible and fit-for-purpose</w:t>
      </w:r>
    </w:p>
    <w:p w14:paraId="22B10538" w14:textId="46B0710C" w:rsidR="00A36804" w:rsidRDefault="00A36804" w:rsidP="00A91CAF">
      <w:pPr>
        <w:pStyle w:val="ListBullet"/>
      </w:pPr>
      <w:r>
        <w:t>Informed by robust and relevant evidence</w:t>
      </w:r>
      <w:r w:rsidR="00F925FC">
        <w:t xml:space="preserve"> </w:t>
      </w:r>
      <w:r w:rsidR="00F925FC">
        <w:fldChar w:fldCharType="begin"/>
      </w:r>
      <w:r w:rsidR="000F6AF0">
        <w:instrText xml:space="preserve"> ADDIN EN.CITE &lt;EndNote&gt;&lt;Cite&gt;&lt;Author&gt;Australian Government Department of Health&lt;/Author&gt;&lt;Year&gt;2022&lt;/Year&gt;&lt;RecNum&gt;5&lt;/RecNum&gt;&lt;DisplayText&gt;(6)&lt;/DisplayText&gt;&lt;record&gt;&lt;rec-number&gt;5&lt;/rec-number&gt;&lt;foreign-keys&gt;&lt;key app="EN" db-id="9srp00rfl2f0woefarq55vsgttze955atapd" timestamp="1650953270"&gt;5&lt;/key&gt;&lt;/foreign-keys&gt;&lt;ref-type name="Web Page"&gt;12&lt;/ref-type&gt;&lt;contributors&gt;&lt;authors&gt;&lt;author&gt;Australian Government Department of Health, .&lt;/author&gt;&lt;/authors&gt;&lt;/contributors&gt;&lt;titles&gt;&lt;title&gt;Health Technology Assesment Policy Framework&lt;/title&gt;&lt;/titles&gt;&lt;dates&gt;&lt;year&gt;2022&lt;/year&gt;&lt;/dates&gt;&lt;urls&gt;&lt;related-urls&gt;&lt;url&gt;https://www1.health.gov.au/internet/hta/publishing.nsf/Content/policy-1&lt;/url&gt;&lt;/related-urls&gt;&lt;/urls&gt;&lt;/record&gt;&lt;/Cite&gt;&lt;/EndNote&gt;</w:instrText>
      </w:r>
      <w:r w:rsidR="00F925FC">
        <w:fldChar w:fldCharType="separate"/>
      </w:r>
      <w:r w:rsidR="000F6AF0">
        <w:rPr>
          <w:noProof/>
        </w:rPr>
        <w:t>(6)</w:t>
      </w:r>
      <w:r w:rsidR="00F925FC">
        <w:fldChar w:fldCharType="end"/>
      </w:r>
    </w:p>
    <w:p w14:paraId="38CFB6F4" w14:textId="340FFD49" w:rsidR="003D2395" w:rsidRDefault="003D2395" w:rsidP="003D2395">
      <w:pPr>
        <w:pStyle w:val="Heading2"/>
      </w:pPr>
      <w:bookmarkStart w:id="22" w:name="_Toc125470873"/>
      <w:bookmarkStart w:id="23" w:name="_Toc125984778"/>
      <w:r>
        <w:t>Comparison with other Australian Government processes: PBAC and MSAC</w:t>
      </w:r>
      <w:bookmarkEnd w:id="22"/>
      <w:bookmarkEnd w:id="23"/>
    </w:p>
    <w:p w14:paraId="5177E871" w14:textId="5C1E3EDA" w:rsidR="0032568F" w:rsidRPr="00E727FE" w:rsidRDefault="0032568F" w:rsidP="00E727FE">
      <w:pPr>
        <w:pStyle w:val="Heading3"/>
      </w:pPr>
      <w:bookmarkStart w:id="24" w:name="_Toc125984779"/>
      <w:r w:rsidRPr="00640AF3">
        <w:t>Committee operation and process</w:t>
      </w:r>
      <w:bookmarkEnd w:id="24"/>
    </w:p>
    <w:p w14:paraId="4AFBABD5" w14:textId="6086073A" w:rsidR="003D2395" w:rsidRDefault="003D2395" w:rsidP="00E727FE">
      <w:r>
        <w:t xml:space="preserve">It is useful to compare and contrast the operation of two other key HTA processes to the current PL process. </w:t>
      </w:r>
      <w:r>
        <w:fldChar w:fldCharType="begin"/>
      </w:r>
      <w:r>
        <w:instrText xml:space="preserve"> REF _Ref100833592 \h </w:instrText>
      </w:r>
      <w:r>
        <w:fldChar w:fldCharType="separate"/>
      </w:r>
      <w:r w:rsidR="00200D1D" w:rsidRPr="00C13773">
        <w:rPr>
          <w:szCs w:val="24"/>
        </w:rPr>
        <w:t xml:space="preserve">Table </w:t>
      </w:r>
      <w:r w:rsidR="00200D1D">
        <w:rPr>
          <w:noProof/>
          <w:szCs w:val="24"/>
        </w:rPr>
        <w:t>2</w:t>
      </w:r>
      <w:r>
        <w:fldChar w:fldCharType="end"/>
      </w:r>
      <w:r>
        <w:t xml:space="preserve"> shows key components of the framework and governance of the PBAC, the MSAC and the PLAC.</w:t>
      </w:r>
    </w:p>
    <w:p w14:paraId="630177E8" w14:textId="4A61FD89" w:rsidR="003D2395" w:rsidRDefault="003D2395" w:rsidP="003D2395"/>
    <w:p w14:paraId="2C484D15" w14:textId="77777777" w:rsidR="003D2395" w:rsidRDefault="003D2395" w:rsidP="003D2395">
      <w:pPr>
        <w:sectPr w:rsidR="003D2395" w:rsidSect="00B32C95">
          <w:pgSz w:w="11906" w:h="16838"/>
          <w:pgMar w:top="1440" w:right="1440" w:bottom="1440" w:left="1440" w:header="708" w:footer="567" w:gutter="0"/>
          <w:cols w:space="708"/>
          <w:titlePg/>
          <w:docGrid w:linePitch="360"/>
        </w:sectPr>
      </w:pPr>
    </w:p>
    <w:p w14:paraId="1225FAB5" w14:textId="74F6E75A" w:rsidR="003D2395" w:rsidRPr="00C13773" w:rsidRDefault="003D2395" w:rsidP="00DB5803">
      <w:pPr>
        <w:pStyle w:val="Caption"/>
      </w:pPr>
      <w:bookmarkStart w:id="25" w:name="_Ref100833592"/>
      <w:r w:rsidRPr="00C13773">
        <w:lastRenderedPageBreak/>
        <w:t xml:space="preserve">Table </w:t>
      </w:r>
      <w:r w:rsidR="00D113FD">
        <w:fldChar w:fldCharType="begin"/>
      </w:r>
      <w:r w:rsidR="00D113FD">
        <w:instrText xml:space="preserve"> SEQ Table \* ARABIC </w:instrText>
      </w:r>
      <w:r w:rsidR="00D113FD">
        <w:fldChar w:fldCharType="separate"/>
      </w:r>
      <w:r w:rsidR="00200D1D">
        <w:rPr>
          <w:noProof/>
        </w:rPr>
        <w:t>2</w:t>
      </w:r>
      <w:r w:rsidR="00D113FD">
        <w:rPr>
          <w:noProof/>
        </w:rPr>
        <w:fldChar w:fldCharType="end"/>
      </w:r>
      <w:bookmarkEnd w:id="25"/>
      <w:r w:rsidR="008E0DC8" w:rsidRPr="00C13773">
        <w:t>.</w:t>
      </w:r>
      <w:r w:rsidRPr="00C13773">
        <w:t xml:space="preserve"> Comparison of HTA processes within the </w:t>
      </w:r>
      <w:r w:rsidR="00F66D7F">
        <w:t>Department of Health and Aged Care</w:t>
      </w:r>
    </w:p>
    <w:tbl>
      <w:tblPr>
        <w:tblStyle w:val="ListTable3-Accent11"/>
        <w:tblW w:w="5000" w:type="pct"/>
        <w:tblLook w:val="04A0" w:firstRow="1" w:lastRow="0" w:firstColumn="1" w:lastColumn="0" w:noHBand="0" w:noVBand="1"/>
        <w:tblDescription w:val="Table 2 is a list of HTA processes with the Department of Health.  This list of relevant features of the HTA processes used across the Dept of Health."/>
      </w:tblPr>
      <w:tblGrid>
        <w:gridCol w:w="2547"/>
        <w:gridCol w:w="3800"/>
        <w:gridCol w:w="3800"/>
        <w:gridCol w:w="3801"/>
      </w:tblGrid>
      <w:tr w:rsidR="00A91CAF" w:rsidRPr="00E727FE" w14:paraId="5E94B92B" w14:textId="77777777" w:rsidTr="00A91C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Pr>
          <w:p w14:paraId="560FB929" w14:textId="77777777" w:rsidR="003D2395" w:rsidRPr="00E727FE" w:rsidRDefault="003D2395" w:rsidP="00E727FE"/>
        </w:tc>
        <w:tc>
          <w:tcPr>
            <w:tcW w:w="3800" w:type="dxa"/>
          </w:tcPr>
          <w:p w14:paraId="343F37B5" w14:textId="77777777" w:rsidR="003D2395" w:rsidRPr="00E727FE" w:rsidRDefault="003D2395" w:rsidP="00E727FE">
            <w:pPr>
              <w:cnfStyle w:val="100000000000" w:firstRow="1" w:lastRow="0" w:firstColumn="0" w:lastColumn="0" w:oddVBand="0" w:evenVBand="0" w:oddHBand="0" w:evenHBand="0" w:firstRowFirstColumn="0" w:firstRowLastColumn="0" w:lastRowFirstColumn="0" w:lastRowLastColumn="0"/>
            </w:pPr>
            <w:r w:rsidRPr="00E727FE">
              <w:t>MSAC1</w:t>
            </w:r>
          </w:p>
        </w:tc>
        <w:tc>
          <w:tcPr>
            <w:tcW w:w="3800" w:type="dxa"/>
          </w:tcPr>
          <w:p w14:paraId="7848DE1D" w14:textId="77777777" w:rsidR="003D2395" w:rsidRPr="00E727FE" w:rsidRDefault="003D2395" w:rsidP="00E727FE">
            <w:pPr>
              <w:cnfStyle w:val="100000000000" w:firstRow="1" w:lastRow="0" w:firstColumn="0" w:lastColumn="0" w:oddVBand="0" w:evenVBand="0" w:oddHBand="0" w:evenHBand="0" w:firstRowFirstColumn="0" w:firstRowLastColumn="0" w:lastRowFirstColumn="0" w:lastRowLastColumn="0"/>
            </w:pPr>
            <w:r w:rsidRPr="00E727FE">
              <w:t>PBAC2</w:t>
            </w:r>
          </w:p>
        </w:tc>
        <w:tc>
          <w:tcPr>
            <w:tcW w:w="3801" w:type="dxa"/>
          </w:tcPr>
          <w:p w14:paraId="1E7DE3B1" w14:textId="77777777" w:rsidR="003D2395" w:rsidRPr="00E727FE" w:rsidRDefault="003D2395" w:rsidP="00E727FE">
            <w:pPr>
              <w:cnfStyle w:val="100000000000" w:firstRow="1" w:lastRow="0" w:firstColumn="0" w:lastColumn="0" w:oddVBand="0" w:evenVBand="0" w:oddHBand="0" w:evenHBand="0" w:firstRowFirstColumn="0" w:firstRowLastColumn="0" w:lastRowFirstColumn="0" w:lastRowLastColumn="0"/>
            </w:pPr>
            <w:r w:rsidRPr="00E727FE">
              <w:t>PLAC3</w:t>
            </w:r>
          </w:p>
        </w:tc>
      </w:tr>
      <w:tr w:rsidR="003D2395" w:rsidRPr="00E727FE" w14:paraId="7C710CFA"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90857C" w14:textId="4BC24EA8" w:rsidR="003D2395" w:rsidRPr="00E727FE" w:rsidRDefault="003D2395" w:rsidP="00E727FE">
            <w:r w:rsidRPr="00E727FE">
              <w:t xml:space="preserve">Decisions made </w:t>
            </w:r>
            <w:r w:rsidR="008D0CD4" w:rsidRPr="00E727FE">
              <w:t>for the purpose of recommending listing on:</w:t>
            </w:r>
            <w:r w:rsidRPr="00E727FE">
              <w:t xml:space="preserve"> </w:t>
            </w:r>
          </w:p>
        </w:tc>
        <w:tc>
          <w:tcPr>
            <w:tcW w:w="3800" w:type="dxa"/>
          </w:tcPr>
          <w:p w14:paraId="52983E32" w14:textId="3BDAA397" w:rsidR="003D2395" w:rsidRPr="00E727FE" w:rsidRDefault="008D0CD4" w:rsidP="00E727FE">
            <w:pPr>
              <w:cnfStyle w:val="000000100000" w:firstRow="0" w:lastRow="0" w:firstColumn="0" w:lastColumn="0" w:oddVBand="0" w:evenVBand="0" w:oddHBand="1" w:evenHBand="0" w:firstRowFirstColumn="0" w:firstRowLastColumn="0" w:lastRowFirstColumn="0" w:lastRowLastColumn="0"/>
            </w:pPr>
            <w:r w:rsidRPr="00E727FE">
              <w:t>MBS</w:t>
            </w:r>
          </w:p>
        </w:tc>
        <w:tc>
          <w:tcPr>
            <w:tcW w:w="3800" w:type="dxa"/>
          </w:tcPr>
          <w:p w14:paraId="3596EB7E" w14:textId="77777777"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PBS</w:t>
            </w:r>
          </w:p>
        </w:tc>
        <w:tc>
          <w:tcPr>
            <w:tcW w:w="3801" w:type="dxa"/>
          </w:tcPr>
          <w:p w14:paraId="79D506C1" w14:textId="77777777"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PL</w:t>
            </w:r>
          </w:p>
        </w:tc>
      </w:tr>
      <w:tr w:rsidR="003D2395" w:rsidRPr="00E727FE" w14:paraId="2AEEE8F0" w14:textId="77777777" w:rsidTr="00A91CAF">
        <w:tc>
          <w:tcPr>
            <w:cnfStyle w:val="001000000000" w:firstRow="0" w:lastRow="0" w:firstColumn="1" w:lastColumn="0" w:oddVBand="0" w:evenVBand="0" w:oddHBand="0" w:evenHBand="0" w:firstRowFirstColumn="0" w:firstRowLastColumn="0" w:lastRowFirstColumn="0" w:lastRowLastColumn="0"/>
            <w:tcW w:w="2547" w:type="dxa"/>
          </w:tcPr>
          <w:p w14:paraId="180BBE32" w14:textId="785071EC" w:rsidR="003D2395" w:rsidRPr="00E727FE" w:rsidRDefault="003D2395" w:rsidP="00E727FE">
            <w:r w:rsidRPr="00E727FE">
              <w:t>HTA undertaken by</w:t>
            </w:r>
            <w:r w:rsidR="008D0CD4" w:rsidRPr="00E727FE">
              <w:t>:</w:t>
            </w:r>
          </w:p>
        </w:tc>
        <w:tc>
          <w:tcPr>
            <w:tcW w:w="3800" w:type="dxa"/>
          </w:tcPr>
          <w:p w14:paraId="158C42E2" w14:textId="7157AEC5" w:rsidR="003D2395" w:rsidRPr="00E727FE" w:rsidRDefault="003D2395" w:rsidP="00E727FE">
            <w:pPr>
              <w:cnfStyle w:val="000000000000" w:firstRow="0" w:lastRow="0" w:firstColumn="0" w:lastColumn="0" w:oddVBand="0" w:evenVBand="0" w:oddHBand="0" w:evenHBand="0" w:firstRowFirstColumn="0" w:firstRowLastColumn="0" w:lastRowFirstColumn="0" w:lastRowLastColumn="0"/>
            </w:pPr>
            <w:r w:rsidRPr="00E727FE">
              <w:t xml:space="preserve">External </w:t>
            </w:r>
            <w:r w:rsidR="00FC686D" w:rsidRPr="00E727FE">
              <w:t xml:space="preserve">independent </w:t>
            </w:r>
            <w:r w:rsidRPr="00E727FE">
              <w:t>evaluators (DCAR)</w:t>
            </w:r>
          </w:p>
          <w:p w14:paraId="40EE8CDA" w14:textId="03541AC5" w:rsidR="003D2395" w:rsidRPr="00E727FE" w:rsidRDefault="00FC686D" w:rsidP="00E727FE">
            <w:pPr>
              <w:cnfStyle w:val="000000000000" w:firstRow="0" w:lastRow="0" w:firstColumn="0" w:lastColumn="0" w:oddVBand="0" w:evenVBand="0" w:oddHBand="0" w:evenHBand="0" w:firstRowFirstColumn="0" w:firstRowLastColumn="0" w:lastRowFirstColumn="0" w:lastRowLastColumn="0"/>
            </w:pPr>
            <w:r w:rsidRPr="00E727FE">
              <w:t xml:space="preserve">Applicants/sponsors </w:t>
            </w:r>
            <w:r w:rsidR="003D2395" w:rsidRPr="00E727FE">
              <w:t>(ADAR), with commentary by external evaluators</w:t>
            </w:r>
          </w:p>
        </w:tc>
        <w:tc>
          <w:tcPr>
            <w:tcW w:w="3800" w:type="dxa"/>
          </w:tcPr>
          <w:p w14:paraId="1A9E5C3E" w14:textId="1505CEF3" w:rsidR="003D2395" w:rsidRPr="00E727FE" w:rsidRDefault="00FC686D" w:rsidP="00E727FE">
            <w:pPr>
              <w:cnfStyle w:val="000000000000" w:firstRow="0" w:lastRow="0" w:firstColumn="0" w:lastColumn="0" w:oddVBand="0" w:evenVBand="0" w:oddHBand="0" w:evenHBand="0" w:firstRowFirstColumn="0" w:firstRowLastColumn="0" w:lastRowFirstColumn="0" w:lastRowLastColumn="0"/>
            </w:pPr>
            <w:r w:rsidRPr="00E727FE">
              <w:t>Applicants/sponsors, with commentary by external independent evaluators</w:t>
            </w:r>
          </w:p>
        </w:tc>
        <w:tc>
          <w:tcPr>
            <w:tcW w:w="3801" w:type="dxa"/>
          </w:tcPr>
          <w:p w14:paraId="7557F153" w14:textId="77777777" w:rsidR="003D2395" w:rsidRPr="00E727FE" w:rsidRDefault="005C34BB" w:rsidP="00E727FE">
            <w:pPr>
              <w:cnfStyle w:val="000000000000" w:firstRow="0" w:lastRow="0" w:firstColumn="0" w:lastColumn="0" w:oddVBand="0" w:evenVBand="0" w:oddHBand="0" w:evenHBand="0" w:firstRowFirstColumn="0" w:firstRowLastColumn="0" w:lastRowFirstColumn="0" w:lastRowLastColumn="0"/>
            </w:pPr>
            <w:r w:rsidRPr="00E727FE">
              <w:t>Clinical Advisory Groups, Panel of Clinical E</w:t>
            </w:r>
            <w:r w:rsidR="003D2395" w:rsidRPr="00E727FE">
              <w:t>xperts</w:t>
            </w:r>
          </w:p>
          <w:p w14:paraId="48457038" w14:textId="029E4F41" w:rsidR="00E710E0" w:rsidRPr="00E727FE" w:rsidRDefault="00E710E0" w:rsidP="00E727FE">
            <w:pPr>
              <w:cnfStyle w:val="000000000000" w:firstRow="0" w:lastRow="0" w:firstColumn="0" w:lastColumn="0" w:oddVBand="0" w:evenVBand="0" w:oddHBand="0" w:evenHBand="0" w:firstRowFirstColumn="0" w:firstRowLastColumn="0" w:lastRowFirstColumn="0" w:lastRowLastColumn="0"/>
            </w:pPr>
            <w:r w:rsidRPr="00E727FE">
              <w:t>External independent evaluators</w:t>
            </w:r>
          </w:p>
        </w:tc>
      </w:tr>
      <w:tr w:rsidR="003D2395" w:rsidRPr="00E727FE" w14:paraId="1A74AF25"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6B1BCD" w14:textId="4404CBB2" w:rsidR="003D2395" w:rsidRPr="00E727FE" w:rsidRDefault="003D2395" w:rsidP="00E727FE">
            <w:r w:rsidRPr="00E727FE">
              <w:t>Purpose</w:t>
            </w:r>
            <w:r w:rsidR="008D0CD4" w:rsidRPr="00E727FE">
              <w:t xml:space="preserve"> of committee</w:t>
            </w:r>
          </w:p>
        </w:tc>
        <w:tc>
          <w:tcPr>
            <w:tcW w:w="3800" w:type="dxa"/>
          </w:tcPr>
          <w:p w14:paraId="6A164E6D" w14:textId="77777777"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“MSAC appraises medical services, health technologies and health programs for public funding through an assessment of their comparative safety, clinical effectiveness, cost effectiveness and total cost, using the best available evidence”</w:t>
            </w:r>
          </w:p>
        </w:tc>
        <w:tc>
          <w:tcPr>
            <w:tcW w:w="3800" w:type="dxa"/>
          </w:tcPr>
          <w:p w14:paraId="74CBAC52" w14:textId="77777777"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“Its primary role is to recommend new medicines for listing on the PBS. When recommending a medicine for listing, the PBAC takes into account the medical conditions for which the medicine was registered for use in Australia, its clinical effectiveness, safety and cost-effectiveness (‘value for money’) compared with other treatments”</w:t>
            </w:r>
          </w:p>
        </w:tc>
        <w:tc>
          <w:tcPr>
            <w:tcW w:w="3801" w:type="dxa"/>
          </w:tcPr>
          <w:p w14:paraId="449EC83D" w14:textId="418E2400"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 xml:space="preserve">“Its primary role is to make recommendations to the Minister for Health and advise the Department of Health </w:t>
            </w:r>
            <w:r w:rsidR="00F66D7F" w:rsidRPr="00E727FE">
              <w:t xml:space="preserve">[and Aged Care] </w:t>
            </w:r>
            <w:r w:rsidRPr="00E727FE">
              <w:t>about the listing of medical devices and their benefits on the Prostheses List. The PLAC’s recommendations and advice are to be based on assessment of comparative clinical effectiveness and cost effectiveness of medical devices using the best available evidence”</w:t>
            </w:r>
          </w:p>
        </w:tc>
      </w:tr>
      <w:tr w:rsidR="003D2395" w:rsidRPr="00E727FE" w14:paraId="4A343406" w14:textId="77777777" w:rsidTr="00A91CAF">
        <w:tc>
          <w:tcPr>
            <w:cnfStyle w:val="001000000000" w:firstRow="0" w:lastRow="0" w:firstColumn="1" w:lastColumn="0" w:oddVBand="0" w:evenVBand="0" w:oddHBand="0" w:evenHBand="0" w:firstRowFirstColumn="0" w:firstRowLastColumn="0" w:lastRowFirstColumn="0" w:lastRowLastColumn="0"/>
            <w:tcW w:w="2547" w:type="dxa"/>
          </w:tcPr>
          <w:p w14:paraId="096FCFE6" w14:textId="3505EB12" w:rsidR="003D2395" w:rsidRPr="00E727FE" w:rsidRDefault="003711F5" w:rsidP="00E727FE">
            <w:r w:rsidRPr="00E727FE">
              <w:t>Sub-committee</w:t>
            </w:r>
            <w:r w:rsidR="003D2395" w:rsidRPr="00E727FE">
              <w:t>s</w:t>
            </w:r>
          </w:p>
        </w:tc>
        <w:tc>
          <w:tcPr>
            <w:tcW w:w="3800" w:type="dxa"/>
          </w:tcPr>
          <w:p w14:paraId="21875989" w14:textId="14187F0E" w:rsidR="003D2395" w:rsidRPr="00E727FE" w:rsidRDefault="003D2395" w:rsidP="00E727FE">
            <w:pPr>
              <w:cnfStyle w:val="000000000000" w:firstRow="0" w:lastRow="0" w:firstColumn="0" w:lastColumn="0" w:oddVBand="0" w:evenVBand="0" w:oddHBand="0" w:evenHBand="0" w:firstRowFirstColumn="0" w:firstRowLastColumn="0" w:lastRowFirstColumn="0" w:lastRowLastColumn="0"/>
            </w:pPr>
            <w:r w:rsidRPr="00E727FE">
              <w:t>E</w:t>
            </w:r>
            <w:r w:rsidR="00620257" w:rsidRPr="00E727FE">
              <w:t xml:space="preserve">valuation </w:t>
            </w:r>
            <w:r w:rsidR="003711F5" w:rsidRPr="00E727FE">
              <w:t>Sub-committee</w:t>
            </w:r>
            <w:r w:rsidR="00620257" w:rsidRPr="00E727FE">
              <w:t xml:space="preserve"> (ESC)</w:t>
            </w:r>
          </w:p>
          <w:p w14:paraId="6082B256" w14:textId="3254E943" w:rsidR="003D2395" w:rsidRPr="00E727FE" w:rsidRDefault="00620257" w:rsidP="00E727FE">
            <w:pPr>
              <w:cnfStyle w:val="000000000000" w:firstRow="0" w:lastRow="0" w:firstColumn="0" w:lastColumn="0" w:oddVBand="0" w:evenVBand="0" w:oddHBand="0" w:evenHBand="0" w:firstRowFirstColumn="0" w:firstRowLastColumn="0" w:lastRowFirstColumn="0" w:lastRowLastColumn="0"/>
            </w:pPr>
            <w:r w:rsidRPr="00E727FE">
              <w:t xml:space="preserve">PICO confirmation advisory </w:t>
            </w:r>
            <w:r w:rsidR="003711F5" w:rsidRPr="00E727FE">
              <w:t>Sub-committee</w:t>
            </w:r>
            <w:r w:rsidRPr="00E727FE">
              <w:t xml:space="preserve"> (</w:t>
            </w:r>
            <w:r w:rsidR="003D2395" w:rsidRPr="00E727FE">
              <w:t>PASC</w:t>
            </w:r>
            <w:r w:rsidRPr="00E727FE">
              <w:t>)</w:t>
            </w:r>
          </w:p>
        </w:tc>
        <w:tc>
          <w:tcPr>
            <w:tcW w:w="3800" w:type="dxa"/>
          </w:tcPr>
          <w:p w14:paraId="110077B8" w14:textId="6D866FA4" w:rsidR="003D2395" w:rsidRPr="00E727FE" w:rsidRDefault="00620257" w:rsidP="00E727FE">
            <w:pPr>
              <w:cnfStyle w:val="000000000000" w:firstRow="0" w:lastRow="0" w:firstColumn="0" w:lastColumn="0" w:oddVBand="0" w:evenVBand="0" w:oddHBand="0" w:evenHBand="0" w:firstRowFirstColumn="0" w:firstRowLastColumn="0" w:lastRowFirstColumn="0" w:lastRowLastColumn="0"/>
            </w:pPr>
            <w:r w:rsidRPr="00E727FE">
              <w:t xml:space="preserve">Drug utilisation </w:t>
            </w:r>
            <w:r w:rsidR="003711F5" w:rsidRPr="00E727FE">
              <w:t>Sub-committee</w:t>
            </w:r>
            <w:r w:rsidRPr="00E727FE">
              <w:t xml:space="preserve"> (</w:t>
            </w:r>
            <w:r w:rsidR="003D2395" w:rsidRPr="00E727FE">
              <w:t>DUSC</w:t>
            </w:r>
            <w:r w:rsidRPr="00E727FE">
              <w:t>)</w:t>
            </w:r>
          </w:p>
          <w:p w14:paraId="59FD8597" w14:textId="37036CC5" w:rsidR="003D2395" w:rsidRPr="00E727FE" w:rsidRDefault="00620257" w:rsidP="00E727FE">
            <w:pPr>
              <w:cnfStyle w:val="000000000000" w:firstRow="0" w:lastRow="0" w:firstColumn="0" w:lastColumn="0" w:oddVBand="0" w:evenVBand="0" w:oddHBand="0" w:evenHBand="0" w:firstRowFirstColumn="0" w:firstRowLastColumn="0" w:lastRowFirstColumn="0" w:lastRowLastColumn="0"/>
            </w:pPr>
            <w:r w:rsidRPr="00E727FE">
              <w:t xml:space="preserve">Economic </w:t>
            </w:r>
            <w:r w:rsidR="003711F5" w:rsidRPr="00E727FE">
              <w:t>Sub-committee</w:t>
            </w:r>
            <w:r w:rsidRPr="00E727FE">
              <w:t xml:space="preserve"> (</w:t>
            </w:r>
            <w:r w:rsidR="003D2395" w:rsidRPr="00E727FE">
              <w:t>ESC</w:t>
            </w:r>
            <w:r w:rsidRPr="00E727FE">
              <w:t>)</w:t>
            </w:r>
          </w:p>
        </w:tc>
        <w:tc>
          <w:tcPr>
            <w:tcW w:w="3801" w:type="dxa"/>
          </w:tcPr>
          <w:p w14:paraId="1C80D8AC" w14:textId="5DC9549E" w:rsidR="008D0CD4" w:rsidRPr="00E727FE" w:rsidRDefault="005C34BB" w:rsidP="00E727FE">
            <w:pPr>
              <w:cnfStyle w:val="000000000000" w:firstRow="0" w:lastRow="0" w:firstColumn="0" w:lastColumn="0" w:oddVBand="0" w:evenVBand="0" w:oddHBand="0" w:evenHBand="0" w:firstRowFirstColumn="0" w:firstRowLastColumn="0" w:lastRowFirstColumn="0" w:lastRowLastColumn="0"/>
            </w:pPr>
            <w:r w:rsidRPr="00E727FE">
              <w:t>Clinical Advisory G</w:t>
            </w:r>
            <w:r w:rsidR="003D2395" w:rsidRPr="00E727FE">
              <w:t>roups</w:t>
            </w:r>
            <w:r w:rsidR="006A5961" w:rsidRPr="00E727FE">
              <w:t xml:space="preserve"> (CAGs)</w:t>
            </w:r>
          </w:p>
          <w:p w14:paraId="6DFAD116" w14:textId="695633C5" w:rsidR="003D2395" w:rsidRPr="00E727FE" w:rsidRDefault="008D0CD4" w:rsidP="00E727FE">
            <w:pPr>
              <w:cnfStyle w:val="000000000000" w:firstRow="0" w:lastRow="0" w:firstColumn="0" w:lastColumn="0" w:oddVBand="0" w:evenVBand="0" w:oddHBand="0" w:evenHBand="0" w:firstRowFirstColumn="0" w:firstRowLastColumn="0" w:lastRowFirstColumn="0" w:lastRowLastColumn="0"/>
            </w:pPr>
            <w:r w:rsidRPr="00E727FE">
              <w:t>P</w:t>
            </w:r>
            <w:r w:rsidR="005C34BB" w:rsidRPr="00E727FE">
              <w:t>anel of C</w:t>
            </w:r>
            <w:r w:rsidR="003D2395" w:rsidRPr="00E727FE">
              <w:t xml:space="preserve">linical </w:t>
            </w:r>
            <w:r w:rsidR="005C34BB" w:rsidRPr="00E727FE">
              <w:t>E</w:t>
            </w:r>
            <w:r w:rsidR="003D2395" w:rsidRPr="00E727FE">
              <w:t>xperts</w:t>
            </w:r>
            <w:r w:rsidR="006A5961" w:rsidRPr="00E727FE">
              <w:t xml:space="preserve"> (</w:t>
            </w:r>
            <w:proofErr w:type="spellStart"/>
            <w:r w:rsidR="006A5961" w:rsidRPr="00E727FE">
              <w:t>PoCE</w:t>
            </w:r>
            <w:proofErr w:type="spellEnd"/>
            <w:r w:rsidR="006A5961" w:rsidRPr="00E727FE">
              <w:t>)</w:t>
            </w:r>
          </w:p>
        </w:tc>
      </w:tr>
      <w:tr w:rsidR="003D2395" w:rsidRPr="00E727FE" w14:paraId="0563467E"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BCADE9" w14:textId="77777777" w:rsidR="003D2395" w:rsidRPr="00E727FE" w:rsidRDefault="003D2395" w:rsidP="00E727FE">
            <w:r w:rsidRPr="00E727FE">
              <w:t>Reporting pathway</w:t>
            </w:r>
          </w:p>
        </w:tc>
        <w:tc>
          <w:tcPr>
            <w:tcW w:w="3800" w:type="dxa"/>
          </w:tcPr>
          <w:p w14:paraId="1468946C" w14:textId="33D20F40"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Advises Minister</w:t>
            </w:r>
          </w:p>
        </w:tc>
        <w:tc>
          <w:tcPr>
            <w:tcW w:w="3800" w:type="dxa"/>
          </w:tcPr>
          <w:p w14:paraId="0B129F5F" w14:textId="32B0CC3F"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A</w:t>
            </w:r>
            <w:r w:rsidR="005C34BB" w:rsidRPr="00E727FE">
              <w:t xml:space="preserve">dvises Minister </w:t>
            </w:r>
          </w:p>
        </w:tc>
        <w:tc>
          <w:tcPr>
            <w:tcW w:w="3801" w:type="dxa"/>
          </w:tcPr>
          <w:p w14:paraId="6478B276" w14:textId="51D3E88D" w:rsidR="003D2395" w:rsidRPr="00E727FE" w:rsidRDefault="005C34BB" w:rsidP="00E727FE">
            <w:pPr>
              <w:cnfStyle w:val="000000100000" w:firstRow="0" w:lastRow="0" w:firstColumn="0" w:lastColumn="0" w:oddVBand="0" w:evenVBand="0" w:oddHBand="1" w:evenHBand="0" w:firstRowFirstColumn="0" w:firstRowLastColumn="0" w:lastRowFirstColumn="0" w:lastRowLastColumn="0"/>
            </w:pPr>
            <w:r w:rsidRPr="00E727FE">
              <w:t xml:space="preserve">Advises Minister </w:t>
            </w:r>
            <w:r w:rsidR="006A5961" w:rsidRPr="00E727FE">
              <w:t>(or Delegate)</w:t>
            </w:r>
          </w:p>
        </w:tc>
      </w:tr>
      <w:tr w:rsidR="003D2395" w:rsidRPr="00E727FE" w14:paraId="48E9D1DF" w14:textId="77777777" w:rsidTr="00A91CAF">
        <w:tc>
          <w:tcPr>
            <w:cnfStyle w:val="001000000000" w:firstRow="0" w:lastRow="0" w:firstColumn="1" w:lastColumn="0" w:oddVBand="0" w:evenVBand="0" w:oddHBand="0" w:evenHBand="0" w:firstRowFirstColumn="0" w:firstRowLastColumn="0" w:lastRowFirstColumn="0" w:lastRowLastColumn="0"/>
            <w:tcW w:w="2547" w:type="dxa"/>
          </w:tcPr>
          <w:p w14:paraId="4C93F949" w14:textId="77777777" w:rsidR="003D2395" w:rsidRPr="00E727FE" w:rsidRDefault="003D2395" w:rsidP="00E727FE">
            <w:r w:rsidRPr="00E727FE">
              <w:t>Committee membership</w:t>
            </w:r>
          </w:p>
        </w:tc>
        <w:tc>
          <w:tcPr>
            <w:tcW w:w="3800" w:type="dxa"/>
          </w:tcPr>
          <w:p w14:paraId="6A698090" w14:textId="77777777" w:rsidR="008D0CD4" w:rsidRPr="00E727FE" w:rsidRDefault="003D2395" w:rsidP="00E727FE">
            <w:pPr>
              <w:cnfStyle w:val="000000000000" w:firstRow="0" w:lastRow="0" w:firstColumn="0" w:lastColumn="0" w:oddVBand="0" w:evenVBand="0" w:oddHBand="0" w:evenHBand="0" w:firstRowFirstColumn="0" w:firstRowLastColumn="0" w:lastRowFirstColumn="0" w:lastRowLastColumn="0"/>
            </w:pPr>
            <w:r w:rsidRPr="00E727FE">
              <w:t>Clinical and HTA experts</w:t>
            </w:r>
          </w:p>
          <w:p w14:paraId="63CF311F" w14:textId="0817E7FA" w:rsidR="003D2395" w:rsidRPr="00E727FE" w:rsidRDefault="008D0CD4" w:rsidP="00E727FE">
            <w:pPr>
              <w:cnfStyle w:val="000000000000" w:firstRow="0" w:lastRow="0" w:firstColumn="0" w:lastColumn="0" w:oddVBand="0" w:evenVBand="0" w:oddHBand="0" w:evenHBand="0" w:firstRowFirstColumn="0" w:firstRowLastColumn="0" w:lastRowFirstColumn="0" w:lastRowLastColumn="0"/>
            </w:pPr>
            <w:r w:rsidRPr="00E727FE">
              <w:lastRenderedPageBreak/>
              <w:t>C</w:t>
            </w:r>
            <w:r w:rsidR="003D2395" w:rsidRPr="00E727FE">
              <w:t>onsumers</w:t>
            </w:r>
          </w:p>
        </w:tc>
        <w:tc>
          <w:tcPr>
            <w:tcW w:w="3800" w:type="dxa"/>
          </w:tcPr>
          <w:p w14:paraId="5A199B19" w14:textId="77777777" w:rsidR="008D0CD4" w:rsidRPr="00E727FE" w:rsidRDefault="003D2395" w:rsidP="00E727FE">
            <w:pPr>
              <w:cnfStyle w:val="000000000000" w:firstRow="0" w:lastRow="0" w:firstColumn="0" w:lastColumn="0" w:oddVBand="0" w:evenVBand="0" w:oddHBand="0" w:evenHBand="0" w:firstRowFirstColumn="0" w:firstRowLastColumn="0" w:lastRowFirstColumn="0" w:lastRowLastColumn="0"/>
            </w:pPr>
            <w:r w:rsidRPr="00E727FE">
              <w:lastRenderedPageBreak/>
              <w:t>Clinical and HTA experts</w:t>
            </w:r>
          </w:p>
          <w:p w14:paraId="2D0B8600" w14:textId="77777777" w:rsidR="008D0CD4" w:rsidRPr="00E727FE" w:rsidRDefault="008D0CD4" w:rsidP="00E727FE">
            <w:pPr>
              <w:cnfStyle w:val="000000000000" w:firstRow="0" w:lastRow="0" w:firstColumn="0" w:lastColumn="0" w:oddVBand="0" w:evenVBand="0" w:oddHBand="0" w:evenHBand="0" w:firstRowFirstColumn="0" w:firstRowLastColumn="0" w:lastRowFirstColumn="0" w:lastRowLastColumn="0"/>
            </w:pPr>
            <w:r w:rsidRPr="00E727FE">
              <w:lastRenderedPageBreak/>
              <w:t>C</w:t>
            </w:r>
            <w:r w:rsidR="003D2395" w:rsidRPr="00E727FE">
              <w:t>onsumers</w:t>
            </w:r>
          </w:p>
          <w:p w14:paraId="1E9C56AB" w14:textId="2E507413" w:rsidR="003D2395" w:rsidRPr="00E727FE" w:rsidRDefault="008D0CD4" w:rsidP="00E727FE">
            <w:pPr>
              <w:cnfStyle w:val="000000000000" w:firstRow="0" w:lastRow="0" w:firstColumn="0" w:lastColumn="0" w:oddVBand="0" w:evenVBand="0" w:oddHBand="0" w:evenHBand="0" w:firstRowFirstColumn="0" w:firstRowLastColumn="0" w:lastRowFirstColumn="0" w:lastRowLastColumn="0"/>
            </w:pPr>
            <w:r w:rsidRPr="00E727FE">
              <w:t>O</w:t>
            </w:r>
            <w:r w:rsidR="003D2395" w:rsidRPr="00E727FE">
              <w:t>ne industry representative</w:t>
            </w:r>
          </w:p>
        </w:tc>
        <w:tc>
          <w:tcPr>
            <w:tcW w:w="3801" w:type="dxa"/>
          </w:tcPr>
          <w:p w14:paraId="6FB25BB0" w14:textId="77777777" w:rsidR="008D0CD4" w:rsidRPr="00E727FE" w:rsidRDefault="003D2395" w:rsidP="00E727FE">
            <w:pPr>
              <w:cnfStyle w:val="000000000000" w:firstRow="0" w:lastRow="0" w:firstColumn="0" w:lastColumn="0" w:oddVBand="0" w:evenVBand="0" w:oddHBand="0" w:evenHBand="0" w:firstRowFirstColumn="0" w:firstRowLastColumn="0" w:lastRowFirstColumn="0" w:lastRowLastColumn="0"/>
            </w:pPr>
            <w:r w:rsidRPr="00E727FE">
              <w:lastRenderedPageBreak/>
              <w:t>Clinical and HTA experts</w:t>
            </w:r>
          </w:p>
          <w:p w14:paraId="295633B3" w14:textId="77777777" w:rsidR="008D0CD4" w:rsidRPr="00E727FE" w:rsidRDefault="008D0CD4" w:rsidP="00E727FE">
            <w:pPr>
              <w:cnfStyle w:val="000000000000" w:firstRow="0" w:lastRow="0" w:firstColumn="0" w:lastColumn="0" w:oddVBand="0" w:evenVBand="0" w:oddHBand="0" w:evenHBand="0" w:firstRowFirstColumn="0" w:firstRowLastColumn="0" w:lastRowFirstColumn="0" w:lastRowLastColumn="0"/>
            </w:pPr>
            <w:r w:rsidRPr="00E727FE">
              <w:lastRenderedPageBreak/>
              <w:t>C</w:t>
            </w:r>
            <w:r w:rsidR="003D2395" w:rsidRPr="00E727FE">
              <w:t>onsumers</w:t>
            </w:r>
          </w:p>
          <w:p w14:paraId="4245187F" w14:textId="77777777" w:rsidR="008D0CD4" w:rsidRPr="00E727FE" w:rsidRDefault="008D0CD4" w:rsidP="00E727FE">
            <w:pPr>
              <w:cnfStyle w:val="000000000000" w:firstRow="0" w:lastRow="0" w:firstColumn="0" w:lastColumn="0" w:oddVBand="0" w:evenVBand="0" w:oddHBand="0" w:evenHBand="0" w:firstRowFirstColumn="0" w:firstRowLastColumn="0" w:lastRowFirstColumn="0" w:lastRowLastColumn="0"/>
            </w:pPr>
            <w:r w:rsidRPr="00E727FE">
              <w:t>Representation from:</w:t>
            </w:r>
          </w:p>
          <w:p w14:paraId="708CEBB3" w14:textId="56CEB744" w:rsidR="008D0CD4" w:rsidRPr="00E727FE" w:rsidRDefault="003D2395" w:rsidP="00E727FE">
            <w:pPr>
              <w:cnfStyle w:val="000000000000" w:firstRow="0" w:lastRow="0" w:firstColumn="0" w:lastColumn="0" w:oddVBand="0" w:evenVBand="0" w:oddHBand="0" w:evenHBand="0" w:firstRowFirstColumn="0" w:firstRowLastColumn="0" w:lastRowFirstColumn="0" w:lastRowLastColumn="0"/>
            </w:pPr>
            <w:r w:rsidRPr="00E727FE">
              <w:t>device industry</w:t>
            </w:r>
          </w:p>
          <w:p w14:paraId="52757897" w14:textId="2D03100E" w:rsidR="008D0CD4" w:rsidRPr="00E727FE" w:rsidRDefault="003D2395" w:rsidP="00E727FE">
            <w:pPr>
              <w:cnfStyle w:val="000000000000" w:firstRow="0" w:lastRow="0" w:firstColumn="0" w:lastColumn="0" w:oddVBand="0" w:evenVBand="0" w:oddHBand="0" w:evenHBand="0" w:firstRowFirstColumn="0" w:firstRowLastColumn="0" w:lastRowFirstColumn="0" w:lastRowLastColumn="0"/>
            </w:pPr>
            <w:r w:rsidRPr="00E727FE">
              <w:t>insurance industry</w:t>
            </w:r>
          </w:p>
          <w:p w14:paraId="6EB5A0E1" w14:textId="698BC5FF" w:rsidR="003D2395" w:rsidRPr="00E727FE" w:rsidRDefault="003D2395" w:rsidP="00E727FE">
            <w:pPr>
              <w:cnfStyle w:val="000000000000" w:firstRow="0" w:lastRow="0" w:firstColumn="0" w:lastColumn="0" w:oddVBand="0" w:evenVBand="0" w:oddHBand="0" w:evenHBand="0" w:firstRowFirstColumn="0" w:firstRowLastColumn="0" w:lastRowFirstColumn="0" w:lastRowLastColumn="0"/>
            </w:pPr>
            <w:r w:rsidRPr="00E727FE">
              <w:t>private hospitals</w:t>
            </w:r>
          </w:p>
        </w:tc>
      </w:tr>
      <w:tr w:rsidR="003D2395" w:rsidRPr="00E727FE" w14:paraId="34225E6F"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2534D9" w14:textId="77777777" w:rsidR="003D2395" w:rsidRPr="00E727FE" w:rsidRDefault="003D2395" w:rsidP="00E727FE">
            <w:r w:rsidRPr="00E727FE">
              <w:lastRenderedPageBreak/>
              <w:t>Reporting of outcomes</w:t>
            </w:r>
          </w:p>
        </w:tc>
        <w:tc>
          <w:tcPr>
            <w:tcW w:w="3800" w:type="dxa"/>
          </w:tcPr>
          <w:p w14:paraId="276944B2" w14:textId="47363E65" w:rsidR="003D2395" w:rsidRPr="00E727FE" w:rsidRDefault="00E94DFF" w:rsidP="00E727FE">
            <w:pPr>
              <w:cnfStyle w:val="000000100000" w:firstRow="0" w:lastRow="0" w:firstColumn="0" w:lastColumn="0" w:oddVBand="0" w:evenVBand="0" w:oddHBand="1" w:evenHBand="0" w:firstRowFirstColumn="0" w:firstRowLastColumn="0" w:lastRowFirstColumn="0" w:lastRowLastColumn="0"/>
            </w:pPr>
            <w:r w:rsidRPr="00E727FE">
              <w:t>Public summary documents</w:t>
            </w:r>
            <w:r w:rsidR="003D2395" w:rsidRPr="00E727FE">
              <w:t xml:space="preserve"> published online; some full HTAs</w:t>
            </w:r>
            <w:r w:rsidRPr="00E727FE">
              <w:t xml:space="preserve"> (DCARs)</w:t>
            </w:r>
            <w:r w:rsidR="003D2395" w:rsidRPr="00E727FE">
              <w:t xml:space="preserve"> published online</w:t>
            </w:r>
          </w:p>
        </w:tc>
        <w:tc>
          <w:tcPr>
            <w:tcW w:w="3800" w:type="dxa"/>
          </w:tcPr>
          <w:p w14:paraId="0C7D2EAB" w14:textId="77777777"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Public summary documents published online</w:t>
            </w:r>
          </w:p>
        </w:tc>
        <w:tc>
          <w:tcPr>
            <w:tcW w:w="3801" w:type="dxa"/>
          </w:tcPr>
          <w:p w14:paraId="39740CF8" w14:textId="66EE0F84" w:rsidR="003D2395" w:rsidRPr="00E727FE" w:rsidRDefault="003D2395" w:rsidP="00E727FE">
            <w:pPr>
              <w:cnfStyle w:val="000000100000" w:firstRow="0" w:lastRow="0" w:firstColumn="0" w:lastColumn="0" w:oddVBand="0" w:evenVBand="0" w:oddHBand="1" w:evenHBand="0" w:firstRowFirstColumn="0" w:firstRowLastColumn="0" w:lastRowFirstColumn="0" w:lastRowLastColumn="0"/>
            </w:pPr>
            <w:r w:rsidRPr="00E727FE">
              <w:t>PLAC deliberations and recommendations recorded in meeting minutes</w:t>
            </w:r>
            <w:r w:rsidR="00620257" w:rsidRPr="00E727FE">
              <w:t xml:space="preserve"> (unpublished).</w:t>
            </w:r>
          </w:p>
        </w:tc>
      </w:tr>
    </w:tbl>
    <w:p w14:paraId="258DA816" w14:textId="6729C83F" w:rsidR="003D2395" w:rsidRPr="00A91CAF" w:rsidRDefault="00D113FD" w:rsidP="00A91CAF">
      <w:pPr>
        <w:pStyle w:val="ListNumber"/>
        <w:numPr>
          <w:ilvl w:val="0"/>
          <w:numId w:val="45"/>
        </w:numPr>
      </w:pPr>
      <w:hyperlink r:id="rId21" w:history="1">
        <w:r w:rsidR="003D2395" w:rsidRPr="00A91CAF">
          <w:rPr>
            <w:rStyle w:val="Hyperlink"/>
          </w:rPr>
          <w:t>http://www.msac.gov.au/internet/msac/publishing.nsf/Content/msac-terms-of-reference</w:t>
        </w:r>
      </w:hyperlink>
    </w:p>
    <w:p w14:paraId="46760CB6" w14:textId="48F40B4D" w:rsidR="003D2395" w:rsidRPr="00A91CAF" w:rsidRDefault="00D113FD" w:rsidP="00A91CAF">
      <w:pPr>
        <w:pStyle w:val="ListNumber"/>
      </w:pPr>
      <w:hyperlink r:id="rId22" w:history="1">
        <w:r w:rsidR="003D2395" w:rsidRPr="00A91CAF">
          <w:rPr>
            <w:rStyle w:val="Hyperlink"/>
          </w:rPr>
          <w:t>https://www.pbs.gov.au/pbs/industry/listing/participants/pbac</w:t>
        </w:r>
      </w:hyperlink>
    </w:p>
    <w:p w14:paraId="799F7EF9" w14:textId="556270D3" w:rsidR="003D2395" w:rsidRPr="00A91CAF" w:rsidRDefault="00D113FD" w:rsidP="00A91CAF">
      <w:pPr>
        <w:pStyle w:val="ListNumber"/>
      </w:pPr>
      <w:hyperlink r:id="rId23" w:history="1">
        <w:r w:rsidR="003D2395" w:rsidRPr="00A91CAF">
          <w:rPr>
            <w:rStyle w:val="Hyperlink"/>
          </w:rPr>
          <w:t>https://www.health.gov.au/committees-and-groups/prostheses-list-advisory-committee-plac</w:t>
        </w:r>
      </w:hyperlink>
    </w:p>
    <w:p w14:paraId="23C91A0C" w14:textId="77777777" w:rsidR="003D2395" w:rsidRDefault="003D2395" w:rsidP="003D2395">
      <w:pPr>
        <w:ind w:left="360"/>
        <w:sectPr w:rsidR="003D2395" w:rsidSect="003D2395">
          <w:pgSz w:w="16838" w:h="11906" w:orient="landscape"/>
          <w:pgMar w:top="1440" w:right="1440" w:bottom="1440" w:left="1440" w:header="708" w:footer="567" w:gutter="0"/>
          <w:cols w:space="708"/>
          <w:titlePg/>
          <w:docGrid w:linePitch="360"/>
        </w:sectPr>
      </w:pPr>
    </w:p>
    <w:p w14:paraId="5DCCF670" w14:textId="6CC1F013" w:rsidR="003D2395" w:rsidRDefault="003D2395" w:rsidP="0032568F">
      <w:r>
        <w:lastRenderedPageBreak/>
        <w:t>Key differences in the governance and processes across MSAC, PBAC and PLAC include:</w:t>
      </w:r>
    </w:p>
    <w:p w14:paraId="1B170F24" w14:textId="020189AB" w:rsidR="003D2395" w:rsidRDefault="000737FB" w:rsidP="00A91CAF">
      <w:pPr>
        <w:pStyle w:val="ListBullet"/>
      </w:pPr>
      <w:r>
        <w:t>T</w:t>
      </w:r>
      <w:r w:rsidR="003D2395">
        <w:t>he expert undertaking the HTA assessment</w:t>
      </w:r>
      <w:r>
        <w:t xml:space="preserve">. Both MSAC and PBAC processes may involve industry developed submissions that are subsequently assessed by an expert HTA evaluation group that is independent of the Department. An alternative process for MSAC may involve the development of an assessment report (DCAR) </w:t>
      </w:r>
      <w:r w:rsidR="00177960">
        <w:t xml:space="preserve">by an expert HTA evaluation group </w:t>
      </w:r>
      <w:r>
        <w:t xml:space="preserve">which is informed by an application and input from </w:t>
      </w:r>
      <w:r w:rsidR="00177960">
        <w:t>the entity</w:t>
      </w:r>
      <w:r w:rsidR="00F93B19">
        <w:t xml:space="preserve"> seeking a new</w:t>
      </w:r>
      <w:r>
        <w:t xml:space="preserve"> MBS item number</w:t>
      </w:r>
      <w:r w:rsidR="00F93B19">
        <w:t xml:space="preserve"> or a change to an existing service</w:t>
      </w:r>
      <w:r>
        <w:t xml:space="preserve">. In contrast, </w:t>
      </w:r>
      <w:r w:rsidR="00126896">
        <w:t xml:space="preserve">external independent evaluation is provided to </w:t>
      </w:r>
      <w:r w:rsidR="003D2395">
        <w:t xml:space="preserve">the PLAC </w:t>
      </w:r>
      <w:r w:rsidR="00126896">
        <w:t>on an ad-hoc basis, with</w:t>
      </w:r>
      <w:r>
        <w:t xml:space="preserve"> </w:t>
      </w:r>
      <w:r w:rsidR="003D2395">
        <w:t xml:space="preserve">the HTA function </w:t>
      </w:r>
      <w:r w:rsidR="00126896">
        <w:t>primarily</w:t>
      </w:r>
      <w:r w:rsidR="003D2395">
        <w:t xml:space="preserve"> undertaken by the</w:t>
      </w:r>
      <w:r w:rsidR="00620257">
        <w:t xml:space="preserve"> </w:t>
      </w:r>
      <w:r w:rsidR="00E710E0">
        <w:t>CAGs</w:t>
      </w:r>
      <w:r w:rsidR="00620257">
        <w:t xml:space="preserve"> </w:t>
      </w:r>
      <w:r w:rsidR="003D2395">
        <w:t xml:space="preserve">and </w:t>
      </w:r>
      <w:proofErr w:type="spellStart"/>
      <w:r w:rsidR="00E710E0">
        <w:t>PoCE</w:t>
      </w:r>
      <w:proofErr w:type="spellEnd"/>
      <w:r w:rsidR="00620257">
        <w:t>.</w:t>
      </w:r>
    </w:p>
    <w:p w14:paraId="5EAC937F" w14:textId="72DC43F1" w:rsidR="003D2395" w:rsidRDefault="00620257" w:rsidP="00A91CAF">
      <w:pPr>
        <w:pStyle w:val="ListBullet"/>
      </w:pPr>
      <w:r>
        <w:t xml:space="preserve">MSAC and PBAC have designated </w:t>
      </w:r>
      <w:r w:rsidR="003711F5">
        <w:t>Sub-committee</w:t>
      </w:r>
      <w:r>
        <w:t>s with stable membership, and clear reporting requirements to the parent committee. The '</w:t>
      </w:r>
      <w:r w:rsidR="003711F5">
        <w:t>Sub-committee</w:t>
      </w:r>
      <w:r>
        <w:t>s' of PLAC</w:t>
      </w:r>
      <w:r w:rsidR="00B46B4A">
        <w:t xml:space="preserve">, specifically the </w:t>
      </w:r>
      <w:proofErr w:type="spellStart"/>
      <w:r w:rsidR="00B46B4A">
        <w:t>PoCE</w:t>
      </w:r>
      <w:proofErr w:type="spellEnd"/>
      <w:r w:rsidR="00B46B4A">
        <w:t>,</w:t>
      </w:r>
      <w:r>
        <w:t xml:space="preserve"> </w:t>
      </w:r>
      <w:r w:rsidR="00B46B4A">
        <w:t xml:space="preserve">is </w:t>
      </w:r>
      <w:r w:rsidR="003D2395">
        <w:t xml:space="preserve">ad-hoc </w:t>
      </w:r>
      <w:r>
        <w:t xml:space="preserve">in </w:t>
      </w:r>
      <w:r w:rsidR="003D2395">
        <w:t>nature</w:t>
      </w:r>
      <w:r>
        <w:t>, and the reporting of deliberations is not well defined.</w:t>
      </w:r>
    </w:p>
    <w:p w14:paraId="1DA34A8D" w14:textId="081F39CA" w:rsidR="003D2395" w:rsidRDefault="00FC4C12" w:rsidP="00A91CAF">
      <w:pPr>
        <w:pStyle w:val="ListBullet"/>
      </w:pPr>
      <w:r>
        <w:t xml:space="preserve">While MSAC and PBAC offer the opportunity </w:t>
      </w:r>
      <w:r w:rsidR="00177960">
        <w:t xml:space="preserve">for </w:t>
      </w:r>
      <w:r>
        <w:t>stakeholders to engage with the committee through brief presentations</w:t>
      </w:r>
      <w:r w:rsidR="00177960">
        <w:t xml:space="preserve"> or submissions during public consultation</w:t>
      </w:r>
      <w:r>
        <w:t>, the</w:t>
      </w:r>
      <w:r w:rsidR="00177960">
        <w:t>se</w:t>
      </w:r>
      <w:r>
        <w:t xml:space="preserve"> stakeholders are not present during committee deliberations</w:t>
      </w:r>
      <w:r w:rsidR="00177960">
        <w:t xml:space="preserve"> concerning the public funding of these health technologies</w:t>
      </w:r>
      <w:r>
        <w:t>. The exception to this is the inclusion of a</w:t>
      </w:r>
      <w:r w:rsidR="00B46B4A">
        <w:t>n industry expert with over 20 years pharmaceutical experience who is not currently employed in the sector</w:t>
      </w:r>
      <w:r>
        <w:t xml:space="preserve"> that sits on PBAC and is bound by the terms of the committee. In contrast, t</w:t>
      </w:r>
      <w:r w:rsidR="003D2395">
        <w:t>he composition</w:t>
      </w:r>
      <w:r>
        <w:t xml:space="preserve"> of the PLAC</w:t>
      </w:r>
      <w:r w:rsidR="003D2395">
        <w:t xml:space="preserve"> includes stakeholders representing </w:t>
      </w:r>
      <w:r w:rsidR="008C0A97">
        <w:t>industry</w:t>
      </w:r>
      <w:r w:rsidR="00B46B4A">
        <w:t xml:space="preserve"> (medical technology, private hospitals and private health insurance) as invited guests</w:t>
      </w:r>
      <w:r>
        <w:t xml:space="preserve">. </w:t>
      </w:r>
      <w:r w:rsidR="008C0A97">
        <w:t xml:space="preserve">There is the potential for these stakeholders to </w:t>
      </w:r>
      <w:r>
        <w:t xml:space="preserve">have pecuniary interests </w:t>
      </w:r>
      <w:r w:rsidR="008C0A97">
        <w:t xml:space="preserve">or perceived </w:t>
      </w:r>
      <w:r w:rsidR="00C13773">
        <w:t xml:space="preserve">or real </w:t>
      </w:r>
      <w:r w:rsidR="008C0A97">
        <w:t xml:space="preserve">conflicts of interest </w:t>
      </w:r>
      <w:r>
        <w:t>in the outcome of PLAC considerations</w:t>
      </w:r>
      <w:r w:rsidR="00B46B4A">
        <w:t xml:space="preserve"> even if they are invited guests</w:t>
      </w:r>
      <w:r>
        <w:t>.</w:t>
      </w:r>
    </w:p>
    <w:p w14:paraId="4B8DC552" w14:textId="686672A3" w:rsidR="0032568F" w:rsidRPr="0032568F" w:rsidRDefault="0032568F" w:rsidP="00640AF3">
      <w:pPr>
        <w:pStyle w:val="Heading3"/>
      </w:pPr>
      <w:bookmarkStart w:id="26" w:name="_Toc125984780"/>
      <w:r>
        <w:t>Structure and development of reports</w:t>
      </w:r>
      <w:bookmarkEnd w:id="26"/>
    </w:p>
    <w:p w14:paraId="4BA369C7" w14:textId="50075906" w:rsidR="00F011E7" w:rsidRDefault="003D2395" w:rsidP="00963AAA">
      <w:r>
        <w:t xml:space="preserve">In addition to </w:t>
      </w:r>
      <w:r w:rsidR="0032568F">
        <w:t xml:space="preserve">differences in the operation and composition of PBAC and MSAC compared with PLAC, the </w:t>
      </w:r>
      <w:r w:rsidR="008C0A97">
        <w:t xml:space="preserve">HTA </w:t>
      </w:r>
      <w:r w:rsidR="0032568F">
        <w:t xml:space="preserve">reports that the committees consider differ in their structure, content and generation. </w:t>
      </w:r>
      <w:r>
        <w:t xml:space="preserve">Both PBAC and MSAC applications are based on systematic reviews </w:t>
      </w:r>
      <w:r w:rsidR="008C0A97">
        <w:t xml:space="preserve">of clinical evidence </w:t>
      </w:r>
      <w:r>
        <w:t xml:space="preserve">to assess the safety and effectiveness of a </w:t>
      </w:r>
      <w:r w:rsidR="00692C16">
        <w:t>technology and</w:t>
      </w:r>
      <w:r>
        <w:t xml:space="preserve"> include economic analyses </w:t>
      </w:r>
      <w:r w:rsidR="00D217BA">
        <w:t>that</w:t>
      </w:r>
      <w:r>
        <w:t xml:space="preserve"> may include modelling. </w:t>
      </w:r>
      <w:r w:rsidR="007E12F1">
        <w:t xml:space="preserve">The development of </w:t>
      </w:r>
      <w:r w:rsidR="008C0A97">
        <w:t xml:space="preserve">these </w:t>
      </w:r>
      <w:r w:rsidR="007E12F1">
        <w:t xml:space="preserve">submissions, assessment reports and commentaries </w:t>
      </w:r>
      <w:r>
        <w:t xml:space="preserve">are supported by detailed guidelines and templates to guide the sponsors and </w:t>
      </w:r>
      <w:r w:rsidR="007E12F1">
        <w:t>evaluators</w:t>
      </w:r>
      <w:r w:rsidR="008C0A97">
        <w:t xml:space="preserve"> in how to develop and assess the dossier of information</w:t>
      </w:r>
      <w:r w:rsidR="007E12F1">
        <w:t>.</w:t>
      </w:r>
      <w:r w:rsidR="00F011E7">
        <w:t xml:space="preserve"> In circumstances where reports are created by stakeholders with conflicts or perceived conflicts (e.g. the sponsor of a pharmaceutical, or a professional body), the report is scrutinised by an independent HTA evaluation group prior to consideration by PBAC or MSAC.</w:t>
      </w:r>
    </w:p>
    <w:p w14:paraId="2F628636" w14:textId="5340C38F" w:rsidR="00F011E7" w:rsidRDefault="00F011E7" w:rsidP="00963AAA">
      <w:r>
        <w:t>It is clear from previous reports and a review of PLAC minutes that the applications received for the PL differ markedly in structure and content from submissions and commentaries that are considered by PBAC and MSAC.</w:t>
      </w:r>
    </w:p>
    <w:p w14:paraId="08361ADF" w14:textId="6BC6AC1B" w:rsidR="003D2395" w:rsidRPr="00592CAD" w:rsidRDefault="00F011E7" w:rsidP="00592CAD">
      <w:pPr>
        <w:rPr>
          <w:iCs/>
          <w:sz w:val="24"/>
          <w:szCs w:val="24"/>
        </w:rPr>
      </w:pPr>
      <w:r>
        <w:t xml:space="preserve">Applications for </w:t>
      </w:r>
      <w:r w:rsidR="008C0A97">
        <w:t xml:space="preserve">prostheses to be </w:t>
      </w:r>
      <w:r>
        <w:t>list</w:t>
      </w:r>
      <w:r w:rsidR="008C0A97">
        <w:t>ed</w:t>
      </w:r>
      <w:r>
        <w:t xml:space="preserve"> on the </w:t>
      </w:r>
      <w:r w:rsidR="00D7110B">
        <w:t>PL</w:t>
      </w:r>
      <w:r w:rsidR="003D2395">
        <w:t xml:space="preserve"> often contain irrelevant information and lack the synthesis of evidence that enables the committees to effectively and efficiently assess the application</w:t>
      </w:r>
      <w:r w:rsidR="008C0A97">
        <w:t xml:space="preserve"> and to make </w:t>
      </w:r>
      <w:r w:rsidR="00C13773">
        <w:t>recommendations for and against listing</w:t>
      </w:r>
      <w:r w:rsidR="003D2395">
        <w:t>. This contributes to inconsistency in the process applied across technologies, resulting in advice being</w:t>
      </w:r>
      <w:r w:rsidR="00ED116C">
        <w:t xml:space="preserve"> </w:t>
      </w:r>
      <w:r w:rsidR="003D2395">
        <w:t>inconsistent and v</w:t>
      </w:r>
      <w:r w:rsidR="00592CAD">
        <w:t>ariable in quality and content.</w:t>
      </w:r>
      <w:r w:rsidR="00ED116C" w:rsidRPr="00592CAD">
        <w:rPr>
          <w:iCs/>
          <w:sz w:val="24"/>
          <w:szCs w:val="24"/>
        </w:rPr>
        <w:t xml:space="preserve"> </w:t>
      </w:r>
    </w:p>
    <w:p w14:paraId="1B1C0553" w14:textId="3E5881EA" w:rsidR="00640AF3" w:rsidRDefault="003D2395" w:rsidP="003D2395">
      <w:pPr>
        <w:rPr>
          <w:rFonts w:eastAsia="Times New Roman" w:cstheme="minorHAnsi"/>
          <w:lang w:eastAsia="en-AU"/>
        </w:rPr>
      </w:pPr>
      <w:r>
        <w:rPr>
          <w:rFonts w:eastAsia="Times New Roman" w:cstheme="minorHAnsi"/>
          <w:lang w:eastAsia="en-AU"/>
        </w:rPr>
        <w:t xml:space="preserve">The existing </w:t>
      </w:r>
      <w:r w:rsidR="008C0A97">
        <w:rPr>
          <w:rFonts w:eastAsia="Times New Roman" w:cstheme="minorHAnsi"/>
          <w:lang w:eastAsia="en-AU"/>
        </w:rPr>
        <w:t xml:space="preserve">PL assessment </w:t>
      </w:r>
      <w:r>
        <w:rPr>
          <w:rFonts w:eastAsia="Times New Roman" w:cstheme="minorHAnsi"/>
          <w:lang w:eastAsia="en-AU"/>
        </w:rPr>
        <w:t xml:space="preserve">framework and processes </w:t>
      </w:r>
      <w:r w:rsidR="008C0A97">
        <w:rPr>
          <w:rFonts w:eastAsia="Times New Roman" w:cstheme="minorHAnsi"/>
          <w:lang w:eastAsia="en-AU"/>
        </w:rPr>
        <w:t xml:space="preserve">appears to </w:t>
      </w:r>
      <w:r>
        <w:rPr>
          <w:rFonts w:eastAsia="Times New Roman" w:cstheme="minorHAnsi"/>
          <w:lang w:eastAsia="en-AU"/>
        </w:rPr>
        <w:t xml:space="preserve">support many of the Australian Government's HTA objectives. However, there are clear limitations </w:t>
      </w:r>
      <w:r w:rsidR="008C0A97">
        <w:rPr>
          <w:rFonts w:eastAsia="Times New Roman" w:cstheme="minorHAnsi"/>
          <w:lang w:eastAsia="en-AU"/>
        </w:rPr>
        <w:t xml:space="preserve">with </w:t>
      </w:r>
      <w:r>
        <w:rPr>
          <w:rFonts w:eastAsia="Times New Roman" w:cstheme="minorHAnsi"/>
          <w:lang w:eastAsia="en-AU"/>
        </w:rPr>
        <w:t xml:space="preserve">the </w:t>
      </w:r>
      <w:r w:rsidR="008C0A97">
        <w:rPr>
          <w:rFonts w:eastAsia="Times New Roman" w:cstheme="minorHAnsi"/>
          <w:lang w:eastAsia="en-AU"/>
        </w:rPr>
        <w:t xml:space="preserve">current </w:t>
      </w:r>
      <w:r>
        <w:rPr>
          <w:rFonts w:eastAsia="Times New Roman" w:cstheme="minorHAnsi"/>
          <w:lang w:eastAsia="en-AU"/>
        </w:rPr>
        <w:t xml:space="preserve">process that </w:t>
      </w:r>
      <w:r>
        <w:rPr>
          <w:rFonts w:eastAsia="Times New Roman" w:cstheme="minorHAnsi"/>
          <w:lang w:eastAsia="en-AU"/>
        </w:rPr>
        <w:lastRenderedPageBreak/>
        <w:t>may affect the ability of PLAC to consistently realise the guiding principles set out by the Australian Government.</w:t>
      </w:r>
    </w:p>
    <w:p w14:paraId="1AFBB00E" w14:textId="0B8D1482" w:rsidR="0008330C" w:rsidRDefault="0008330C" w:rsidP="00E727FE">
      <w:pPr>
        <w:pStyle w:val="Heading1"/>
        <w:pageBreakBefore/>
      </w:pPr>
      <w:bookmarkStart w:id="27" w:name="_Toc125470874"/>
      <w:bookmarkStart w:id="28" w:name="_Toc125984781"/>
      <w:r>
        <w:lastRenderedPageBreak/>
        <w:t>The Prostheses List Process</w:t>
      </w:r>
      <w:bookmarkEnd w:id="27"/>
      <w:bookmarkEnd w:id="28"/>
    </w:p>
    <w:p w14:paraId="3BA4ED9F" w14:textId="01934662" w:rsidR="00D84D7C" w:rsidRDefault="00C50EDF" w:rsidP="00C50EDF">
      <w:pPr>
        <w:pStyle w:val="Heading2"/>
      </w:pPr>
      <w:bookmarkStart w:id="29" w:name="_Toc125470875"/>
      <w:bookmarkStart w:id="30" w:name="_Toc125984782"/>
      <w:r>
        <w:t>Characteristics of a reformed listing process</w:t>
      </w:r>
      <w:bookmarkEnd w:id="29"/>
      <w:bookmarkEnd w:id="30"/>
    </w:p>
    <w:p w14:paraId="6A0B0759" w14:textId="0FAFB7A2" w:rsidR="00C935D0" w:rsidRDefault="00C935D0" w:rsidP="00C935D0">
      <w:r>
        <w:t xml:space="preserve">As discussed previously, to </w:t>
      </w:r>
      <w:r w:rsidR="008C0A97" w:rsidRPr="008C0A97">
        <w:t>enable the</w:t>
      </w:r>
      <w:r w:rsidR="008C0A97">
        <w:t xml:space="preserve"> Australian Government’s HTA </w:t>
      </w:r>
      <w:r w:rsidR="008C0A97" w:rsidRPr="008C0A97">
        <w:t>objectives to be better met by the PL process</w:t>
      </w:r>
      <w:r w:rsidR="008C0A97">
        <w:t xml:space="preserve">, </w:t>
      </w:r>
      <w:r>
        <w:t xml:space="preserve">the </w:t>
      </w:r>
      <w:r w:rsidR="00D7110B">
        <w:t>PL</w:t>
      </w:r>
      <w:r>
        <w:t xml:space="preserve"> HTA process should be:</w:t>
      </w:r>
    </w:p>
    <w:p w14:paraId="4425D240" w14:textId="77777777" w:rsidR="00C935D0" w:rsidRPr="00D7585C" w:rsidRDefault="00C935D0" w:rsidP="00A91CAF">
      <w:pPr>
        <w:pStyle w:val="ListBullet"/>
      </w:pPr>
      <w:r>
        <w:t>Sust</w:t>
      </w:r>
      <w:r w:rsidRPr="00D7585C">
        <w:t>ainable</w:t>
      </w:r>
    </w:p>
    <w:p w14:paraId="79FFB0D2" w14:textId="77777777" w:rsidR="00C935D0" w:rsidRPr="00D7585C" w:rsidRDefault="00C935D0" w:rsidP="00A91CAF">
      <w:pPr>
        <w:pStyle w:val="ListBullet"/>
      </w:pPr>
      <w:r w:rsidRPr="00D7585C">
        <w:t>Transparent, independent and accountable</w:t>
      </w:r>
    </w:p>
    <w:p w14:paraId="612F64BE" w14:textId="77777777" w:rsidR="00C935D0" w:rsidRPr="00D7585C" w:rsidRDefault="00C935D0" w:rsidP="00A91CAF">
      <w:pPr>
        <w:pStyle w:val="ListBullet"/>
      </w:pPr>
      <w:r w:rsidRPr="00D7585C">
        <w:t>Consultative and reflective of Australian community values</w:t>
      </w:r>
    </w:p>
    <w:p w14:paraId="7238C1FC" w14:textId="77777777" w:rsidR="00C935D0" w:rsidRPr="00D7585C" w:rsidRDefault="00C935D0" w:rsidP="00A91CAF">
      <w:pPr>
        <w:pStyle w:val="ListBullet"/>
      </w:pPr>
      <w:r w:rsidRPr="00D7585C">
        <w:t>Administratively efficient</w:t>
      </w:r>
    </w:p>
    <w:p w14:paraId="0676CF25" w14:textId="77777777" w:rsidR="00C935D0" w:rsidRPr="00D7585C" w:rsidRDefault="00C935D0" w:rsidP="00A91CAF">
      <w:pPr>
        <w:pStyle w:val="ListBullet"/>
      </w:pPr>
      <w:r w:rsidRPr="00D7585C">
        <w:t>Flexible and fit-for-purpose</w:t>
      </w:r>
    </w:p>
    <w:p w14:paraId="16F575D1" w14:textId="035CE1EA" w:rsidR="00C935D0" w:rsidRDefault="00C935D0" w:rsidP="00A91CAF">
      <w:pPr>
        <w:pStyle w:val="ListBullet"/>
      </w:pPr>
      <w:r w:rsidRPr="00D7585C">
        <w:t>Informed by robust and relevant evi</w:t>
      </w:r>
      <w:r>
        <w:t>dence</w:t>
      </w:r>
      <w:r w:rsidR="00F925FC">
        <w:t xml:space="preserve"> </w:t>
      </w:r>
      <w:r w:rsidR="00F925FC">
        <w:fldChar w:fldCharType="begin"/>
      </w:r>
      <w:r w:rsidR="000F6AF0">
        <w:instrText xml:space="preserve"> ADDIN EN.CITE &lt;EndNote&gt;&lt;Cite&gt;&lt;Author&gt;Australian Government Department of Health&lt;/Author&gt;&lt;Year&gt;2022&lt;/Year&gt;&lt;RecNum&gt;5&lt;/RecNum&gt;&lt;DisplayText&gt;(6)&lt;/DisplayText&gt;&lt;record&gt;&lt;rec-number&gt;5&lt;/rec-number&gt;&lt;foreign-keys&gt;&lt;key app="EN" db-id="9srp00rfl2f0woefarq55vsgttze955atapd" timestamp="1650953270"&gt;5&lt;/key&gt;&lt;/foreign-keys&gt;&lt;ref-type name="Web Page"&gt;12&lt;/ref-type&gt;&lt;contributors&gt;&lt;authors&gt;&lt;author&gt;Australian Government Department of Health, .&lt;/author&gt;&lt;/authors&gt;&lt;/contributors&gt;&lt;titles&gt;&lt;title&gt;Health Technology Assesment Policy Framework&lt;/title&gt;&lt;/titles&gt;&lt;dates&gt;&lt;year&gt;2022&lt;/year&gt;&lt;/dates&gt;&lt;urls&gt;&lt;related-urls&gt;&lt;url&gt;https://www1.health.gov.au/internet/hta/publishing.nsf/Content/policy-1&lt;/url&gt;&lt;/related-urls&gt;&lt;/urls&gt;&lt;/record&gt;&lt;/Cite&gt;&lt;/EndNote&gt;</w:instrText>
      </w:r>
      <w:r w:rsidR="00F925FC">
        <w:fldChar w:fldCharType="separate"/>
      </w:r>
      <w:r w:rsidR="000F6AF0">
        <w:rPr>
          <w:noProof/>
        </w:rPr>
        <w:t>(6)</w:t>
      </w:r>
      <w:r w:rsidR="00F925FC">
        <w:fldChar w:fldCharType="end"/>
      </w:r>
    </w:p>
    <w:p w14:paraId="701B2544" w14:textId="0743BCEC" w:rsidR="0008330C" w:rsidRDefault="00C935D0" w:rsidP="00592CAD">
      <w:r>
        <w:t>Sustainability means that the process needs to be sufficiently resourced and supported</w:t>
      </w:r>
      <w:r w:rsidR="00592CAD">
        <w:t xml:space="preserve"> so</w:t>
      </w:r>
      <w:r>
        <w:t xml:space="preserve"> that it can </w:t>
      </w:r>
      <w:r w:rsidR="00592CAD">
        <w:t xml:space="preserve">be sustained in the long term. </w:t>
      </w:r>
      <w:r>
        <w:t xml:space="preserve">Transparency, independence and accountability relate to </w:t>
      </w:r>
      <w:r w:rsidR="00126896">
        <w:t>demonstrating to</w:t>
      </w:r>
      <w:r>
        <w:t xml:space="preserve"> stakeholders and the community that decisions are made con</w:t>
      </w:r>
      <w:r w:rsidR="006174D4">
        <w:t xml:space="preserve">sistently and fairly, without prejudice, </w:t>
      </w:r>
      <w:r>
        <w:t>bias</w:t>
      </w:r>
      <w:r w:rsidR="006174D4">
        <w:t xml:space="preserve"> or influence from competing interests</w:t>
      </w:r>
      <w:r>
        <w:t xml:space="preserve">, and </w:t>
      </w:r>
      <w:r w:rsidR="006174D4">
        <w:t>in a manner that can be reviewed or audited</w:t>
      </w:r>
      <w:r w:rsidR="00592CAD">
        <w:t xml:space="preserve"> and where clear reasons are given for decisions taken</w:t>
      </w:r>
      <w:r w:rsidR="006174D4">
        <w:t>. Stakeholder and community consultation, as well as community values, need to be reflected in the process and in the decisions that are made. The process for assessment and decision-making needs to b</w:t>
      </w:r>
      <w:r w:rsidR="0008330C">
        <w:t xml:space="preserve">e efficient for the </w:t>
      </w:r>
      <w:r w:rsidR="006174D4">
        <w:t>D</w:t>
      </w:r>
      <w:r w:rsidR="0008330C">
        <w:t>epartment, sponsors and committee members</w:t>
      </w:r>
      <w:r w:rsidR="006174D4">
        <w:t xml:space="preserve"> with respect to the time taken and the resources involved in administering and engaging with the process. The process needs to ensure flexibility and that it is fit-for-purpose</w:t>
      </w:r>
      <w:r w:rsidR="00592CAD">
        <w:t>, to ensure that resources utilised in the process are appropriate to the risk</w:t>
      </w:r>
      <w:r w:rsidR="006174D4">
        <w:t>. This could involve triaging evaluations using risk assessment principles, such that low risk devices and prostheses follow a less intensive assessment process</w:t>
      </w:r>
      <w:r w:rsidR="00592CAD">
        <w:t>,</w:t>
      </w:r>
      <w:r w:rsidR="006174D4">
        <w:t xml:space="preserve"> while more complex and risky devices and prostheses follow an </w:t>
      </w:r>
      <w:r w:rsidR="005245A0">
        <w:t>assessment</w:t>
      </w:r>
      <w:r w:rsidR="006174D4">
        <w:t xml:space="preserve"> process that is calibrated to </w:t>
      </w:r>
      <w:r w:rsidR="005245A0">
        <w:t>addressing those risks. To properly assess this risk and the impact of specific prostheses and devices on human health, robust and relevant evidence on the safety and effectiveness (and in some cases cost-effectiveness) of each device is needed.</w:t>
      </w:r>
    </w:p>
    <w:p w14:paraId="4CCE80CF" w14:textId="143B0DEE" w:rsidR="0008330C" w:rsidRDefault="00D217BA" w:rsidP="0008330C">
      <w:r>
        <w:t>S</w:t>
      </w:r>
      <w:r w:rsidR="0008330C">
        <w:t xml:space="preserve">everal important factors are required for an HTA listing process to achieve these objectives. The frameworks that guide the MBS and PBS processes provide a </w:t>
      </w:r>
      <w:r w:rsidR="005245A0">
        <w:t xml:space="preserve">suitable </w:t>
      </w:r>
      <w:r w:rsidR="0008330C">
        <w:t xml:space="preserve">basis for a </w:t>
      </w:r>
      <w:r w:rsidR="00BE4E9E">
        <w:t>R</w:t>
      </w:r>
      <w:r w:rsidR="0008330C">
        <w:t xml:space="preserve">eformed PL </w:t>
      </w:r>
      <w:r w:rsidR="00BE4E9E">
        <w:t>Pre-Listing A</w:t>
      </w:r>
      <w:r w:rsidR="005245A0">
        <w:t xml:space="preserve">ssessment </w:t>
      </w:r>
      <w:r w:rsidR="00BE4E9E">
        <w:t>F</w:t>
      </w:r>
      <w:r w:rsidR="0008330C">
        <w:t xml:space="preserve">ramework. Key aspects </w:t>
      </w:r>
      <w:r w:rsidR="005245A0">
        <w:t xml:space="preserve">included in these HTA processes that could be utilised in the PL </w:t>
      </w:r>
      <w:r w:rsidR="00BE4E9E">
        <w:t>Pre-Listing A</w:t>
      </w:r>
      <w:r w:rsidR="005245A0">
        <w:t xml:space="preserve">ssessment </w:t>
      </w:r>
      <w:r w:rsidR="00BE4E9E">
        <w:t>F</w:t>
      </w:r>
      <w:r w:rsidR="005245A0">
        <w:t>ramework include:</w:t>
      </w:r>
    </w:p>
    <w:p w14:paraId="03134C04" w14:textId="0BE05B28" w:rsidR="005245A0" w:rsidRDefault="005245A0" w:rsidP="00A91CAF">
      <w:pPr>
        <w:pStyle w:val="ListBullet"/>
      </w:pPr>
      <w:r>
        <w:t xml:space="preserve">External evaluation of applications / evidence dossiers by independent HTA </w:t>
      </w:r>
      <w:r w:rsidR="00EF215B">
        <w:t>expert</w:t>
      </w:r>
      <w:r>
        <w:t>s</w:t>
      </w:r>
    </w:p>
    <w:p w14:paraId="33D870F5" w14:textId="2C72220C" w:rsidR="005245A0" w:rsidRDefault="0008330C" w:rsidP="00A91CAF">
      <w:pPr>
        <w:pStyle w:val="ListBullet"/>
      </w:pPr>
      <w:r>
        <w:t xml:space="preserve">Detailed guidelines and templates for </w:t>
      </w:r>
      <w:r w:rsidR="007C4F41">
        <w:t xml:space="preserve">sponsors </w:t>
      </w:r>
      <w:r w:rsidR="005245A0">
        <w:t xml:space="preserve">developing </w:t>
      </w:r>
      <w:r w:rsidR="00140250">
        <w:t xml:space="preserve">applications / </w:t>
      </w:r>
      <w:r w:rsidR="005245A0">
        <w:t>evidence dossiers</w:t>
      </w:r>
    </w:p>
    <w:p w14:paraId="3DD22A4A" w14:textId="3093BEAE" w:rsidR="0008330C" w:rsidRDefault="005245A0" w:rsidP="00A91CAF">
      <w:pPr>
        <w:pStyle w:val="ListBullet"/>
      </w:pPr>
      <w:r>
        <w:t>Detailed guidelines and templates for</w:t>
      </w:r>
      <w:r w:rsidRPr="005245A0">
        <w:t xml:space="preserve"> </w:t>
      </w:r>
      <w:r>
        <w:t>evaluators assessing the applications / evidence dossiers</w:t>
      </w:r>
    </w:p>
    <w:p w14:paraId="5CB9C4FA" w14:textId="4EC7CE5C" w:rsidR="0008330C" w:rsidRDefault="0008330C" w:rsidP="00A91CAF">
      <w:pPr>
        <w:pStyle w:val="ListBullet"/>
      </w:pPr>
      <w:r>
        <w:t xml:space="preserve">Clear and </w:t>
      </w:r>
      <w:r w:rsidR="00947EEE">
        <w:t xml:space="preserve">fixed timelines describing </w:t>
      </w:r>
      <w:r w:rsidR="005245A0">
        <w:t xml:space="preserve">the </w:t>
      </w:r>
      <w:r w:rsidR="00947EEE">
        <w:t xml:space="preserve">milestones </w:t>
      </w:r>
      <w:r w:rsidR="005245A0">
        <w:t xml:space="preserve">in </w:t>
      </w:r>
      <w:r w:rsidR="00947EEE">
        <w:t>the process, including:</w:t>
      </w:r>
    </w:p>
    <w:p w14:paraId="68A7C7C2" w14:textId="095E48FE" w:rsidR="00947EEE" w:rsidRPr="00E727FE" w:rsidRDefault="00947EEE" w:rsidP="00A91CAF">
      <w:pPr>
        <w:pStyle w:val="ListBullet2"/>
      </w:pPr>
      <w:r w:rsidRPr="00E727FE">
        <w:t>Submission or application dates</w:t>
      </w:r>
    </w:p>
    <w:p w14:paraId="0122DC18" w14:textId="1F3E38D1" w:rsidR="00947EEE" w:rsidRPr="00E727FE" w:rsidRDefault="00947EEE" w:rsidP="00A91CAF">
      <w:pPr>
        <w:pStyle w:val="ListBullet2"/>
      </w:pPr>
      <w:r w:rsidRPr="00E727FE">
        <w:t>Evaluation timeframes</w:t>
      </w:r>
    </w:p>
    <w:p w14:paraId="31167920" w14:textId="43D3D814" w:rsidR="00947EEE" w:rsidRPr="00E727FE" w:rsidRDefault="00947EEE" w:rsidP="00A91CAF">
      <w:pPr>
        <w:pStyle w:val="ListBullet2"/>
      </w:pPr>
      <w:r w:rsidRPr="00E727FE">
        <w:t>Dates for feedback and timeframe</w:t>
      </w:r>
      <w:r w:rsidR="005245A0" w:rsidRPr="00E727FE">
        <w:t>s</w:t>
      </w:r>
      <w:r w:rsidRPr="00E727FE">
        <w:t xml:space="preserve"> for </w:t>
      </w:r>
      <w:r w:rsidR="007C4F41" w:rsidRPr="00E727FE">
        <w:t xml:space="preserve">sponsors </w:t>
      </w:r>
      <w:r w:rsidRPr="00E727FE">
        <w:t>input</w:t>
      </w:r>
    </w:p>
    <w:p w14:paraId="48275F1A" w14:textId="697D7B19" w:rsidR="00947EEE" w:rsidRPr="00E727FE" w:rsidRDefault="00947EEE" w:rsidP="00A91CAF">
      <w:pPr>
        <w:pStyle w:val="ListBullet2"/>
      </w:pPr>
      <w:r w:rsidRPr="00E727FE">
        <w:t xml:space="preserve">Committee and </w:t>
      </w:r>
      <w:r w:rsidR="003711F5" w:rsidRPr="00E727FE">
        <w:t>Sub-committee</w:t>
      </w:r>
      <w:r w:rsidRPr="00E727FE">
        <w:t xml:space="preserve"> consideration dates</w:t>
      </w:r>
    </w:p>
    <w:p w14:paraId="42233C90" w14:textId="65E8E955" w:rsidR="00947EEE" w:rsidRDefault="00947EEE" w:rsidP="00A91CAF">
      <w:pPr>
        <w:pStyle w:val="ListBullet"/>
      </w:pPr>
      <w:r>
        <w:t>HTA expertise on committees</w:t>
      </w:r>
    </w:p>
    <w:p w14:paraId="334C5B44" w14:textId="082C1CE6" w:rsidR="00F60ED9" w:rsidRDefault="00F60ED9" w:rsidP="00A91CAF">
      <w:pPr>
        <w:pStyle w:val="ListBullet"/>
      </w:pPr>
      <w:r>
        <w:t>Health economics expertise on committees</w:t>
      </w:r>
    </w:p>
    <w:p w14:paraId="614F62EF" w14:textId="3CD58520" w:rsidR="001B62BD" w:rsidRDefault="001B62BD" w:rsidP="00A91CAF">
      <w:pPr>
        <w:pStyle w:val="ListBullet"/>
      </w:pPr>
      <w:r>
        <w:lastRenderedPageBreak/>
        <w:t>Consideration of committee composition, including strategies to capture input while ensuring that decision making occurs without undue influence from real or perceived conflicts of interest</w:t>
      </w:r>
    </w:p>
    <w:p w14:paraId="7489B3FC" w14:textId="01C387F6" w:rsidR="00947EEE" w:rsidRDefault="00947EEE" w:rsidP="00A91CAF">
      <w:pPr>
        <w:pStyle w:val="ListBullet"/>
      </w:pPr>
      <w:r>
        <w:t xml:space="preserve">Published </w:t>
      </w:r>
      <w:r w:rsidR="005245A0">
        <w:t xml:space="preserve">and publicly available </w:t>
      </w:r>
      <w:r>
        <w:t>committee advice</w:t>
      </w:r>
      <w:r w:rsidR="005245A0">
        <w:t xml:space="preserve">, including the </w:t>
      </w:r>
      <w:r w:rsidR="00EF215B">
        <w:t>rationale for decisions made</w:t>
      </w:r>
    </w:p>
    <w:p w14:paraId="429E593E" w14:textId="4D32BCC5" w:rsidR="00947EEE" w:rsidRDefault="00947EEE" w:rsidP="00A91CAF">
      <w:pPr>
        <w:pStyle w:val="ListBullet"/>
      </w:pPr>
      <w:r>
        <w:t>Structured minuting of committee deliberations that is available for future committee deliberations</w:t>
      </w:r>
    </w:p>
    <w:p w14:paraId="3A846539" w14:textId="4B18215B" w:rsidR="00947EEE" w:rsidRDefault="00947EEE" w:rsidP="00A91CAF">
      <w:pPr>
        <w:pStyle w:val="ListBullet"/>
      </w:pPr>
      <w:r>
        <w:t>Consumer input into committee deliberations</w:t>
      </w:r>
    </w:p>
    <w:p w14:paraId="6F01923F" w14:textId="31B15843" w:rsidR="00EF215B" w:rsidRDefault="00EF215B" w:rsidP="00A91CAF">
      <w:pPr>
        <w:pStyle w:val="ListBullet"/>
      </w:pPr>
      <w:r>
        <w:t>Public consultation processes</w:t>
      </w:r>
    </w:p>
    <w:p w14:paraId="77C480B7" w14:textId="3BC42664" w:rsidR="00947EEE" w:rsidRDefault="00947EEE" w:rsidP="00A91CAF">
      <w:pPr>
        <w:pStyle w:val="ListBullet"/>
      </w:pPr>
      <w:r>
        <w:t>Consideration of other relevant information that may impact on the use of the technology (such as equity and ethical concerns)</w:t>
      </w:r>
    </w:p>
    <w:p w14:paraId="39923A80" w14:textId="62D676B2" w:rsidR="001B62BD" w:rsidRDefault="001B62BD" w:rsidP="00A91CAF">
      <w:pPr>
        <w:pStyle w:val="ListBullet"/>
      </w:pPr>
      <w:r>
        <w:t>Full or partial cost-recovery for listing processes, with clear and considered rules for exemptions</w:t>
      </w:r>
      <w:r w:rsidR="00D84D7C">
        <w:t xml:space="preserve">, to improve the sustainability of the </w:t>
      </w:r>
      <w:r w:rsidR="005245A0">
        <w:t>HTA process</w:t>
      </w:r>
      <w:r w:rsidR="00D84D7C">
        <w:t xml:space="preserve">. </w:t>
      </w:r>
    </w:p>
    <w:p w14:paraId="28C3E880" w14:textId="77777777" w:rsidR="00D84D7C" w:rsidRDefault="0008330C" w:rsidP="00E727FE">
      <w:r>
        <w:t xml:space="preserve">Some of these aspects are already in place for the PL process, however some could be strengthened and others introduced. </w:t>
      </w:r>
    </w:p>
    <w:p w14:paraId="6F34973F" w14:textId="48059F46" w:rsidR="00D84D7C" w:rsidRDefault="00D84D7C" w:rsidP="00D84D7C">
      <w:pPr>
        <w:pStyle w:val="Heading2"/>
      </w:pPr>
      <w:bookmarkStart w:id="31" w:name="_Toc125470876"/>
      <w:bookmarkStart w:id="32" w:name="_Toc125984783"/>
      <w:r>
        <w:t>Guidelines and templates</w:t>
      </w:r>
      <w:bookmarkEnd w:id="31"/>
      <w:bookmarkEnd w:id="32"/>
    </w:p>
    <w:p w14:paraId="20524D85" w14:textId="0478D9FC" w:rsidR="00C50EDF" w:rsidRDefault="00C50EDF" w:rsidP="0008330C">
      <w:r>
        <w:t xml:space="preserve">Guidelines provide clear instruction to </w:t>
      </w:r>
      <w:r w:rsidR="007C4F41">
        <w:t xml:space="preserve">sponsors </w:t>
      </w:r>
      <w:r>
        <w:t>regarding</w:t>
      </w:r>
      <w:r w:rsidR="0023732C">
        <w:t xml:space="preserve"> the</w:t>
      </w:r>
      <w:r>
        <w:t>:</w:t>
      </w:r>
    </w:p>
    <w:p w14:paraId="05642573" w14:textId="63985C2A" w:rsidR="00C50EDF" w:rsidRDefault="00C50EDF" w:rsidP="00A91CAF">
      <w:pPr>
        <w:pStyle w:val="ListBullet"/>
      </w:pPr>
      <w:r>
        <w:t xml:space="preserve">Eligibility criteria for different assessment pathways </w:t>
      </w:r>
    </w:p>
    <w:p w14:paraId="7F8EF6BA" w14:textId="16CA356F" w:rsidR="00C50EDF" w:rsidRDefault="00C50EDF" w:rsidP="00A91CAF">
      <w:pPr>
        <w:pStyle w:val="ListBullet"/>
      </w:pPr>
      <w:r>
        <w:t>Required content of an application, dependent upon nominated pathway</w:t>
      </w:r>
    </w:p>
    <w:p w14:paraId="5608FA77" w14:textId="77777777" w:rsidR="00C50EDF" w:rsidRDefault="00C50EDF" w:rsidP="00A91CAF">
      <w:pPr>
        <w:pStyle w:val="ListBullet"/>
      </w:pPr>
      <w:r>
        <w:t>Preferred presentation of evidence</w:t>
      </w:r>
    </w:p>
    <w:p w14:paraId="243C627D" w14:textId="66AD7D0A" w:rsidR="00C50EDF" w:rsidRDefault="00C50EDF" w:rsidP="00A91CAF">
      <w:pPr>
        <w:pStyle w:val="ListBullet"/>
      </w:pPr>
      <w:r>
        <w:t>Preferred methods</w:t>
      </w:r>
      <w:r w:rsidR="0023732C">
        <w:t xml:space="preserve"> to be used in collating, synthesising or appraising evidence</w:t>
      </w:r>
    </w:p>
    <w:p w14:paraId="45AE460F" w14:textId="77777777" w:rsidR="00C50EDF" w:rsidRDefault="00C50EDF" w:rsidP="00A91CAF">
      <w:pPr>
        <w:pStyle w:val="ListBullet"/>
      </w:pPr>
      <w:r>
        <w:t>A clear explanation of the goal of the report, and the factors relevant to committee decision making</w:t>
      </w:r>
    </w:p>
    <w:p w14:paraId="23298ADF" w14:textId="628759D0" w:rsidR="00F60ED9" w:rsidRDefault="00E14E6E" w:rsidP="00F60ED9">
      <w:r>
        <w:t>Templates further encourage a consistent a</w:t>
      </w:r>
      <w:r w:rsidR="00F60ED9">
        <w:t>pproach across all applications,</w:t>
      </w:r>
      <w:r w:rsidR="00F60ED9" w:rsidRPr="00F60ED9">
        <w:t xml:space="preserve"> </w:t>
      </w:r>
      <w:r w:rsidR="00F60ED9">
        <w:t>clearly defines the role and requirements of the sponsor and ensures the Department, who is responsible for facilitating</w:t>
      </w:r>
      <w:r w:rsidR="009204C0">
        <w:t xml:space="preserve"> or assessing</w:t>
      </w:r>
      <w:r w:rsidR="00F60ED9">
        <w:t xml:space="preserve"> applications through the process, is doing so according to the principles of the </w:t>
      </w:r>
      <w:r w:rsidR="00F60ED9" w:rsidRPr="00121E30">
        <w:rPr>
          <w:i/>
          <w:iCs/>
        </w:rPr>
        <w:t>Public Governance, Performance and Accountability Act 2013</w:t>
      </w:r>
      <w:r w:rsidR="00F60ED9">
        <w:t>. The Department will initially assess and verify all applications to ensure they meet eligibility; the correct pathway is nominated; and the application is complete. Sponsors will be provided limited opportunity to provide further information if their application is incomplete. Likewise, applications with irrelevant material that do not adhere to the template will be rejected.</w:t>
      </w:r>
    </w:p>
    <w:p w14:paraId="0B06FCED" w14:textId="35D626A4" w:rsidR="00C50EDF" w:rsidRDefault="00ED116C" w:rsidP="0008330C">
      <w:r>
        <w:t>C</w:t>
      </w:r>
      <w:r w:rsidR="00F1213D">
        <w:t xml:space="preserve">urrently, the committee is faced with assessing many applications, each running to hundreds of pages, each meeting. The volume of reading, coupled with limited time between </w:t>
      </w:r>
      <w:r w:rsidR="00521F8E">
        <w:t xml:space="preserve">paper </w:t>
      </w:r>
      <w:r w:rsidR="00F1213D">
        <w:t xml:space="preserve">distribution and meeting, limits the scrutiny applied to each application. </w:t>
      </w:r>
      <w:r w:rsidR="00C90768">
        <w:t>Developing g</w:t>
      </w:r>
      <w:r w:rsidR="00E14E6E">
        <w:t xml:space="preserve">uidelines that inform a submission to PLAC </w:t>
      </w:r>
      <w:r w:rsidR="00AE300B">
        <w:t xml:space="preserve">(or alternative governance arrangement) </w:t>
      </w:r>
      <w:r w:rsidR="00E14E6E">
        <w:t>would result in improved clarity</w:t>
      </w:r>
      <w:r w:rsidR="00C31DF4">
        <w:t xml:space="preserve"> and synthesis</w:t>
      </w:r>
      <w:r w:rsidR="00E14E6E">
        <w:t xml:space="preserve"> of evidence, consistency across </w:t>
      </w:r>
      <w:r w:rsidR="0023732C">
        <w:t xml:space="preserve">the </w:t>
      </w:r>
      <w:r w:rsidR="00E14E6E">
        <w:t>submission</w:t>
      </w:r>
      <w:r w:rsidR="00D00389">
        <w:t>s</w:t>
      </w:r>
      <w:r w:rsidR="00E14E6E">
        <w:t>, increased efficiency of committee deliberation</w:t>
      </w:r>
      <w:r w:rsidR="0023732C">
        <w:t xml:space="preserve"> and standardised communication (to </w:t>
      </w:r>
      <w:r w:rsidR="007C4F41">
        <w:t xml:space="preserve">sponsors </w:t>
      </w:r>
      <w:r w:rsidR="0023732C">
        <w:t>and the community) about the risks and benefits of listing and the basis for the decision taken</w:t>
      </w:r>
      <w:r w:rsidR="00C90768">
        <w:t>. This may result in</w:t>
      </w:r>
      <w:r w:rsidR="00E14E6E">
        <w:t xml:space="preserve"> more rapid decision making and reduced time to listing for successful applications.</w:t>
      </w:r>
    </w:p>
    <w:p w14:paraId="7B949308" w14:textId="4F77455A" w:rsidR="00D042C0" w:rsidRDefault="00F1213D" w:rsidP="0008330C">
      <w:r>
        <w:t>G</w:t>
      </w:r>
      <w:r w:rsidR="00E14E6E">
        <w:t>uidelines may assist committee members</w:t>
      </w:r>
      <w:r w:rsidR="00FB6A89">
        <w:t>,</w:t>
      </w:r>
      <w:r w:rsidR="001020F5">
        <w:t xml:space="preserve"> discussants </w:t>
      </w:r>
      <w:r w:rsidR="00E14E6E">
        <w:t>and evaluators to construct an efficient commentary in response to a submission</w:t>
      </w:r>
      <w:r w:rsidR="00D042C0">
        <w:t xml:space="preserve"> with the purpose of highlighting uncertainties, major issues and committee deliberation points</w:t>
      </w:r>
      <w:r w:rsidR="0018170F">
        <w:t xml:space="preserve"> </w:t>
      </w:r>
    </w:p>
    <w:p w14:paraId="0A106375" w14:textId="3D9C20E3" w:rsidR="00E14E6E" w:rsidRDefault="00587235" w:rsidP="0008330C">
      <w:r>
        <w:lastRenderedPageBreak/>
        <w:t xml:space="preserve">The provision of guidelines and templates may assist in the implementation of changes to assessment </w:t>
      </w:r>
      <w:r w:rsidR="00F042FC">
        <w:t>pathways</w:t>
      </w:r>
      <w:r>
        <w:t xml:space="preserve">. </w:t>
      </w:r>
    </w:p>
    <w:p w14:paraId="74444419" w14:textId="264FB18A" w:rsidR="00587235" w:rsidRDefault="00587235" w:rsidP="00587235">
      <w:pPr>
        <w:pStyle w:val="Heading2"/>
      </w:pPr>
      <w:bookmarkStart w:id="33" w:name="_Toc125470877"/>
      <w:bookmarkStart w:id="34" w:name="_Toc125984784"/>
      <w:r>
        <w:t>External evaluation</w:t>
      </w:r>
      <w:bookmarkEnd w:id="33"/>
      <w:bookmarkEnd w:id="34"/>
    </w:p>
    <w:p w14:paraId="55D5047E" w14:textId="3869A87B" w:rsidR="00587235" w:rsidRDefault="00587235" w:rsidP="0008330C">
      <w:r>
        <w:t xml:space="preserve">Submissions or assessment reports provided to both MSAC and PBAC have typically been created by </w:t>
      </w:r>
      <w:r w:rsidR="00CA7A18">
        <w:t xml:space="preserve">independent HTA external </w:t>
      </w:r>
      <w:r w:rsidR="00E727FE">
        <w:t>evaluators or</w:t>
      </w:r>
      <w:r>
        <w:t xml:space="preserve"> have been </w:t>
      </w:r>
      <w:r w:rsidR="00CA7A18">
        <w:t xml:space="preserve">provided by </w:t>
      </w:r>
      <w:r w:rsidR="007C4F41">
        <w:t xml:space="preserve">sponsors </w:t>
      </w:r>
      <w:r w:rsidR="00CA7A18">
        <w:t xml:space="preserve">(sometimes commissioning consultants) and then </w:t>
      </w:r>
      <w:r>
        <w:t xml:space="preserve">critically appraised by </w:t>
      </w:r>
      <w:r w:rsidR="00CA7A18">
        <w:t>HTA external evaluators</w:t>
      </w:r>
      <w:r>
        <w:t>. The</w:t>
      </w:r>
      <w:r w:rsidR="00CA7A18">
        <w:t>se</w:t>
      </w:r>
      <w:r>
        <w:t xml:space="preserve"> </w:t>
      </w:r>
      <w:r w:rsidR="00CA7A18">
        <w:t>evaluators or ‘assessment groups’</w:t>
      </w:r>
      <w:r w:rsidR="003F1240">
        <w:t xml:space="preserve"> are external to, and</w:t>
      </w:r>
      <w:r>
        <w:t xml:space="preserve"> function </w:t>
      </w:r>
      <w:r w:rsidR="003F1240">
        <w:t>largely independent of</w:t>
      </w:r>
      <w:r w:rsidR="00CA7A18">
        <w:t>,</w:t>
      </w:r>
      <w:r w:rsidR="003F1240">
        <w:t xml:space="preserve"> </w:t>
      </w:r>
      <w:r>
        <w:t xml:space="preserve">the Department and of the committees. </w:t>
      </w:r>
      <w:r w:rsidR="00CA7A18">
        <w:t>They are usually academic HTA groups or for-profit HTA consultancy groups.</w:t>
      </w:r>
      <w:r w:rsidR="00C31DF4">
        <w:t xml:space="preserve"> An existing panel of independent HTA evaluators engaged by the Department to undertake HTA work would also be suitable to undertake PL work.</w:t>
      </w:r>
    </w:p>
    <w:p w14:paraId="677AAB6B" w14:textId="6ED20B93" w:rsidR="00297E86" w:rsidRDefault="0008330C" w:rsidP="0008330C">
      <w:r>
        <w:t xml:space="preserve">The </w:t>
      </w:r>
      <w:r w:rsidR="00E66735">
        <w:t xml:space="preserve">routine </w:t>
      </w:r>
      <w:r w:rsidR="00CA7A18">
        <w:t xml:space="preserve">use </w:t>
      </w:r>
      <w:r>
        <w:t xml:space="preserve">of </w:t>
      </w:r>
      <w:r w:rsidR="00CA7A18">
        <w:t xml:space="preserve">independent </w:t>
      </w:r>
      <w:r>
        <w:t xml:space="preserve">external </w:t>
      </w:r>
      <w:r w:rsidR="00CA7A18">
        <w:t xml:space="preserve">HTA </w:t>
      </w:r>
      <w:r>
        <w:t xml:space="preserve">evaluators for </w:t>
      </w:r>
      <w:r w:rsidR="00E66735">
        <w:t xml:space="preserve">specified </w:t>
      </w:r>
      <w:r w:rsidR="00CA7A18">
        <w:t xml:space="preserve">PL </w:t>
      </w:r>
      <w:r>
        <w:t>applications would help in providing procedural fairness</w:t>
      </w:r>
      <w:r w:rsidR="00297E86">
        <w:t xml:space="preserve">. </w:t>
      </w:r>
      <w:r w:rsidR="00CA7A18">
        <w:t xml:space="preserve">Having applications </w:t>
      </w:r>
      <w:r w:rsidR="00297E86">
        <w:t>receiv</w:t>
      </w:r>
      <w:r w:rsidR="00CA7A18">
        <w:t>e</w:t>
      </w:r>
      <w:r w:rsidR="00297E86">
        <w:t xml:space="preserve"> external appraisal ensures </w:t>
      </w:r>
      <w:r w:rsidR="00CA7A18">
        <w:t>that the evaluation process is</w:t>
      </w:r>
      <w:r w:rsidR="00297E86">
        <w:t xml:space="preserve"> rigorous and assist</w:t>
      </w:r>
      <w:r w:rsidR="00C31DF4">
        <w:t>s</w:t>
      </w:r>
      <w:r w:rsidR="00297E86">
        <w:t xml:space="preserve"> in the consistency of reporting </w:t>
      </w:r>
      <w:r w:rsidR="00CA7A18">
        <w:t xml:space="preserve">of </w:t>
      </w:r>
      <w:r w:rsidR="00297E86">
        <w:t xml:space="preserve">key issues </w:t>
      </w:r>
      <w:r w:rsidR="00CA7A18">
        <w:t>to inform</w:t>
      </w:r>
      <w:r w:rsidR="00297E86">
        <w:t xml:space="preserve"> committee deliberation</w:t>
      </w:r>
      <w:r w:rsidR="00CA7A18">
        <w:t>s</w:t>
      </w:r>
      <w:r w:rsidR="00297E86">
        <w:t xml:space="preserve">. </w:t>
      </w:r>
      <w:r w:rsidR="003F1240">
        <w:t xml:space="preserve">To ensure procedural fairness, reports </w:t>
      </w:r>
      <w:r w:rsidR="00CA7A18">
        <w:t>developed by</w:t>
      </w:r>
      <w:r w:rsidR="003F1240">
        <w:t xml:space="preserve"> external evaluat</w:t>
      </w:r>
      <w:r w:rsidR="00CA7A18">
        <w:t>ors</w:t>
      </w:r>
      <w:r w:rsidR="003F1240">
        <w:t xml:space="preserve"> can be provided to the </w:t>
      </w:r>
      <w:r w:rsidR="007C4F41">
        <w:t xml:space="preserve">sponsors </w:t>
      </w:r>
      <w:r w:rsidR="003F1240">
        <w:t xml:space="preserve">for comment. </w:t>
      </w:r>
      <w:r w:rsidR="00297E86">
        <w:t xml:space="preserve">The use of external evaluators </w:t>
      </w:r>
      <w:r w:rsidR="00C31DF4">
        <w:t>should</w:t>
      </w:r>
      <w:r w:rsidR="00297E86">
        <w:t xml:space="preserve"> </w:t>
      </w:r>
      <w:r>
        <w:t xml:space="preserve">minimise the impact of, or perception of, vested interests influencing </w:t>
      </w:r>
      <w:r w:rsidR="00CA7A18">
        <w:t xml:space="preserve">PL </w:t>
      </w:r>
      <w:r>
        <w:t>decision</w:t>
      </w:r>
      <w:r w:rsidR="00CA7A18">
        <w:t>-making</w:t>
      </w:r>
      <w:r>
        <w:t xml:space="preserve">. </w:t>
      </w:r>
    </w:p>
    <w:p w14:paraId="54035CA0" w14:textId="773F34D0" w:rsidR="0006063A" w:rsidRDefault="0006063A" w:rsidP="0008330C">
      <w:r>
        <w:t>The precise role of external evaluation in the PL process is an important consideration in the development of PL pathway</w:t>
      </w:r>
      <w:r w:rsidR="00B66A6C">
        <w:t xml:space="preserve">s for </w:t>
      </w:r>
      <w:r w:rsidR="00CA7A18">
        <w:t xml:space="preserve">prostheses and device </w:t>
      </w:r>
      <w:r w:rsidR="00B66A6C">
        <w:t xml:space="preserve">applications. </w:t>
      </w:r>
      <w:r w:rsidR="00CA7A18">
        <w:t xml:space="preserve">To ensure that assessment processes are also flexible, efficient and fit-for-purpose, the use of external evaluators </w:t>
      </w:r>
      <w:r w:rsidR="00971DCB">
        <w:t xml:space="preserve">should be proportionate to risk. </w:t>
      </w:r>
      <w:r w:rsidR="00B66A6C">
        <w:t xml:space="preserve">Briefly, preliminary proposals for the use of </w:t>
      </w:r>
      <w:r w:rsidR="00971DCB">
        <w:t xml:space="preserve">HTA </w:t>
      </w:r>
      <w:r w:rsidR="00B66A6C">
        <w:t>external evaluation in the PL process are:</w:t>
      </w:r>
    </w:p>
    <w:p w14:paraId="4B762CBF" w14:textId="21AB2B9B" w:rsidR="00B66A6C" w:rsidRDefault="00E66735" w:rsidP="00A91CAF">
      <w:pPr>
        <w:pStyle w:val="ListBullet"/>
      </w:pPr>
      <w:r>
        <w:rPr>
          <w:b/>
        </w:rPr>
        <w:t>Departmental</w:t>
      </w:r>
      <w:r w:rsidR="00B66A6C" w:rsidRPr="00C31DF4">
        <w:rPr>
          <w:b/>
        </w:rPr>
        <w:t xml:space="preserve"> </w:t>
      </w:r>
      <w:r w:rsidR="006C6633">
        <w:rPr>
          <w:b/>
        </w:rPr>
        <w:t>Assessment P</w:t>
      </w:r>
      <w:r w:rsidR="00B66A6C" w:rsidRPr="00C31DF4">
        <w:rPr>
          <w:b/>
        </w:rPr>
        <w:t>athway:</w:t>
      </w:r>
      <w:r w:rsidR="00B66A6C">
        <w:t xml:space="preserve"> no requirement for external evaluation support</w:t>
      </w:r>
    </w:p>
    <w:p w14:paraId="2BC7D8E8" w14:textId="2BA1DFF7" w:rsidR="00971DCB" w:rsidRDefault="006C6633" w:rsidP="00A91CAF">
      <w:pPr>
        <w:pStyle w:val="ListBullet"/>
      </w:pPr>
      <w:r>
        <w:rPr>
          <w:b/>
        </w:rPr>
        <w:t>Clinical/</w:t>
      </w:r>
      <w:r w:rsidR="00B66A6C" w:rsidRPr="00C31DF4">
        <w:rPr>
          <w:b/>
        </w:rPr>
        <w:t xml:space="preserve">Focused </w:t>
      </w:r>
      <w:r w:rsidR="00942A09">
        <w:rPr>
          <w:b/>
        </w:rPr>
        <w:t xml:space="preserve">HTA </w:t>
      </w:r>
      <w:r>
        <w:rPr>
          <w:b/>
        </w:rPr>
        <w:t>P</w:t>
      </w:r>
      <w:r w:rsidR="00B66A6C" w:rsidRPr="00C31DF4">
        <w:rPr>
          <w:b/>
        </w:rPr>
        <w:t>athway:</w:t>
      </w:r>
      <w:r w:rsidR="00B66A6C">
        <w:t xml:space="preserve"> </w:t>
      </w:r>
      <w:r w:rsidR="002C37AF">
        <w:t>Noting that there are likely to be several levels of clinical and technical input into applications using the focused pathway, e</w:t>
      </w:r>
      <w:r w:rsidR="00B66A6C">
        <w:t>xternal evaluation may provide a commentary on a</w:t>
      </w:r>
      <w:r w:rsidR="00A7528A">
        <w:t xml:space="preserve"> sponsor</w:t>
      </w:r>
      <w:r w:rsidR="00942A09">
        <w:t>’</w:t>
      </w:r>
      <w:r w:rsidR="00A7528A">
        <w:t>s</w:t>
      </w:r>
      <w:r w:rsidR="00B66A6C">
        <w:t xml:space="preserve"> submission</w:t>
      </w:r>
      <w:r w:rsidR="00F4143F">
        <w:t xml:space="preserve"> (produced in accordance with Guidelines)</w:t>
      </w:r>
      <w:r w:rsidR="00B66A6C">
        <w:t xml:space="preserve"> to identify key uncertainties and main issues for committee consideration. </w:t>
      </w:r>
    </w:p>
    <w:p w14:paraId="2FFD83C5" w14:textId="14CEF7CF" w:rsidR="00971DCB" w:rsidRDefault="00F4143F" w:rsidP="00A91CAF">
      <w:pPr>
        <w:pStyle w:val="ListBullet2"/>
      </w:pPr>
      <w:r>
        <w:t xml:space="preserve">This service most resembles the ADAR approach used by some MSAC applicants, and would reflect the most likely pathway taken by </w:t>
      </w:r>
      <w:r w:rsidR="007C4F41">
        <w:t xml:space="preserve">sponsors </w:t>
      </w:r>
      <w:r>
        <w:t xml:space="preserve">to the PLAC. </w:t>
      </w:r>
    </w:p>
    <w:p w14:paraId="6D9646F6" w14:textId="7CC5C38B" w:rsidR="00971DCB" w:rsidRDefault="00F4143F" w:rsidP="00A91CAF">
      <w:pPr>
        <w:pStyle w:val="ListBullet2"/>
      </w:pPr>
      <w:r>
        <w:t>An alternative approach</w:t>
      </w:r>
      <w:r w:rsidR="00B66A6C">
        <w:t xml:space="preserve"> may </w:t>
      </w:r>
      <w:r>
        <w:t>be to create a focused HTA report for a device</w:t>
      </w:r>
      <w:r w:rsidR="00971DCB">
        <w:t>, or a group of related devices,</w:t>
      </w:r>
      <w:r>
        <w:t xml:space="preserve"> based on an application and a</w:t>
      </w:r>
      <w:r w:rsidR="00971DCB">
        <w:t>n evidence</w:t>
      </w:r>
      <w:r>
        <w:t xml:space="preserve"> dossier. This approach has some similarities to the externally created DCARs</w:t>
      </w:r>
      <w:r w:rsidR="00971DCB">
        <w:t xml:space="preserve"> in the MSAC process. H</w:t>
      </w:r>
      <w:r>
        <w:t>owever</w:t>
      </w:r>
      <w:r w:rsidR="00971DCB">
        <w:t>, the approach</w:t>
      </w:r>
      <w:r>
        <w:t xml:space="preserve"> would </w:t>
      </w:r>
      <w:r w:rsidR="00971DCB">
        <w:t xml:space="preserve">be critically dependent </w:t>
      </w:r>
      <w:r>
        <w:t xml:space="preserve">upon the provision of adequate data from the </w:t>
      </w:r>
      <w:r w:rsidR="007C4F41">
        <w:t xml:space="preserve">sponsor </w:t>
      </w:r>
      <w:r>
        <w:t>(e.g. the clinical evaluation</w:t>
      </w:r>
      <w:r w:rsidR="00BE0A9F">
        <w:t xml:space="preserve"> report and supplementary data) as </w:t>
      </w:r>
      <w:r w:rsidR="00971DCB">
        <w:t xml:space="preserve">these </w:t>
      </w:r>
      <w:r w:rsidR="00BE0A9F">
        <w:t xml:space="preserve">data are unlikely to be in the public domain. </w:t>
      </w:r>
    </w:p>
    <w:p w14:paraId="3E856BA7" w14:textId="26924521" w:rsidR="00B66A6C" w:rsidRDefault="00343433" w:rsidP="00A91CAF">
      <w:pPr>
        <w:pStyle w:val="ListBullet2"/>
      </w:pPr>
      <w:r>
        <w:t xml:space="preserve">A final option may be a hybrid report, where the clinical data are provided in a submission by the </w:t>
      </w:r>
      <w:r w:rsidR="007C4F41">
        <w:t xml:space="preserve">sponsor </w:t>
      </w:r>
      <w:r>
        <w:t xml:space="preserve">for consideration by the </w:t>
      </w:r>
      <w:r w:rsidR="00FF4174">
        <w:t>CAGs / PLAC</w:t>
      </w:r>
      <w:r>
        <w:t xml:space="preserve">, and an economic evaluation is performed by an external </w:t>
      </w:r>
      <w:r w:rsidR="00971DCB">
        <w:t>HTA</w:t>
      </w:r>
      <w:r>
        <w:t xml:space="preserve"> group. This may be required if the </w:t>
      </w:r>
      <w:r w:rsidR="007C4F41">
        <w:t xml:space="preserve">sponsor </w:t>
      </w:r>
      <w:r>
        <w:t xml:space="preserve">is requesting a new </w:t>
      </w:r>
      <w:r w:rsidR="00971DCB">
        <w:t xml:space="preserve">device </w:t>
      </w:r>
      <w:r>
        <w:t xml:space="preserve">category </w:t>
      </w:r>
      <w:r w:rsidR="00E66735">
        <w:t xml:space="preserve">or </w:t>
      </w:r>
      <w:r>
        <w:t>a higher reimbursement price and does not have the resources to develop an economic analysis.</w:t>
      </w:r>
    </w:p>
    <w:p w14:paraId="5CF59FFE" w14:textId="3E9A74BD" w:rsidR="00BE0A9F" w:rsidRDefault="00BE0A9F" w:rsidP="00A91CAF">
      <w:pPr>
        <w:pStyle w:val="ListBullet"/>
      </w:pPr>
      <w:r w:rsidRPr="00A619D4">
        <w:rPr>
          <w:b/>
        </w:rPr>
        <w:t xml:space="preserve">Full HTA </w:t>
      </w:r>
      <w:r w:rsidR="006C6633">
        <w:rPr>
          <w:b/>
        </w:rPr>
        <w:t>P</w:t>
      </w:r>
      <w:r w:rsidRPr="00A619D4">
        <w:rPr>
          <w:b/>
        </w:rPr>
        <w:t>athway:</w:t>
      </w:r>
      <w:r>
        <w:t xml:space="preserve"> </w:t>
      </w:r>
      <w:r w:rsidR="00E66735">
        <w:t>External evaluation, provided through the current MSAC pathway, would</w:t>
      </w:r>
      <w:r w:rsidR="00971DCB">
        <w:t xml:space="preserve"> provide a commentary on a </w:t>
      </w:r>
      <w:r w:rsidR="007C4F41">
        <w:t xml:space="preserve">sponsor's </w:t>
      </w:r>
      <w:r w:rsidR="00971DCB">
        <w:t xml:space="preserve">submission (produced in accordance with </w:t>
      </w:r>
      <w:r w:rsidR="00E66735">
        <w:t xml:space="preserve">MSAC </w:t>
      </w:r>
      <w:r w:rsidR="00971DCB">
        <w:t>Guidelines) to identify key uncertainties and main iss</w:t>
      </w:r>
      <w:r w:rsidR="00871A6C">
        <w:t xml:space="preserve">ues for </w:t>
      </w:r>
      <w:r w:rsidR="00E66735">
        <w:t xml:space="preserve">MSAC </w:t>
      </w:r>
      <w:r w:rsidR="00871A6C">
        <w:t xml:space="preserve">consideration </w:t>
      </w:r>
      <w:r w:rsidR="00E66735">
        <w:t>and to inform benefit setting.</w:t>
      </w:r>
    </w:p>
    <w:p w14:paraId="382CBAF5" w14:textId="4E0B3FD6" w:rsidR="004D5236" w:rsidRDefault="004D5236" w:rsidP="0008330C">
      <w:r>
        <w:lastRenderedPageBreak/>
        <w:t xml:space="preserve">The scope and complexity of reports to support the </w:t>
      </w:r>
      <w:r w:rsidR="00CF0CD4">
        <w:t>C</w:t>
      </w:r>
      <w:r w:rsidR="000D6AC1">
        <w:t xml:space="preserve">linical / </w:t>
      </w:r>
      <w:r w:rsidR="00CF0CD4">
        <w:t>F</w:t>
      </w:r>
      <w:r>
        <w:t xml:space="preserve">ocused </w:t>
      </w:r>
      <w:r w:rsidR="00942A09">
        <w:t xml:space="preserve">HTA </w:t>
      </w:r>
      <w:r w:rsidR="00CF0CD4">
        <w:t>P</w:t>
      </w:r>
      <w:r>
        <w:t xml:space="preserve">athway </w:t>
      </w:r>
      <w:r w:rsidR="00343433">
        <w:t>will be</w:t>
      </w:r>
      <w:r>
        <w:t xml:space="preserve"> a key topic for discussion in the development of pathways. It is expected that </w:t>
      </w:r>
      <w:r w:rsidR="00971DCB">
        <w:t xml:space="preserve">these </w:t>
      </w:r>
      <w:r>
        <w:t xml:space="preserve">reports </w:t>
      </w:r>
      <w:r w:rsidR="00971DCB">
        <w:t>c</w:t>
      </w:r>
      <w:r>
        <w:t xml:space="preserve">ould be substantially more focused than MSAC DCARs or </w:t>
      </w:r>
      <w:r w:rsidR="00971DCB">
        <w:t xml:space="preserve">ADAR </w:t>
      </w:r>
      <w:r>
        <w:t>commentaries</w:t>
      </w:r>
      <w:r w:rsidR="00343433">
        <w:t xml:space="preserve">, and may be </w:t>
      </w:r>
      <w:r w:rsidR="00971DCB">
        <w:t xml:space="preserve">able to be </w:t>
      </w:r>
      <w:r w:rsidR="00343433">
        <w:t>created in shorter timeframes</w:t>
      </w:r>
      <w:r>
        <w:t xml:space="preserve">. </w:t>
      </w:r>
    </w:p>
    <w:p w14:paraId="0BBB208F" w14:textId="484F5FE5" w:rsidR="00BE0A9F" w:rsidRDefault="00BE0A9F" w:rsidP="0008330C">
      <w:r>
        <w:t xml:space="preserve">External evaluators can be sourced through the Department's existing HTA panel. However, the evaluation of medical devices </w:t>
      </w:r>
      <w:r w:rsidR="004D5236">
        <w:t xml:space="preserve">and </w:t>
      </w:r>
      <w:r w:rsidR="00087137">
        <w:t xml:space="preserve">prostheses requires additional expertise, and </w:t>
      </w:r>
      <w:r w:rsidR="004D5236">
        <w:t xml:space="preserve">the structure of </w:t>
      </w:r>
      <w:r w:rsidR="00087137">
        <w:t xml:space="preserve">the </w:t>
      </w:r>
      <w:r w:rsidR="004D5236">
        <w:t>reports will be a departure from</w:t>
      </w:r>
      <w:r w:rsidR="00C90768">
        <w:t xml:space="preserve"> MSAC reports. E</w:t>
      </w:r>
      <w:r w:rsidR="00087137">
        <w:t xml:space="preserve">xternal evaluators </w:t>
      </w:r>
      <w:r w:rsidR="004D5236">
        <w:t xml:space="preserve">may require initial training and the </w:t>
      </w:r>
      <w:r w:rsidR="00087137">
        <w:t xml:space="preserve">provision </w:t>
      </w:r>
      <w:r w:rsidR="002C37AF">
        <w:t>of g</w:t>
      </w:r>
      <w:r w:rsidR="004D5236">
        <w:t>uidelines</w:t>
      </w:r>
      <w:r w:rsidR="00087137">
        <w:t xml:space="preserve"> and templates</w:t>
      </w:r>
      <w:r w:rsidR="004D5236">
        <w:t xml:space="preserve">. </w:t>
      </w:r>
    </w:p>
    <w:p w14:paraId="6963E2C2" w14:textId="7296BB82" w:rsidR="00CB36A3" w:rsidRDefault="00CB36A3" w:rsidP="00CB36A3">
      <w:r>
        <w:t xml:space="preserve">Permitting external evaluators to observe committee deliberations </w:t>
      </w:r>
      <w:r w:rsidR="00E66735">
        <w:t xml:space="preserve">for assessments undergoing a </w:t>
      </w:r>
      <w:r w:rsidR="00CF0CD4">
        <w:t>C</w:t>
      </w:r>
      <w:r w:rsidR="000D6AC1">
        <w:t xml:space="preserve">linical / </w:t>
      </w:r>
      <w:r w:rsidR="00CF0CD4">
        <w:t>F</w:t>
      </w:r>
      <w:r w:rsidR="00E66735">
        <w:t>ocused</w:t>
      </w:r>
      <w:r w:rsidR="00942A09">
        <w:t xml:space="preserve"> HTA</w:t>
      </w:r>
      <w:r w:rsidR="00E66735">
        <w:t xml:space="preserve"> </w:t>
      </w:r>
      <w:r w:rsidR="00CF0CD4">
        <w:t>P</w:t>
      </w:r>
      <w:r w:rsidR="00E66735">
        <w:t xml:space="preserve">athway </w:t>
      </w:r>
      <w:r>
        <w:t xml:space="preserve">may provide insight into the key concerns held by the committees and assist with building expertise on the evaluation of prostheses and </w:t>
      </w:r>
      <w:r w:rsidR="00A7528A">
        <w:t>medical</w:t>
      </w:r>
      <w:r>
        <w:t xml:space="preserve"> devices. This will lead to improvements in the focus of subsequent external evaluation reports to those issues most important to the PL decision-making committee.</w:t>
      </w:r>
      <w:r w:rsidR="00E66735">
        <w:t xml:space="preserve"> Further, the external evaluators can clarify issues or omissions </w:t>
      </w:r>
      <w:r w:rsidR="00C90768">
        <w:t>in the application</w:t>
      </w:r>
      <w:r w:rsidR="00E66735">
        <w:t>, if required.</w:t>
      </w:r>
    </w:p>
    <w:p w14:paraId="06BC1E84" w14:textId="77777777" w:rsidR="003F1240" w:rsidRDefault="003F1240" w:rsidP="003F1240">
      <w:pPr>
        <w:pStyle w:val="Heading2"/>
      </w:pPr>
      <w:bookmarkStart w:id="35" w:name="_Toc125470878"/>
      <w:bookmarkStart w:id="36" w:name="_Toc125984785"/>
      <w:r>
        <w:t>Committee composition</w:t>
      </w:r>
      <w:bookmarkEnd w:id="35"/>
      <w:bookmarkEnd w:id="36"/>
    </w:p>
    <w:p w14:paraId="383C6B75" w14:textId="272C8B98" w:rsidR="00AF213A" w:rsidRDefault="0008330C" w:rsidP="0008330C">
      <w:r>
        <w:t xml:space="preserve">The PL process would also be strengthened by greater HTA expertise on the committee that formulates the </w:t>
      </w:r>
      <w:r w:rsidR="00CB36A3">
        <w:t xml:space="preserve">PL </w:t>
      </w:r>
      <w:r>
        <w:t>recommendations, especially given the new pathways are likely to require a much more HTA focused approach.</w:t>
      </w:r>
      <w:r w:rsidR="00AF213A">
        <w:t xml:space="preserve"> This can be achieved by ensuring the committee, or relevant </w:t>
      </w:r>
      <w:r w:rsidR="003711F5">
        <w:t>Sub-committee</w:t>
      </w:r>
      <w:r w:rsidR="00AF213A">
        <w:t xml:space="preserve">s, contain several members who are experts in </w:t>
      </w:r>
      <w:r w:rsidR="00CB36A3">
        <w:t xml:space="preserve">clinical </w:t>
      </w:r>
      <w:r w:rsidR="00AF213A">
        <w:t>evidence appraisal</w:t>
      </w:r>
      <w:r w:rsidR="00CB36A3">
        <w:t xml:space="preserve"> (understanding of study design, bias and confounding)</w:t>
      </w:r>
      <w:r w:rsidR="00AF213A">
        <w:t xml:space="preserve"> and economic evaluation. </w:t>
      </w:r>
    </w:p>
    <w:p w14:paraId="5E3905EE" w14:textId="48BCDEA9" w:rsidR="00AF213A" w:rsidRDefault="00AF213A" w:rsidP="0008330C">
      <w:r>
        <w:t xml:space="preserve">Guidelines describing the presentation of robust evidence and appropriate economic evaluation methods will also aid committee members who have </w:t>
      </w:r>
      <w:r w:rsidR="00CB36A3">
        <w:t xml:space="preserve">had </w:t>
      </w:r>
      <w:r>
        <w:t xml:space="preserve">less exposure to HTA methods. </w:t>
      </w:r>
      <w:r w:rsidR="00F042FC">
        <w:t>T</w:t>
      </w:r>
      <w:r>
        <w:t xml:space="preserve">he inclusion of HTA experts in the committee(s), and exposure to guidelines, </w:t>
      </w:r>
      <w:r w:rsidR="00CB36A3">
        <w:t xml:space="preserve">along with </w:t>
      </w:r>
      <w:r>
        <w:t xml:space="preserve">properly constructed applications and external evaluation reports, </w:t>
      </w:r>
      <w:r w:rsidR="00CB36A3">
        <w:t xml:space="preserve">will ensure that </w:t>
      </w:r>
      <w:r w:rsidR="00F042FC">
        <w:t xml:space="preserve">over time </w:t>
      </w:r>
      <w:r>
        <w:t>committee member</w:t>
      </w:r>
      <w:r w:rsidR="00CB36A3">
        <w:t>s’</w:t>
      </w:r>
      <w:r>
        <w:t xml:space="preserve"> knowledge of HTA will increase.</w:t>
      </w:r>
    </w:p>
    <w:p w14:paraId="644C5F4C" w14:textId="1A764B83" w:rsidR="002F05B9" w:rsidRDefault="002F05B9" w:rsidP="00A619D4">
      <w:pPr>
        <w:pStyle w:val="Heading3"/>
      </w:pPr>
      <w:bookmarkStart w:id="37" w:name="_Toc125984786"/>
      <w:r>
        <w:t>Stakeholder representation on PL decision-making committee</w:t>
      </w:r>
      <w:bookmarkEnd w:id="37"/>
    </w:p>
    <w:p w14:paraId="60F0D427" w14:textId="48DC86E7" w:rsidR="002F05B9" w:rsidRDefault="002F05B9" w:rsidP="002F05B9">
      <w:r>
        <w:t>A key i</w:t>
      </w:r>
      <w:r w:rsidR="00E66735">
        <w:t>ssue with regard to governance</w:t>
      </w:r>
      <w:r>
        <w:t xml:space="preserve"> concerns conflicts of interest and the impact of vested interests amongst committee members. To reflect the ‘transparent, accountable and independent’ principle of Australian Government HTA processes and to align the PL process with other HTA processes within the Department, consideration should be given to the representation on the committee that provides advice about listing. </w:t>
      </w:r>
      <w:r w:rsidR="008E0DC8">
        <w:fldChar w:fldCharType="begin"/>
      </w:r>
      <w:r w:rsidR="008E0DC8">
        <w:instrText xml:space="preserve"> REF _Ref101632569 \h </w:instrText>
      </w:r>
      <w:r w:rsidR="008E0DC8">
        <w:fldChar w:fldCharType="separate"/>
      </w:r>
      <w:r w:rsidR="00200D1D" w:rsidRPr="008E0DC8">
        <w:t xml:space="preserve">Table </w:t>
      </w:r>
      <w:r w:rsidR="00200D1D">
        <w:rPr>
          <w:noProof/>
        </w:rPr>
        <w:t>3</w:t>
      </w:r>
      <w:r w:rsidR="008E0DC8">
        <w:fldChar w:fldCharType="end"/>
      </w:r>
      <w:r>
        <w:t xml:space="preserve"> compares the committee membership of PBAC, MSAC, ATAGI and PLAC.</w:t>
      </w:r>
    </w:p>
    <w:p w14:paraId="1207CB71" w14:textId="3F16546B" w:rsidR="002F05B9" w:rsidRPr="00A619D4" w:rsidRDefault="008E0DC8" w:rsidP="00DB5803">
      <w:pPr>
        <w:pStyle w:val="Caption"/>
      </w:pPr>
      <w:bookmarkStart w:id="38" w:name="_Ref101632569"/>
      <w:r w:rsidRPr="008E0DC8">
        <w:t xml:space="preserve">Table </w:t>
      </w:r>
      <w:r>
        <w:fldChar w:fldCharType="begin"/>
      </w:r>
      <w:r>
        <w:instrText>SEQ Table \* ARABIC</w:instrText>
      </w:r>
      <w:r>
        <w:fldChar w:fldCharType="separate"/>
      </w:r>
      <w:r w:rsidR="00200D1D">
        <w:rPr>
          <w:noProof/>
        </w:rPr>
        <w:t>3</w:t>
      </w:r>
      <w:r>
        <w:fldChar w:fldCharType="end"/>
      </w:r>
      <w:bookmarkEnd w:id="38"/>
      <w:r w:rsidRPr="00A619D4">
        <w:t>.</w:t>
      </w:r>
      <w:r w:rsidR="002F05B9" w:rsidRPr="00A619D4">
        <w:t xml:space="preserve"> Membership of various </w:t>
      </w:r>
      <w:r w:rsidR="00F66D7F">
        <w:t>Department of Health and Aged Care</w:t>
      </w:r>
      <w:r w:rsidR="002F05B9" w:rsidRPr="00A619D4">
        <w:t xml:space="preserve"> HTA committees</w:t>
      </w:r>
    </w:p>
    <w:tbl>
      <w:tblPr>
        <w:tblStyle w:val="ListTable3-Accent11"/>
        <w:tblW w:w="0" w:type="auto"/>
        <w:tblLook w:val="04A0" w:firstRow="1" w:lastRow="0" w:firstColumn="1" w:lastColumn="0" w:noHBand="0" w:noVBand="1"/>
        <w:tblDescription w:val="Table 3 is a list of the membership of HTA committees."/>
      </w:tblPr>
      <w:tblGrid>
        <w:gridCol w:w="1237"/>
        <w:gridCol w:w="6077"/>
        <w:gridCol w:w="1702"/>
      </w:tblGrid>
      <w:tr w:rsidR="00A91CAF" w:rsidRPr="00E727FE" w14:paraId="4BCB4FDD" w14:textId="77777777" w:rsidTr="00A91CAF">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0" w:type="auto"/>
          </w:tcPr>
          <w:p w14:paraId="50145769" w14:textId="77777777" w:rsidR="002F05B9" w:rsidRPr="00E727FE" w:rsidRDefault="002F05B9" w:rsidP="00E727FE">
            <w:r w:rsidRPr="00E727FE">
              <w:t>Committee</w:t>
            </w:r>
          </w:p>
        </w:tc>
        <w:tc>
          <w:tcPr>
            <w:tcW w:w="0" w:type="auto"/>
          </w:tcPr>
          <w:p w14:paraId="376A3B2D" w14:textId="77777777" w:rsidR="002F05B9" w:rsidRPr="00E727FE" w:rsidRDefault="002F05B9" w:rsidP="00E727FE">
            <w:pPr>
              <w:cnfStyle w:val="100000000000" w:firstRow="1" w:lastRow="0" w:firstColumn="0" w:lastColumn="0" w:oddVBand="0" w:evenVBand="0" w:oddHBand="0" w:evenHBand="0" w:firstRowFirstColumn="0" w:firstRowLastColumn="0" w:lastRowFirstColumn="0" w:lastRowLastColumn="0"/>
            </w:pPr>
            <w:r w:rsidRPr="00E727FE">
              <w:t>Members</w:t>
            </w:r>
          </w:p>
        </w:tc>
        <w:tc>
          <w:tcPr>
            <w:tcW w:w="0" w:type="auto"/>
          </w:tcPr>
          <w:p w14:paraId="016CF3A2" w14:textId="77777777" w:rsidR="002F05B9" w:rsidRPr="00E727FE" w:rsidRDefault="002F05B9" w:rsidP="00E727FE">
            <w:pPr>
              <w:cnfStyle w:val="100000000000" w:firstRow="1" w:lastRow="0" w:firstColumn="0" w:lastColumn="0" w:oddVBand="0" w:evenVBand="0" w:oddHBand="0" w:evenHBand="0" w:firstRowFirstColumn="0" w:firstRowLastColumn="0" w:lastRowFirstColumn="0" w:lastRowLastColumn="0"/>
            </w:pPr>
            <w:r w:rsidRPr="00E727FE">
              <w:t>Industry representation</w:t>
            </w:r>
          </w:p>
        </w:tc>
      </w:tr>
      <w:tr w:rsidR="002F05B9" w:rsidRPr="00E727FE" w14:paraId="6B05EF21"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C3AC19" w14:textId="77777777" w:rsidR="002F05B9" w:rsidRPr="00E727FE" w:rsidRDefault="002F05B9" w:rsidP="00E727FE">
            <w:r w:rsidRPr="00E727FE">
              <w:t>PBAC</w:t>
            </w:r>
          </w:p>
        </w:tc>
        <w:tc>
          <w:tcPr>
            <w:tcW w:w="0" w:type="auto"/>
          </w:tcPr>
          <w:p w14:paraId="5AAE2614" w14:textId="77777777" w:rsidR="002F05B9" w:rsidRPr="00E727FE" w:rsidRDefault="002F05B9" w:rsidP="00E727FE">
            <w:pPr>
              <w:cnfStyle w:val="000000100000" w:firstRow="0" w:lastRow="0" w:firstColumn="0" w:lastColumn="0" w:oddVBand="0" w:evenVBand="0" w:oddHBand="1" w:evenHBand="0" w:firstRowFirstColumn="0" w:firstRowLastColumn="0" w:lastRowFirstColumn="0" w:lastRowLastColumn="0"/>
            </w:pPr>
            <w:r w:rsidRPr="00E727FE">
              <w:t>21, including doctors, health professionals, health economists and consumer representatives</w:t>
            </w:r>
          </w:p>
        </w:tc>
        <w:tc>
          <w:tcPr>
            <w:tcW w:w="0" w:type="auto"/>
          </w:tcPr>
          <w:p w14:paraId="65F7B5CA" w14:textId="77777777" w:rsidR="002F05B9" w:rsidRPr="00E727FE" w:rsidRDefault="002F05B9" w:rsidP="00E727FE">
            <w:pPr>
              <w:cnfStyle w:val="000000100000" w:firstRow="0" w:lastRow="0" w:firstColumn="0" w:lastColumn="0" w:oddVBand="0" w:evenVBand="0" w:oddHBand="1" w:evenHBand="0" w:firstRowFirstColumn="0" w:firstRowLastColumn="0" w:lastRowFirstColumn="0" w:lastRowLastColumn="0"/>
            </w:pPr>
            <w:r w:rsidRPr="00E727FE">
              <w:t xml:space="preserve">Yes: 1 </w:t>
            </w:r>
          </w:p>
        </w:tc>
      </w:tr>
      <w:tr w:rsidR="002F05B9" w:rsidRPr="00E727FE" w14:paraId="6E45208D" w14:textId="77777777" w:rsidTr="00A91CAF">
        <w:tc>
          <w:tcPr>
            <w:cnfStyle w:val="001000000000" w:firstRow="0" w:lastRow="0" w:firstColumn="1" w:lastColumn="0" w:oddVBand="0" w:evenVBand="0" w:oddHBand="0" w:evenHBand="0" w:firstRowFirstColumn="0" w:firstRowLastColumn="0" w:lastRowFirstColumn="0" w:lastRowLastColumn="0"/>
            <w:tcW w:w="0" w:type="auto"/>
          </w:tcPr>
          <w:p w14:paraId="5DB3C2A4" w14:textId="77777777" w:rsidR="002F05B9" w:rsidRPr="00E727FE" w:rsidRDefault="002F05B9" w:rsidP="00E727FE">
            <w:r w:rsidRPr="00E727FE">
              <w:t>MSAC</w:t>
            </w:r>
          </w:p>
        </w:tc>
        <w:tc>
          <w:tcPr>
            <w:tcW w:w="0" w:type="auto"/>
          </w:tcPr>
          <w:p w14:paraId="543EFEF2" w14:textId="77777777" w:rsidR="002F05B9" w:rsidRPr="00E727FE" w:rsidRDefault="002F05B9" w:rsidP="00E727FE">
            <w:pPr>
              <w:cnfStyle w:val="000000000000" w:firstRow="0" w:lastRow="0" w:firstColumn="0" w:lastColumn="0" w:oddVBand="0" w:evenVBand="0" w:oddHBand="0" w:evenHBand="0" w:firstRowFirstColumn="0" w:firstRowLastColumn="0" w:lastRowFirstColumn="0" w:lastRowLastColumn="0"/>
            </w:pPr>
            <w:r w:rsidRPr="00E727FE">
              <w:t>20, including clinical and methodological experts, consumer representative</w:t>
            </w:r>
          </w:p>
        </w:tc>
        <w:tc>
          <w:tcPr>
            <w:tcW w:w="0" w:type="auto"/>
          </w:tcPr>
          <w:p w14:paraId="0FC75CF0" w14:textId="77777777" w:rsidR="002F05B9" w:rsidRPr="00E727FE" w:rsidRDefault="002F05B9" w:rsidP="00E727FE">
            <w:pPr>
              <w:cnfStyle w:val="000000000000" w:firstRow="0" w:lastRow="0" w:firstColumn="0" w:lastColumn="0" w:oddVBand="0" w:evenVBand="0" w:oddHBand="0" w:evenHBand="0" w:firstRowFirstColumn="0" w:firstRowLastColumn="0" w:lastRowFirstColumn="0" w:lastRowLastColumn="0"/>
            </w:pPr>
            <w:r w:rsidRPr="00E727FE">
              <w:t>No</w:t>
            </w:r>
          </w:p>
        </w:tc>
      </w:tr>
      <w:tr w:rsidR="002F05B9" w:rsidRPr="00E727FE" w14:paraId="5498F5D9"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FEB85B" w14:textId="77777777" w:rsidR="002F05B9" w:rsidRPr="00E727FE" w:rsidRDefault="002F05B9" w:rsidP="00E727FE">
            <w:r w:rsidRPr="00E727FE">
              <w:lastRenderedPageBreak/>
              <w:t>ATAGI</w:t>
            </w:r>
          </w:p>
        </w:tc>
        <w:tc>
          <w:tcPr>
            <w:tcW w:w="0" w:type="auto"/>
          </w:tcPr>
          <w:p w14:paraId="02F37412" w14:textId="56B155ED" w:rsidR="002F05B9" w:rsidRPr="00E727FE" w:rsidRDefault="002F05B9" w:rsidP="00E727FE">
            <w:pPr>
              <w:cnfStyle w:val="000000100000" w:firstRow="0" w:lastRow="0" w:firstColumn="0" w:lastColumn="0" w:oddVBand="0" w:evenVBand="0" w:oddHBand="1" w:evenHBand="0" w:firstRowFirstColumn="0" w:firstRowLastColumn="0" w:lastRowFirstColumn="0" w:lastRowLastColumn="0"/>
            </w:pPr>
            <w:r w:rsidRPr="00E727FE">
              <w:t xml:space="preserve">15 voting members including clinical experts and consumer representatives; ex-officio members including </w:t>
            </w:r>
            <w:r w:rsidR="00F66D7F" w:rsidRPr="00E727FE">
              <w:t>Department of Health and Aged Care</w:t>
            </w:r>
            <w:r w:rsidRPr="00E727FE">
              <w:t>, National Centre for Immunisation Research and Surveillance, TGA and PBAC</w:t>
            </w:r>
          </w:p>
        </w:tc>
        <w:tc>
          <w:tcPr>
            <w:tcW w:w="0" w:type="auto"/>
          </w:tcPr>
          <w:p w14:paraId="50B89780" w14:textId="77777777" w:rsidR="002F05B9" w:rsidRPr="00E727FE" w:rsidRDefault="002F05B9" w:rsidP="00E727FE">
            <w:pPr>
              <w:cnfStyle w:val="000000100000" w:firstRow="0" w:lastRow="0" w:firstColumn="0" w:lastColumn="0" w:oddVBand="0" w:evenVBand="0" w:oddHBand="1" w:evenHBand="0" w:firstRowFirstColumn="0" w:firstRowLastColumn="0" w:lastRowFirstColumn="0" w:lastRowLastColumn="0"/>
            </w:pPr>
            <w:r w:rsidRPr="00E727FE">
              <w:t xml:space="preserve">No </w:t>
            </w:r>
          </w:p>
        </w:tc>
      </w:tr>
      <w:tr w:rsidR="002F05B9" w:rsidRPr="00E727FE" w14:paraId="1924F3F8" w14:textId="77777777" w:rsidTr="00A91CAF">
        <w:tc>
          <w:tcPr>
            <w:cnfStyle w:val="001000000000" w:firstRow="0" w:lastRow="0" w:firstColumn="1" w:lastColumn="0" w:oddVBand="0" w:evenVBand="0" w:oddHBand="0" w:evenHBand="0" w:firstRowFirstColumn="0" w:firstRowLastColumn="0" w:lastRowFirstColumn="0" w:lastRowLastColumn="0"/>
            <w:tcW w:w="0" w:type="auto"/>
          </w:tcPr>
          <w:p w14:paraId="0B1C6957" w14:textId="77777777" w:rsidR="002F05B9" w:rsidRPr="00E727FE" w:rsidRDefault="002F05B9" w:rsidP="00E727FE">
            <w:r w:rsidRPr="00E727FE">
              <w:t>PLAC</w:t>
            </w:r>
          </w:p>
        </w:tc>
        <w:tc>
          <w:tcPr>
            <w:tcW w:w="0" w:type="auto"/>
          </w:tcPr>
          <w:p w14:paraId="5C01EA79" w14:textId="77777777" w:rsidR="002F05B9" w:rsidRPr="00E727FE" w:rsidRDefault="002F05B9" w:rsidP="00E727FE">
            <w:pPr>
              <w:cnfStyle w:val="000000000000" w:firstRow="0" w:lastRow="0" w:firstColumn="0" w:lastColumn="0" w:oddVBand="0" w:evenVBand="0" w:oddHBand="0" w:evenHBand="0" w:firstRowFirstColumn="0" w:firstRowLastColumn="0" w:lastRowFirstColumn="0" w:lastRowLastColumn="0"/>
            </w:pPr>
            <w:r w:rsidRPr="00E727FE">
              <w:t>11 expert members including clinical and methodological experts and consumer representative</w:t>
            </w:r>
          </w:p>
          <w:p w14:paraId="5F8924B8" w14:textId="3F2688AF" w:rsidR="002F05B9" w:rsidRPr="00E727FE" w:rsidRDefault="00052201" w:rsidP="00E727FE">
            <w:pPr>
              <w:cnfStyle w:val="000000000000" w:firstRow="0" w:lastRow="0" w:firstColumn="0" w:lastColumn="0" w:oddVBand="0" w:evenVBand="0" w:oddHBand="0" w:evenHBand="0" w:firstRowFirstColumn="0" w:firstRowLastColumn="0" w:lastRowFirstColumn="0" w:lastRowLastColumn="0"/>
            </w:pPr>
            <w:r w:rsidRPr="00E727FE">
              <w:t>I</w:t>
            </w:r>
            <w:r w:rsidR="00FF4174" w:rsidRPr="00E727FE">
              <w:t>nvited attendees</w:t>
            </w:r>
            <w:r w:rsidRPr="00E727FE">
              <w:t xml:space="preserve"> from Australian Private Hospitals Association, Catholic Health Australia, Day Hospitals Australia, </w:t>
            </w:r>
            <w:proofErr w:type="spellStart"/>
            <w:r w:rsidRPr="00E727FE">
              <w:t>AusBiotech</w:t>
            </w:r>
            <w:proofErr w:type="spellEnd"/>
            <w:r w:rsidRPr="00E727FE">
              <w:t>, Medical Technology Association of Australia, Private Healthcare Australia and Members Health.</w:t>
            </w:r>
            <w:r w:rsidR="00FF4174" w:rsidRPr="00E727FE">
              <w:t xml:space="preserve"> </w:t>
            </w:r>
            <w:r w:rsidR="002F05B9" w:rsidRPr="00E727FE">
              <w:t xml:space="preserve">Representatives from </w:t>
            </w:r>
            <w:r w:rsidR="00F66D7F" w:rsidRPr="00E727FE">
              <w:t>Department of Health and Aged Care</w:t>
            </w:r>
            <w:r w:rsidR="002F05B9" w:rsidRPr="00E727FE">
              <w:t>, including TGA and Department of Veteran’s Affairs also attend</w:t>
            </w:r>
          </w:p>
        </w:tc>
        <w:tc>
          <w:tcPr>
            <w:tcW w:w="0" w:type="auto"/>
          </w:tcPr>
          <w:p w14:paraId="2B528E2C" w14:textId="77777777" w:rsidR="002F05B9" w:rsidRPr="00E727FE" w:rsidRDefault="002F05B9" w:rsidP="00E727FE">
            <w:pPr>
              <w:cnfStyle w:val="000000000000" w:firstRow="0" w:lastRow="0" w:firstColumn="0" w:lastColumn="0" w:oddVBand="0" w:evenVBand="0" w:oddHBand="0" w:evenHBand="0" w:firstRowFirstColumn="0" w:firstRowLastColumn="0" w:lastRowFirstColumn="0" w:lastRowLastColumn="0"/>
            </w:pPr>
            <w:r w:rsidRPr="00E727FE">
              <w:t xml:space="preserve">Yes: 7 </w:t>
            </w:r>
          </w:p>
        </w:tc>
      </w:tr>
    </w:tbl>
    <w:p w14:paraId="0A1FD7B4" w14:textId="784F9529" w:rsidR="002F05B9" w:rsidRPr="00893DE9" w:rsidRDefault="002F05B9" w:rsidP="00C90768">
      <w:pPr>
        <w:rPr>
          <w:i/>
          <w:iCs/>
          <w:sz w:val="24"/>
        </w:rPr>
      </w:pPr>
      <w:r>
        <w:t xml:space="preserve">PBAC has an industry stakeholder representative, MSAC and ATAGI do not, whilst the existing PLAC membership includes clinician experts and representatives from the hospital, insurance and sponsor sectors in advisory membership or invited attendee roles. The recommendations made by PLAC may have </w:t>
      </w:r>
      <w:r w:rsidR="00A619D4">
        <w:t>differing</w:t>
      </w:r>
      <w:r>
        <w:t xml:space="preserve"> financial implications for a number of stakeholders, </w:t>
      </w:r>
      <w:r w:rsidR="00A619D4">
        <w:t>but it is different to the other committees in that the Government is not the payer.</w:t>
      </w:r>
      <w:r>
        <w:t xml:space="preserve"> Advisory members do not have any voting rights, </w:t>
      </w:r>
      <w:r w:rsidR="00C90768">
        <w:t>however members with vested interests do influence committee discussions, to the detriment of the committee functioning.</w:t>
      </w:r>
    </w:p>
    <w:p w14:paraId="02A2DBBA" w14:textId="72D809EF" w:rsidR="002F05B9" w:rsidRDefault="00C90768" w:rsidP="002F05B9">
      <w:r>
        <w:t>All the governance options in this report are based on optimising the operation of the lead committee by removing s</w:t>
      </w:r>
      <w:r w:rsidR="00362FF2">
        <w:t>takeholders</w:t>
      </w:r>
      <w:r w:rsidR="004458D6">
        <w:t xml:space="preserve"> with vested interests, however, i</w:t>
      </w:r>
      <w:r>
        <w:t xml:space="preserve">t is also recognised that stakeholder input is important to the PL process. </w:t>
      </w:r>
      <w:r w:rsidR="00E45816">
        <w:t xml:space="preserve">Stakeholders would not attend decision-making committee meetings. This would eliminate the distractions referred to above, and allow the expert committee to make listing and review advice without influence from financially interested stakeholders. </w:t>
      </w:r>
      <w:r w:rsidR="002F05B9">
        <w:t xml:space="preserve">There are two possible ways to address </w:t>
      </w:r>
      <w:r w:rsidR="00E66735">
        <w:t xml:space="preserve">stakeholder input </w:t>
      </w:r>
      <w:r w:rsidR="00E45816">
        <w:t>when they are excluded from PLAC meetings.</w:t>
      </w:r>
      <w:r w:rsidR="002F05B9">
        <w:t xml:space="preserve"> </w:t>
      </w:r>
      <w:r w:rsidR="00462189">
        <w:t xml:space="preserve">Firstly, </w:t>
      </w:r>
      <w:r w:rsidR="00E66735">
        <w:t xml:space="preserve">the Department </w:t>
      </w:r>
      <w:r w:rsidR="00D036B6">
        <w:t xml:space="preserve">currently </w:t>
      </w:r>
      <w:r w:rsidR="00E66735">
        <w:t xml:space="preserve">convenes </w:t>
      </w:r>
      <w:r w:rsidR="002F05B9">
        <w:t xml:space="preserve">a stakeholder </w:t>
      </w:r>
      <w:r w:rsidR="00E66735">
        <w:t>forum every two months</w:t>
      </w:r>
      <w:r w:rsidR="00D036B6">
        <w:t xml:space="preserve"> providing updates on reform activities. The Department intends to continue this forum </w:t>
      </w:r>
      <w:r w:rsidR="002F05B9">
        <w:t xml:space="preserve">to </w:t>
      </w:r>
      <w:r w:rsidR="00942A09">
        <w:t xml:space="preserve">engage stakeholders </w:t>
      </w:r>
      <w:r w:rsidR="002F05B9">
        <w:t>on relevant issues such as policy and innovation</w:t>
      </w:r>
      <w:r w:rsidR="00942A09">
        <w:t xml:space="preserve">. </w:t>
      </w:r>
      <w:r w:rsidR="00462189">
        <w:t xml:space="preserve">Another approach would be to allow formal </w:t>
      </w:r>
      <w:r w:rsidR="006E44B1">
        <w:t>stakeholder</w:t>
      </w:r>
      <w:r w:rsidR="00462189">
        <w:t xml:space="preserve"> consultation on each application. A summary of the application</w:t>
      </w:r>
      <w:r w:rsidR="006E44B1">
        <w:t>, excluding commercial-in-confidence material,</w:t>
      </w:r>
      <w:r w:rsidR="00462189">
        <w:t xml:space="preserve"> could be forwarded to a group of stakeholders and submissions invited using a web-based proforma. This input would be collated, summarised and submitted to the </w:t>
      </w:r>
      <w:r w:rsidR="006E44B1">
        <w:t>Department</w:t>
      </w:r>
      <w:r w:rsidR="00462189">
        <w:t xml:space="preserve"> to inform their deliberations.</w:t>
      </w:r>
      <w:r w:rsidR="00E45816">
        <w:t xml:space="preserve"> The parameters for this, such as which applications are shared, what information is shared and at what stage it is shared, would need to be </w:t>
      </w:r>
      <w:r w:rsidR="00DE4275">
        <w:t>established</w:t>
      </w:r>
      <w:r w:rsidR="00E45816">
        <w:t xml:space="preserve">. </w:t>
      </w:r>
    </w:p>
    <w:p w14:paraId="072DB823" w14:textId="3ABA23ED" w:rsidR="00AF213A" w:rsidRDefault="00F042FC" w:rsidP="00F042FC">
      <w:pPr>
        <w:pStyle w:val="Heading2"/>
      </w:pPr>
      <w:bookmarkStart w:id="39" w:name="_Toc125470879"/>
      <w:bookmarkStart w:id="40" w:name="_Toc125984787"/>
      <w:r>
        <w:t>Reporting and documentation</w:t>
      </w:r>
      <w:bookmarkEnd w:id="39"/>
      <w:bookmarkEnd w:id="40"/>
    </w:p>
    <w:p w14:paraId="0C026278" w14:textId="6D17CFCD" w:rsidR="00AF213A" w:rsidRDefault="00F042FC" w:rsidP="0008330C">
      <w:r>
        <w:t xml:space="preserve">Structured minutes capturing committee and </w:t>
      </w:r>
      <w:r w:rsidR="002C37AF">
        <w:t>s</w:t>
      </w:r>
      <w:r w:rsidR="003711F5">
        <w:t>ub-committee</w:t>
      </w:r>
      <w:r>
        <w:t xml:space="preserve"> deliberations improve corporate knowledge, and support greater consistency </w:t>
      </w:r>
      <w:r w:rsidR="00CB36A3">
        <w:t>in</w:t>
      </w:r>
      <w:r>
        <w:t xml:space="preserve"> decision making. </w:t>
      </w:r>
    </w:p>
    <w:p w14:paraId="5AA3165E" w14:textId="06F46064" w:rsidR="00F042FC" w:rsidRDefault="00690EAD" w:rsidP="0008330C">
      <w:r>
        <w:t>S</w:t>
      </w:r>
      <w:r w:rsidR="00F042FC">
        <w:t xml:space="preserve">ummaries of PLAC recommendations, including clear and consistent language indicating the key issues pertaining to the decision, </w:t>
      </w:r>
      <w:r w:rsidR="00CB36A3">
        <w:t xml:space="preserve">will </w:t>
      </w:r>
      <w:r w:rsidR="00F042FC">
        <w:t>act to increase transparency</w:t>
      </w:r>
      <w:r w:rsidR="00E45816">
        <w:t>. Summaries may</w:t>
      </w:r>
      <w:r>
        <w:t xml:space="preserve"> </w:t>
      </w:r>
      <w:r w:rsidR="003D5963">
        <w:t xml:space="preserve">also act as a feedback mechanism to </w:t>
      </w:r>
      <w:r>
        <w:t>sponsors</w:t>
      </w:r>
      <w:r w:rsidR="003D5963">
        <w:t>, who are provided with information that may improve the quality of subsequent submissions.</w:t>
      </w:r>
      <w:r w:rsidR="002C37AF">
        <w:t xml:space="preserve"> Depending on the application to the PL and the claim being made, public </w:t>
      </w:r>
      <w:r w:rsidR="002C37AF">
        <w:lastRenderedPageBreak/>
        <w:t>summaries may be as brief as an acknowledgment of interchangeability with an existing prosthesis, progressing through to detailed summaries of decision making and justification for benefit setting. These public summaries should reflect the pathway an application has taken.</w:t>
      </w:r>
    </w:p>
    <w:p w14:paraId="534C84CD" w14:textId="2F4D2D8B" w:rsidR="003D5963" w:rsidRDefault="003D5963" w:rsidP="0008330C">
      <w:r>
        <w:t>While improving documentation may require investment in additional resources, some or all of these resources may be offset by expected improvements in committee efficiency, reductions in duplicati</w:t>
      </w:r>
      <w:r w:rsidR="00CB36A3">
        <w:t>ve</w:t>
      </w:r>
      <w:r>
        <w:t xml:space="preserve"> discussion, and </w:t>
      </w:r>
      <w:r w:rsidR="00CB36A3">
        <w:t xml:space="preserve">an </w:t>
      </w:r>
      <w:r>
        <w:t xml:space="preserve">overall improvement in the quality of </w:t>
      </w:r>
      <w:r w:rsidR="0006063A">
        <w:t xml:space="preserve">submissions. </w:t>
      </w:r>
      <w:r w:rsidR="002C37AF">
        <w:t xml:space="preserve">For the most simple of public summaries, automated generation via the Health Products Portal may even be possible. </w:t>
      </w:r>
    </w:p>
    <w:p w14:paraId="4FEF85A7" w14:textId="0F806826" w:rsidR="00AF213A" w:rsidRDefault="006A6293" w:rsidP="004F15ED">
      <w:pPr>
        <w:pStyle w:val="Heading2"/>
      </w:pPr>
      <w:bookmarkStart w:id="41" w:name="_Toc125470880"/>
      <w:bookmarkStart w:id="42" w:name="_Toc125984788"/>
      <w:r>
        <w:t>Wider committee responsibilities</w:t>
      </w:r>
      <w:bookmarkEnd w:id="41"/>
      <w:bookmarkEnd w:id="42"/>
    </w:p>
    <w:p w14:paraId="6A8C2C8B" w14:textId="1BCB5504" w:rsidR="00481F88" w:rsidRDefault="006A6293" w:rsidP="0008330C">
      <w:r>
        <w:t xml:space="preserve">The proposed additions described above relate to the listing process for the PL. Proposed PL </w:t>
      </w:r>
      <w:r w:rsidR="00F46342">
        <w:t>R</w:t>
      </w:r>
      <w:r>
        <w:t>eforms are considering how PLAC responsibilities</w:t>
      </w:r>
      <w:r w:rsidR="00481F88">
        <w:t xml:space="preserve"> such as</w:t>
      </w:r>
      <w:r>
        <w:t xml:space="preserve"> benefit setting and review of existing benefits should be undertaken in the future.</w:t>
      </w:r>
    </w:p>
    <w:p w14:paraId="1BDA9DCB" w14:textId="182F7C95" w:rsidR="00481F88" w:rsidRDefault="00481F88" w:rsidP="0008330C">
      <w:r>
        <w:t xml:space="preserve">These considerations fall outside of the scope of this report. However, the following processes may be relevant in </w:t>
      </w:r>
      <w:r w:rsidR="002F05B9">
        <w:t xml:space="preserve">a </w:t>
      </w:r>
      <w:r>
        <w:t>broader consideration of listing requirements or governance</w:t>
      </w:r>
      <w:r w:rsidR="00E26799">
        <w:t>. Note that these processes are suggestions only and have not been adopted by the Department</w:t>
      </w:r>
      <w:r>
        <w:t>:</w:t>
      </w:r>
    </w:p>
    <w:p w14:paraId="60D2538E" w14:textId="77777777" w:rsidR="00481F88" w:rsidRDefault="00481F88" w:rsidP="0008330C">
      <w:r>
        <w:t>Mechanisms to limit PL proliferation:</w:t>
      </w:r>
    </w:p>
    <w:p w14:paraId="1AB9E35C" w14:textId="1DECFDD5" w:rsidR="00CA2056" w:rsidRDefault="00CA2056" w:rsidP="00A91CAF">
      <w:pPr>
        <w:pStyle w:val="ListBullet"/>
      </w:pPr>
      <w:r>
        <w:t>Post listing reviews</w:t>
      </w:r>
    </w:p>
    <w:p w14:paraId="119570D8" w14:textId="334955B0" w:rsidR="00481F88" w:rsidRDefault="004B14E1" w:rsidP="00A91CAF">
      <w:pPr>
        <w:pStyle w:val="ListBullet"/>
      </w:pPr>
      <w:r>
        <w:t>Triggers for de-listing a device (</w:t>
      </w:r>
      <w:r w:rsidR="00E727FE">
        <w:t>e.g.,</w:t>
      </w:r>
      <w:r>
        <w:t xml:space="preserve"> based on utilisation)</w:t>
      </w:r>
    </w:p>
    <w:p w14:paraId="7EB36EE3" w14:textId="75987E1E" w:rsidR="004B14E1" w:rsidRDefault="004B14E1" w:rsidP="00A91CAF">
      <w:pPr>
        <w:pStyle w:val="ListBullet"/>
      </w:pPr>
      <w:r>
        <w:t xml:space="preserve">Triggers for a review of a category on the </w:t>
      </w:r>
      <w:r w:rsidR="00A7528A">
        <w:t>PL</w:t>
      </w:r>
      <w:r>
        <w:t xml:space="preserve"> (</w:t>
      </w:r>
      <w:r w:rsidR="00E727FE">
        <w:t>e.g.,</w:t>
      </w:r>
      <w:r>
        <w:t xml:space="preserve"> increases in overall utilisation, change in the composition of the category)</w:t>
      </w:r>
    </w:p>
    <w:p w14:paraId="30607BBB" w14:textId="23A9496B" w:rsidR="004B14E1" w:rsidRDefault="004B14E1" w:rsidP="0008330C">
      <w:r>
        <w:t>Mechanisms for containing cost and ensuring ongoing cost-effectiveness</w:t>
      </w:r>
    </w:p>
    <w:p w14:paraId="24FAD052" w14:textId="152876A7" w:rsidR="006A6293" w:rsidRDefault="00B47E05" w:rsidP="00A91CAF">
      <w:pPr>
        <w:pStyle w:val="ListBullet"/>
      </w:pPr>
      <w:r>
        <w:t>Implementation of the planned benefit reductions a</w:t>
      </w:r>
      <w:r w:rsidR="009F4517">
        <w:t>s per the Memorandum of Understanding between the MTAA and the Department, signed 14</w:t>
      </w:r>
      <w:r w:rsidR="009F4517" w:rsidRPr="009F4517">
        <w:rPr>
          <w:vertAlign w:val="superscript"/>
        </w:rPr>
        <w:t>th</w:t>
      </w:r>
      <w:r w:rsidR="009F4517">
        <w:t xml:space="preserve"> March 2022</w:t>
      </w:r>
      <w:r w:rsidR="001D244C">
        <w:t xml:space="preserve">. </w:t>
      </w:r>
    </w:p>
    <w:p w14:paraId="56A43218" w14:textId="77777777" w:rsidR="00E26799" w:rsidRDefault="00E26799" w:rsidP="00A91CAF">
      <w:pPr>
        <w:pStyle w:val="ListBullet"/>
      </w:pPr>
      <w:r>
        <w:t>Consideration of ongoing mechanisms for review of benefits and prices</w:t>
      </w:r>
    </w:p>
    <w:p w14:paraId="2D68BD52" w14:textId="4456799D" w:rsidR="004B14E1" w:rsidRDefault="004B14E1" w:rsidP="00E26799">
      <w:r>
        <w:t xml:space="preserve">Mechanisms to limit the number of PL </w:t>
      </w:r>
      <w:r w:rsidR="00052201">
        <w:t>groupings</w:t>
      </w:r>
    </w:p>
    <w:p w14:paraId="101E0F76" w14:textId="44846649" w:rsidR="001D244C" w:rsidRDefault="001D244C" w:rsidP="00A91CAF">
      <w:pPr>
        <w:pStyle w:val="ListBullet"/>
      </w:pPr>
      <w:r>
        <w:t xml:space="preserve">Prices of </w:t>
      </w:r>
      <w:r w:rsidR="00052201">
        <w:t xml:space="preserve">groupings </w:t>
      </w:r>
      <w:r>
        <w:t>are indexed yearly</w:t>
      </w:r>
      <w:r w:rsidR="004B14E1">
        <w:t xml:space="preserve"> to reduce the incentive to create new categories</w:t>
      </w:r>
      <w:r>
        <w:t xml:space="preserve"> with incrementally higher prices. O</w:t>
      </w:r>
      <w:r w:rsidR="004B14E1">
        <w:t>verall financial implications</w:t>
      </w:r>
      <w:r>
        <w:t xml:space="preserve"> would be controlled by applying a price disclosure mechanism that would reduce </w:t>
      </w:r>
      <w:r w:rsidR="00E26799">
        <w:t>group benefits</w:t>
      </w:r>
      <w:r>
        <w:t xml:space="preserve"> where the </w:t>
      </w:r>
      <w:r w:rsidR="00E26799">
        <w:t>reference price for a</w:t>
      </w:r>
      <w:r>
        <w:t xml:space="preserve"> device was </w:t>
      </w:r>
      <w:r w:rsidR="00A7528A">
        <w:t>significantly</w:t>
      </w:r>
      <w:r w:rsidR="00E26799">
        <w:t xml:space="preserve"> </w:t>
      </w:r>
      <w:r>
        <w:t xml:space="preserve">lower than the </w:t>
      </w:r>
      <w:r w:rsidR="00E26799">
        <w:t>group benefit</w:t>
      </w:r>
      <w:r>
        <w:t xml:space="preserve"> price.</w:t>
      </w:r>
    </w:p>
    <w:p w14:paraId="6B5972C0" w14:textId="4D138575" w:rsidR="001D244C" w:rsidRDefault="001D244C" w:rsidP="0008330C">
      <w:r>
        <w:t>Reporting of market data</w:t>
      </w:r>
    </w:p>
    <w:p w14:paraId="00F3A76F" w14:textId="7F9E3388" w:rsidR="001D244C" w:rsidRDefault="001D244C" w:rsidP="00A91CAF">
      <w:pPr>
        <w:pStyle w:val="ListBullet"/>
      </w:pPr>
      <w:r>
        <w:t xml:space="preserve">The above mechanisms are supported by regular reporting of </w:t>
      </w:r>
      <w:r w:rsidR="00E727FE">
        <w:t>up-to-date</w:t>
      </w:r>
      <w:r>
        <w:t xml:space="preserve"> information on utilisation and </w:t>
      </w:r>
      <w:r w:rsidR="00E26799">
        <w:t>costs</w:t>
      </w:r>
      <w:r>
        <w:t xml:space="preserve">. PLAC, or a </w:t>
      </w:r>
      <w:r w:rsidR="003711F5">
        <w:t>Sub-committee</w:t>
      </w:r>
      <w:r>
        <w:t xml:space="preserve"> established to provide advice to PLAC, </w:t>
      </w:r>
      <w:r w:rsidR="004F15ED">
        <w:t>would adopt the role of monitoring changes in utilisation and prices, and to recommend changes to current PLAC listings to ensure the ongoing efficiency and value of the PL.</w:t>
      </w:r>
    </w:p>
    <w:p w14:paraId="0347EC88" w14:textId="55AB845F" w:rsidR="00640AF3" w:rsidRDefault="00640AF3">
      <w:r>
        <w:br w:type="page"/>
      </w:r>
    </w:p>
    <w:p w14:paraId="5182F4E3" w14:textId="762B397C" w:rsidR="004F15ED" w:rsidRDefault="004F15ED" w:rsidP="004F15ED">
      <w:pPr>
        <w:pStyle w:val="Heading1"/>
      </w:pPr>
      <w:bookmarkStart w:id="43" w:name="_Toc125470881"/>
      <w:bookmarkStart w:id="44" w:name="_Toc125984789"/>
      <w:r>
        <w:lastRenderedPageBreak/>
        <w:t>Governance</w:t>
      </w:r>
      <w:bookmarkEnd w:id="43"/>
      <w:bookmarkEnd w:id="44"/>
    </w:p>
    <w:p w14:paraId="2B5ECC9F" w14:textId="20FF9EA3" w:rsidR="004F15ED" w:rsidRDefault="00DB58FA" w:rsidP="00DB58FA">
      <w:r>
        <w:t>This report has pr</w:t>
      </w:r>
      <w:r w:rsidRPr="00DD7A9D">
        <w:t>oposed four options</w:t>
      </w:r>
      <w:r w:rsidR="002F05B9">
        <w:t xml:space="preserve"> </w:t>
      </w:r>
      <w:r>
        <w:t xml:space="preserve">for governance structures of the PL. </w:t>
      </w:r>
      <w:r w:rsidR="004F15ED">
        <w:t xml:space="preserve">Each </w:t>
      </w:r>
      <w:r w:rsidR="002F05B9">
        <w:t xml:space="preserve">presented option </w:t>
      </w:r>
      <w:r w:rsidR="004F15ED">
        <w:t xml:space="preserve">attempts to address some or all of the key problems identified in </w:t>
      </w:r>
      <w:r w:rsidR="00B800FE">
        <w:t>previous</w:t>
      </w:r>
      <w:r w:rsidR="005D767F">
        <w:t xml:space="preserve"> report</w:t>
      </w:r>
      <w:r w:rsidR="00B800FE">
        <w:t>s</w:t>
      </w:r>
      <w:r w:rsidR="005D767F">
        <w:t>, and to reflect the underlying principle of Australian Government HTA processes.</w:t>
      </w:r>
    </w:p>
    <w:p w14:paraId="3B6DC47D" w14:textId="16D876D9" w:rsidR="00DB58FA" w:rsidRDefault="00DB58FA" w:rsidP="004F15ED">
      <w:r>
        <w:t xml:space="preserve">The proposed </w:t>
      </w:r>
      <w:r w:rsidR="002F05B9">
        <w:t xml:space="preserve">options </w:t>
      </w:r>
      <w:r>
        <w:t>are</w:t>
      </w:r>
      <w:r w:rsidR="00307F35">
        <w:t xml:space="preserve"> described in the context of a Departmental </w:t>
      </w:r>
      <w:r w:rsidR="008C4D46">
        <w:t>Assessment P</w:t>
      </w:r>
      <w:r>
        <w:t xml:space="preserve">athway, </w:t>
      </w:r>
      <w:r w:rsidR="008C4D46">
        <w:t>C</w:t>
      </w:r>
      <w:r w:rsidR="00EB658C">
        <w:t xml:space="preserve">linical / </w:t>
      </w:r>
      <w:r w:rsidR="008C4D46">
        <w:t>F</w:t>
      </w:r>
      <w:r>
        <w:t xml:space="preserve">ocused </w:t>
      </w:r>
      <w:r w:rsidR="008C4D46">
        <w:t>HTA P</w:t>
      </w:r>
      <w:r>
        <w:t xml:space="preserve">athway and </w:t>
      </w:r>
      <w:r w:rsidR="008C4D46">
        <w:t>F</w:t>
      </w:r>
      <w:r>
        <w:t xml:space="preserve">ull HTA </w:t>
      </w:r>
      <w:r w:rsidR="008C4D46">
        <w:t>P</w:t>
      </w:r>
      <w:r>
        <w:t xml:space="preserve">athway. </w:t>
      </w:r>
      <w:r w:rsidR="008B2174">
        <w:t xml:space="preserve">The eligibility for each pathway, and the evidence requirements for each pathway, </w:t>
      </w:r>
      <w:r w:rsidR="008C4D46">
        <w:t>are</w:t>
      </w:r>
      <w:r w:rsidR="002F05B9">
        <w:t xml:space="preserve"> </w:t>
      </w:r>
      <w:r w:rsidR="008B2174">
        <w:t>the subject of consultation with stakeholders</w:t>
      </w:r>
      <w:r w:rsidR="002F05B9">
        <w:t xml:space="preserve">, </w:t>
      </w:r>
      <w:r w:rsidR="00307F35">
        <w:t>and presented in a separate</w:t>
      </w:r>
      <w:r w:rsidR="002F05B9">
        <w:t xml:space="preserve"> report</w:t>
      </w:r>
      <w:r w:rsidR="008B2174">
        <w:t xml:space="preserve">. </w:t>
      </w:r>
    </w:p>
    <w:p w14:paraId="1241D5B5" w14:textId="6835D17F" w:rsidR="007621F7" w:rsidRDefault="007621F7" w:rsidP="004F15ED">
      <w:r>
        <w:t>Key to all of the governance options are:</w:t>
      </w:r>
    </w:p>
    <w:p w14:paraId="142B607B" w14:textId="42AF8061" w:rsidR="007621F7" w:rsidRDefault="007621F7" w:rsidP="00A91CAF">
      <w:pPr>
        <w:pStyle w:val="ListBullet"/>
      </w:pPr>
      <w:r>
        <w:t>Optimisation of the PLAC committee, whatever form that takes</w:t>
      </w:r>
      <w:r w:rsidR="00054032">
        <w:t>;</w:t>
      </w:r>
    </w:p>
    <w:p w14:paraId="68C41B6D" w14:textId="61DCDCEE" w:rsidR="007621F7" w:rsidRDefault="007621F7" w:rsidP="00A91CAF">
      <w:pPr>
        <w:pStyle w:val="ListBullet"/>
      </w:pPr>
      <w:r>
        <w:t>Removing stakeholders from decision-making committees</w:t>
      </w:r>
      <w:r w:rsidR="00054032">
        <w:t>;</w:t>
      </w:r>
      <w:r w:rsidR="00060EB9">
        <w:t xml:space="preserve"> adding formal stakeholder consultation to the pathways</w:t>
      </w:r>
      <w:r w:rsidR="00692C16">
        <w:t>;</w:t>
      </w:r>
    </w:p>
    <w:p w14:paraId="48164D59" w14:textId="3F928F8B" w:rsidR="007621F7" w:rsidRDefault="007621F7" w:rsidP="00A91CAF">
      <w:pPr>
        <w:pStyle w:val="ListBullet"/>
      </w:pPr>
      <w:r>
        <w:t xml:space="preserve">Streamlining of applications through the new pathways process, eliminating </w:t>
      </w:r>
      <w:r w:rsidR="00E708B4">
        <w:t>unnecessary</w:t>
      </w:r>
      <w:r>
        <w:t xml:space="preserve"> committee deliberation on simple applications</w:t>
      </w:r>
      <w:r w:rsidR="00054032">
        <w:t>;</w:t>
      </w:r>
    </w:p>
    <w:p w14:paraId="2CF1A8EA" w14:textId="42BA2D6B" w:rsidR="007621F7" w:rsidRDefault="007621F7" w:rsidP="00A91CAF">
      <w:pPr>
        <w:pStyle w:val="ListBullet"/>
      </w:pPr>
      <w:r>
        <w:t xml:space="preserve">The provision of guidelines and templates for </w:t>
      </w:r>
      <w:r w:rsidR="00EB658C">
        <w:t>sponsors and HTA external evaluators</w:t>
      </w:r>
      <w:r>
        <w:t xml:space="preserve">, and </w:t>
      </w:r>
      <w:r w:rsidR="00054032">
        <w:t>publication</w:t>
      </w:r>
      <w:r>
        <w:t xml:space="preserve"> of public summary document</w:t>
      </w:r>
      <w:r w:rsidR="00054032">
        <w:t>s.</w:t>
      </w:r>
    </w:p>
    <w:p w14:paraId="030E35BC" w14:textId="2E1A6A5D" w:rsidR="00054032" w:rsidRDefault="00054032" w:rsidP="00270E7E">
      <w:r>
        <w:t>Optimisation of the PLAC involves ensuring HTA expertise on the committee, as well as removing stakeholders from the committee. An alternative mechanism for stakeholders to engage with government on broader policy issues currently exists through the stakeholder forums.</w:t>
      </w:r>
      <w:r w:rsidRPr="00054032">
        <w:t xml:space="preserve"> </w:t>
      </w:r>
      <w:r w:rsidRPr="0045786B">
        <w:t>Removing stakeholders from the decision-making committee means that</w:t>
      </w:r>
      <w:r w:rsidR="002233B2" w:rsidRPr="008C4D46">
        <w:t xml:space="preserve"> the inclusion of</w:t>
      </w:r>
      <w:r w:rsidRPr="0045786B">
        <w:t xml:space="preserve"> formal feedback mechanisms into the relevant evaluation pathways</w:t>
      </w:r>
      <w:r w:rsidR="002233B2" w:rsidRPr="008C4D46">
        <w:t xml:space="preserve"> should be considered</w:t>
      </w:r>
      <w:r w:rsidRPr="0045786B">
        <w:t>. These mechanisms exist in other HTA processes (such as PBAC and MSAC). A designated time-frame and proforma for stakeholders to provide targeted feedback in the PL process should be developed.</w:t>
      </w:r>
      <w:r>
        <w:t xml:space="preserve">  </w:t>
      </w:r>
    </w:p>
    <w:p w14:paraId="4FCE1A4A" w14:textId="62175356" w:rsidR="00270E7E" w:rsidRDefault="00054032" w:rsidP="00270E7E">
      <w:r>
        <w:t>Guidance and t</w:t>
      </w:r>
      <w:r w:rsidR="00270E7E">
        <w:t xml:space="preserve">emplates for </w:t>
      </w:r>
      <w:r w:rsidR="007C4F41">
        <w:t xml:space="preserve">sponsors </w:t>
      </w:r>
      <w:r>
        <w:t>will outline</w:t>
      </w:r>
      <w:r w:rsidR="00573F8F">
        <w:t xml:space="preserve"> the</w:t>
      </w:r>
      <w:r w:rsidR="00270E7E">
        <w:t xml:space="preserve"> information </w:t>
      </w:r>
      <w:r w:rsidR="00573F8F">
        <w:t xml:space="preserve">that </w:t>
      </w:r>
      <w:r w:rsidR="00270E7E">
        <w:t xml:space="preserve">is needed for decision-making and </w:t>
      </w:r>
      <w:r w:rsidR="00573F8F">
        <w:t>the</w:t>
      </w:r>
      <w:r w:rsidR="00270E7E">
        <w:t xml:space="preserve"> type of evidence </w:t>
      </w:r>
      <w:r w:rsidR="00573F8F">
        <w:t xml:space="preserve">that </w:t>
      </w:r>
      <w:r w:rsidR="00270E7E">
        <w:t>is required for each pathway.</w:t>
      </w:r>
      <w:r w:rsidR="004617E7">
        <w:t xml:space="preserve"> In addition, some form of </w:t>
      </w:r>
      <w:r w:rsidR="00573F8F" w:rsidRPr="00573F8F">
        <w:t>P</w:t>
      </w:r>
      <w:r w:rsidR="00270E7E" w:rsidRPr="00573F8F">
        <w:t>ublic Summary Document</w:t>
      </w:r>
      <w:r w:rsidR="00573F8F">
        <w:t xml:space="preserve"> </w:t>
      </w:r>
      <w:r w:rsidR="004E7422">
        <w:t xml:space="preserve">(PSD) </w:t>
      </w:r>
      <w:r w:rsidR="00573F8F">
        <w:t>will be provided</w:t>
      </w:r>
      <w:r w:rsidR="00307F35">
        <w:t xml:space="preserve"> for </w:t>
      </w:r>
      <w:r w:rsidR="004617E7">
        <w:t xml:space="preserve">each </w:t>
      </w:r>
      <w:r w:rsidR="00307F35">
        <w:t>application</w:t>
      </w:r>
      <w:r w:rsidR="004617E7">
        <w:t xml:space="preserve">. As discussed above, this may be as simple </w:t>
      </w:r>
      <w:r w:rsidR="003F393C">
        <w:t>a</w:t>
      </w:r>
      <w:r w:rsidR="00563EBC">
        <w:t>nd brief as an acknowledgment of interchangeability with an existing prosthesis, progressing through to detailed summaries of the rationale for decision making and justification for benefit setting, reflecting the pathway an application has taken.</w:t>
      </w:r>
      <w:r w:rsidR="00573F8F">
        <w:t xml:space="preserve"> This will </w:t>
      </w:r>
      <w:r w:rsidR="00270E7E">
        <w:t>improve transparency and ensure consistency with the other HTA processes in the Department.</w:t>
      </w:r>
      <w:r w:rsidR="00563EBC">
        <w:t xml:space="preserve"> Where Public Summary Documents are referred to in the governance options described below, this means a document suitable for publication that reflects the level of scrutiny and complexity of the application to the PL; it does not mean </w:t>
      </w:r>
      <w:r w:rsidR="004E7422">
        <w:t xml:space="preserve">the kind of PSD </w:t>
      </w:r>
      <w:r w:rsidR="00C90768">
        <w:t>that</w:t>
      </w:r>
      <w:r w:rsidR="004E7422">
        <w:t xml:space="preserve"> accompanies MSAC or PBAC decisions.</w:t>
      </w:r>
    </w:p>
    <w:p w14:paraId="22FA8988" w14:textId="5BAA9037" w:rsidR="00B620AB" w:rsidRDefault="00E708B4" w:rsidP="00270E7E">
      <w:r w:rsidRPr="00DD7A9D">
        <w:t>Four options have</w:t>
      </w:r>
      <w:r>
        <w:t xml:space="preserve"> been proposed for the new governance structure. An overview of these options is provided in </w:t>
      </w:r>
      <w:r>
        <w:fldChar w:fldCharType="begin"/>
      </w:r>
      <w:r>
        <w:instrText xml:space="preserve"> REF _Ref106119924 \h </w:instrText>
      </w:r>
      <w:r>
        <w:fldChar w:fldCharType="separate"/>
      </w:r>
      <w:r w:rsidR="00200D1D">
        <w:t xml:space="preserve">Table </w:t>
      </w:r>
      <w:r w:rsidR="00200D1D">
        <w:rPr>
          <w:noProof/>
        </w:rPr>
        <w:t>4</w:t>
      </w:r>
      <w:r>
        <w:fldChar w:fldCharType="end"/>
      </w:r>
      <w:r>
        <w:t>. Each option is then described in more detail, including the benefits and risks of each.</w:t>
      </w:r>
    </w:p>
    <w:p w14:paraId="7E3DE580" w14:textId="0F0BEB3A" w:rsidR="00B620AB" w:rsidRPr="00B620AB" w:rsidRDefault="00B620AB" w:rsidP="00B620AB">
      <w:r>
        <w:t xml:space="preserve">Given the importance of </w:t>
      </w:r>
      <w:r w:rsidRPr="00B620AB">
        <w:t xml:space="preserve">clinical expertise </w:t>
      </w:r>
      <w:r>
        <w:t>in the PLAC process, it is evident that</w:t>
      </w:r>
      <w:r w:rsidRPr="00B620AB">
        <w:t xml:space="preserve"> the current Clinical Advisory Groups (CAGs) </w:t>
      </w:r>
      <w:r>
        <w:t>are</w:t>
      </w:r>
      <w:r w:rsidRPr="00B620AB">
        <w:t xml:space="preserve"> essential to the success of the PLAC governance arrangements and the assessment of applications to the PL and therefore need to be included in some format. For this reason, </w:t>
      </w:r>
      <w:r>
        <w:t xml:space="preserve">we recommend that </w:t>
      </w:r>
      <w:r w:rsidRPr="00B620AB">
        <w:t xml:space="preserve">Option 1 </w:t>
      </w:r>
      <w:r w:rsidR="006405F7">
        <w:t>as</w:t>
      </w:r>
      <w:r>
        <w:t xml:space="preserve"> the</w:t>
      </w:r>
      <w:r w:rsidR="006405F7" w:rsidRPr="006405F7">
        <w:t xml:space="preserve"> </w:t>
      </w:r>
      <w:r w:rsidR="006405F7">
        <w:t>suggested governance structure for the PL</w:t>
      </w:r>
      <w:r w:rsidRPr="00B620AB">
        <w:t xml:space="preserve">. </w:t>
      </w:r>
    </w:p>
    <w:p w14:paraId="4D5929A4" w14:textId="279A652D" w:rsidR="00B620AB" w:rsidRDefault="00B620AB" w:rsidP="00270E7E">
      <w:pPr>
        <w:sectPr w:rsidR="00B620AB" w:rsidSect="00B32C95">
          <w:pgSz w:w="11906" w:h="16838"/>
          <w:pgMar w:top="1440" w:right="1440" w:bottom="1440" w:left="1440" w:header="708" w:footer="567" w:gutter="0"/>
          <w:cols w:space="708"/>
          <w:titlePg/>
          <w:docGrid w:linePitch="360"/>
        </w:sectPr>
      </w:pPr>
    </w:p>
    <w:p w14:paraId="6BED25C0" w14:textId="2654C7BA" w:rsidR="00E708B4" w:rsidRDefault="00E708B4" w:rsidP="00DB5803">
      <w:pPr>
        <w:pStyle w:val="Caption"/>
      </w:pPr>
      <w:bookmarkStart w:id="45" w:name="_Ref106119924"/>
      <w:r>
        <w:lastRenderedPageBreak/>
        <w:t xml:space="preserve">Table </w:t>
      </w:r>
      <w:r>
        <w:fldChar w:fldCharType="begin"/>
      </w:r>
      <w:r>
        <w:instrText>SEQ Table \* ARABIC</w:instrText>
      </w:r>
      <w:r>
        <w:fldChar w:fldCharType="separate"/>
      </w:r>
      <w:r w:rsidR="00200D1D">
        <w:rPr>
          <w:noProof/>
        </w:rPr>
        <w:t>4</w:t>
      </w:r>
      <w:r>
        <w:fldChar w:fldCharType="end"/>
      </w:r>
      <w:bookmarkEnd w:id="45"/>
      <w:r>
        <w:t>: Summary of the governance options proposed for a reformed Prosthes</w:t>
      </w:r>
      <w:r w:rsidR="00052201">
        <w:t>e</w:t>
      </w:r>
      <w:r>
        <w:t>s List process</w:t>
      </w:r>
    </w:p>
    <w:tbl>
      <w:tblPr>
        <w:tblStyle w:val="ListTable3-Accent11"/>
        <w:tblW w:w="14454" w:type="dxa"/>
        <w:tblLook w:val="04A0" w:firstRow="1" w:lastRow="0" w:firstColumn="1" w:lastColumn="0" w:noHBand="0" w:noVBand="1"/>
        <w:tblDescription w:val="Table 4 is a summary list of the governance options proposed for a reformed PL process."/>
      </w:tblPr>
      <w:tblGrid>
        <w:gridCol w:w="1548"/>
        <w:gridCol w:w="3226"/>
        <w:gridCol w:w="3227"/>
        <w:gridCol w:w="3226"/>
        <w:gridCol w:w="3227"/>
      </w:tblGrid>
      <w:tr w:rsidR="00360C66" w:rsidRPr="00E727FE" w14:paraId="738A4548" w14:textId="77777777" w:rsidTr="00A91C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48" w:type="dxa"/>
          </w:tcPr>
          <w:p w14:paraId="031CF758" w14:textId="77777777" w:rsidR="00430F18" w:rsidRPr="00E727FE" w:rsidRDefault="00430F18" w:rsidP="00E727FE">
            <w:bookmarkStart w:id="46" w:name="_Hlk107243485"/>
          </w:p>
        </w:tc>
        <w:tc>
          <w:tcPr>
            <w:tcW w:w="3226" w:type="dxa"/>
          </w:tcPr>
          <w:p w14:paraId="20D0D34C" w14:textId="62C918A6" w:rsidR="00430F18" w:rsidRPr="00E727FE" w:rsidRDefault="00430F18" w:rsidP="00E727FE">
            <w:pPr>
              <w:cnfStyle w:val="100000000000" w:firstRow="1" w:lastRow="0" w:firstColumn="0" w:lastColumn="0" w:oddVBand="0" w:evenVBand="0" w:oddHBand="0" w:evenHBand="0" w:firstRowFirstColumn="0" w:firstRowLastColumn="0" w:lastRowFirstColumn="0" w:lastRowLastColumn="0"/>
            </w:pPr>
            <w:r w:rsidRPr="00E727FE">
              <w:t>Option 1 (recommended)</w:t>
            </w:r>
          </w:p>
        </w:tc>
        <w:tc>
          <w:tcPr>
            <w:tcW w:w="3227" w:type="dxa"/>
          </w:tcPr>
          <w:p w14:paraId="09498B91" w14:textId="2549CB14" w:rsidR="00430F18" w:rsidRPr="00E727FE" w:rsidRDefault="00430F18" w:rsidP="00E727FE">
            <w:pPr>
              <w:cnfStyle w:val="100000000000" w:firstRow="1" w:lastRow="0" w:firstColumn="0" w:lastColumn="0" w:oddVBand="0" w:evenVBand="0" w:oddHBand="0" w:evenHBand="0" w:firstRowFirstColumn="0" w:firstRowLastColumn="0" w:lastRowFirstColumn="0" w:lastRowLastColumn="0"/>
            </w:pPr>
            <w:r w:rsidRPr="00E727FE">
              <w:t>Option 2</w:t>
            </w:r>
          </w:p>
        </w:tc>
        <w:tc>
          <w:tcPr>
            <w:tcW w:w="3226" w:type="dxa"/>
          </w:tcPr>
          <w:p w14:paraId="657BEDAD" w14:textId="0FD8AD94" w:rsidR="00430F18" w:rsidRPr="00E727FE" w:rsidRDefault="00430F18" w:rsidP="00E727FE">
            <w:pPr>
              <w:cnfStyle w:val="100000000000" w:firstRow="1" w:lastRow="0" w:firstColumn="0" w:lastColumn="0" w:oddVBand="0" w:evenVBand="0" w:oddHBand="0" w:evenHBand="0" w:firstRowFirstColumn="0" w:firstRowLastColumn="0" w:lastRowFirstColumn="0" w:lastRowLastColumn="0"/>
            </w:pPr>
            <w:r w:rsidRPr="00E727FE">
              <w:t>Option 3</w:t>
            </w:r>
          </w:p>
        </w:tc>
        <w:tc>
          <w:tcPr>
            <w:tcW w:w="3227" w:type="dxa"/>
          </w:tcPr>
          <w:p w14:paraId="6071BCA2" w14:textId="77777777" w:rsidR="00430F18" w:rsidRPr="00E727FE" w:rsidRDefault="00430F18" w:rsidP="00E727FE">
            <w:pPr>
              <w:cnfStyle w:val="100000000000" w:firstRow="1" w:lastRow="0" w:firstColumn="0" w:lastColumn="0" w:oddVBand="0" w:evenVBand="0" w:oddHBand="0" w:evenHBand="0" w:firstRowFirstColumn="0" w:firstRowLastColumn="0" w:lastRowFirstColumn="0" w:lastRowLastColumn="0"/>
            </w:pPr>
            <w:r w:rsidRPr="00E727FE">
              <w:t>Option 4</w:t>
            </w:r>
          </w:p>
        </w:tc>
      </w:tr>
      <w:tr w:rsidR="00430F18" w:rsidRPr="00E727FE" w14:paraId="0829BF80"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A90E361" w14:textId="77777777" w:rsidR="00430F18" w:rsidRPr="00E727FE" w:rsidRDefault="00430F18" w:rsidP="00E727FE">
            <w:r w:rsidRPr="00E727FE">
              <w:t>Lead committee</w:t>
            </w:r>
          </w:p>
        </w:tc>
        <w:tc>
          <w:tcPr>
            <w:tcW w:w="3226" w:type="dxa"/>
          </w:tcPr>
          <w:p w14:paraId="67E22B04" w14:textId="7B83FD74" w:rsidR="00430F18" w:rsidRPr="00E727FE" w:rsidRDefault="00430F18" w:rsidP="00E727FE">
            <w:pPr>
              <w:cnfStyle w:val="000000100000" w:firstRow="0" w:lastRow="0" w:firstColumn="0" w:lastColumn="0" w:oddVBand="0" w:evenVBand="0" w:oddHBand="1" w:evenHBand="0" w:firstRowFirstColumn="0" w:firstRowLastColumn="0" w:lastRowFirstColumn="0" w:lastRowLastColumn="0"/>
            </w:pPr>
            <w:r w:rsidRPr="00E727FE">
              <w:t xml:space="preserve">PLAC with expanded refreshed membership to include broader clinical and HTA expertise (CAG Chairs, Consumer Representative, HTA and economics expertise) </w:t>
            </w:r>
          </w:p>
        </w:tc>
        <w:tc>
          <w:tcPr>
            <w:tcW w:w="3227" w:type="dxa"/>
          </w:tcPr>
          <w:p w14:paraId="436FBC68" w14:textId="7E1FECCB" w:rsidR="00430F18" w:rsidRPr="00E727FE" w:rsidRDefault="00430F18" w:rsidP="00E727FE">
            <w:pPr>
              <w:cnfStyle w:val="000000100000" w:firstRow="0" w:lastRow="0" w:firstColumn="0" w:lastColumn="0" w:oddVBand="0" w:evenVBand="0" w:oddHBand="1" w:evenHBand="0" w:firstRowFirstColumn="0" w:firstRowLastColumn="0" w:lastRowFirstColumn="0" w:lastRowLastColumn="0"/>
            </w:pPr>
            <w:r w:rsidRPr="00E727FE">
              <w:t>PLAC - no change of current membership</w:t>
            </w:r>
          </w:p>
        </w:tc>
        <w:tc>
          <w:tcPr>
            <w:tcW w:w="3226" w:type="dxa"/>
          </w:tcPr>
          <w:p w14:paraId="309BB627" w14:textId="15555D42" w:rsidR="00430F18" w:rsidRPr="00E727FE" w:rsidRDefault="00430F18" w:rsidP="00E727FE">
            <w:pPr>
              <w:cnfStyle w:val="000000100000" w:firstRow="0" w:lastRow="0" w:firstColumn="0" w:lastColumn="0" w:oddVBand="0" w:evenVBand="0" w:oddHBand="1" w:evenHBand="0" w:firstRowFirstColumn="0" w:firstRowLastColumn="0" w:lastRowFirstColumn="0" w:lastRowLastColumn="0"/>
            </w:pPr>
            <w:r w:rsidRPr="00E727FE">
              <w:t>MSAC executive with addition of a PL representative</w:t>
            </w:r>
            <w:r w:rsidR="000D20A2" w:rsidRPr="00E727FE">
              <w:t xml:space="preserve"> </w:t>
            </w:r>
            <w:r w:rsidRPr="00E727FE">
              <w:t>b</w:t>
            </w:r>
          </w:p>
        </w:tc>
        <w:tc>
          <w:tcPr>
            <w:tcW w:w="3227" w:type="dxa"/>
          </w:tcPr>
          <w:p w14:paraId="3F780A92" w14:textId="77777777" w:rsidR="00430F18" w:rsidRPr="00E727FE" w:rsidRDefault="00430F18" w:rsidP="00E727FE">
            <w:pPr>
              <w:cnfStyle w:val="000000100000" w:firstRow="0" w:lastRow="0" w:firstColumn="0" w:lastColumn="0" w:oddVBand="0" w:evenVBand="0" w:oddHBand="1" w:evenHBand="0" w:firstRowFirstColumn="0" w:firstRowLastColumn="0" w:lastRowFirstColumn="0" w:lastRowLastColumn="0"/>
            </w:pPr>
            <w:r w:rsidRPr="00E727FE">
              <w:t>PL executive committee (up to four key experts in prostheses, HTA and economics)</w:t>
            </w:r>
          </w:p>
        </w:tc>
      </w:tr>
      <w:tr w:rsidR="00430F18" w:rsidRPr="00E727FE" w14:paraId="404EA445" w14:textId="77777777" w:rsidTr="00A91CAF">
        <w:tc>
          <w:tcPr>
            <w:cnfStyle w:val="001000000000" w:firstRow="0" w:lastRow="0" w:firstColumn="1" w:lastColumn="0" w:oddVBand="0" w:evenVBand="0" w:oddHBand="0" w:evenHBand="0" w:firstRowFirstColumn="0" w:firstRowLastColumn="0" w:lastRowFirstColumn="0" w:lastRowLastColumn="0"/>
            <w:tcW w:w="1548" w:type="dxa"/>
          </w:tcPr>
          <w:p w14:paraId="44A45310" w14:textId="77777777" w:rsidR="00430F18" w:rsidRPr="00E727FE" w:rsidRDefault="00430F18" w:rsidP="00E727FE">
            <w:r w:rsidRPr="00E727FE">
              <w:t>Lead discussant at committee meeting</w:t>
            </w:r>
          </w:p>
        </w:tc>
        <w:tc>
          <w:tcPr>
            <w:tcW w:w="3226" w:type="dxa"/>
          </w:tcPr>
          <w:p w14:paraId="12C35AD8" w14:textId="65BF749C" w:rsidR="00430F18" w:rsidRPr="00E727FE" w:rsidRDefault="00430F18" w:rsidP="00E727FE">
            <w:pPr>
              <w:cnfStyle w:val="000000000000" w:firstRow="0" w:lastRow="0" w:firstColumn="0" w:lastColumn="0" w:oddVBand="0" w:evenVBand="0" w:oddHBand="0" w:evenHBand="0" w:firstRowFirstColumn="0" w:firstRowLastColumn="0" w:lastRowFirstColumn="0" w:lastRowLastColumn="0"/>
            </w:pPr>
            <w:r w:rsidRPr="00E727FE">
              <w:t>Discussants from within PLAC</w:t>
            </w:r>
            <w:r w:rsidR="008C4D46" w:rsidRPr="00E727FE">
              <w:t>, reflecting clinical specialty</w:t>
            </w:r>
          </w:p>
        </w:tc>
        <w:tc>
          <w:tcPr>
            <w:tcW w:w="3227" w:type="dxa"/>
          </w:tcPr>
          <w:p w14:paraId="6F13642D" w14:textId="1A223010" w:rsidR="00430F18" w:rsidRPr="00E727FE" w:rsidRDefault="00430F18" w:rsidP="00E727FE">
            <w:pPr>
              <w:cnfStyle w:val="000000000000" w:firstRow="0" w:lastRow="0" w:firstColumn="0" w:lastColumn="0" w:oddVBand="0" w:evenVBand="0" w:oddHBand="0" w:evenHBand="0" w:firstRowFirstColumn="0" w:firstRowLastColumn="0" w:lastRowFirstColumn="0" w:lastRowLastColumn="0"/>
            </w:pPr>
            <w:r w:rsidRPr="00E727FE">
              <w:t>As per current meetings</w:t>
            </w:r>
          </w:p>
        </w:tc>
        <w:tc>
          <w:tcPr>
            <w:tcW w:w="3226" w:type="dxa"/>
          </w:tcPr>
          <w:p w14:paraId="55F70A9B" w14:textId="77777777" w:rsidR="00430F18" w:rsidRPr="00E727FE" w:rsidRDefault="00430F18" w:rsidP="00E727FE">
            <w:pPr>
              <w:cnfStyle w:val="000000000000" w:firstRow="0" w:lastRow="0" w:firstColumn="0" w:lastColumn="0" w:oddVBand="0" w:evenVBand="0" w:oddHBand="0" w:evenHBand="0" w:firstRowFirstColumn="0" w:firstRowLastColumn="0" w:lastRowFirstColumn="0" w:lastRowLastColumn="0"/>
            </w:pPr>
            <w:r w:rsidRPr="00E727FE">
              <w:t>PL representative</w:t>
            </w:r>
          </w:p>
        </w:tc>
        <w:tc>
          <w:tcPr>
            <w:tcW w:w="3227" w:type="dxa"/>
          </w:tcPr>
          <w:p w14:paraId="4C545D67" w14:textId="236323A8" w:rsidR="00430F18" w:rsidRPr="00E727FE" w:rsidRDefault="00430F18" w:rsidP="00E727FE">
            <w:pPr>
              <w:cnfStyle w:val="000000000000" w:firstRow="0" w:lastRow="0" w:firstColumn="0" w:lastColumn="0" w:oddVBand="0" w:evenVBand="0" w:oddHBand="0" w:evenHBand="0" w:firstRowFirstColumn="0" w:firstRowLastColumn="0" w:lastRowFirstColumn="0" w:lastRowLastColumn="0"/>
            </w:pPr>
            <w:r w:rsidRPr="00E727FE">
              <w:t>PL executive member</w:t>
            </w:r>
          </w:p>
        </w:tc>
      </w:tr>
      <w:tr w:rsidR="00430F18" w:rsidRPr="00E727FE" w14:paraId="67B89922" w14:textId="77777777" w:rsidTr="00A91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400AF8E" w14:textId="77777777" w:rsidR="00430F18" w:rsidRPr="00E727FE" w:rsidRDefault="00430F18" w:rsidP="00E727FE">
            <w:r w:rsidRPr="00E727FE">
              <w:t>Expert input</w:t>
            </w:r>
          </w:p>
        </w:tc>
        <w:tc>
          <w:tcPr>
            <w:tcW w:w="3226" w:type="dxa"/>
          </w:tcPr>
          <w:p w14:paraId="485C9065" w14:textId="685525BA" w:rsidR="00430F18" w:rsidRPr="00E727FE" w:rsidRDefault="007A5E67" w:rsidP="00E727FE">
            <w:pPr>
              <w:cnfStyle w:val="000000100000" w:firstRow="0" w:lastRow="0" w:firstColumn="0" w:lastColumn="0" w:oddVBand="0" w:evenVBand="0" w:oddHBand="1" w:evenHBand="0" w:firstRowFirstColumn="0" w:firstRowLastColumn="0" w:lastRowFirstColumn="0" w:lastRowLastColumn="0"/>
            </w:pPr>
            <w:r w:rsidRPr="00E727FE">
              <w:t>CAGs</w:t>
            </w:r>
          </w:p>
        </w:tc>
        <w:tc>
          <w:tcPr>
            <w:tcW w:w="3227" w:type="dxa"/>
          </w:tcPr>
          <w:p w14:paraId="495B8ED0" w14:textId="3F6C4F3C" w:rsidR="00430F18" w:rsidRPr="00E727FE" w:rsidRDefault="00430F18" w:rsidP="00E727FE">
            <w:pPr>
              <w:cnfStyle w:val="000000100000" w:firstRow="0" w:lastRow="0" w:firstColumn="0" w:lastColumn="0" w:oddVBand="0" w:evenVBand="0" w:oddHBand="1" w:evenHBand="0" w:firstRowFirstColumn="0" w:firstRowLastColumn="0" w:lastRowFirstColumn="0" w:lastRowLastColumn="0"/>
            </w:pPr>
            <w:r w:rsidRPr="00E727FE">
              <w:t xml:space="preserve">CAGs and/or </w:t>
            </w:r>
            <w:proofErr w:type="spellStart"/>
            <w:r w:rsidRPr="00E727FE">
              <w:t>PoCE</w:t>
            </w:r>
            <w:proofErr w:type="spellEnd"/>
            <w:r w:rsidRPr="00E727FE">
              <w:t xml:space="preserve"> </w:t>
            </w:r>
          </w:p>
        </w:tc>
        <w:tc>
          <w:tcPr>
            <w:tcW w:w="3226" w:type="dxa"/>
          </w:tcPr>
          <w:p w14:paraId="720AB9B5" w14:textId="77777777" w:rsidR="00430F18" w:rsidRPr="00E727FE" w:rsidRDefault="00430F18" w:rsidP="00E727FE">
            <w:pPr>
              <w:cnfStyle w:val="000000100000" w:firstRow="0" w:lastRow="0" w:firstColumn="0" w:lastColumn="0" w:oddVBand="0" w:evenVBand="0" w:oddHBand="1" w:evenHBand="0" w:firstRowFirstColumn="0" w:firstRowLastColumn="0" w:lastRowFirstColumn="0" w:lastRowLastColumn="0"/>
            </w:pPr>
            <w:r w:rsidRPr="00E727FE">
              <w:t>Panel of PL experts</w:t>
            </w:r>
          </w:p>
          <w:p w14:paraId="58828C31" w14:textId="52AF2D47" w:rsidR="00430F18" w:rsidRPr="00E727FE" w:rsidRDefault="00430F18" w:rsidP="00E727FE">
            <w:pPr>
              <w:cnfStyle w:val="000000100000" w:firstRow="0" w:lastRow="0" w:firstColumn="0" w:lastColumn="0" w:oddVBand="0" w:evenVBand="0" w:oddHBand="1" w:evenHBand="0" w:firstRowFirstColumn="0" w:firstRowLastColumn="0" w:lastRowFirstColumn="0" w:lastRowLastColumn="0"/>
            </w:pPr>
            <w:r w:rsidRPr="00E727FE">
              <w:t>(comprised of former CAG members) a</w:t>
            </w:r>
          </w:p>
        </w:tc>
        <w:tc>
          <w:tcPr>
            <w:tcW w:w="3227" w:type="dxa"/>
          </w:tcPr>
          <w:p w14:paraId="25E68607" w14:textId="613BB803" w:rsidR="00430F18" w:rsidRPr="00E727FE" w:rsidRDefault="00430F18" w:rsidP="00E727FE">
            <w:pPr>
              <w:cnfStyle w:val="000000100000" w:firstRow="0" w:lastRow="0" w:firstColumn="0" w:lastColumn="0" w:oddVBand="0" w:evenVBand="0" w:oddHBand="1" w:evenHBand="0" w:firstRowFirstColumn="0" w:firstRowLastColumn="0" w:lastRowFirstColumn="0" w:lastRowLastColumn="0"/>
            </w:pPr>
            <w:r w:rsidRPr="00E727FE">
              <w:t>Panel of PL experts (comprised of former CAG members)a</w:t>
            </w:r>
          </w:p>
        </w:tc>
      </w:tr>
    </w:tbl>
    <w:p w14:paraId="2FD789AA" w14:textId="74840CC4" w:rsidR="00E708B4" w:rsidRPr="00A91CAF" w:rsidRDefault="00E708B4" w:rsidP="00A91CAF">
      <w:pPr>
        <w:pStyle w:val="FootnoteText"/>
      </w:pPr>
      <w:r w:rsidRPr="00A91CAF">
        <w:t xml:space="preserve">Notes: PLAC- Prostheses List Advisory Committee; MSAC – Medical Services Advisory Committee; PL – Prostheses List; CAGs – Clinical </w:t>
      </w:r>
      <w:r w:rsidR="00C90768" w:rsidRPr="00A91CAF">
        <w:t xml:space="preserve">Advisory Groups; </w:t>
      </w:r>
      <w:proofErr w:type="spellStart"/>
      <w:r w:rsidR="00C90768" w:rsidRPr="00A91CAF">
        <w:t>PoCE</w:t>
      </w:r>
      <w:proofErr w:type="spellEnd"/>
      <w:r w:rsidRPr="00A91CAF">
        <w:t xml:space="preserve"> – Panel of Clinical Experts</w:t>
      </w:r>
    </w:p>
    <w:bookmarkEnd w:id="46"/>
    <w:p w14:paraId="7AC91034" w14:textId="3E1A8B7E" w:rsidR="00E708B4" w:rsidRPr="00A91CAF" w:rsidRDefault="00E708B4" w:rsidP="00A91CAF">
      <w:pPr>
        <w:pStyle w:val="FootnoteText"/>
      </w:pPr>
      <w:proofErr w:type="spellStart"/>
      <w:r w:rsidRPr="00A91CAF">
        <w:t>a</w:t>
      </w:r>
      <w:proofErr w:type="spellEnd"/>
      <w:r w:rsidRPr="00A91CAF">
        <w:t xml:space="preserve"> operation of CAGs would be streamlined so more efficient (</w:t>
      </w:r>
      <w:r w:rsidR="007033A3" w:rsidRPr="00A91CAF">
        <w:t>e.g.</w:t>
      </w:r>
      <w:r w:rsidRPr="00A91CAF">
        <w:t xml:space="preserve"> used on demand)</w:t>
      </w:r>
    </w:p>
    <w:p w14:paraId="0E7F85BE" w14:textId="77777777" w:rsidR="00E708B4" w:rsidRPr="00A91CAF" w:rsidRDefault="00E708B4" w:rsidP="00A91CAF">
      <w:pPr>
        <w:pStyle w:val="FootnoteText"/>
      </w:pPr>
      <w:r w:rsidRPr="00A91CAF">
        <w:t>b A PL representative to join MSAC and the executive would need to have experience in both prostheses and HTA</w:t>
      </w:r>
    </w:p>
    <w:p w14:paraId="053B9CB3" w14:textId="3BEEFF4B" w:rsidR="00E708B4" w:rsidRDefault="00E708B4"/>
    <w:p w14:paraId="0744A3DD" w14:textId="77777777" w:rsidR="00E708B4" w:rsidRDefault="00E708B4" w:rsidP="00270E7E">
      <w:pPr>
        <w:sectPr w:rsidR="00E708B4" w:rsidSect="00E708B4">
          <w:pgSz w:w="16838" w:h="11906" w:orient="landscape"/>
          <w:pgMar w:top="1440" w:right="1440" w:bottom="1440" w:left="1440" w:header="708" w:footer="567" w:gutter="0"/>
          <w:cols w:space="708"/>
          <w:titlePg/>
          <w:docGrid w:linePitch="360"/>
        </w:sectPr>
      </w:pPr>
    </w:p>
    <w:p w14:paraId="20C02E6F" w14:textId="5AD37C93" w:rsidR="00430F18" w:rsidRPr="00BB6B39" w:rsidRDefault="00430F18" w:rsidP="00430F18">
      <w:pPr>
        <w:pStyle w:val="Heading2"/>
      </w:pPr>
      <w:bookmarkStart w:id="47" w:name="_Toc125470882"/>
      <w:bookmarkStart w:id="48" w:name="_Toc125984790"/>
      <w:r>
        <w:lastRenderedPageBreak/>
        <w:t>Option</w:t>
      </w:r>
      <w:r w:rsidRPr="00BB6B39">
        <w:t xml:space="preserve"> </w:t>
      </w:r>
      <w:r>
        <w:t>1</w:t>
      </w:r>
      <w:r w:rsidRPr="00BB6B39">
        <w:t xml:space="preserve">: PLAC remains </w:t>
      </w:r>
      <w:r>
        <w:t xml:space="preserve">but optimised with </w:t>
      </w:r>
      <w:r w:rsidR="007A5E67">
        <w:t>membership expanded</w:t>
      </w:r>
      <w:r>
        <w:t xml:space="preserve"> and</w:t>
      </w:r>
      <w:r w:rsidRPr="00BB6B39">
        <w:t xml:space="preserve"> </w:t>
      </w:r>
      <w:r>
        <w:t>Clinical Advisory Groups remain</w:t>
      </w:r>
      <w:bookmarkEnd w:id="47"/>
      <w:bookmarkEnd w:id="48"/>
      <w:r w:rsidRPr="00BB6B39">
        <w:t xml:space="preserve"> </w:t>
      </w:r>
    </w:p>
    <w:p w14:paraId="07C22E58" w14:textId="0F194CEF" w:rsidR="00430F18" w:rsidRDefault="00430F18" w:rsidP="00430F18">
      <w:r>
        <w:t>In this scenario, the PLAC would be reconfigured and optimised so that its representation is more closely aligned with that of the other expert HTA committees. Members would represent relevant clinical and disciplinary specialties (reflective of the CAG structure)</w:t>
      </w:r>
      <w:r w:rsidR="007A5E67">
        <w:t>, with CAG chairs having membership on the committee</w:t>
      </w:r>
      <w:r>
        <w:t>. It could be expected that the committee would be larger, with broader representation of clinical areas and HTA specialists. However, committee functioning should be improved, as applications are more streamlined through the process and discussion is more focused at committee meetings. Stakeholders would not be members of this committee, with a regular stakeholder forum providing an opportunity to keep them informed of key outcomes of any issues that arise.</w:t>
      </w:r>
    </w:p>
    <w:p w14:paraId="3F78AD87" w14:textId="1CFAF224" w:rsidR="00430F18" w:rsidRDefault="00430F18" w:rsidP="00430F18">
      <w:r>
        <w:t>In this scenario, when applications require PLAC consideration, a discussant (Chair of a CAG or a member of a CAG) would be assigned to present the application to the committee for discussion and a final recommendation formulated.</w:t>
      </w:r>
      <w:r w:rsidR="007A5E67">
        <w:t xml:space="preserve"> Where required, e</w:t>
      </w:r>
      <w:r>
        <w:t xml:space="preserve">xternal evaluators prepare the advice in close consultation with the assigned discussant who would be well informed of the pertinent issues and can take the draft advice to the rest of the committee with a focus on the key decision-making matters. Discussant duties are shared and applications allocated to members with knowledge in the disease area. Importantly, in this scenario, only the key issues for decision making need to be discussed at the meeting; thus it is vital that </w:t>
      </w:r>
      <w:r w:rsidR="007A5E67">
        <w:t xml:space="preserve">CAGs and/or </w:t>
      </w:r>
      <w:r>
        <w:t>external evaluators are able to identify and explain these issues to the member</w:t>
      </w:r>
      <w:r w:rsidR="007A5E67">
        <w:t>s</w:t>
      </w:r>
      <w:r>
        <w:t>. Evaluators could also be present at the PLAC meeting, if it was deemed necessary.</w:t>
      </w:r>
    </w:p>
    <w:p w14:paraId="13A5D96E" w14:textId="77777777" w:rsidR="00430F18" w:rsidRDefault="00430F18" w:rsidP="00430F18">
      <w:r>
        <w:t>Importantly, membership would be expanded to include HTA and Economic expertise and Consumer Representation would remain.</w:t>
      </w:r>
    </w:p>
    <w:p w14:paraId="1043412C" w14:textId="1D1B9FE8" w:rsidR="00430F18" w:rsidRDefault="00430F18" w:rsidP="00DB5803">
      <w:pPr>
        <w:pStyle w:val="Caption"/>
      </w:pPr>
      <w:r>
        <w:t xml:space="preserve">Figure </w:t>
      </w:r>
      <w:r>
        <w:fldChar w:fldCharType="begin"/>
      </w:r>
      <w:r>
        <w:instrText>SEQ Figure \* ARABIC</w:instrText>
      </w:r>
      <w:r>
        <w:fldChar w:fldCharType="separate"/>
      </w:r>
      <w:r w:rsidR="00200D1D">
        <w:rPr>
          <w:noProof/>
        </w:rPr>
        <w:t>2</w:t>
      </w:r>
      <w:r>
        <w:fldChar w:fldCharType="end"/>
      </w:r>
      <w:r>
        <w:rPr>
          <w:noProof/>
        </w:rPr>
        <w:t>.</w:t>
      </w:r>
      <w:r>
        <w:t xml:space="preserve"> Option </w:t>
      </w:r>
      <w:r w:rsidR="00ED34F3">
        <w:t>1</w:t>
      </w:r>
      <w:r>
        <w:t xml:space="preserve"> </w:t>
      </w:r>
      <w:r w:rsidRPr="00053B55">
        <w:t>schematic of process and governance</w:t>
      </w:r>
    </w:p>
    <w:p w14:paraId="7F27E9A8" w14:textId="6A5C9C37" w:rsidR="00430F18" w:rsidRDefault="000D7021" w:rsidP="00430F18">
      <w:r>
        <w:rPr>
          <w:noProof/>
          <w:lang w:eastAsia="en-AU"/>
        </w:rPr>
        <w:drawing>
          <wp:inline distT="0" distB="0" distL="0" distR="0" wp14:anchorId="7DE1C790" wp14:editId="1EB28F31">
            <wp:extent cx="5731510" cy="1598295"/>
            <wp:effectExtent l="0" t="0" r="2540" b="0"/>
            <wp:docPr id="5" name="Picture 5" descr="Figure 2 is a flow chart showing option 1 of the schematic process and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is a flow chart showing option 1 of the schematic process and governance"/>
                    <pic:cNvPicPr/>
                  </pic:nvPicPr>
                  <pic:blipFill>
                    <a:blip r:embed="rId24">
                      <a:extLst>
                        <a:ext uri="{28A0092B-C50C-407E-A947-70E740481C1C}">
                          <a14:useLocalDpi xmlns:a14="http://schemas.microsoft.com/office/drawing/2010/main" val="0"/>
                        </a:ext>
                      </a:extLst>
                    </a:blip>
                    <a:stretch>
                      <a:fillRect/>
                    </a:stretch>
                  </pic:blipFill>
                  <pic:spPr>
                    <a:xfrm>
                      <a:off x="0" y="0"/>
                      <a:ext cx="5731510" cy="1598295"/>
                    </a:xfrm>
                    <a:prstGeom prst="rect">
                      <a:avLst/>
                    </a:prstGeom>
                  </pic:spPr>
                </pic:pic>
              </a:graphicData>
            </a:graphic>
          </wp:inline>
        </w:drawing>
      </w:r>
    </w:p>
    <w:p w14:paraId="34949106" w14:textId="77777777" w:rsidR="006D31AE" w:rsidRPr="00360C66" w:rsidRDefault="006D31AE" w:rsidP="00360C66">
      <w:pPr>
        <w:pStyle w:val="BoxCopy"/>
        <w:rPr>
          <w:rStyle w:val="Strong"/>
        </w:rPr>
      </w:pPr>
      <w:r w:rsidRPr="00360C66">
        <w:rPr>
          <w:rStyle w:val="Strong"/>
        </w:rPr>
        <w:t>Option 1: Risks</w:t>
      </w:r>
    </w:p>
    <w:p w14:paraId="744F2F44" w14:textId="6BA2F2FD" w:rsidR="00430F18" w:rsidRPr="00360C66" w:rsidRDefault="006D31AE" w:rsidP="00360C66">
      <w:pPr>
        <w:pStyle w:val="BoxCopy"/>
      </w:pPr>
      <w:r w:rsidRPr="00360C66">
        <w:t>This scenario maintains the expert contribution to PL recommendations whilst streamlining the process, so it is relatively low risk.</w:t>
      </w:r>
    </w:p>
    <w:p w14:paraId="7BBC011F" w14:textId="43E3A48A" w:rsidR="006D31AE" w:rsidRPr="00360C66" w:rsidRDefault="006D31AE" w:rsidP="00360C66">
      <w:pPr>
        <w:pStyle w:val="BoxCopy"/>
        <w:rPr>
          <w:rStyle w:val="Strong"/>
        </w:rPr>
      </w:pPr>
      <w:bookmarkStart w:id="49" w:name="_Toc125470883"/>
      <w:r w:rsidRPr="00360C66">
        <w:rPr>
          <w:rStyle w:val="Strong"/>
        </w:rPr>
        <w:t>Option 1: Benefits</w:t>
      </w:r>
      <w:bookmarkEnd w:id="49"/>
    </w:p>
    <w:p w14:paraId="6550D323" w14:textId="7684077B" w:rsidR="006D31AE" w:rsidRPr="00360C66" w:rsidRDefault="006D31AE" w:rsidP="00360C66">
      <w:pPr>
        <w:pStyle w:val="BoxCopy"/>
      </w:pPr>
      <w:r w:rsidRPr="00360C66">
        <w:t>Inefficiencies and issues with conflicts of interest within PLAC would be eliminated with stakeholders removed from the committee, but with a HTA and economic expert included, and a consumer representative remaining. There would be expert contribution to key issues where required via the discussants (CAG Chair or a member of CAG), which will result in more efficient and informed decision making by the committee. There would be less time wasted in meetings as vested interests are minimised, and only key areas of uncertainty need to be discussed (as identified by the discussant and evaluators).</w:t>
      </w:r>
    </w:p>
    <w:p w14:paraId="7AF032AF" w14:textId="5A08B596" w:rsidR="00FE676E" w:rsidRPr="0082200B" w:rsidRDefault="00462189" w:rsidP="00FE676E">
      <w:pPr>
        <w:pStyle w:val="Heading2"/>
      </w:pPr>
      <w:bookmarkStart w:id="50" w:name="_Toc125470884"/>
      <w:bookmarkStart w:id="51" w:name="_Toc125984791"/>
      <w:r>
        <w:lastRenderedPageBreak/>
        <w:t>Option</w:t>
      </w:r>
      <w:r w:rsidRPr="0082200B">
        <w:t xml:space="preserve"> </w:t>
      </w:r>
      <w:r w:rsidR="00430F18">
        <w:t>2</w:t>
      </w:r>
      <w:r w:rsidR="00FE676E" w:rsidRPr="0082200B">
        <w:t xml:space="preserve">: </w:t>
      </w:r>
      <w:r>
        <w:t>Optimisation of</w:t>
      </w:r>
      <w:r w:rsidR="00FE676E" w:rsidRPr="0082200B">
        <w:t xml:space="preserve"> current </w:t>
      </w:r>
      <w:r>
        <w:t xml:space="preserve">PLAC and </w:t>
      </w:r>
      <w:r w:rsidR="009855DD">
        <w:t xml:space="preserve">Clinical </w:t>
      </w:r>
      <w:r>
        <w:t xml:space="preserve">Advisory Group </w:t>
      </w:r>
      <w:r w:rsidR="00FE676E" w:rsidRPr="0082200B">
        <w:t>configuration</w:t>
      </w:r>
      <w:bookmarkEnd w:id="50"/>
      <w:bookmarkEnd w:id="51"/>
    </w:p>
    <w:p w14:paraId="67FA7D7A" w14:textId="6F1AB8A9" w:rsidR="00053B55" w:rsidRDefault="00FE676E" w:rsidP="00FE676E">
      <w:r>
        <w:t xml:space="preserve">Noting that many of the issues associated with the PL process would continue to exist if the structure of the PLAC and </w:t>
      </w:r>
      <w:r w:rsidR="00B452BC">
        <w:t>s</w:t>
      </w:r>
      <w:r w:rsidR="003711F5">
        <w:t>ub-committee</w:t>
      </w:r>
      <w:r w:rsidR="00715346">
        <w:t>s remained the same</w:t>
      </w:r>
      <w:r>
        <w:t>, there are some steps that could be taken to improve</w:t>
      </w:r>
      <w:r w:rsidR="00053B55">
        <w:t xml:space="preserve"> the efficiency of the </w:t>
      </w:r>
      <w:r w:rsidR="00462189">
        <w:t xml:space="preserve">current </w:t>
      </w:r>
      <w:r w:rsidR="00053B55">
        <w:t>process.</w:t>
      </w:r>
      <w:r w:rsidR="00B452BC">
        <w:t xml:space="preserve"> Sub-committees could remain as the Clinical Advisory Groups (CAGs) and the Panel of Clinical Experts (</w:t>
      </w:r>
      <w:proofErr w:type="spellStart"/>
      <w:r w:rsidR="00B452BC">
        <w:t>PoCE</w:t>
      </w:r>
      <w:proofErr w:type="spellEnd"/>
      <w:r w:rsidR="00B452BC">
        <w:t xml:space="preserve">), or the </w:t>
      </w:r>
      <w:proofErr w:type="spellStart"/>
      <w:r w:rsidR="00B452BC">
        <w:t>PoCE</w:t>
      </w:r>
      <w:proofErr w:type="spellEnd"/>
      <w:r w:rsidR="00B452BC">
        <w:t xml:space="preserve"> could be dissolved and only the CAGs act in the sub-committee role.</w:t>
      </w:r>
    </w:p>
    <w:p w14:paraId="6BD55371" w14:textId="7E2DF3F3" w:rsidR="00FE676E" w:rsidRDefault="00FE676E" w:rsidP="00FE676E">
      <w:r>
        <w:t xml:space="preserve">The composition of the PLAC and role of stakeholders should be reconsidered as discussed </w:t>
      </w:r>
      <w:r w:rsidR="00462189">
        <w:t>earlier</w:t>
      </w:r>
      <w:r>
        <w:t xml:space="preserve">. The </w:t>
      </w:r>
      <w:r w:rsidR="00933D0B">
        <w:t>Departmental</w:t>
      </w:r>
      <w:r>
        <w:t xml:space="preserve"> pathway will help to ensure that only applications that need to be assessed by the PLAC are considered. </w:t>
      </w:r>
      <w:r w:rsidR="00933D0B">
        <w:t xml:space="preserve">The department will initially assess each application when received to ensure it meets eligibility, the correct pathway has been nominated and all information has been provided. </w:t>
      </w:r>
    </w:p>
    <w:p w14:paraId="71EF02C5" w14:textId="0BE1F882" w:rsidR="00FE676E" w:rsidRDefault="00FE676E" w:rsidP="00FE676E">
      <w:r>
        <w:t xml:space="preserve">In this scenario, advice could be sought from the appropriate CAGs </w:t>
      </w:r>
      <w:r w:rsidR="00B452BC">
        <w:t>(</w:t>
      </w:r>
      <w:r w:rsidR="00933D0B">
        <w:t xml:space="preserve">or </w:t>
      </w:r>
      <w:proofErr w:type="spellStart"/>
      <w:r w:rsidR="00933D0B">
        <w:t>PoCE</w:t>
      </w:r>
      <w:proofErr w:type="spellEnd"/>
      <w:r w:rsidR="00B452BC">
        <w:t xml:space="preserve"> if it remains</w:t>
      </w:r>
      <w:r w:rsidR="00933D0B">
        <w:t>)</w:t>
      </w:r>
      <w:r>
        <w:t xml:space="preserve"> where required</w:t>
      </w:r>
      <w:r w:rsidR="00462189">
        <w:t>. F</w:t>
      </w:r>
      <w:r>
        <w:t>or example</w:t>
      </w:r>
      <w:r w:rsidR="00462189">
        <w:t>,</w:t>
      </w:r>
      <w:r w:rsidR="009A5F95">
        <w:t xml:space="preserve"> this could occur</w:t>
      </w:r>
      <w:r w:rsidR="00933D0B">
        <w:t xml:space="preserve"> </w:t>
      </w:r>
      <w:r w:rsidR="009A5F95">
        <w:t>when</w:t>
      </w:r>
      <w:r>
        <w:t xml:space="preserve"> </w:t>
      </w:r>
      <w:r w:rsidR="00E678E6">
        <w:t>clinical</w:t>
      </w:r>
      <w:r>
        <w:t xml:space="preserve"> guidance </w:t>
      </w:r>
      <w:r w:rsidR="009A5F95">
        <w:t xml:space="preserve">is needed by </w:t>
      </w:r>
      <w:r>
        <w:t>the PLAC on evaluations completed through the focused HTA pathway. To increase efficiency with this process</w:t>
      </w:r>
      <w:r w:rsidR="00B452BC">
        <w:t>, it is suggested that the CAGs</w:t>
      </w:r>
      <w:r>
        <w:t xml:space="preserve"> select one or two discussants who can report the key issues to the PLAC, so that the PLAC members are not required to read </w:t>
      </w:r>
      <w:r w:rsidR="00B452BC">
        <w:t>entire applications</w:t>
      </w:r>
      <w:r>
        <w:t xml:space="preserve">. It should be noted that in this scenario, most of the desired efficiency gains would need to be made through the better pathways process, rather than the overall governance of the process. </w:t>
      </w:r>
    </w:p>
    <w:p w14:paraId="764FF234" w14:textId="7B062740" w:rsidR="009A5F95" w:rsidRDefault="00FE676E" w:rsidP="00FE676E">
      <w:r w:rsidRPr="00DB5803">
        <w:t>PLAC membership</w:t>
      </w:r>
      <w:r>
        <w:t>: committee membership and CAG</w:t>
      </w:r>
      <w:r w:rsidR="00B452BC">
        <w:t xml:space="preserve">s (and </w:t>
      </w:r>
      <w:proofErr w:type="spellStart"/>
      <w:r w:rsidR="00B452BC">
        <w:t>PoCE</w:t>
      </w:r>
      <w:proofErr w:type="spellEnd"/>
      <w:r w:rsidR="00B452BC">
        <w:t xml:space="preserve"> if it remains) </w:t>
      </w:r>
      <w:r w:rsidR="009A5F95">
        <w:t xml:space="preserve">is changed to </w:t>
      </w:r>
      <w:r>
        <w:t>tak</w:t>
      </w:r>
      <w:r w:rsidR="009A5F95">
        <w:t>e</w:t>
      </w:r>
      <w:r>
        <w:t xml:space="preserve"> into account the recommendations about committee membership previously discussed</w:t>
      </w:r>
      <w:r w:rsidR="009A5F95">
        <w:t xml:space="preserve"> </w:t>
      </w:r>
      <w:r w:rsidR="007033A3">
        <w:t>i.e.</w:t>
      </w:r>
      <w:r w:rsidR="009A5F95">
        <w:t xml:space="preserve"> incorporation of HTA expertise and removal of members with vested interests</w:t>
      </w:r>
      <w:r>
        <w:t>.</w:t>
      </w:r>
    </w:p>
    <w:p w14:paraId="1B17D579" w14:textId="3C485C60" w:rsidR="00053B55" w:rsidRDefault="00053B55" w:rsidP="00DB5803">
      <w:pPr>
        <w:pStyle w:val="Caption"/>
      </w:pPr>
      <w:r>
        <w:t xml:space="preserve">Figure </w:t>
      </w:r>
      <w:r>
        <w:fldChar w:fldCharType="begin"/>
      </w:r>
      <w:r>
        <w:instrText>SEQ Figure \* ARABIC</w:instrText>
      </w:r>
      <w:r>
        <w:fldChar w:fldCharType="separate"/>
      </w:r>
      <w:r w:rsidR="00200D1D">
        <w:rPr>
          <w:noProof/>
        </w:rPr>
        <w:t>3</w:t>
      </w:r>
      <w:r>
        <w:fldChar w:fldCharType="end"/>
      </w:r>
      <w:r w:rsidR="009A5F95">
        <w:rPr>
          <w:noProof/>
        </w:rPr>
        <w:t>.</w:t>
      </w:r>
      <w:r>
        <w:t xml:space="preserve"> </w:t>
      </w:r>
      <w:r w:rsidR="00741C88">
        <w:t>Option</w:t>
      </w:r>
      <w:r w:rsidR="00741C88" w:rsidRPr="00053B55">
        <w:t xml:space="preserve"> </w:t>
      </w:r>
      <w:r w:rsidR="00ED34F3">
        <w:t>2</w:t>
      </w:r>
      <w:r w:rsidR="00741C88">
        <w:t xml:space="preserve"> Optimisation</w:t>
      </w:r>
      <w:r w:rsidRPr="00053B55">
        <w:t xml:space="preserve"> schematic of process and governance</w:t>
      </w:r>
    </w:p>
    <w:p w14:paraId="49848906" w14:textId="690DC119" w:rsidR="00053B55" w:rsidRDefault="00FC07E7" w:rsidP="00FE676E">
      <w:r>
        <w:rPr>
          <w:noProof/>
          <w:lang w:eastAsia="en-AU"/>
        </w:rPr>
        <w:drawing>
          <wp:inline distT="0" distB="0" distL="0" distR="0" wp14:anchorId="6F5AF48E" wp14:editId="7F9C7455">
            <wp:extent cx="5541010" cy="2763520"/>
            <wp:effectExtent l="0" t="0" r="2540" b="0"/>
            <wp:docPr id="16" name="Picture 16" descr="Schematic of process and governance for option 2" title="Flowchart of 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1050252\Downloads\Option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1010" cy="2763520"/>
                    </a:xfrm>
                    <a:prstGeom prst="rect">
                      <a:avLst/>
                    </a:prstGeom>
                    <a:noFill/>
                    <a:ln>
                      <a:noFill/>
                    </a:ln>
                  </pic:spPr>
                </pic:pic>
              </a:graphicData>
            </a:graphic>
          </wp:inline>
        </w:drawing>
      </w:r>
    </w:p>
    <w:p w14:paraId="0073B252" w14:textId="3306AF9C" w:rsidR="00DB5803" w:rsidRDefault="00B452BC" w:rsidP="00A91CAF">
      <w:pPr>
        <w:pStyle w:val="FootnoteText"/>
      </w:pPr>
      <w:r w:rsidRPr="00A91CAF">
        <w:t>Figure 2 notes: CAGs: Clinical advisory groups; PLAC: Prostheses List Advisory Commit</w:t>
      </w:r>
      <w:r w:rsidR="0020315F" w:rsidRPr="00A91CAF">
        <w:t>t</w:t>
      </w:r>
      <w:r w:rsidRPr="00A91CAF">
        <w:t>ee</w:t>
      </w:r>
    </w:p>
    <w:p w14:paraId="228BB90F" w14:textId="77777777" w:rsidR="00DB5803" w:rsidRDefault="00DB5803">
      <w:pPr>
        <w:spacing w:before="0" w:after="200"/>
        <w:rPr>
          <w:rFonts w:ascii="Calibri" w:eastAsia="Times New Roman" w:hAnsi="Calibri" w:cs="Times New Roman"/>
          <w:sz w:val="18"/>
          <w:szCs w:val="20"/>
          <w:lang w:bidi="en-US"/>
        </w:rPr>
      </w:pPr>
      <w:r>
        <w:br w:type="page"/>
      </w:r>
    </w:p>
    <w:p w14:paraId="32030C61" w14:textId="77777777" w:rsidR="006D31AE" w:rsidRPr="00DB5803" w:rsidRDefault="006D31AE" w:rsidP="00DB5803">
      <w:pPr>
        <w:pStyle w:val="BoxCopy"/>
        <w:rPr>
          <w:rStyle w:val="Strong"/>
        </w:rPr>
      </w:pPr>
      <w:bookmarkStart w:id="52" w:name="_Toc125470885"/>
      <w:r w:rsidRPr="00DB5803">
        <w:rPr>
          <w:rStyle w:val="Strong"/>
        </w:rPr>
        <w:lastRenderedPageBreak/>
        <w:t>Option 2: Risks</w:t>
      </w:r>
      <w:bookmarkEnd w:id="52"/>
    </w:p>
    <w:p w14:paraId="30B934C3" w14:textId="39FEBBC8" w:rsidR="00170122" w:rsidRPr="00DB5803" w:rsidRDefault="006D31AE" w:rsidP="00DB5803">
      <w:pPr>
        <w:pStyle w:val="BoxCopy"/>
      </w:pPr>
      <w:r w:rsidRPr="00DB5803">
        <w:t>Although some of the HTA principles could be rectified by optimising the composition of the PL committee, formalising guidance for submitting applications, and reporting outcomes of the decision-making process, leaving the PLAC and subcommittees in their current configuration means that some of the issues currently problematic for the listing process will still not be addressed. Independence of the committee will be improved but still largely influenced by the clinical experts. The process would still be administratively inefficient with a range of CAGs needing support, and with a large burden on the committees to do the evaluation of the prostheses and devices (with reference to the Guidelines). The loss of stakeholders from the committee, while reducing the influence of vested interests, would equally also reduce stakeholder consultation.</w:t>
      </w:r>
    </w:p>
    <w:p w14:paraId="70457247" w14:textId="445CB3A4" w:rsidR="006D31AE" w:rsidRPr="00DB5803" w:rsidRDefault="006D31AE" w:rsidP="00DB5803">
      <w:pPr>
        <w:pStyle w:val="BoxCopy"/>
        <w:rPr>
          <w:rStyle w:val="Strong"/>
        </w:rPr>
      </w:pPr>
      <w:bookmarkStart w:id="53" w:name="_Toc125470886"/>
      <w:r w:rsidRPr="00DB5803">
        <w:rPr>
          <w:rStyle w:val="Strong"/>
        </w:rPr>
        <w:t>Option 2: Benefits</w:t>
      </w:r>
      <w:bookmarkEnd w:id="53"/>
    </w:p>
    <w:p w14:paraId="1EB617A0" w14:textId="333E00F5" w:rsidR="00170122" w:rsidRPr="00DB5803" w:rsidRDefault="006D31AE" w:rsidP="00DB5803">
      <w:pPr>
        <w:pStyle w:val="BoxCopy"/>
      </w:pPr>
      <w:r w:rsidRPr="00DB5803">
        <w:t>The lack of change to the process means that it would likely remain sustainable, as long as the Australian Government keeps it resourced. The inclusion of Guidelines and Templates, provision of PSDs, removal of vested interests from the committee with formal stakeholder consultation built into the pathways, and inclusion of HTA expertise on the committee would improve transparency, independence and accountability. If the proposed assessment pathways are implemented then the full process would also be flexible and fit-for-purpose. If the Guidelines are developed properly then it is likely that more robust and relevant evidence will be presented to the committee.</w:t>
      </w:r>
    </w:p>
    <w:p w14:paraId="0294EFD8" w14:textId="2E9AF1CD" w:rsidR="00E1014E" w:rsidRPr="0082200B" w:rsidRDefault="00844A8A" w:rsidP="00E1014E">
      <w:pPr>
        <w:pStyle w:val="Heading2"/>
      </w:pPr>
      <w:bookmarkStart w:id="54" w:name="_Toc125470887"/>
      <w:bookmarkStart w:id="55" w:name="_Hlk98854115"/>
      <w:bookmarkStart w:id="56" w:name="_Toc125984792"/>
      <w:r>
        <w:t>Option</w:t>
      </w:r>
      <w:r w:rsidRPr="0082200B">
        <w:t xml:space="preserve"> </w:t>
      </w:r>
      <w:r w:rsidR="00430F18">
        <w:t>3</w:t>
      </w:r>
      <w:r w:rsidR="00E1014E" w:rsidRPr="0082200B">
        <w:t xml:space="preserve">: </w:t>
      </w:r>
      <w:r w:rsidR="00F05D4E">
        <w:t>D</w:t>
      </w:r>
      <w:r w:rsidR="00E1014E" w:rsidRPr="0082200B">
        <w:t xml:space="preserve">issolve </w:t>
      </w:r>
      <w:r w:rsidR="00E1014E">
        <w:t xml:space="preserve">the </w:t>
      </w:r>
      <w:r w:rsidR="00E1014E" w:rsidRPr="0082200B">
        <w:t xml:space="preserve">PLAC and </w:t>
      </w:r>
      <w:r w:rsidR="007621F7">
        <w:t>s</w:t>
      </w:r>
      <w:r w:rsidR="003711F5">
        <w:t>ubcommittee</w:t>
      </w:r>
      <w:r w:rsidR="00E1014E" w:rsidRPr="0082200B">
        <w:t xml:space="preserve">s and form </w:t>
      </w:r>
      <w:r w:rsidR="00E1014E">
        <w:t xml:space="preserve">a panel of </w:t>
      </w:r>
      <w:r>
        <w:t xml:space="preserve">PL </w:t>
      </w:r>
      <w:r w:rsidR="00E1014E">
        <w:t>experts who can advis</w:t>
      </w:r>
      <w:r w:rsidR="00E1014E" w:rsidRPr="0082200B">
        <w:t xml:space="preserve">e </w:t>
      </w:r>
      <w:r>
        <w:t xml:space="preserve">the </w:t>
      </w:r>
      <w:r w:rsidR="00E1014E" w:rsidRPr="0082200B">
        <w:t>MSAC executive</w:t>
      </w:r>
      <w:r>
        <w:t>. Retain optimisation.</w:t>
      </w:r>
      <w:bookmarkEnd w:id="54"/>
      <w:bookmarkEnd w:id="56"/>
    </w:p>
    <w:p w14:paraId="2CD4AC33" w14:textId="4E077CED" w:rsidR="00844A8A" w:rsidRDefault="00C86CE4" w:rsidP="00E1014E">
      <w:bookmarkStart w:id="57" w:name="_Hlk98854138"/>
      <w:bookmarkEnd w:id="55"/>
      <w:r>
        <w:t xml:space="preserve">This scenario is characterised by the absence of PLAC and associated </w:t>
      </w:r>
      <w:r w:rsidR="007621F7">
        <w:t>s</w:t>
      </w:r>
      <w:r w:rsidR="003711F5">
        <w:t>ubcommittee</w:t>
      </w:r>
      <w:r>
        <w:t>s.</w:t>
      </w:r>
      <w:r w:rsidR="00E1014E">
        <w:t xml:space="preserve"> Responsibility for the transition of applications through the PL process would rest with the Department. A panel of clinical experts would be formed to provide advice to the Department on demand</w:t>
      </w:r>
      <w:bookmarkEnd w:id="57"/>
      <w:r w:rsidR="00E1014E">
        <w:t>; that is, an appropriate panel member would be called upon when required to provide specialist advice to the Department</w:t>
      </w:r>
      <w:r w:rsidR="00B8172E">
        <w:t xml:space="preserve"> and/or evaluators</w:t>
      </w:r>
      <w:r w:rsidR="00E1014E">
        <w:t xml:space="preserve">. This is similar to a previous structure of MSAC, where </w:t>
      </w:r>
      <w:r w:rsidR="00B8172E">
        <w:t>the</w:t>
      </w:r>
      <w:r w:rsidR="00E1014E">
        <w:t xml:space="preserve"> panel of clinical experts (Health Expert Standing Panel, HESP) advised on evaluations that required specialist clinical knowledge. </w:t>
      </w:r>
    </w:p>
    <w:p w14:paraId="26C1D729" w14:textId="2342607C" w:rsidR="00E1014E" w:rsidRDefault="00E1014E" w:rsidP="00E1014E">
      <w:r>
        <w:t>For the PL process, where an application required it (</w:t>
      </w:r>
      <w:r w:rsidR="00C90768">
        <w:t>i.e.</w:t>
      </w:r>
      <w:r>
        <w:t xml:space="preserve"> any applica</w:t>
      </w:r>
      <w:r w:rsidR="00B452BC">
        <w:t>tion using the focused pathway</w:t>
      </w:r>
      <w:r>
        <w:t xml:space="preserve">), expert </w:t>
      </w:r>
      <w:r w:rsidR="00844A8A">
        <w:t xml:space="preserve">clinical or technical </w:t>
      </w:r>
      <w:r>
        <w:t xml:space="preserve">advice could be sought and incorporated into the </w:t>
      </w:r>
      <w:r w:rsidR="00844A8A">
        <w:t xml:space="preserve">listing </w:t>
      </w:r>
      <w:r>
        <w:t>advice</w:t>
      </w:r>
      <w:r w:rsidR="00844A8A">
        <w:t xml:space="preserve"> by the Department</w:t>
      </w:r>
      <w:r>
        <w:t xml:space="preserve">. </w:t>
      </w:r>
      <w:bookmarkStart w:id="58" w:name="_Hlk98854191"/>
      <w:r w:rsidR="00C86CE4">
        <w:t>F</w:t>
      </w:r>
      <w:r>
        <w:t>inal approval of the advice</w:t>
      </w:r>
      <w:r w:rsidR="00C86CE4">
        <w:t>, and recommendations, would be the remit of</w:t>
      </w:r>
      <w:r>
        <w:t xml:space="preserve"> the MSAC executive. As the MSAC executive meets more frequently than MSAC, and there would be fewer</w:t>
      </w:r>
      <w:r w:rsidR="00844A8A">
        <w:t xml:space="preserve"> and </w:t>
      </w:r>
      <w:r>
        <w:t xml:space="preserve">better quality applications to consider under the new </w:t>
      </w:r>
      <w:r w:rsidR="00844A8A">
        <w:t xml:space="preserve">proposed assessment </w:t>
      </w:r>
      <w:r>
        <w:t xml:space="preserve">pathways, this would be an efficient way for PL applications to be processed with appropriate oversight. </w:t>
      </w:r>
      <w:r w:rsidR="00844A8A">
        <w:t xml:space="preserve">The </w:t>
      </w:r>
      <w:r>
        <w:t>MSAC executive have appropriate HTA experience to consider the</w:t>
      </w:r>
      <w:r w:rsidR="00844A8A">
        <w:t>se</w:t>
      </w:r>
      <w:r>
        <w:t xml:space="preserve"> applications, and a PL representative could be added to the MSAC executive to lead discussion on items </w:t>
      </w:r>
      <w:r w:rsidR="00844A8A">
        <w:t xml:space="preserve">that would </w:t>
      </w:r>
      <w:r>
        <w:t xml:space="preserve">be considered. This </w:t>
      </w:r>
      <w:r w:rsidR="0018170F">
        <w:t>option</w:t>
      </w:r>
      <w:r>
        <w:t xml:space="preserve"> would require resourcing the </w:t>
      </w:r>
      <w:r w:rsidR="00844A8A">
        <w:t>Prosthes</w:t>
      </w:r>
      <w:r w:rsidR="0018170F">
        <w:t>e</w:t>
      </w:r>
      <w:r w:rsidR="00844A8A">
        <w:t xml:space="preserve">s </w:t>
      </w:r>
      <w:r>
        <w:t xml:space="preserve">section in the Department adequately, as the bulk of the </w:t>
      </w:r>
      <w:r w:rsidR="00AB21CF">
        <w:t>evaluation associated</w:t>
      </w:r>
      <w:r>
        <w:t xml:space="preserve"> with </w:t>
      </w:r>
      <w:r w:rsidR="00844A8A">
        <w:t xml:space="preserve">a </w:t>
      </w:r>
      <w:r>
        <w:t xml:space="preserve">prosthesis listing would occur here. </w:t>
      </w:r>
      <w:r w:rsidR="00AB21CF">
        <w:t xml:space="preserve">The Department could contract out evaluations for the </w:t>
      </w:r>
      <w:r w:rsidR="00CF0CD4">
        <w:t>C</w:t>
      </w:r>
      <w:r w:rsidR="0020315F">
        <w:t xml:space="preserve">linical / </w:t>
      </w:r>
      <w:r w:rsidR="00CF0CD4">
        <w:t>F</w:t>
      </w:r>
      <w:r w:rsidR="00AB21CF">
        <w:t xml:space="preserve">ocused HTA </w:t>
      </w:r>
      <w:r w:rsidR="00CF0CD4">
        <w:t>P</w:t>
      </w:r>
      <w:r w:rsidR="00AB21CF">
        <w:t>athway to independent HTA experts/assessment groups, as required.</w:t>
      </w:r>
    </w:p>
    <w:bookmarkEnd w:id="58"/>
    <w:p w14:paraId="6A2DE476" w14:textId="3A4C1105" w:rsidR="00B9396A" w:rsidRDefault="00B9396A" w:rsidP="00DB5803">
      <w:pPr>
        <w:pStyle w:val="Caption"/>
      </w:pPr>
      <w:r>
        <w:lastRenderedPageBreak/>
        <w:t xml:space="preserve">Figure </w:t>
      </w:r>
      <w:r>
        <w:fldChar w:fldCharType="begin"/>
      </w:r>
      <w:r>
        <w:instrText>SEQ Figure \* ARABIC</w:instrText>
      </w:r>
      <w:r>
        <w:fldChar w:fldCharType="separate"/>
      </w:r>
      <w:r w:rsidR="00200D1D">
        <w:rPr>
          <w:noProof/>
        </w:rPr>
        <w:t>4</w:t>
      </w:r>
      <w:r>
        <w:fldChar w:fldCharType="end"/>
      </w:r>
      <w:r>
        <w:t xml:space="preserve">: </w:t>
      </w:r>
      <w:r w:rsidR="001460B3">
        <w:t xml:space="preserve">Option </w:t>
      </w:r>
      <w:r w:rsidR="00ED34F3">
        <w:t>3</w:t>
      </w:r>
      <w:r>
        <w:t xml:space="preserve"> </w:t>
      </w:r>
      <w:r w:rsidRPr="00053B55">
        <w:t>schematic of process and governance</w:t>
      </w:r>
    </w:p>
    <w:p w14:paraId="2E927A47" w14:textId="0892849F" w:rsidR="00FF7C76" w:rsidRDefault="00FC07E7" w:rsidP="0008330C">
      <w:r>
        <w:rPr>
          <w:noProof/>
          <w:lang w:eastAsia="en-AU"/>
        </w:rPr>
        <w:drawing>
          <wp:inline distT="0" distB="0" distL="0" distR="0" wp14:anchorId="63C476C4" wp14:editId="44065C8C">
            <wp:extent cx="5725160" cy="1637665"/>
            <wp:effectExtent l="0" t="0" r="8890" b="0"/>
            <wp:docPr id="17" name="Picture 17" descr="Schematic of process and governance of option 3" title="flowchart of o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1050252\Downloads\Option 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5160" cy="1637665"/>
                    </a:xfrm>
                    <a:prstGeom prst="rect">
                      <a:avLst/>
                    </a:prstGeom>
                    <a:noFill/>
                    <a:ln>
                      <a:noFill/>
                    </a:ln>
                  </pic:spPr>
                </pic:pic>
              </a:graphicData>
            </a:graphic>
          </wp:inline>
        </w:drawing>
      </w:r>
    </w:p>
    <w:p w14:paraId="006B1AE4" w14:textId="73F943ED" w:rsidR="00B2015F" w:rsidRPr="00A91CAF" w:rsidRDefault="00B2015F" w:rsidP="00A91CAF">
      <w:pPr>
        <w:pStyle w:val="FootnoteText"/>
      </w:pPr>
      <w:r w:rsidRPr="00A91CAF">
        <w:t>Figure 3 notes: MSAC: Medical Services Advisory Committee</w:t>
      </w:r>
    </w:p>
    <w:p w14:paraId="29225BD3" w14:textId="2A44EEB2" w:rsidR="00C86CE4" w:rsidRDefault="00C86CE4" w:rsidP="00C86CE4">
      <w:r w:rsidRPr="00DB5803">
        <w:t>PLAC membership</w:t>
      </w:r>
      <w:r>
        <w:t xml:space="preserve">: PLAC and its subcommittees as it currently stands would be dissolved. A panel of experts with relevant clinical and/or HTA experience would be formed to provide advice where required. </w:t>
      </w:r>
    </w:p>
    <w:p w14:paraId="380D0A32" w14:textId="77777777" w:rsidR="006D31AE" w:rsidRPr="00A91CAF" w:rsidRDefault="006D31AE" w:rsidP="00A91CAF">
      <w:pPr>
        <w:pStyle w:val="BoxCopy"/>
        <w:rPr>
          <w:rStyle w:val="Strong"/>
        </w:rPr>
      </w:pPr>
      <w:bookmarkStart w:id="59" w:name="_Toc125470888"/>
      <w:r w:rsidRPr="00A91CAF">
        <w:rPr>
          <w:rStyle w:val="Strong"/>
        </w:rPr>
        <w:t>Option 3: Risks</w:t>
      </w:r>
      <w:bookmarkEnd w:id="59"/>
    </w:p>
    <w:p w14:paraId="745D353E" w14:textId="674CFFD8" w:rsidR="00E1014E" w:rsidRPr="00A91CAF" w:rsidRDefault="006D31AE" w:rsidP="00DB5803">
      <w:pPr>
        <w:pStyle w:val="BoxCopy"/>
      </w:pPr>
      <w:r w:rsidRPr="00A91CAF">
        <w:t>Dissolving PLAC and its subcommittees will require the Department to take on a larger role in the administration of the PL, which would likely require upskilling or recruitment of more staff with appropriate evaluation training, and potentially put at risk the sustainability of the revised process.</w:t>
      </w:r>
    </w:p>
    <w:p w14:paraId="624B63F9" w14:textId="77777777" w:rsidR="006D31AE" w:rsidRPr="00A91CAF" w:rsidRDefault="006D31AE" w:rsidP="00A91CAF">
      <w:pPr>
        <w:pStyle w:val="BoxCopy"/>
        <w:rPr>
          <w:rStyle w:val="Strong"/>
        </w:rPr>
      </w:pPr>
      <w:bookmarkStart w:id="60" w:name="_Toc125470889"/>
      <w:r w:rsidRPr="00A91CAF">
        <w:rPr>
          <w:rStyle w:val="Strong"/>
        </w:rPr>
        <w:t>Option 3: Benefits</w:t>
      </w:r>
      <w:bookmarkEnd w:id="60"/>
    </w:p>
    <w:p w14:paraId="77C704BF" w14:textId="01473B13" w:rsidR="00E1014E" w:rsidRPr="00A91CAF" w:rsidRDefault="006D31AE" w:rsidP="00DB5803">
      <w:pPr>
        <w:pStyle w:val="BoxCopy"/>
      </w:pPr>
      <w:r w:rsidRPr="00A91CAF">
        <w:t>The optimisation processes of using Guidelines and Templates and provision of PSDs will assist with transparency and accountability. Inefficiencies and issues with conflicts of interest within PLAC would be eliminated through dissolving the committee and its subcommittees. Expert input is incorporated into the process, without the need for meetings, reading of excessively long documents or irrelevant discussions. Existing mechanisms (MSAC executive) would provide oversight, providing some efficiencies including more frequent meetings. Experts would be used in an efficient and targeted manner, reducing resourcing and workload. Experts would only need to be called upon when a relevant application is received. If evaluations are done externally then the independence of the process would be improved. If the proposed assessment pathways are implemented then the full process would be flexible and fit-for-purpose. If the Guidelines are developed properly then it is likely that more robust and relevant evidence will be presented and evaluated.</w:t>
      </w:r>
    </w:p>
    <w:p w14:paraId="4804AD19" w14:textId="11FA5D2E" w:rsidR="002D62A0" w:rsidRPr="00FF5644" w:rsidRDefault="00C04F2E" w:rsidP="00FF5644">
      <w:pPr>
        <w:pStyle w:val="Heading2"/>
      </w:pPr>
      <w:bookmarkStart w:id="61" w:name="_Toc125470890"/>
      <w:bookmarkStart w:id="62" w:name="_Toc125984793"/>
      <w:r>
        <w:t>Option</w:t>
      </w:r>
      <w:r w:rsidRPr="00FF5644">
        <w:t xml:space="preserve"> </w:t>
      </w:r>
      <w:r w:rsidR="002D62A0" w:rsidRPr="00FF5644">
        <w:t xml:space="preserve">4: PLAC and its </w:t>
      </w:r>
      <w:r w:rsidR="007621F7">
        <w:t>sub</w:t>
      </w:r>
      <w:r w:rsidR="003711F5">
        <w:t>committee</w:t>
      </w:r>
      <w:r w:rsidR="002D62A0" w:rsidRPr="00FF5644">
        <w:t>s are dissolved and replaced by a smaller executive PL committee</w:t>
      </w:r>
      <w:bookmarkEnd w:id="61"/>
      <w:bookmarkEnd w:id="62"/>
      <w:r w:rsidR="002D62A0" w:rsidRPr="00FF5644">
        <w:t xml:space="preserve"> </w:t>
      </w:r>
    </w:p>
    <w:p w14:paraId="767178BD" w14:textId="6C8AED28" w:rsidR="002D62A0" w:rsidRDefault="002D62A0" w:rsidP="002D62A0">
      <w:r>
        <w:t xml:space="preserve">As with </w:t>
      </w:r>
      <w:r w:rsidR="00C04F2E">
        <w:t>Option</w:t>
      </w:r>
      <w:r>
        <w:t xml:space="preserve"> </w:t>
      </w:r>
      <w:r w:rsidR="0010066E">
        <w:t>3</w:t>
      </w:r>
      <w:r>
        <w:t xml:space="preserve">, the Department would be responsible for transitioning the applications through the process. </w:t>
      </w:r>
      <w:r w:rsidR="00A77ADC">
        <w:t>A</w:t>
      </w:r>
      <w:r>
        <w:t xml:space="preserve"> panel of PL experts would be called upon to provide advice to the Department and evaluators on demand. Applications would be considered by the PL Executive, comprised of three or</w:t>
      </w:r>
      <w:r w:rsidR="00665752">
        <w:t xml:space="preserve"> four key experts in prostheses, </w:t>
      </w:r>
      <w:r>
        <w:t>HTA</w:t>
      </w:r>
      <w:r w:rsidR="00665752">
        <w:t xml:space="preserve"> and economics</w:t>
      </w:r>
      <w:r>
        <w:t xml:space="preserve">, who would provide the final advice. </w:t>
      </w:r>
      <w:r w:rsidR="00E86D92">
        <w:t>C</w:t>
      </w:r>
      <w:r w:rsidR="00CC5359">
        <w:t xml:space="preserve">linical experts </w:t>
      </w:r>
      <w:r w:rsidR="009C063B">
        <w:t>(</w:t>
      </w:r>
      <w:r w:rsidR="00CC5359">
        <w:t xml:space="preserve">or external evaluators </w:t>
      </w:r>
      <w:r w:rsidR="009C063B">
        <w:t xml:space="preserve">if required) </w:t>
      </w:r>
      <w:r w:rsidR="00CC5359">
        <w:t xml:space="preserve">could attend their item at the PL executive to provide further information. </w:t>
      </w:r>
      <w:r w:rsidR="00CF19D2">
        <w:t xml:space="preserve">The committee could also include a consumer representative, or consumer feedback could be incorporated via </w:t>
      </w:r>
      <w:r w:rsidR="007F5678">
        <w:t xml:space="preserve">formal feedback mechanisms during the process. </w:t>
      </w:r>
      <w:r w:rsidR="009C063B">
        <w:t xml:space="preserve">This would mean the </w:t>
      </w:r>
      <w:r w:rsidR="00D066F6">
        <w:t>clinical experts</w:t>
      </w:r>
      <w:r w:rsidR="009C063B">
        <w:t xml:space="preserve"> are only used as required, and </w:t>
      </w:r>
      <w:r w:rsidR="001F24D9">
        <w:t xml:space="preserve">the </w:t>
      </w:r>
      <w:r w:rsidR="009C063B">
        <w:t>PL</w:t>
      </w:r>
      <w:r w:rsidR="001F24D9">
        <w:t xml:space="preserve"> Executive</w:t>
      </w:r>
      <w:r w:rsidR="009C063B">
        <w:t xml:space="preserve"> benefits from the expert input whilst gaining efficiencies from a smaller committee and more targeted discussion around key uncertainties.</w:t>
      </w:r>
    </w:p>
    <w:p w14:paraId="195759D3" w14:textId="65EDEEA6" w:rsidR="00FF5644" w:rsidRDefault="00FF5644" w:rsidP="00360C66">
      <w:pPr>
        <w:pStyle w:val="Caption"/>
      </w:pPr>
      <w:r>
        <w:lastRenderedPageBreak/>
        <w:t xml:space="preserve">Figure </w:t>
      </w:r>
      <w:r>
        <w:fldChar w:fldCharType="begin"/>
      </w:r>
      <w:r>
        <w:instrText>SEQ Figure \* ARABIC</w:instrText>
      </w:r>
      <w:r>
        <w:fldChar w:fldCharType="separate"/>
      </w:r>
      <w:r w:rsidR="00200D1D">
        <w:rPr>
          <w:noProof/>
        </w:rPr>
        <w:t>5</w:t>
      </w:r>
      <w:r>
        <w:fldChar w:fldCharType="end"/>
      </w:r>
      <w:r w:rsidR="00C04F2E">
        <w:t>.</w:t>
      </w:r>
      <w:r>
        <w:t xml:space="preserve"> </w:t>
      </w:r>
      <w:r w:rsidR="00C04F2E">
        <w:t>Option</w:t>
      </w:r>
      <w:r>
        <w:t xml:space="preserve"> 4 </w:t>
      </w:r>
      <w:r w:rsidRPr="00053B55">
        <w:t>schematic of process and governance</w:t>
      </w:r>
    </w:p>
    <w:p w14:paraId="356459DD" w14:textId="4D61EB3B" w:rsidR="00FF5644" w:rsidRDefault="000D7021" w:rsidP="002D62A0">
      <w:r>
        <w:rPr>
          <w:noProof/>
          <w:lang w:eastAsia="en-AU"/>
        </w:rPr>
        <w:drawing>
          <wp:inline distT="0" distB="0" distL="0" distR="0" wp14:anchorId="408A064F" wp14:editId="79C9ED8F">
            <wp:extent cx="5731510" cy="2279015"/>
            <wp:effectExtent l="0" t="0" r="0" b="0"/>
            <wp:docPr id="7" name="Picture 7" descr="Figure 5. is a flowchart showing option 4 of the schematic process and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5. is a flowchart showing option 4 of the schematic process and governance"/>
                    <pic:cNvPicPr/>
                  </pic:nvPicPr>
                  <pic:blipFill>
                    <a:blip r:embed="rId27">
                      <a:extLst>
                        <a:ext uri="{28A0092B-C50C-407E-A947-70E740481C1C}">
                          <a14:useLocalDpi xmlns:a14="http://schemas.microsoft.com/office/drawing/2010/main" val="0"/>
                        </a:ext>
                      </a:extLst>
                    </a:blip>
                    <a:stretch>
                      <a:fillRect/>
                    </a:stretch>
                  </pic:blipFill>
                  <pic:spPr>
                    <a:xfrm>
                      <a:off x="0" y="0"/>
                      <a:ext cx="5731510" cy="2279015"/>
                    </a:xfrm>
                    <a:prstGeom prst="rect">
                      <a:avLst/>
                    </a:prstGeom>
                  </pic:spPr>
                </pic:pic>
              </a:graphicData>
            </a:graphic>
          </wp:inline>
        </w:drawing>
      </w:r>
    </w:p>
    <w:p w14:paraId="7A31D0A2" w14:textId="4E56D82D" w:rsidR="002D62A0" w:rsidRDefault="002D62A0" w:rsidP="002D62A0">
      <w:r w:rsidRPr="00DB5803">
        <w:t>PL</w:t>
      </w:r>
      <w:r w:rsidR="001F24D9" w:rsidRPr="00DB5803">
        <w:t xml:space="preserve"> Executive</w:t>
      </w:r>
      <w:r w:rsidRPr="00DB5803">
        <w:t xml:space="preserve"> membership</w:t>
      </w:r>
      <w:r>
        <w:t xml:space="preserve">: this scenario would entail only a small committee, who would need to be carefully chosen to represent the expertise required. Clinical experts </w:t>
      </w:r>
      <w:r w:rsidR="00D778FE">
        <w:t xml:space="preserve">(comprised of existing CAG members) </w:t>
      </w:r>
      <w:r>
        <w:t>or the external evaluators could also attend the PL executive where required, for their specific item.</w:t>
      </w:r>
      <w:r w:rsidR="00CC5359">
        <w:t xml:space="preserve"> A consumer representative could be included either as a member of the executive, or via formal feedback mechanisms. </w:t>
      </w:r>
    </w:p>
    <w:p w14:paraId="557F4FAB" w14:textId="77777777" w:rsidR="006D31AE" w:rsidRPr="00A91CAF" w:rsidRDefault="006D31AE" w:rsidP="00A91CAF">
      <w:pPr>
        <w:pStyle w:val="BoxCopy"/>
        <w:rPr>
          <w:rStyle w:val="Strong"/>
        </w:rPr>
      </w:pPr>
      <w:r w:rsidRPr="00A91CAF">
        <w:rPr>
          <w:rStyle w:val="Strong"/>
        </w:rPr>
        <w:t>Option 4: Risks</w:t>
      </w:r>
    </w:p>
    <w:p w14:paraId="318A7606" w14:textId="10204431" w:rsidR="00FF5644" w:rsidRPr="00A91CAF" w:rsidRDefault="006D31AE" w:rsidP="00A91CAF">
      <w:pPr>
        <w:pStyle w:val="BoxCopy"/>
      </w:pPr>
      <w:r w:rsidRPr="00A91CAF">
        <w:t>This scenario is also relatively low risk, as it still has expert input and oversight. The ability of a PL executive to make suitable recommendations will rely heavily on the quality of the applications and evaluations it received. A small committee making recommendations risks decisions being less consultative and reflective of community values.</w:t>
      </w:r>
    </w:p>
    <w:p w14:paraId="11F9968C" w14:textId="77777777" w:rsidR="006D31AE" w:rsidRPr="00A91CAF" w:rsidRDefault="006D31AE" w:rsidP="00A91CAF">
      <w:pPr>
        <w:pStyle w:val="BoxCopy"/>
        <w:rPr>
          <w:rStyle w:val="Strong"/>
        </w:rPr>
      </w:pPr>
      <w:r w:rsidRPr="00A91CAF">
        <w:rPr>
          <w:rStyle w:val="Strong"/>
        </w:rPr>
        <w:t>Option 4: Benefits</w:t>
      </w:r>
    </w:p>
    <w:p w14:paraId="131A680A" w14:textId="2F1128AA" w:rsidR="00E12691" w:rsidRDefault="006D31AE" w:rsidP="00A91CAF">
      <w:pPr>
        <w:pStyle w:val="BoxCopy"/>
      </w:pPr>
      <w:r w:rsidRPr="00A91CAF">
        <w:t>The inefficiencies and issues with the existing PLAC are eliminated. Expert advice is still available via a Panel of PL experts (comprised of all CAG members) and a smaller committee, coupled with the revised pathways, should enable more efficient decision making. Using Guidelines and Templates and provision of PSDs will assist with transparency and accountability. Inefficiencies and issues with conflicts of interest within PLAC would be eliminated with stakeholders removed from the committee. Consumer input could be incorporated through membership on the PL executive, or via the same formal feedback mechanisms available to the other stakeholders.</w:t>
      </w:r>
      <w:r w:rsidR="00E12691">
        <w:br w:type="page"/>
      </w:r>
    </w:p>
    <w:p w14:paraId="7295F550" w14:textId="638454C8" w:rsidR="005974D7" w:rsidRPr="00BD77B1" w:rsidRDefault="00B54E7E" w:rsidP="00E9695A">
      <w:pPr>
        <w:pStyle w:val="Heading1"/>
      </w:pPr>
      <w:bookmarkStart w:id="63" w:name="_Toc125470891"/>
      <w:bookmarkStart w:id="64" w:name="_Toc125984794"/>
      <w:r>
        <w:lastRenderedPageBreak/>
        <w:t>Conclusion</w:t>
      </w:r>
      <w:r w:rsidR="00FC686D">
        <w:t>s</w:t>
      </w:r>
      <w:bookmarkEnd w:id="63"/>
      <w:bookmarkEnd w:id="64"/>
    </w:p>
    <w:p w14:paraId="2AF1E8B8" w14:textId="0B87246C" w:rsidR="00D36EEA" w:rsidRDefault="00D36EEA" w:rsidP="00D36EEA">
      <w:r>
        <w:t>This report has highlighted the key aspects of a PL framework, and some governance options, that will align the PL process with other HTA processes and ensure that the principles of Australian Government HTA processes are upheld.</w:t>
      </w:r>
    </w:p>
    <w:p w14:paraId="5A8CE806" w14:textId="46144A77" w:rsidR="00D36EEA" w:rsidRDefault="00D36EEA" w:rsidP="00D36EEA">
      <w:r>
        <w:t xml:space="preserve">Key to the framework is better committee representation, including removing stakeholders </w:t>
      </w:r>
      <w:r w:rsidR="0003125E">
        <w:t xml:space="preserve">from decision-making committees </w:t>
      </w:r>
      <w:r>
        <w:t xml:space="preserve">and adding HTA expertise. This applies regardless of the governance structure adopted. The importance of </w:t>
      </w:r>
      <w:r w:rsidR="00831BFB">
        <w:t xml:space="preserve">improved </w:t>
      </w:r>
      <w:r w:rsidR="00E9695A">
        <w:t>guidelines and templates cannot</w:t>
      </w:r>
      <w:r>
        <w:t xml:space="preserve"> be underestimated, as these enable consistency, the provision of relevant evidence and aid in the passage of applications through the appropriate pathway.</w:t>
      </w:r>
    </w:p>
    <w:p w14:paraId="6936C748" w14:textId="51B0D8F9" w:rsidR="00D36EEA" w:rsidRDefault="00D36EEA" w:rsidP="00D36EEA">
      <w:r>
        <w:t xml:space="preserve">The governance options </w:t>
      </w:r>
      <w:r w:rsidR="00E9695A">
        <w:t xml:space="preserve">provided </w:t>
      </w:r>
      <w:r>
        <w:t>enable the PL process to reflect the underlying principles of HTA to a greater or lesser extent. Some options will require more resources for the Department, which may impact on sustainability, however cost-recovery will aid in this. The u</w:t>
      </w:r>
      <w:r w:rsidR="007E1758">
        <w:t>se of guidelines and templates</w:t>
      </w:r>
      <w:r w:rsidR="0010066E">
        <w:t>,</w:t>
      </w:r>
      <w:r w:rsidR="009441BD">
        <w:t xml:space="preserve"> provision of PSDs</w:t>
      </w:r>
      <w:r>
        <w:t xml:space="preserve"> and the use of e</w:t>
      </w:r>
      <w:r w:rsidR="007E1758">
        <w:t xml:space="preserve">xternal, independent evaluators, where required, </w:t>
      </w:r>
      <w:r>
        <w:t xml:space="preserve">will contribute to the process becoming more transparent, accountable and independent. Formal feedback mechanisms which enable all stakeholders to engage in a timely manner ensure that the process is consultative and reflects Australian community values. Aligning the PL process with the other HTA </w:t>
      </w:r>
      <w:r w:rsidR="00DB5803">
        <w:t>processes and</w:t>
      </w:r>
      <w:r>
        <w:t xml:space="preserve"> being clear about the evidentiary requirements for each type of listing, will ensure t</w:t>
      </w:r>
      <w:r w:rsidR="007E1758">
        <w:t>hat each decision is informed</w:t>
      </w:r>
      <w:r>
        <w:t xml:space="preserve"> by robust and relevant evidence.</w:t>
      </w:r>
    </w:p>
    <w:p w14:paraId="1605EB66" w14:textId="1098BCD0" w:rsidR="00FC686D" w:rsidRPr="006D31AE" w:rsidRDefault="00FC686D" w:rsidP="006D31AE"/>
    <w:p w14:paraId="4E901F59" w14:textId="77777777" w:rsidR="00E9695A" w:rsidRDefault="00E9695A" w:rsidP="001269D5">
      <w:pPr>
        <w:rPr>
          <w:i/>
          <w:iCs/>
        </w:rPr>
        <w:sectPr w:rsidR="00E9695A" w:rsidSect="00B32C95">
          <w:pgSz w:w="11906" w:h="16838"/>
          <w:pgMar w:top="1440" w:right="1440" w:bottom="1440" w:left="1440" w:header="708" w:footer="567" w:gutter="0"/>
          <w:cols w:space="708"/>
          <w:titlePg/>
          <w:docGrid w:linePitch="360"/>
        </w:sectPr>
      </w:pPr>
    </w:p>
    <w:p w14:paraId="0D48A575" w14:textId="77777777" w:rsidR="001A0440" w:rsidRPr="004A7EC9" w:rsidRDefault="001A0440" w:rsidP="003C4D7F">
      <w:pPr>
        <w:pStyle w:val="Heading1"/>
      </w:pPr>
      <w:bookmarkStart w:id="65" w:name="_Toc125470892"/>
      <w:bookmarkStart w:id="66" w:name="_Toc125984795"/>
      <w:r>
        <w:lastRenderedPageBreak/>
        <w:t>References</w:t>
      </w:r>
      <w:bookmarkEnd w:id="65"/>
      <w:bookmarkEnd w:id="66"/>
    </w:p>
    <w:p w14:paraId="4F7E9016" w14:textId="0E061EC3" w:rsidR="000F6AF0" w:rsidRPr="000F6AF0" w:rsidRDefault="004378F4" w:rsidP="00A91CAF">
      <w:pPr>
        <w:pStyle w:val="EndNoteBibliography"/>
      </w:pPr>
      <w:r>
        <w:fldChar w:fldCharType="begin"/>
      </w:r>
      <w:r>
        <w:instrText xml:space="preserve"> ADDIN EN.REFLIST </w:instrText>
      </w:r>
      <w:r>
        <w:fldChar w:fldCharType="separate"/>
      </w:r>
      <w:r w:rsidR="000F6AF0" w:rsidRPr="000F6AF0">
        <w:t>1.</w:t>
      </w:r>
      <w:r w:rsidR="000F6AF0" w:rsidRPr="000F6AF0">
        <w:tab/>
        <w:t xml:space="preserve">Australian Government Department of Health. The Prostheses List reforms 2021 [April 2022]. Available from: </w:t>
      </w:r>
      <w:hyperlink r:id="rId28" w:history="1">
        <w:r w:rsidR="000F6AF0" w:rsidRPr="000F6AF0">
          <w:t>https://www.health.gov.au/health-topics/private-health-insurance/the-prostheses-list/the-prostheses-list-reforms</w:t>
        </w:r>
      </w:hyperlink>
      <w:r w:rsidR="000F6AF0" w:rsidRPr="000F6AF0">
        <w:t>.</w:t>
      </w:r>
    </w:p>
    <w:p w14:paraId="3B6DF9AD" w14:textId="1BD6E7BF" w:rsidR="000F6AF0" w:rsidRPr="000F6AF0" w:rsidRDefault="000F6AF0" w:rsidP="00A91CAF">
      <w:pPr>
        <w:pStyle w:val="EndNoteBibliography"/>
      </w:pPr>
      <w:r w:rsidRPr="000F6AF0">
        <w:t>2.</w:t>
      </w:r>
      <w:r w:rsidRPr="000F6AF0">
        <w:tab/>
        <w:t>Australian Government Department of Health. Clinical evidence guidelines for medical devices 2021</w:t>
      </w:r>
      <w:r>
        <w:t>.</w:t>
      </w:r>
      <w:r w:rsidRPr="000F6AF0">
        <w:t xml:space="preserve"> Available from: </w:t>
      </w:r>
      <w:hyperlink r:id="rId29" w:history="1">
        <w:r w:rsidRPr="000F6AF0">
          <w:t>https://www.tga.gov.au/resource/clinical-evidence-guidelines-medical-devices</w:t>
        </w:r>
      </w:hyperlink>
      <w:r w:rsidRPr="000F6AF0">
        <w:t>.</w:t>
      </w:r>
    </w:p>
    <w:p w14:paraId="1CD282D3" w14:textId="1E855A1D" w:rsidR="000F6AF0" w:rsidRPr="000F6AF0" w:rsidRDefault="000F6AF0" w:rsidP="00A91CAF">
      <w:pPr>
        <w:pStyle w:val="EndNoteBibliography"/>
      </w:pPr>
      <w:r w:rsidRPr="000F6AF0">
        <w:t>3.</w:t>
      </w:r>
      <w:r w:rsidRPr="000F6AF0">
        <w:tab/>
        <w:t>Commonwealth of Australia Department of Health. Guidelines for preparing a submission to the Pharmaceutical Benefits Advisory Committee (Version 5.0) 2016</w:t>
      </w:r>
      <w:r>
        <w:t xml:space="preserve">. </w:t>
      </w:r>
      <w:r w:rsidRPr="000F6AF0">
        <w:t xml:space="preserve">Available from: </w:t>
      </w:r>
      <w:hyperlink r:id="rId30" w:history="1">
        <w:r w:rsidRPr="000F6AF0">
          <w:t>https://pbac.pbs.gov.au/content/information/files/pbac-guidelines-version-5.pdf</w:t>
        </w:r>
      </w:hyperlink>
      <w:r w:rsidRPr="000F6AF0">
        <w:t>.</w:t>
      </w:r>
    </w:p>
    <w:p w14:paraId="0CEB2E93" w14:textId="7CDEC833" w:rsidR="000F6AF0" w:rsidRPr="000F6AF0" w:rsidRDefault="000F6AF0" w:rsidP="00A91CAF">
      <w:pPr>
        <w:pStyle w:val="EndNoteBibliography"/>
      </w:pPr>
      <w:r w:rsidRPr="000F6AF0">
        <w:t>4.</w:t>
      </w:r>
      <w:r w:rsidRPr="000F6AF0">
        <w:tab/>
        <w:t>Australian Government Department of Health. Guidelines for preparing assessments for the Medical Services Advisory Committee 2021</w:t>
      </w:r>
      <w:r>
        <w:t>.</w:t>
      </w:r>
      <w:r w:rsidRPr="000F6AF0">
        <w:t xml:space="preserve"> Available from: </w:t>
      </w:r>
      <w:hyperlink r:id="rId31" w:history="1">
        <w:r w:rsidRPr="000F6AF0">
          <w:t>http://www.msac.gov.au/internet/msac/publishing.nsf/Content/E0D4E4EDDE91EAC8CA2586E0007AFC75/$File/MSAC%20Guidelines-complete-16-FINAL(18May21).pdf</w:t>
        </w:r>
      </w:hyperlink>
      <w:r w:rsidRPr="000F6AF0">
        <w:t>.</w:t>
      </w:r>
    </w:p>
    <w:p w14:paraId="06CF9F69" w14:textId="1159B917" w:rsidR="000F6AF0" w:rsidRPr="000F6AF0" w:rsidRDefault="000F6AF0" w:rsidP="00A91CAF">
      <w:pPr>
        <w:pStyle w:val="EndNoteBibliography"/>
      </w:pPr>
      <w:r w:rsidRPr="000F6AF0">
        <w:t>5.</w:t>
      </w:r>
      <w:r w:rsidRPr="000F6AF0">
        <w:tab/>
        <w:t>Australian Government Department of Health. Prostheses List Guide (Draft). Canberra, Australia: Department of Health; 2020.</w:t>
      </w:r>
      <w:r w:rsidR="007033A3">
        <w:t xml:space="preserve"> (supplied)</w:t>
      </w:r>
    </w:p>
    <w:p w14:paraId="130EE1F6" w14:textId="09B3392D" w:rsidR="000F6AF0" w:rsidRPr="000F6AF0" w:rsidRDefault="000F6AF0" w:rsidP="00A91CAF">
      <w:pPr>
        <w:pStyle w:val="EndNoteBibliography"/>
      </w:pPr>
      <w:r w:rsidRPr="000F6AF0">
        <w:t>6.</w:t>
      </w:r>
      <w:r w:rsidRPr="000F6AF0">
        <w:tab/>
        <w:t>Australian Government Department of Health. Health Technology Assesment Policy Framework 2022</w:t>
      </w:r>
      <w:r>
        <w:t>.</w:t>
      </w:r>
      <w:r w:rsidRPr="000F6AF0">
        <w:t xml:space="preserve"> Available from: </w:t>
      </w:r>
      <w:hyperlink r:id="rId32" w:history="1">
        <w:r w:rsidRPr="000F6AF0">
          <w:t>https://www1.health.gov.au/internet/hta/publishing.nsf/Content/policy-1</w:t>
        </w:r>
      </w:hyperlink>
      <w:r w:rsidRPr="000F6AF0">
        <w:t>.</w:t>
      </w:r>
    </w:p>
    <w:p w14:paraId="6D094280" w14:textId="1A49BCAC" w:rsidR="00007B5D" w:rsidRDefault="004378F4" w:rsidP="00A91CAF">
      <w:pPr>
        <w:pStyle w:val="EndNoteBibliography"/>
      </w:pPr>
      <w:r>
        <w:fldChar w:fldCharType="end"/>
      </w:r>
    </w:p>
    <w:sectPr w:rsidR="00007B5D" w:rsidSect="00F5782F">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F1BF" w14:textId="77777777" w:rsidR="00DA6E20" w:rsidRDefault="00DA6E20" w:rsidP="00281EDA">
      <w:pPr>
        <w:spacing w:after="0" w:line="240" w:lineRule="auto"/>
      </w:pPr>
      <w:r>
        <w:separator/>
      </w:r>
    </w:p>
  </w:endnote>
  <w:endnote w:type="continuationSeparator" w:id="0">
    <w:p w14:paraId="597607D1" w14:textId="77777777" w:rsidR="00DA6E20" w:rsidRDefault="00DA6E20" w:rsidP="00281EDA">
      <w:pPr>
        <w:spacing w:after="0" w:line="240" w:lineRule="auto"/>
      </w:pPr>
      <w:r>
        <w:continuationSeparator/>
      </w:r>
    </w:p>
  </w:endnote>
  <w:endnote w:type="continuationNotice" w:id="1">
    <w:p w14:paraId="25C12899" w14:textId="77777777" w:rsidR="00DA6E20" w:rsidRDefault="00DA6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LTStd-Medium">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123466"/>
      <w:docPartObj>
        <w:docPartGallery w:val="Page Numbers (Bottom of Page)"/>
        <w:docPartUnique/>
      </w:docPartObj>
    </w:sdtPr>
    <w:sdtEndPr>
      <w:rPr>
        <w:noProof/>
      </w:rPr>
    </w:sdtEndPr>
    <w:sdtContent>
      <w:p w14:paraId="09528B2C" w14:textId="08E0293E" w:rsidR="00012377" w:rsidRDefault="00012377" w:rsidP="00E51610">
        <w:pPr>
          <w:jc w:val="center"/>
        </w:pPr>
        <w:r>
          <w:fldChar w:fldCharType="begin"/>
        </w:r>
        <w:r>
          <w:instrText xml:space="preserve"> PAGE   \* MERGEFORMAT </w:instrText>
        </w:r>
        <w:r>
          <w:fldChar w:fldCharType="separate"/>
        </w:r>
        <w:r w:rsidR="005E7522">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B881" w14:textId="476CDFED" w:rsidR="00012377" w:rsidRDefault="00012377" w:rsidP="008873BE">
    <w:pPr>
      <w:jc w:val="center"/>
    </w:pPr>
    <w:r>
      <w:fldChar w:fldCharType="begin"/>
    </w:r>
    <w:r>
      <w:instrText xml:space="preserve"> PAGE   \* MERGEFORMAT </w:instrText>
    </w:r>
    <w:r>
      <w:fldChar w:fldCharType="separate"/>
    </w:r>
    <w:r w:rsidR="005E7522">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295330"/>
      <w:docPartObj>
        <w:docPartGallery w:val="Page Numbers (Bottom of Page)"/>
        <w:docPartUnique/>
      </w:docPartObj>
    </w:sdtPr>
    <w:sdtEndPr>
      <w:rPr>
        <w:noProof/>
      </w:rPr>
    </w:sdtEndPr>
    <w:sdtContent>
      <w:p w14:paraId="277BAFAF" w14:textId="0509E87F" w:rsidR="00012377" w:rsidRDefault="00012377" w:rsidP="008873BE">
        <w:pPr>
          <w:jc w:val="center"/>
        </w:pPr>
        <w:r>
          <w:fldChar w:fldCharType="begin"/>
        </w:r>
        <w:r>
          <w:instrText xml:space="preserve"> PAGE   \* MERGEFORMAT </w:instrText>
        </w:r>
        <w:r>
          <w:fldChar w:fldCharType="separate"/>
        </w:r>
        <w:r>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C2F1" w14:textId="77777777" w:rsidR="00DA6E20" w:rsidRDefault="00DA6E20" w:rsidP="00281EDA">
      <w:pPr>
        <w:spacing w:after="0" w:line="240" w:lineRule="auto"/>
      </w:pPr>
      <w:r>
        <w:separator/>
      </w:r>
    </w:p>
  </w:footnote>
  <w:footnote w:type="continuationSeparator" w:id="0">
    <w:p w14:paraId="776DB5A3" w14:textId="77777777" w:rsidR="00DA6E20" w:rsidRDefault="00DA6E20" w:rsidP="00281EDA">
      <w:pPr>
        <w:spacing w:after="0" w:line="240" w:lineRule="auto"/>
      </w:pPr>
      <w:r>
        <w:continuationSeparator/>
      </w:r>
    </w:p>
  </w:footnote>
  <w:footnote w:type="continuationNotice" w:id="1">
    <w:p w14:paraId="555408DB" w14:textId="77777777" w:rsidR="00DA6E20" w:rsidRDefault="00DA6E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A0B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5A50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FAB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9CC406"/>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44585F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042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6ACD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428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E0B9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F637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93BE2"/>
    <w:multiLevelType w:val="hybridMultilevel"/>
    <w:tmpl w:val="172A2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981AE3"/>
    <w:multiLevelType w:val="hybridMultilevel"/>
    <w:tmpl w:val="6C520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0722BC"/>
    <w:multiLevelType w:val="hybridMultilevel"/>
    <w:tmpl w:val="67EEA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9952CE"/>
    <w:multiLevelType w:val="hybridMultilevel"/>
    <w:tmpl w:val="840EAF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357EC1"/>
    <w:multiLevelType w:val="hybridMultilevel"/>
    <w:tmpl w:val="BEAEC7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862041"/>
    <w:multiLevelType w:val="hybridMultilevel"/>
    <w:tmpl w:val="16A2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6F71E2"/>
    <w:multiLevelType w:val="hybridMultilevel"/>
    <w:tmpl w:val="712C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C1D53"/>
    <w:multiLevelType w:val="hybridMultilevel"/>
    <w:tmpl w:val="81E49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BA64A4"/>
    <w:multiLevelType w:val="hybridMultilevel"/>
    <w:tmpl w:val="9C668A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80181C"/>
    <w:multiLevelType w:val="hybridMultilevel"/>
    <w:tmpl w:val="18A6FB88"/>
    <w:lvl w:ilvl="0" w:tplc="0C090001">
      <w:start w:val="1"/>
      <w:numFmt w:val="bullet"/>
      <w:lvlText w:val=""/>
      <w:lvlJc w:val="left"/>
      <w:pPr>
        <w:ind w:left="720" w:hanging="360"/>
      </w:pPr>
      <w:rPr>
        <w:rFonts w:ascii="Symbol" w:hAnsi="Symbol" w:hint="default"/>
      </w:rPr>
    </w:lvl>
    <w:lvl w:ilvl="1" w:tplc="1D6AC2E4">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371C93"/>
    <w:multiLevelType w:val="hybridMultilevel"/>
    <w:tmpl w:val="C5804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76A69"/>
    <w:multiLevelType w:val="hybridMultilevel"/>
    <w:tmpl w:val="132A7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0F334B"/>
    <w:multiLevelType w:val="hybridMultilevel"/>
    <w:tmpl w:val="F598896C"/>
    <w:lvl w:ilvl="0" w:tplc="D7E4CF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D50C84"/>
    <w:multiLevelType w:val="hybridMultilevel"/>
    <w:tmpl w:val="B96E2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C52DD4"/>
    <w:multiLevelType w:val="hybridMultilevel"/>
    <w:tmpl w:val="43987A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F05D4C"/>
    <w:multiLevelType w:val="hybridMultilevel"/>
    <w:tmpl w:val="F17CC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EB3A97"/>
    <w:multiLevelType w:val="hybridMultilevel"/>
    <w:tmpl w:val="FA7AC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8594B7B"/>
    <w:multiLevelType w:val="hybridMultilevel"/>
    <w:tmpl w:val="BEAEC7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A10BFC"/>
    <w:multiLevelType w:val="hybridMultilevel"/>
    <w:tmpl w:val="E008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C1444E"/>
    <w:multiLevelType w:val="hybridMultilevel"/>
    <w:tmpl w:val="3D30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359E0"/>
    <w:multiLevelType w:val="hybridMultilevel"/>
    <w:tmpl w:val="6D444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4954F8"/>
    <w:multiLevelType w:val="hybridMultilevel"/>
    <w:tmpl w:val="2E2EED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B4199F"/>
    <w:multiLevelType w:val="hybridMultilevel"/>
    <w:tmpl w:val="47FAD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A53F4B"/>
    <w:multiLevelType w:val="hybridMultilevel"/>
    <w:tmpl w:val="AB88F7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EEE254C"/>
    <w:multiLevelType w:val="hybridMultilevel"/>
    <w:tmpl w:val="3D28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EF3EEF"/>
    <w:multiLevelType w:val="hybridMultilevel"/>
    <w:tmpl w:val="72AEF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EE7614"/>
    <w:multiLevelType w:val="hybridMultilevel"/>
    <w:tmpl w:val="3056DA0E"/>
    <w:lvl w:ilvl="0" w:tplc="1BFE2B18">
      <w:start w:val="1"/>
      <w:numFmt w:val="bullet"/>
      <w:lvlText w:val="o"/>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FA5517"/>
    <w:multiLevelType w:val="singleLevel"/>
    <w:tmpl w:val="BCC203B0"/>
    <w:lvl w:ilvl="0">
      <w:numFmt w:val="bullet"/>
      <w:pStyle w:val="QuoteBullet"/>
      <w:lvlText w:val=""/>
      <w:lvlJc w:val="left"/>
      <w:pPr>
        <w:tabs>
          <w:tab w:val="num" w:pos="2160"/>
        </w:tabs>
        <w:ind w:left="2160" w:hanging="720"/>
      </w:pPr>
      <w:rPr>
        <w:rFonts w:ascii="Symbol" w:hAnsi="Symbol" w:hint="default"/>
      </w:rPr>
    </w:lvl>
  </w:abstractNum>
  <w:abstractNum w:abstractNumId="38" w15:restartNumberingAfterBreak="0">
    <w:nsid w:val="69A3699F"/>
    <w:multiLevelType w:val="hybridMultilevel"/>
    <w:tmpl w:val="D38C3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2A3974"/>
    <w:multiLevelType w:val="hybridMultilevel"/>
    <w:tmpl w:val="AA1E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5B1E8E"/>
    <w:multiLevelType w:val="hybridMultilevel"/>
    <w:tmpl w:val="BEAEC7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6E2EF3"/>
    <w:multiLevelType w:val="hybridMultilevel"/>
    <w:tmpl w:val="D0EC7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2D2C2F"/>
    <w:multiLevelType w:val="hybridMultilevel"/>
    <w:tmpl w:val="5F9AFE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17"/>
  </w:num>
  <w:num w:numId="3">
    <w:abstractNumId w:val="30"/>
  </w:num>
  <w:num w:numId="4">
    <w:abstractNumId w:val="22"/>
  </w:num>
  <w:num w:numId="5">
    <w:abstractNumId w:val="10"/>
  </w:num>
  <w:num w:numId="6">
    <w:abstractNumId w:val="20"/>
  </w:num>
  <w:num w:numId="7">
    <w:abstractNumId w:val="32"/>
  </w:num>
  <w:num w:numId="8">
    <w:abstractNumId w:val="36"/>
  </w:num>
  <w:num w:numId="9">
    <w:abstractNumId w:val="12"/>
  </w:num>
  <w:num w:numId="10">
    <w:abstractNumId w:val="34"/>
  </w:num>
  <w:num w:numId="11">
    <w:abstractNumId w:val="39"/>
  </w:num>
  <w:num w:numId="12">
    <w:abstractNumId w:val="15"/>
  </w:num>
  <w:num w:numId="13">
    <w:abstractNumId w:val="19"/>
  </w:num>
  <w:num w:numId="14">
    <w:abstractNumId w:val="29"/>
  </w:num>
  <w:num w:numId="15">
    <w:abstractNumId w:val="11"/>
  </w:num>
  <w:num w:numId="16">
    <w:abstractNumId w:val="38"/>
  </w:num>
  <w:num w:numId="17">
    <w:abstractNumId w:val="35"/>
  </w:num>
  <w:num w:numId="18">
    <w:abstractNumId w:val="31"/>
  </w:num>
  <w:num w:numId="19">
    <w:abstractNumId w:val="25"/>
  </w:num>
  <w:num w:numId="20">
    <w:abstractNumId w:val="23"/>
  </w:num>
  <w:num w:numId="21">
    <w:abstractNumId w:val="28"/>
  </w:num>
  <w:num w:numId="22">
    <w:abstractNumId w:val="40"/>
  </w:num>
  <w:num w:numId="23">
    <w:abstractNumId w:val="21"/>
  </w:num>
  <w:num w:numId="24">
    <w:abstractNumId w:val="33"/>
  </w:num>
  <w:num w:numId="25">
    <w:abstractNumId w:val="27"/>
  </w:num>
  <w:num w:numId="26">
    <w:abstractNumId w:val="14"/>
  </w:num>
  <w:num w:numId="27">
    <w:abstractNumId w:val="16"/>
  </w:num>
  <w:num w:numId="28">
    <w:abstractNumId w:val="18"/>
  </w:num>
  <w:num w:numId="29">
    <w:abstractNumId w:val="41"/>
  </w:num>
  <w:num w:numId="30">
    <w:abstractNumId w:val="42"/>
  </w:num>
  <w:num w:numId="31">
    <w:abstractNumId w:val="24"/>
  </w:num>
  <w:num w:numId="32">
    <w:abstractNumId w:val="1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8"/>
    <w:lvlOverride w:ilvl="0">
      <w:startOverride w:val="1"/>
    </w:lvlOverride>
  </w:num>
  <w:num w:numId="44">
    <w:abstractNumId w:val="26"/>
  </w:num>
  <w:num w:numId="45">
    <w:abstractNumId w:val="8"/>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rp00rfl2f0woefarq55vsgttze955atapd&quot;&gt;PLAC report&lt;record-ids&gt;&lt;item&gt;1&lt;/item&gt;&lt;item&gt;2&lt;/item&gt;&lt;item&gt;5&lt;/item&gt;&lt;item&gt;7&lt;/item&gt;&lt;item&gt;8&lt;/item&gt;&lt;item&gt;9&lt;/item&gt;&lt;/record-ids&gt;&lt;/item&gt;&lt;/Libraries&gt;"/>
  </w:docVars>
  <w:rsids>
    <w:rsidRoot w:val="00056140"/>
    <w:rsid w:val="00003E5B"/>
    <w:rsid w:val="0000411D"/>
    <w:rsid w:val="00006A40"/>
    <w:rsid w:val="00007B5D"/>
    <w:rsid w:val="00007CA3"/>
    <w:rsid w:val="0001155D"/>
    <w:rsid w:val="00012377"/>
    <w:rsid w:val="00012667"/>
    <w:rsid w:val="00013055"/>
    <w:rsid w:val="000226F8"/>
    <w:rsid w:val="00024D22"/>
    <w:rsid w:val="00025D8E"/>
    <w:rsid w:val="0003125E"/>
    <w:rsid w:val="00033D70"/>
    <w:rsid w:val="0003431E"/>
    <w:rsid w:val="00034597"/>
    <w:rsid w:val="00034EA1"/>
    <w:rsid w:val="0003518E"/>
    <w:rsid w:val="000351DA"/>
    <w:rsid w:val="000357B2"/>
    <w:rsid w:val="00036032"/>
    <w:rsid w:val="0003647F"/>
    <w:rsid w:val="00037308"/>
    <w:rsid w:val="000373B2"/>
    <w:rsid w:val="000400E5"/>
    <w:rsid w:val="00040F6B"/>
    <w:rsid w:val="0004184A"/>
    <w:rsid w:val="000420D2"/>
    <w:rsid w:val="00044219"/>
    <w:rsid w:val="00044463"/>
    <w:rsid w:val="00044DFB"/>
    <w:rsid w:val="00045AC4"/>
    <w:rsid w:val="00047BC4"/>
    <w:rsid w:val="00047FDF"/>
    <w:rsid w:val="00052201"/>
    <w:rsid w:val="00052396"/>
    <w:rsid w:val="00053182"/>
    <w:rsid w:val="000534C4"/>
    <w:rsid w:val="00053B55"/>
    <w:rsid w:val="00054032"/>
    <w:rsid w:val="00055BD4"/>
    <w:rsid w:val="00056140"/>
    <w:rsid w:val="00056B4D"/>
    <w:rsid w:val="0005740F"/>
    <w:rsid w:val="000575E5"/>
    <w:rsid w:val="0006062B"/>
    <w:rsid w:val="0006063A"/>
    <w:rsid w:val="00060EB9"/>
    <w:rsid w:val="0006100D"/>
    <w:rsid w:val="000613C3"/>
    <w:rsid w:val="00062C80"/>
    <w:rsid w:val="00064394"/>
    <w:rsid w:val="00064E51"/>
    <w:rsid w:val="00066CDE"/>
    <w:rsid w:val="00067AFD"/>
    <w:rsid w:val="00072028"/>
    <w:rsid w:val="00072085"/>
    <w:rsid w:val="000737FB"/>
    <w:rsid w:val="00074B0E"/>
    <w:rsid w:val="00074E5D"/>
    <w:rsid w:val="000752A8"/>
    <w:rsid w:val="00076C6E"/>
    <w:rsid w:val="00080386"/>
    <w:rsid w:val="00080D41"/>
    <w:rsid w:val="0008330C"/>
    <w:rsid w:val="000849A1"/>
    <w:rsid w:val="000860D5"/>
    <w:rsid w:val="00086506"/>
    <w:rsid w:val="00087137"/>
    <w:rsid w:val="00090773"/>
    <w:rsid w:val="00090BC4"/>
    <w:rsid w:val="000936A5"/>
    <w:rsid w:val="00093862"/>
    <w:rsid w:val="00096B7A"/>
    <w:rsid w:val="0009705D"/>
    <w:rsid w:val="00097B13"/>
    <w:rsid w:val="000A10BA"/>
    <w:rsid w:val="000A4D1B"/>
    <w:rsid w:val="000A6AD3"/>
    <w:rsid w:val="000A762B"/>
    <w:rsid w:val="000A780D"/>
    <w:rsid w:val="000B00BA"/>
    <w:rsid w:val="000B2DEE"/>
    <w:rsid w:val="000B71B7"/>
    <w:rsid w:val="000B7F48"/>
    <w:rsid w:val="000B7FFE"/>
    <w:rsid w:val="000C1026"/>
    <w:rsid w:val="000C2046"/>
    <w:rsid w:val="000C3424"/>
    <w:rsid w:val="000C6577"/>
    <w:rsid w:val="000D1969"/>
    <w:rsid w:val="000D1A79"/>
    <w:rsid w:val="000D20A2"/>
    <w:rsid w:val="000D2C60"/>
    <w:rsid w:val="000D325F"/>
    <w:rsid w:val="000D6AC1"/>
    <w:rsid w:val="000D7021"/>
    <w:rsid w:val="000D71BF"/>
    <w:rsid w:val="000E0C54"/>
    <w:rsid w:val="000E11AC"/>
    <w:rsid w:val="000E14C6"/>
    <w:rsid w:val="000E1C0F"/>
    <w:rsid w:val="000E20A0"/>
    <w:rsid w:val="000E5D2B"/>
    <w:rsid w:val="000E7B78"/>
    <w:rsid w:val="000F0A35"/>
    <w:rsid w:val="000F2345"/>
    <w:rsid w:val="000F29C9"/>
    <w:rsid w:val="000F4D33"/>
    <w:rsid w:val="000F5956"/>
    <w:rsid w:val="000F675C"/>
    <w:rsid w:val="000F6AF0"/>
    <w:rsid w:val="000F6BF1"/>
    <w:rsid w:val="000F7196"/>
    <w:rsid w:val="00100278"/>
    <w:rsid w:val="0010066E"/>
    <w:rsid w:val="00100C7B"/>
    <w:rsid w:val="001020F5"/>
    <w:rsid w:val="001023DB"/>
    <w:rsid w:val="001027B5"/>
    <w:rsid w:val="00102EEC"/>
    <w:rsid w:val="00103175"/>
    <w:rsid w:val="00103EE4"/>
    <w:rsid w:val="00106B33"/>
    <w:rsid w:val="001105AE"/>
    <w:rsid w:val="00112DA3"/>
    <w:rsid w:val="00115B97"/>
    <w:rsid w:val="00117C05"/>
    <w:rsid w:val="001200E4"/>
    <w:rsid w:val="001212D6"/>
    <w:rsid w:val="0012301D"/>
    <w:rsid w:val="0012339B"/>
    <w:rsid w:val="00124D43"/>
    <w:rsid w:val="00125B5E"/>
    <w:rsid w:val="00126896"/>
    <w:rsid w:val="001269D5"/>
    <w:rsid w:val="0013569B"/>
    <w:rsid w:val="00137540"/>
    <w:rsid w:val="00137C52"/>
    <w:rsid w:val="00137C65"/>
    <w:rsid w:val="0014021C"/>
    <w:rsid w:val="00140250"/>
    <w:rsid w:val="001402DF"/>
    <w:rsid w:val="00142B52"/>
    <w:rsid w:val="001432C5"/>
    <w:rsid w:val="00144FE1"/>
    <w:rsid w:val="001460B3"/>
    <w:rsid w:val="00150B57"/>
    <w:rsid w:val="0015310B"/>
    <w:rsid w:val="00153B13"/>
    <w:rsid w:val="00155F57"/>
    <w:rsid w:val="001566DF"/>
    <w:rsid w:val="00157C91"/>
    <w:rsid w:val="00157FBD"/>
    <w:rsid w:val="001615FC"/>
    <w:rsid w:val="00163109"/>
    <w:rsid w:val="00163467"/>
    <w:rsid w:val="00163EF1"/>
    <w:rsid w:val="001643FE"/>
    <w:rsid w:val="0016561C"/>
    <w:rsid w:val="0016648A"/>
    <w:rsid w:val="00170122"/>
    <w:rsid w:val="001704A0"/>
    <w:rsid w:val="00170E3E"/>
    <w:rsid w:val="0017203F"/>
    <w:rsid w:val="00177960"/>
    <w:rsid w:val="00180751"/>
    <w:rsid w:val="001814AA"/>
    <w:rsid w:val="0018155E"/>
    <w:rsid w:val="0018170F"/>
    <w:rsid w:val="00182AA4"/>
    <w:rsid w:val="001846FF"/>
    <w:rsid w:val="00186DD0"/>
    <w:rsid w:val="001879F4"/>
    <w:rsid w:val="00191772"/>
    <w:rsid w:val="00191FDC"/>
    <w:rsid w:val="001937FC"/>
    <w:rsid w:val="00196903"/>
    <w:rsid w:val="00197A1D"/>
    <w:rsid w:val="001A0440"/>
    <w:rsid w:val="001A44E8"/>
    <w:rsid w:val="001A6399"/>
    <w:rsid w:val="001A6B74"/>
    <w:rsid w:val="001A71DE"/>
    <w:rsid w:val="001B2858"/>
    <w:rsid w:val="001B3056"/>
    <w:rsid w:val="001B3DBB"/>
    <w:rsid w:val="001B44B4"/>
    <w:rsid w:val="001B4CF6"/>
    <w:rsid w:val="001B62BD"/>
    <w:rsid w:val="001C06D4"/>
    <w:rsid w:val="001C1032"/>
    <w:rsid w:val="001C6E84"/>
    <w:rsid w:val="001C7A93"/>
    <w:rsid w:val="001C7F28"/>
    <w:rsid w:val="001D0831"/>
    <w:rsid w:val="001D0957"/>
    <w:rsid w:val="001D244C"/>
    <w:rsid w:val="001D313B"/>
    <w:rsid w:val="001D3843"/>
    <w:rsid w:val="001D6D48"/>
    <w:rsid w:val="001D7D90"/>
    <w:rsid w:val="001E02C7"/>
    <w:rsid w:val="001E0732"/>
    <w:rsid w:val="001E1A7F"/>
    <w:rsid w:val="001E2BC9"/>
    <w:rsid w:val="001E7CF4"/>
    <w:rsid w:val="001F101A"/>
    <w:rsid w:val="001F24D9"/>
    <w:rsid w:val="001F2CF6"/>
    <w:rsid w:val="001F33FC"/>
    <w:rsid w:val="001F39BF"/>
    <w:rsid w:val="001F52FA"/>
    <w:rsid w:val="00200D1D"/>
    <w:rsid w:val="00200D76"/>
    <w:rsid w:val="0020315F"/>
    <w:rsid w:val="00203CA6"/>
    <w:rsid w:val="00204D48"/>
    <w:rsid w:val="00207D74"/>
    <w:rsid w:val="00210639"/>
    <w:rsid w:val="00211815"/>
    <w:rsid w:val="0021210F"/>
    <w:rsid w:val="0021225D"/>
    <w:rsid w:val="00212FF6"/>
    <w:rsid w:val="002154C0"/>
    <w:rsid w:val="00222FA1"/>
    <w:rsid w:val="002233B2"/>
    <w:rsid w:val="00224B50"/>
    <w:rsid w:val="002318C6"/>
    <w:rsid w:val="002322F7"/>
    <w:rsid w:val="0023301F"/>
    <w:rsid w:val="00234F63"/>
    <w:rsid w:val="00235401"/>
    <w:rsid w:val="002362E5"/>
    <w:rsid w:val="00236644"/>
    <w:rsid w:val="002370D1"/>
    <w:rsid w:val="0023732C"/>
    <w:rsid w:val="0023749E"/>
    <w:rsid w:val="00241374"/>
    <w:rsid w:val="002420E8"/>
    <w:rsid w:val="00243863"/>
    <w:rsid w:val="00245087"/>
    <w:rsid w:val="002453D6"/>
    <w:rsid w:val="00247E95"/>
    <w:rsid w:val="00252322"/>
    <w:rsid w:val="00252999"/>
    <w:rsid w:val="00252EF6"/>
    <w:rsid w:val="002536E9"/>
    <w:rsid w:val="002539AC"/>
    <w:rsid w:val="00255E3D"/>
    <w:rsid w:val="002617A0"/>
    <w:rsid w:val="00263DBC"/>
    <w:rsid w:val="002641F4"/>
    <w:rsid w:val="00264BB4"/>
    <w:rsid w:val="00270E7E"/>
    <w:rsid w:val="00271FDB"/>
    <w:rsid w:val="0027278F"/>
    <w:rsid w:val="00272EF1"/>
    <w:rsid w:val="00272EFE"/>
    <w:rsid w:val="00273E07"/>
    <w:rsid w:val="002746C9"/>
    <w:rsid w:val="0027527D"/>
    <w:rsid w:val="00276820"/>
    <w:rsid w:val="00276DC4"/>
    <w:rsid w:val="0027771C"/>
    <w:rsid w:val="00280A95"/>
    <w:rsid w:val="0028129C"/>
    <w:rsid w:val="00281EDA"/>
    <w:rsid w:val="00284072"/>
    <w:rsid w:val="00286815"/>
    <w:rsid w:val="00287C34"/>
    <w:rsid w:val="00287E28"/>
    <w:rsid w:val="0029009E"/>
    <w:rsid w:val="002931D9"/>
    <w:rsid w:val="00294E58"/>
    <w:rsid w:val="00295941"/>
    <w:rsid w:val="00295DF7"/>
    <w:rsid w:val="00295FF8"/>
    <w:rsid w:val="00296EF1"/>
    <w:rsid w:val="002972B6"/>
    <w:rsid w:val="00297456"/>
    <w:rsid w:val="00297E86"/>
    <w:rsid w:val="002A06EA"/>
    <w:rsid w:val="002A0910"/>
    <w:rsid w:val="002A0923"/>
    <w:rsid w:val="002A0B42"/>
    <w:rsid w:val="002A2F79"/>
    <w:rsid w:val="002A4F2E"/>
    <w:rsid w:val="002A6CBC"/>
    <w:rsid w:val="002A6CE3"/>
    <w:rsid w:val="002B008E"/>
    <w:rsid w:val="002B010A"/>
    <w:rsid w:val="002B017A"/>
    <w:rsid w:val="002B10E1"/>
    <w:rsid w:val="002B4005"/>
    <w:rsid w:val="002C12F2"/>
    <w:rsid w:val="002C15BC"/>
    <w:rsid w:val="002C1791"/>
    <w:rsid w:val="002C192A"/>
    <w:rsid w:val="002C23A2"/>
    <w:rsid w:val="002C37AF"/>
    <w:rsid w:val="002C4561"/>
    <w:rsid w:val="002D0EAD"/>
    <w:rsid w:val="002D118A"/>
    <w:rsid w:val="002D2DE6"/>
    <w:rsid w:val="002D5905"/>
    <w:rsid w:val="002D62A0"/>
    <w:rsid w:val="002E1521"/>
    <w:rsid w:val="002E1C77"/>
    <w:rsid w:val="002E2211"/>
    <w:rsid w:val="002E2E43"/>
    <w:rsid w:val="002E35FB"/>
    <w:rsid w:val="002E4EFE"/>
    <w:rsid w:val="002E5E75"/>
    <w:rsid w:val="002E60E7"/>
    <w:rsid w:val="002E6FBD"/>
    <w:rsid w:val="002F00AF"/>
    <w:rsid w:val="002F0295"/>
    <w:rsid w:val="002F05B9"/>
    <w:rsid w:val="002F407A"/>
    <w:rsid w:val="002F4D22"/>
    <w:rsid w:val="002F6112"/>
    <w:rsid w:val="002F66C8"/>
    <w:rsid w:val="003003C0"/>
    <w:rsid w:val="003007B5"/>
    <w:rsid w:val="003008A3"/>
    <w:rsid w:val="00302E6E"/>
    <w:rsid w:val="0030331C"/>
    <w:rsid w:val="00306B26"/>
    <w:rsid w:val="00307F35"/>
    <w:rsid w:val="0031033F"/>
    <w:rsid w:val="00310F95"/>
    <w:rsid w:val="003116B6"/>
    <w:rsid w:val="003121D0"/>
    <w:rsid w:val="00316875"/>
    <w:rsid w:val="003215E7"/>
    <w:rsid w:val="00321A59"/>
    <w:rsid w:val="0032360B"/>
    <w:rsid w:val="00324D54"/>
    <w:rsid w:val="0032568F"/>
    <w:rsid w:val="00325B77"/>
    <w:rsid w:val="003319BE"/>
    <w:rsid w:val="00331B65"/>
    <w:rsid w:val="00336156"/>
    <w:rsid w:val="0033659E"/>
    <w:rsid w:val="003403B3"/>
    <w:rsid w:val="0034341B"/>
    <w:rsid w:val="00343433"/>
    <w:rsid w:val="0034565C"/>
    <w:rsid w:val="003469BB"/>
    <w:rsid w:val="0035347F"/>
    <w:rsid w:val="00356443"/>
    <w:rsid w:val="003578A1"/>
    <w:rsid w:val="00360C66"/>
    <w:rsid w:val="00362FF2"/>
    <w:rsid w:val="0036590A"/>
    <w:rsid w:val="00370E8D"/>
    <w:rsid w:val="003711F5"/>
    <w:rsid w:val="003736CA"/>
    <w:rsid w:val="003752CF"/>
    <w:rsid w:val="003755B7"/>
    <w:rsid w:val="00375D8F"/>
    <w:rsid w:val="00377135"/>
    <w:rsid w:val="0038003B"/>
    <w:rsid w:val="003802A5"/>
    <w:rsid w:val="00381AF8"/>
    <w:rsid w:val="003830D1"/>
    <w:rsid w:val="0038324E"/>
    <w:rsid w:val="003832ED"/>
    <w:rsid w:val="00383736"/>
    <w:rsid w:val="00383B57"/>
    <w:rsid w:val="00386B8D"/>
    <w:rsid w:val="003901B8"/>
    <w:rsid w:val="0039053B"/>
    <w:rsid w:val="00392201"/>
    <w:rsid w:val="00395DFB"/>
    <w:rsid w:val="00397AEC"/>
    <w:rsid w:val="00397BF2"/>
    <w:rsid w:val="003A2BCC"/>
    <w:rsid w:val="003A37A8"/>
    <w:rsid w:val="003A5374"/>
    <w:rsid w:val="003B4C97"/>
    <w:rsid w:val="003B4D6B"/>
    <w:rsid w:val="003B70FD"/>
    <w:rsid w:val="003C0962"/>
    <w:rsid w:val="003C098E"/>
    <w:rsid w:val="003C25CE"/>
    <w:rsid w:val="003C2654"/>
    <w:rsid w:val="003C449F"/>
    <w:rsid w:val="003C4D7F"/>
    <w:rsid w:val="003C61CD"/>
    <w:rsid w:val="003D15AC"/>
    <w:rsid w:val="003D2395"/>
    <w:rsid w:val="003D2AD8"/>
    <w:rsid w:val="003D3EAF"/>
    <w:rsid w:val="003D4400"/>
    <w:rsid w:val="003D47E0"/>
    <w:rsid w:val="003D5963"/>
    <w:rsid w:val="003D59DD"/>
    <w:rsid w:val="003D5B29"/>
    <w:rsid w:val="003D683B"/>
    <w:rsid w:val="003E0B7D"/>
    <w:rsid w:val="003E1490"/>
    <w:rsid w:val="003E34AC"/>
    <w:rsid w:val="003E4BE2"/>
    <w:rsid w:val="003E5358"/>
    <w:rsid w:val="003E55B2"/>
    <w:rsid w:val="003E68B9"/>
    <w:rsid w:val="003E77EA"/>
    <w:rsid w:val="003F04B2"/>
    <w:rsid w:val="003F1240"/>
    <w:rsid w:val="003F24AD"/>
    <w:rsid w:val="003F2B90"/>
    <w:rsid w:val="003F393C"/>
    <w:rsid w:val="003F4251"/>
    <w:rsid w:val="003F4C02"/>
    <w:rsid w:val="003F536A"/>
    <w:rsid w:val="00402EAA"/>
    <w:rsid w:val="0040330C"/>
    <w:rsid w:val="00405305"/>
    <w:rsid w:val="004067B7"/>
    <w:rsid w:val="00406BC4"/>
    <w:rsid w:val="0041384E"/>
    <w:rsid w:val="004151D5"/>
    <w:rsid w:val="00422BAC"/>
    <w:rsid w:val="004245C5"/>
    <w:rsid w:val="00430F18"/>
    <w:rsid w:val="00432461"/>
    <w:rsid w:val="0043478A"/>
    <w:rsid w:val="00435AD9"/>
    <w:rsid w:val="00435C04"/>
    <w:rsid w:val="00435D51"/>
    <w:rsid w:val="004360A3"/>
    <w:rsid w:val="004378F4"/>
    <w:rsid w:val="00437A33"/>
    <w:rsid w:val="00440423"/>
    <w:rsid w:val="0044139F"/>
    <w:rsid w:val="00442453"/>
    <w:rsid w:val="00442F5C"/>
    <w:rsid w:val="004436AB"/>
    <w:rsid w:val="004437CF"/>
    <w:rsid w:val="004458D6"/>
    <w:rsid w:val="00445D41"/>
    <w:rsid w:val="00450AB7"/>
    <w:rsid w:val="00451372"/>
    <w:rsid w:val="00451948"/>
    <w:rsid w:val="004528EB"/>
    <w:rsid w:val="0045784F"/>
    <w:rsid w:val="0045786B"/>
    <w:rsid w:val="004617E7"/>
    <w:rsid w:val="0046187B"/>
    <w:rsid w:val="00462189"/>
    <w:rsid w:val="00462CA7"/>
    <w:rsid w:val="004630AE"/>
    <w:rsid w:val="00464171"/>
    <w:rsid w:val="00465EBA"/>
    <w:rsid w:val="004676DA"/>
    <w:rsid w:val="00471451"/>
    <w:rsid w:val="00471A09"/>
    <w:rsid w:val="0047212D"/>
    <w:rsid w:val="00473ACF"/>
    <w:rsid w:val="00473B03"/>
    <w:rsid w:val="00475F21"/>
    <w:rsid w:val="00476396"/>
    <w:rsid w:val="00476A91"/>
    <w:rsid w:val="00481F88"/>
    <w:rsid w:val="004823EB"/>
    <w:rsid w:val="00482B80"/>
    <w:rsid w:val="00483C15"/>
    <w:rsid w:val="00485E11"/>
    <w:rsid w:val="0048759D"/>
    <w:rsid w:val="004901A1"/>
    <w:rsid w:val="00491404"/>
    <w:rsid w:val="0049306D"/>
    <w:rsid w:val="00494124"/>
    <w:rsid w:val="0049761A"/>
    <w:rsid w:val="00497D64"/>
    <w:rsid w:val="004A318B"/>
    <w:rsid w:val="004A493D"/>
    <w:rsid w:val="004A7E35"/>
    <w:rsid w:val="004B14E1"/>
    <w:rsid w:val="004B2543"/>
    <w:rsid w:val="004B4A4B"/>
    <w:rsid w:val="004C0B4E"/>
    <w:rsid w:val="004C23DF"/>
    <w:rsid w:val="004C3A75"/>
    <w:rsid w:val="004C6C53"/>
    <w:rsid w:val="004C7C6D"/>
    <w:rsid w:val="004D2CAE"/>
    <w:rsid w:val="004D5236"/>
    <w:rsid w:val="004D6E44"/>
    <w:rsid w:val="004D75CA"/>
    <w:rsid w:val="004D7DCD"/>
    <w:rsid w:val="004E01C8"/>
    <w:rsid w:val="004E1652"/>
    <w:rsid w:val="004E25D1"/>
    <w:rsid w:val="004E5618"/>
    <w:rsid w:val="004E5E40"/>
    <w:rsid w:val="004E67CD"/>
    <w:rsid w:val="004E7422"/>
    <w:rsid w:val="004F15ED"/>
    <w:rsid w:val="004F18BF"/>
    <w:rsid w:val="004F1ED7"/>
    <w:rsid w:val="004F7BC7"/>
    <w:rsid w:val="00501E2C"/>
    <w:rsid w:val="005022D7"/>
    <w:rsid w:val="0050571F"/>
    <w:rsid w:val="00505BC4"/>
    <w:rsid w:val="0050674A"/>
    <w:rsid w:val="005104DF"/>
    <w:rsid w:val="00510A88"/>
    <w:rsid w:val="005126E4"/>
    <w:rsid w:val="00515084"/>
    <w:rsid w:val="0051791D"/>
    <w:rsid w:val="00517AF4"/>
    <w:rsid w:val="005204E7"/>
    <w:rsid w:val="00520B47"/>
    <w:rsid w:val="0052129A"/>
    <w:rsid w:val="00521654"/>
    <w:rsid w:val="00521F8E"/>
    <w:rsid w:val="005245A0"/>
    <w:rsid w:val="00524CE4"/>
    <w:rsid w:val="00524FF2"/>
    <w:rsid w:val="00525692"/>
    <w:rsid w:val="00525F29"/>
    <w:rsid w:val="00526BF8"/>
    <w:rsid w:val="005307C5"/>
    <w:rsid w:val="00532699"/>
    <w:rsid w:val="0053576B"/>
    <w:rsid w:val="00540364"/>
    <w:rsid w:val="00540C26"/>
    <w:rsid w:val="00540FB5"/>
    <w:rsid w:val="005441EB"/>
    <w:rsid w:val="00546ACA"/>
    <w:rsid w:val="0054783B"/>
    <w:rsid w:val="0055104E"/>
    <w:rsid w:val="005510CF"/>
    <w:rsid w:val="005524D0"/>
    <w:rsid w:val="0055292D"/>
    <w:rsid w:val="00557000"/>
    <w:rsid w:val="00557666"/>
    <w:rsid w:val="00563A7D"/>
    <w:rsid w:val="00563EBC"/>
    <w:rsid w:val="0056493D"/>
    <w:rsid w:val="00567623"/>
    <w:rsid w:val="005729CA"/>
    <w:rsid w:val="005733D6"/>
    <w:rsid w:val="00573F8F"/>
    <w:rsid w:val="00576E5F"/>
    <w:rsid w:val="00581367"/>
    <w:rsid w:val="00587235"/>
    <w:rsid w:val="00592CAD"/>
    <w:rsid w:val="00595733"/>
    <w:rsid w:val="00596C06"/>
    <w:rsid w:val="00596D32"/>
    <w:rsid w:val="005974D7"/>
    <w:rsid w:val="00597977"/>
    <w:rsid w:val="005A10CB"/>
    <w:rsid w:val="005A1619"/>
    <w:rsid w:val="005A1655"/>
    <w:rsid w:val="005A261F"/>
    <w:rsid w:val="005A76C5"/>
    <w:rsid w:val="005B22FB"/>
    <w:rsid w:val="005B46D4"/>
    <w:rsid w:val="005B4747"/>
    <w:rsid w:val="005B5F61"/>
    <w:rsid w:val="005B67A3"/>
    <w:rsid w:val="005C0431"/>
    <w:rsid w:val="005C29CF"/>
    <w:rsid w:val="005C34BB"/>
    <w:rsid w:val="005C3BF9"/>
    <w:rsid w:val="005C7EAB"/>
    <w:rsid w:val="005D1CA6"/>
    <w:rsid w:val="005D2A02"/>
    <w:rsid w:val="005D767F"/>
    <w:rsid w:val="005E04B6"/>
    <w:rsid w:val="005E0892"/>
    <w:rsid w:val="005E14E0"/>
    <w:rsid w:val="005E7522"/>
    <w:rsid w:val="005F0441"/>
    <w:rsid w:val="005F1932"/>
    <w:rsid w:val="005F434E"/>
    <w:rsid w:val="0060183B"/>
    <w:rsid w:val="00602BF9"/>
    <w:rsid w:val="006033E4"/>
    <w:rsid w:val="00603F88"/>
    <w:rsid w:val="00605C05"/>
    <w:rsid w:val="00605DD5"/>
    <w:rsid w:val="00610758"/>
    <w:rsid w:val="00611224"/>
    <w:rsid w:val="00612B52"/>
    <w:rsid w:val="00614E90"/>
    <w:rsid w:val="0061644D"/>
    <w:rsid w:val="006174D4"/>
    <w:rsid w:val="00620257"/>
    <w:rsid w:val="00620282"/>
    <w:rsid w:val="00624AF4"/>
    <w:rsid w:val="00625554"/>
    <w:rsid w:val="0063017D"/>
    <w:rsid w:val="0063086A"/>
    <w:rsid w:val="00631CE5"/>
    <w:rsid w:val="006405F7"/>
    <w:rsid w:val="00640AF3"/>
    <w:rsid w:val="00642718"/>
    <w:rsid w:val="00642785"/>
    <w:rsid w:val="00643527"/>
    <w:rsid w:val="0064461E"/>
    <w:rsid w:val="00644787"/>
    <w:rsid w:val="00645A67"/>
    <w:rsid w:val="006463BF"/>
    <w:rsid w:val="0064684A"/>
    <w:rsid w:val="00646B33"/>
    <w:rsid w:val="00647B70"/>
    <w:rsid w:val="006503C1"/>
    <w:rsid w:val="00651C44"/>
    <w:rsid w:val="00651E9B"/>
    <w:rsid w:val="006527CF"/>
    <w:rsid w:val="006538CD"/>
    <w:rsid w:val="00654001"/>
    <w:rsid w:val="0065458F"/>
    <w:rsid w:val="006549A3"/>
    <w:rsid w:val="00655A04"/>
    <w:rsid w:val="0065630C"/>
    <w:rsid w:val="00656DBD"/>
    <w:rsid w:val="00657EED"/>
    <w:rsid w:val="00663939"/>
    <w:rsid w:val="00664FD1"/>
    <w:rsid w:val="00665752"/>
    <w:rsid w:val="00665827"/>
    <w:rsid w:val="0066704C"/>
    <w:rsid w:val="00667817"/>
    <w:rsid w:val="00671631"/>
    <w:rsid w:val="00671FF8"/>
    <w:rsid w:val="00673BEF"/>
    <w:rsid w:val="00674204"/>
    <w:rsid w:val="00677192"/>
    <w:rsid w:val="00677F6E"/>
    <w:rsid w:val="00681BD7"/>
    <w:rsid w:val="00684812"/>
    <w:rsid w:val="00685463"/>
    <w:rsid w:val="00690EAD"/>
    <w:rsid w:val="006925F2"/>
    <w:rsid w:val="0069293E"/>
    <w:rsid w:val="00692A41"/>
    <w:rsid w:val="00692C16"/>
    <w:rsid w:val="00693F5A"/>
    <w:rsid w:val="006949A5"/>
    <w:rsid w:val="00697FC9"/>
    <w:rsid w:val="006A0866"/>
    <w:rsid w:val="006A28A0"/>
    <w:rsid w:val="006A2E9B"/>
    <w:rsid w:val="006A394C"/>
    <w:rsid w:val="006A5961"/>
    <w:rsid w:val="006A6293"/>
    <w:rsid w:val="006B00FF"/>
    <w:rsid w:val="006B0C1D"/>
    <w:rsid w:val="006B1355"/>
    <w:rsid w:val="006B4823"/>
    <w:rsid w:val="006B7C31"/>
    <w:rsid w:val="006C10C2"/>
    <w:rsid w:val="006C1B5A"/>
    <w:rsid w:val="006C1C9F"/>
    <w:rsid w:val="006C3912"/>
    <w:rsid w:val="006C6633"/>
    <w:rsid w:val="006D134A"/>
    <w:rsid w:val="006D1BCB"/>
    <w:rsid w:val="006D31AE"/>
    <w:rsid w:val="006D31B7"/>
    <w:rsid w:val="006D4054"/>
    <w:rsid w:val="006E0684"/>
    <w:rsid w:val="006E2353"/>
    <w:rsid w:val="006E28EC"/>
    <w:rsid w:val="006E44B1"/>
    <w:rsid w:val="006E5381"/>
    <w:rsid w:val="006F00B5"/>
    <w:rsid w:val="006F21FF"/>
    <w:rsid w:val="006F2E30"/>
    <w:rsid w:val="006F4121"/>
    <w:rsid w:val="006F5B53"/>
    <w:rsid w:val="006F5EB4"/>
    <w:rsid w:val="00700C16"/>
    <w:rsid w:val="00701195"/>
    <w:rsid w:val="007033A3"/>
    <w:rsid w:val="00704DF5"/>
    <w:rsid w:val="00705422"/>
    <w:rsid w:val="00706421"/>
    <w:rsid w:val="007064FD"/>
    <w:rsid w:val="00710958"/>
    <w:rsid w:val="00715346"/>
    <w:rsid w:val="007155FC"/>
    <w:rsid w:val="00715A59"/>
    <w:rsid w:val="007201DD"/>
    <w:rsid w:val="00720380"/>
    <w:rsid w:val="0072243D"/>
    <w:rsid w:val="007229C8"/>
    <w:rsid w:val="00722A03"/>
    <w:rsid w:val="00722A5B"/>
    <w:rsid w:val="007237DD"/>
    <w:rsid w:val="00727B01"/>
    <w:rsid w:val="007314B7"/>
    <w:rsid w:val="00731C08"/>
    <w:rsid w:val="00731CEC"/>
    <w:rsid w:val="00733173"/>
    <w:rsid w:val="00733A7E"/>
    <w:rsid w:val="00736ED4"/>
    <w:rsid w:val="007376DF"/>
    <w:rsid w:val="00737E43"/>
    <w:rsid w:val="007410A2"/>
    <w:rsid w:val="007411E3"/>
    <w:rsid w:val="007412AE"/>
    <w:rsid w:val="00741A69"/>
    <w:rsid w:val="00741C88"/>
    <w:rsid w:val="00743B0B"/>
    <w:rsid w:val="0074409E"/>
    <w:rsid w:val="0074479B"/>
    <w:rsid w:val="00744CC3"/>
    <w:rsid w:val="007461D9"/>
    <w:rsid w:val="00746C42"/>
    <w:rsid w:val="00752C74"/>
    <w:rsid w:val="00752E2B"/>
    <w:rsid w:val="00753148"/>
    <w:rsid w:val="00755AC7"/>
    <w:rsid w:val="007570B2"/>
    <w:rsid w:val="007570D6"/>
    <w:rsid w:val="0076092C"/>
    <w:rsid w:val="007621F7"/>
    <w:rsid w:val="0076390B"/>
    <w:rsid w:val="00767507"/>
    <w:rsid w:val="007721A2"/>
    <w:rsid w:val="007740CB"/>
    <w:rsid w:val="00774183"/>
    <w:rsid w:val="0077565B"/>
    <w:rsid w:val="00776F62"/>
    <w:rsid w:val="00776FC7"/>
    <w:rsid w:val="00781466"/>
    <w:rsid w:val="00784D83"/>
    <w:rsid w:val="0078548C"/>
    <w:rsid w:val="0078749E"/>
    <w:rsid w:val="007900FA"/>
    <w:rsid w:val="00790286"/>
    <w:rsid w:val="0079046D"/>
    <w:rsid w:val="007929A6"/>
    <w:rsid w:val="007943FB"/>
    <w:rsid w:val="00794CD7"/>
    <w:rsid w:val="00795668"/>
    <w:rsid w:val="007968ED"/>
    <w:rsid w:val="007970D2"/>
    <w:rsid w:val="007A1ADC"/>
    <w:rsid w:val="007A3603"/>
    <w:rsid w:val="007A5E67"/>
    <w:rsid w:val="007A64F6"/>
    <w:rsid w:val="007A7999"/>
    <w:rsid w:val="007A7BE6"/>
    <w:rsid w:val="007B06EF"/>
    <w:rsid w:val="007B0D59"/>
    <w:rsid w:val="007B21C6"/>
    <w:rsid w:val="007B3A0B"/>
    <w:rsid w:val="007B471A"/>
    <w:rsid w:val="007C125A"/>
    <w:rsid w:val="007C1ABA"/>
    <w:rsid w:val="007C4F41"/>
    <w:rsid w:val="007C52B0"/>
    <w:rsid w:val="007C711F"/>
    <w:rsid w:val="007D3576"/>
    <w:rsid w:val="007D5611"/>
    <w:rsid w:val="007D7D98"/>
    <w:rsid w:val="007E11F1"/>
    <w:rsid w:val="007E12F1"/>
    <w:rsid w:val="007E1554"/>
    <w:rsid w:val="007E1758"/>
    <w:rsid w:val="007E51E2"/>
    <w:rsid w:val="007E5C9E"/>
    <w:rsid w:val="007E78C0"/>
    <w:rsid w:val="007E7ADD"/>
    <w:rsid w:val="007F473C"/>
    <w:rsid w:val="007F5678"/>
    <w:rsid w:val="007F781F"/>
    <w:rsid w:val="00802213"/>
    <w:rsid w:val="00802C90"/>
    <w:rsid w:val="00804134"/>
    <w:rsid w:val="0080717B"/>
    <w:rsid w:val="008109B3"/>
    <w:rsid w:val="0081174E"/>
    <w:rsid w:val="00813795"/>
    <w:rsid w:val="00816910"/>
    <w:rsid w:val="00817ABA"/>
    <w:rsid w:val="00821C3F"/>
    <w:rsid w:val="00822364"/>
    <w:rsid w:val="0082334A"/>
    <w:rsid w:val="00825C38"/>
    <w:rsid w:val="0083029E"/>
    <w:rsid w:val="0083070B"/>
    <w:rsid w:val="00831BFB"/>
    <w:rsid w:val="00832608"/>
    <w:rsid w:val="0083616C"/>
    <w:rsid w:val="00837D15"/>
    <w:rsid w:val="00837DE0"/>
    <w:rsid w:val="0084415C"/>
    <w:rsid w:val="00844237"/>
    <w:rsid w:val="00844A8A"/>
    <w:rsid w:val="00844D29"/>
    <w:rsid w:val="00846EF3"/>
    <w:rsid w:val="00847ECD"/>
    <w:rsid w:val="00852CB0"/>
    <w:rsid w:val="00854DDA"/>
    <w:rsid w:val="00857833"/>
    <w:rsid w:val="008602D8"/>
    <w:rsid w:val="00860EAD"/>
    <w:rsid w:val="00861943"/>
    <w:rsid w:val="00862FAD"/>
    <w:rsid w:val="0086429F"/>
    <w:rsid w:val="0086462B"/>
    <w:rsid w:val="00864947"/>
    <w:rsid w:val="00871A6C"/>
    <w:rsid w:val="0087390A"/>
    <w:rsid w:val="00874EDC"/>
    <w:rsid w:val="00877AC8"/>
    <w:rsid w:val="008807B2"/>
    <w:rsid w:val="00880C38"/>
    <w:rsid w:val="00882DD0"/>
    <w:rsid w:val="00883003"/>
    <w:rsid w:val="00884F6D"/>
    <w:rsid w:val="008868C0"/>
    <w:rsid w:val="008873BE"/>
    <w:rsid w:val="00891D64"/>
    <w:rsid w:val="00893DE9"/>
    <w:rsid w:val="008961EF"/>
    <w:rsid w:val="00897F11"/>
    <w:rsid w:val="008A058C"/>
    <w:rsid w:val="008A1D49"/>
    <w:rsid w:val="008A23C0"/>
    <w:rsid w:val="008A6CB1"/>
    <w:rsid w:val="008A70D8"/>
    <w:rsid w:val="008A7BBA"/>
    <w:rsid w:val="008B2174"/>
    <w:rsid w:val="008B2B64"/>
    <w:rsid w:val="008B2B77"/>
    <w:rsid w:val="008B4E33"/>
    <w:rsid w:val="008B7CBD"/>
    <w:rsid w:val="008C0A97"/>
    <w:rsid w:val="008C13D2"/>
    <w:rsid w:val="008C2943"/>
    <w:rsid w:val="008C37D9"/>
    <w:rsid w:val="008C4487"/>
    <w:rsid w:val="008C4D46"/>
    <w:rsid w:val="008C7140"/>
    <w:rsid w:val="008D0CD4"/>
    <w:rsid w:val="008D0CF1"/>
    <w:rsid w:val="008E0DC8"/>
    <w:rsid w:val="008E13EF"/>
    <w:rsid w:val="008E20B8"/>
    <w:rsid w:val="008E2E3A"/>
    <w:rsid w:val="008E4CA2"/>
    <w:rsid w:val="008E5EFE"/>
    <w:rsid w:val="008E7A8D"/>
    <w:rsid w:val="008F02B1"/>
    <w:rsid w:val="008F0E4E"/>
    <w:rsid w:val="008F4A7E"/>
    <w:rsid w:val="008F6523"/>
    <w:rsid w:val="00900597"/>
    <w:rsid w:val="00900D13"/>
    <w:rsid w:val="00901DD6"/>
    <w:rsid w:val="00902848"/>
    <w:rsid w:val="009032BB"/>
    <w:rsid w:val="009074F4"/>
    <w:rsid w:val="009101C8"/>
    <w:rsid w:val="00910DDF"/>
    <w:rsid w:val="009119A2"/>
    <w:rsid w:val="009126C0"/>
    <w:rsid w:val="009131C5"/>
    <w:rsid w:val="0091583E"/>
    <w:rsid w:val="009162C7"/>
    <w:rsid w:val="00917D31"/>
    <w:rsid w:val="009204C0"/>
    <w:rsid w:val="00920F9D"/>
    <w:rsid w:val="00925F8C"/>
    <w:rsid w:val="0093173C"/>
    <w:rsid w:val="00931DDB"/>
    <w:rsid w:val="00931F54"/>
    <w:rsid w:val="0093220B"/>
    <w:rsid w:val="00933716"/>
    <w:rsid w:val="00933D0B"/>
    <w:rsid w:val="00934E95"/>
    <w:rsid w:val="00934FFE"/>
    <w:rsid w:val="0093757D"/>
    <w:rsid w:val="00940A72"/>
    <w:rsid w:val="00941D9E"/>
    <w:rsid w:val="00942A09"/>
    <w:rsid w:val="009441BD"/>
    <w:rsid w:val="00946643"/>
    <w:rsid w:val="00947EEE"/>
    <w:rsid w:val="00950887"/>
    <w:rsid w:val="00950EFC"/>
    <w:rsid w:val="0095454E"/>
    <w:rsid w:val="00956271"/>
    <w:rsid w:val="00957D36"/>
    <w:rsid w:val="00957D5D"/>
    <w:rsid w:val="009616AB"/>
    <w:rsid w:val="00963AAA"/>
    <w:rsid w:val="009649D0"/>
    <w:rsid w:val="00966716"/>
    <w:rsid w:val="00967120"/>
    <w:rsid w:val="00970B39"/>
    <w:rsid w:val="00971740"/>
    <w:rsid w:val="00971DCB"/>
    <w:rsid w:val="009735BC"/>
    <w:rsid w:val="00973AFF"/>
    <w:rsid w:val="0097414B"/>
    <w:rsid w:val="00974446"/>
    <w:rsid w:val="00977325"/>
    <w:rsid w:val="009774BC"/>
    <w:rsid w:val="00977D80"/>
    <w:rsid w:val="00980069"/>
    <w:rsid w:val="0098197D"/>
    <w:rsid w:val="00981A9E"/>
    <w:rsid w:val="0098391C"/>
    <w:rsid w:val="009855DD"/>
    <w:rsid w:val="00986449"/>
    <w:rsid w:val="00990EEB"/>
    <w:rsid w:val="00995DB6"/>
    <w:rsid w:val="00996490"/>
    <w:rsid w:val="009967F8"/>
    <w:rsid w:val="009A18CE"/>
    <w:rsid w:val="009A5F95"/>
    <w:rsid w:val="009A65CD"/>
    <w:rsid w:val="009A6919"/>
    <w:rsid w:val="009B14C1"/>
    <w:rsid w:val="009B2AAA"/>
    <w:rsid w:val="009B3366"/>
    <w:rsid w:val="009B55FD"/>
    <w:rsid w:val="009B689F"/>
    <w:rsid w:val="009B76B5"/>
    <w:rsid w:val="009C063B"/>
    <w:rsid w:val="009C17F9"/>
    <w:rsid w:val="009C2ADF"/>
    <w:rsid w:val="009C4964"/>
    <w:rsid w:val="009C5059"/>
    <w:rsid w:val="009C58C6"/>
    <w:rsid w:val="009C7AC3"/>
    <w:rsid w:val="009D2AFF"/>
    <w:rsid w:val="009D2FB8"/>
    <w:rsid w:val="009D3B5F"/>
    <w:rsid w:val="009D436D"/>
    <w:rsid w:val="009D5A6F"/>
    <w:rsid w:val="009E101F"/>
    <w:rsid w:val="009E217C"/>
    <w:rsid w:val="009E50CC"/>
    <w:rsid w:val="009F0E18"/>
    <w:rsid w:val="009F369E"/>
    <w:rsid w:val="009F4151"/>
    <w:rsid w:val="009F4517"/>
    <w:rsid w:val="009F4CE0"/>
    <w:rsid w:val="009F71D4"/>
    <w:rsid w:val="009F73A0"/>
    <w:rsid w:val="009F749C"/>
    <w:rsid w:val="009F7ACC"/>
    <w:rsid w:val="00A00584"/>
    <w:rsid w:val="00A007D2"/>
    <w:rsid w:val="00A00B33"/>
    <w:rsid w:val="00A01033"/>
    <w:rsid w:val="00A02586"/>
    <w:rsid w:val="00A02630"/>
    <w:rsid w:val="00A03567"/>
    <w:rsid w:val="00A04CAF"/>
    <w:rsid w:val="00A07F8B"/>
    <w:rsid w:val="00A107C2"/>
    <w:rsid w:val="00A12E94"/>
    <w:rsid w:val="00A13EFB"/>
    <w:rsid w:val="00A141FC"/>
    <w:rsid w:val="00A14DF1"/>
    <w:rsid w:val="00A15C68"/>
    <w:rsid w:val="00A162A7"/>
    <w:rsid w:val="00A16EA3"/>
    <w:rsid w:val="00A179B9"/>
    <w:rsid w:val="00A20892"/>
    <w:rsid w:val="00A20D53"/>
    <w:rsid w:val="00A24841"/>
    <w:rsid w:val="00A27956"/>
    <w:rsid w:val="00A30330"/>
    <w:rsid w:val="00A30AC7"/>
    <w:rsid w:val="00A314A4"/>
    <w:rsid w:val="00A31C4D"/>
    <w:rsid w:val="00A32D1C"/>
    <w:rsid w:val="00A344E4"/>
    <w:rsid w:val="00A34B77"/>
    <w:rsid w:val="00A34D5E"/>
    <w:rsid w:val="00A355B3"/>
    <w:rsid w:val="00A3654D"/>
    <w:rsid w:val="00A36804"/>
    <w:rsid w:val="00A36BC1"/>
    <w:rsid w:val="00A44C02"/>
    <w:rsid w:val="00A44D05"/>
    <w:rsid w:val="00A45725"/>
    <w:rsid w:val="00A45E6C"/>
    <w:rsid w:val="00A47C68"/>
    <w:rsid w:val="00A47D3F"/>
    <w:rsid w:val="00A54A43"/>
    <w:rsid w:val="00A55707"/>
    <w:rsid w:val="00A61744"/>
    <w:rsid w:val="00A619D4"/>
    <w:rsid w:val="00A61D76"/>
    <w:rsid w:val="00A662AB"/>
    <w:rsid w:val="00A669FA"/>
    <w:rsid w:val="00A66CED"/>
    <w:rsid w:val="00A673E2"/>
    <w:rsid w:val="00A7255F"/>
    <w:rsid w:val="00A73BC7"/>
    <w:rsid w:val="00A747A8"/>
    <w:rsid w:val="00A7528A"/>
    <w:rsid w:val="00A758D9"/>
    <w:rsid w:val="00A77ADC"/>
    <w:rsid w:val="00A77BAA"/>
    <w:rsid w:val="00A81710"/>
    <w:rsid w:val="00A820EB"/>
    <w:rsid w:val="00A83382"/>
    <w:rsid w:val="00A83D47"/>
    <w:rsid w:val="00A86716"/>
    <w:rsid w:val="00A86AF0"/>
    <w:rsid w:val="00A90D03"/>
    <w:rsid w:val="00A91CAF"/>
    <w:rsid w:val="00A922A6"/>
    <w:rsid w:val="00A936CC"/>
    <w:rsid w:val="00AA00CD"/>
    <w:rsid w:val="00AA11F1"/>
    <w:rsid w:val="00AA40B5"/>
    <w:rsid w:val="00AA51E0"/>
    <w:rsid w:val="00AA5E09"/>
    <w:rsid w:val="00AA6387"/>
    <w:rsid w:val="00AA7839"/>
    <w:rsid w:val="00AB0F81"/>
    <w:rsid w:val="00AB21CF"/>
    <w:rsid w:val="00AB2522"/>
    <w:rsid w:val="00AB2D86"/>
    <w:rsid w:val="00AC09C2"/>
    <w:rsid w:val="00AC225A"/>
    <w:rsid w:val="00AC2DBA"/>
    <w:rsid w:val="00AC3871"/>
    <w:rsid w:val="00AC3935"/>
    <w:rsid w:val="00AC3C77"/>
    <w:rsid w:val="00AC4238"/>
    <w:rsid w:val="00AC4FB2"/>
    <w:rsid w:val="00AC5284"/>
    <w:rsid w:val="00AC7D9B"/>
    <w:rsid w:val="00AD0A3B"/>
    <w:rsid w:val="00AD16CB"/>
    <w:rsid w:val="00AD3393"/>
    <w:rsid w:val="00AD47F8"/>
    <w:rsid w:val="00AD6CDC"/>
    <w:rsid w:val="00AD746F"/>
    <w:rsid w:val="00AE2D66"/>
    <w:rsid w:val="00AE300B"/>
    <w:rsid w:val="00AE3150"/>
    <w:rsid w:val="00AE424F"/>
    <w:rsid w:val="00AE76D2"/>
    <w:rsid w:val="00AF213A"/>
    <w:rsid w:val="00AF23E9"/>
    <w:rsid w:val="00AF57CF"/>
    <w:rsid w:val="00AF7AD1"/>
    <w:rsid w:val="00B001F9"/>
    <w:rsid w:val="00B03E8D"/>
    <w:rsid w:val="00B0493D"/>
    <w:rsid w:val="00B1071F"/>
    <w:rsid w:val="00B12B14"/>
    <w:rsid w:val="00B13E10"/>
    <w:rsid w:val="00B14637"/>
    <w:rsid w:val="00B15C92"/>
    <w:rsid w:val="00B1615B"/>
    <w:rsid w:val="00B17554"/>
    <w:rsid w:val="00B2015F"/>
    <w:rsid w:val="00B21D70"/>
    <w:rsid w:val="00B276FF"/>
    <w:rsid w:val="00B30824"/>
    <w:rsid w:val="00B32819"/>
    <w:rsid w:val="00B32C95"/>
    <w:rsid w:val="00B3483C"/>
    <w:rsid w:val="00B3593A"/>
    <w:rsid w:val="00B37027"/>
    <w:rsid w:val="00B4179B"/>
    <w:rsid w:val="00B42301"/>
    <w:rsid w:val="00B43FFB"/>
    <w:rsid w:val="00B44BB5"/>
    <w:rsid w:val="00B452BC"/>
    <w:rsid w:val="00B45408"/>
    <w:rsid w:val="00B46B4A"/>
    <w:rsid w:val="00B47E05"/>
    <w:rsid w:val="00B47FD6"/>
    <w:rsid w:val="00B50FC7"/>
    <w:rsid w:val="00B54ACD"/>
    <w:rsid w:val="00B54E7E"/>
    <w:rsid w:val="00B55069"/>
    <w:rsid w:val="00B573F2"/>
    <w:rsid w:val="00B60526"/>
    <w:rsid w:val="00B60883"/>
    <w:rsid w:val="00B620AB"/>
    <w:rsid w:val="00B64C74"/>
    <w:rsid w:val="00B66A6C"/>
    <w:rsid w:val="00B66F00"/>
    <w:rsid w:val="00B67628"/>
    <w:rsid w:val="00B716AC"/>
    <w:rsid w:val="00B75BA5"/>
    <w:rsid w:val="00B76F75"/>
    <w:rsid w:val="00B778CD"/>
    <w:rsid w:val="00B800FE"/>
    <w:rsid w:val="00B80A08"/>
    <w:rsid w:val="00B80AA0"/>
    <w:rsid w:val="00B80F01"/>
    <w:rsid w:val="00B8172E"/>
    <w:rsid w:val="00B83F71"/>
    <w:rsid w:val="00B84135"/>
    <w:rsid w:val="00B85A99"/>
    <w:rsid w:val="00B87391"/>
    <w:rsid w:val="00B90032"/>
    <w:rsid w:val="00B90647"/>
    <w:rsid w:val="00B9263F"/>
    <w:rsid w:val="00B9396A"/>
    <w:rsid w:val="00B93B64"/>
    <w:rsid w:val="00B9420E"/>
    <w:rsid w:val="00B951E5"/>
    <w:rsid w:val="00B974BA"/>
    <w:rsid w:val="00BA0D8D"/>
    <w:rsid w:val="00BA137B"/>
    <w:rsid w:val="00BA184C"/>
    <w:rsid w:val="00BA7117"/>
    <w:rsid w:val="00BA7EC4"/>
    <w:rsid w:val="00BB10E7"/>
    <w:rsid w:val="00BB44F1"/>
    <w:rsid w:val="00BB54DA"/>
    <w:rsid w:val="00BB54E8"/>
    <w:rsid w:val="00BB5C78"/>
    <w:rsid w:val="00BB6B39"/>
    <w:rsid w:val="00BB727C"/>
    <w:rsid w:val="00BB77B2"/>
    <w:rsid w:val="00BB7D17"/>
    <w:rsid w:val="00BC223A"/>
    <w:rsid w:val="00BC2E3B"/>
    <w:rsid w:val="00BC2EA9"/>
    <w:rsid w:val="00BC3468"/>
    <w:rsid w:val="00BC3A5E"/>
    <w:rsid w:val="00BD0080"/>
    <w:rsid w:val="00BD1D06"/>
    <w:rsid w:val="00BD5094"/>
    <w:rsid w:val="00BD77B1"/>
    <w:rsid w:val="00BE0A9F"/>
    <w:rsid w:val="00BE1B07"/>
    <w:rsid w:val="00BE2884"/>
    <w:rsid w:val="00BE3EB1"/>
    <w:rsid w:val="00BE4E9E"/>
    <w:rsid w:val="00BE661E"/>
    <w:rsid w:val="00BE7716"/>
    <w:rsid w:val="00BF2646"/>
    <w:rsid w:val="00BF59A8"/>
    <w:rsid w:val="00C00773"/>
    <w:rsid w:val="00C0337A"/>
    <w:rsid w:val="00C03F80"/>
    <w:rsid w:val="00C04F2E"/>
    <w:rsid w:val="00C0641D"/>
    <w:rsid w:val="00C06BD8"/>
    <w:rsid w:val="00C12E63"/>
    <w:rsid w:val="00C13773"/>
    <w:rsid w:val="00C14BAE"/>
    <w:rsid w:val="00C14ECF"/>
    <w:rsid w:val="00C1581E"/>
    <w:rsid w:val="00C158BF"/>
    <w:rsid w:val="00C1592C"/>
    <w:rsid w:val="00C21C94"/>
    <w:rsid w:val="00C23202"/>
    <w:rsid w:val="00C233D8"/>
    <w:rsid w:val="00C23574"/>
    <w:rsid w:val="00C23F5C"/>
    <w:rsid w:val="00C246DD"/>
    <w:rsid w:val="00C253BB"/>
    <w:rsid w:val="00C257BB"/>
    <w:rsid w:val="00C31DF4"/>
    <w:rsid w:val="00C32335"/>
    <w:rsid w:val="00C33FB7"/>
    <w:rsid w:val="00C354D8"/>
    <w:rsid w:val="00C35C2F"/>
    <w:rsid w:val="00C420D8"/>
    <w:rsid w:val="00C50EDF"/>
    <w:rsid w:val="00C551D6"/>
    <w:rsid w:val="00C56AB3"/>
    <w:rsid w:val="00C57FF3"/>
    <w:rsid w:val="00C61E0D"/>
    <w:rsid w:val="00C641A1"/>
    <w:rsid w:val="00C6470E"/>
    <w:rsid w:val="00C6541B"/>
    <w:rsid w:val="00C75992"/>
    <w:rsid w:val="00C77073"/>
    <w:rsid w:val="00C80D4E"/>
    <w:rsid w:val="00C817BE"/>
    <w:rsid w:val="00C835B7"/>
    <w:rsid w:val="00C83CD9"/>
    <w:rsid w:val="00C85251"/>
    <w:rsid w:val="00C85F0C"/>
    <w:rsid w:val="00C86CE4"/>
    <w:rsid w:val="00C86F87"/>
    <w:rsid w:val="00C90768"/>
    <w:rsid w:val="00C9124D"/>
    <w:rsid w:val="00C92899"/>
    <w:rsid w:val="00C935D0"/>
    <w:rsid w:val="00C94563"/>
    <w:rsid w:val="00C95748"/>
    <w:rsid w:val="00C962BF"/>
    <w:rsid w:val="00C963BA"/>
    <w:rsid w:val="00C96F5B"/>
    <w:rsid w:val="00CA046F"/>
    <w:rsid w:val="00CA2056"/>
    <w:rsid w:val="00CA383D"/>
    <w:rsid w:val="00CA3D1B"/>
    <w:rsid w:val="00CA3E3F"/>
    <w:rsid w:val="00CA5329"/>
    <w:rsid w:val="00CA7A18"/>
    <w:rsid w:val="00CB08D7"/>
    <w:rsid w:val="00CB2A8B"/>
    <w:rsid w:val="00CB2DD2"/>
    <w:rsid w:val="00CB36A3"/>
    <w:rsid w:val="00CB5424"/>
    <w:rsid w:val="00CC22C8"/>
    <w:rsid w:val="00CC40DB"/>
    <w:rsid w:val="00CC4776"/>
    <w:rsid w:val="00CC5359"/>
    <w:rsid w:val="00CC5A36"/>
    <w:rsid w:val="00CC5F57"/>
    <w:rsid w:val="00CC6D7B"/>
    <w:rsid w:val="00CC76E2"/>
    <w:rsid w:val="00CD016D"/>
    <w:rsid w:val="00CD26B2"/>
    <w:rsid w:val="00CD34EB"/>
    <w:rsid w:val="00CD521A"/>
    <w:rsid w:val="00CE1EAA"/>
    <w:rsid w:val="00CE2BCC"/>
    <w:rsid w:val="00CE3C8F"/>
    <w:rsid w:val="00CE4671"/>
    <w:rsid w:val="00CE5DA6"/>
    <w:rsid w:val="00CE6E00"/>
    <w:rsid w:val="00CE7E9C"/>
    <w:rsid w:val="00CF0B9C"/>
    <w:rsid w:val="00CF0CD4"/>
    <w:rsid w:val="00CF119B"/>
    <w:rsid w:val="00CF19D2"/>
    <w:rsid w:val="00CF38B5"/>
    <w:rsid w:val="00CF3BAA"/>
    <w:rsid w:val="00D00389"/>
    <w:rsid w:val="00D00FB1"/>
    <w:rsid w:val="00D03651"/>
    <w:rsid w:val="00D036B6"/>
    <w:rsid w:val="00D042C0"/>
    <w:rsid w:val="00D05D70"/>
    <w:rsid w:val="00D066F6"/>
    <w:rsid w:val="00D06730"/>
    <w:rsid w:val="00D0707B"/>
    <w:rsid w:val="00D0753E"/>
    <w:rsid w:val="00D113FD"/>
    <w:rsid w:val="00D13896"/>
    <w:rsid w:val="00D15084"/>
    <w:rsid w:val="00D16F73"/>
    <w:rsid w:val="00D16FFA"/>
    <w:rsid w:val="00D217BA"/>
    <w:rsid w:val="00D2232B"/>
    <w:rsid w:val="00D23AA2"/>
    <w:rsid w:val="00D24403"/>
    <w:rsid w:val="00D24B2A"/>
    <w:rsid w:val="00D3092F"/>
    <w:rsid w:val="00D319BD"/>
    <w:rsid w:val="00D32522"/>
    <w:rsid w:val="00D32C81"/>
    <w:rsid w:val="00D330AA"/>
    <w:rsid w:val="00D3349E"/>
    <w:rsid w:val="00D3556C"/>
    <w:rsid w:val="00D36EEA"/>
    <w:rsid w:val="00D3784D"/>
    <w:rsid w:val="00D40158"/>
    <w:rsid w:val="00D43D6C"/>
    <w:rsid w:val="00D44EFE"/>
    <w:rsid w:val="00D45A45"/>
    <w:rsid w:val="00D4688C"/>
    <w:rsid w:val="00D5056D"/>
    <w:rsid w:val="00D50956"/>
    <w:rsid w:val="00D51C96"/>
    <w:rsid w:val="00D55313"/>
    <w:rsid w:val="00D5602C"/>
    <w:rsid w:val="00D5769F"/>
    <w:rsid w:val="00D6019A"/>
    <w:rsid w:val="00D62E35"/>
    <w:rsid w:val="00D63340"/>
    <w:rsid w:val="00D65281"/>
    <w:rsid w:val="00D66912"/>
    <w:rsid w:val="00D70835"/>
    <w:rsid w:val="00D7110B"/>
    <w:rsid w:val="00D73B22"/>
    <w:rsid w:val="00D7585C"/>
    <w:rsid w:val="00D778FE"/>
    <w:rsid w:val="00D77B6F"/>
    <w:rsid w:val="00D77C4B"/>
    <w:rsid w:val="00D80E81"/>
    <w:rsid w:val="00D8222C"/>
    <w:rsid w:val="00D82A0F"/>
    <w:rsid w:val="00D84B71"/>
    <w:rsid w:val="00D84D7C"/>
    <w:rsid w:val="00D868F1"/>
    <w:rsid w:val="00D90398"/>
    <w:rsid w:val="00D93B56"/>
    <w:rsid w:val="00D96450"/>
    <w:rsid w:val="00D975FD"/>
    <w:rsid w:val="00D9778D"/>
    <w:rsid w:val="00D979E0"/>
    <w:rsid w:val="00DA149C"/>
    <w:rsid w:val="00DA182D"/>
    <w:rsid w:val="00DA48A4"/>
    <w:rsid w:val="00DA6E20"/>
    <w:rsid w:val="00DB078F"/>
    <w:rsid w:val="00DB1F41"/>
    <w:rsid w:val="00DB2BCC"/>
    <w:rsid w:val="00DB4E2E"/>
    <w:rsid w:val="00DB572B"/>
    <w:rsid w:val="00DB5803"/>
    <w:rsid w:val="00DB58FA"/>
    <w:rsid w:val="00DB6B6C"/>
    <w:rsid w:val="00DB6F3A"/>
    <w:rsid w:val="00DC5468"/>
    <w:rsid w:val="00DC54DE"/>
    <w:rsid w:val="00DC5CC2"/>
    <w:rsid w:val="00DC66AB"/>
    <w:rsid w:val="00DD18BB"/>
    <w:rsid w:val="00DD2005"/>
    <w:rsid w:val="00DD2D67"/>
    <w:rsid w:val="00DD3BD7"/>
    <w:rsid w:val="00DD4C2E"/>
    <w:rsid w:val="00DD5CC9"/>
    <w:rsid w:val="00DD6605"/>
    <w:rsid w:val="00DD7A9D"/>
    <w:rsid w:val="00DE07D0"/>
    <w:rsid w:val="00DE0DDD"/>
    <w:rsid w:val="00DE18B8"/>
    <w:rsid w:val="00DE33D7"/>
    <w:rsid w:val="00DE4275"/>
    <w:rsid w:val="00DE7319"/>
    <w:rsid w:val="00DE7CF2"/>
    <w:rsid w:val="00DF1202"/>
    <w:rsid w:val="00DF1596"/>
    <w:rsid w:val="00DF1BF9"/>
    <w:rsid w:val="00DF372E"/>
    <w:rsid w:val="00DF4127"/>
    <w:rsid w:val="00DF4D9D"/>
    <w:rsid w:val="00DF4E6A"/>
    <w:rsid w:val="00DF4E83"/>
    <w:rsid w:val="00DF538E"/>
    <w:rsid w:val="00E00BD4"/>
    <w:rsid w:val="00E01504"/>
    <w:rsid w:val="00E04671"/>
    <w:rsid w:val="00E052F1"/>
    <w:rsid w:val="00E1014E"/>
    <w:rsid w:val="00E12691"/>
    <w:rsid w:val="00E12A00"/>
    <w:rsid w:val="00E13458"/>
    <w:rsid w:val="00E14467"/>
    <w:rsid w:val="00E14E6E"/>
    <w:rsid w:val="00E169B6"/>
    <w:rsid w:val="00E174B4"/>
    <w:rsid w:val="00E20257"/>
    <w:rsid w:val="00E2086A"/>
    <w:rsid w:val="00E20F1C"/>
    <w:rsid w:val="00E22A11"/>
    <w:rsid w:val="00E26799"/>
    <w:rsid w:val="00E2696F"/>
    <w:rsid w:val="00E27BB2"/>
    <w:rsid w:val="00E309A9"/>
    <w:rsid w:val="00E33941"/>
    <w:rsid w:val="00E3432D"/>
    <w:rsid w:val="00E351A3"/>
    <w:rsid w:val="00E360EC"/>
    <w:rsid w:val="00E369BF"/>
    <w:rsid w:val="00E36B8D"/>
    <w:rsid w:val="00E3784F"/>
    <w:rsid w:val="00E411D1"/>
    <w:rsid w:val="00E4305B"/>
    <w:rsid w:val="00E454BE"/>
    <w:rsid w:val="00E45816"/>
    <w:rsid w:val="00E5071A"/>
    <w:rsid w:val="00E51104"/>
    <w:rsid w:val="00E51610"/>
    <w:rsid w:val="00E518C7"/>
    <w:rsid w:val="00E53178"/>
    <w:rsid w:val="00E5465E"/>
    <w:rsid w:val="00E55EFD"/>
    <w:rsid w:val="00E569B5"/>
    <w:rsid w:val="00E56B90"/>
    <w:rsid w:val="00E62714"/>
    <w:rsid w:val="00E62ED3"/>
    <w:rsid w:val="00E6333B"/>
    <w:rsid w:val="00E63937"/>
    <w:rsid w:val="00E65AB4"/>
    <w:rsid w:val="00E66735"/>
    <w:rsid w:val="00E678D7"/>
    <w:rsid w:val="00E678E6"/>
    <w:rsid w:val="00E708B4"/>
    <w:rsid w:val="00E710E0"/>
    <w:rsid w:val="00E727FE"/>
    <w:rsid w:val="00E80BA8"/>
    <w:rsid w:val="00E8259F"/>
    <w:rsid w:val="00E83724"/>
    <w:rsid w:val="00E85E08"/>
    <w:rsid w:val="00E86D92"/>
    <w:rsid w:val="00E86E45"/>
    <w:rsid w:val="00E908F6"/>
    <w:rsid w:val="00E90F75"/>
    <w:rsid w:val="00E90FD1"/>
    <w:rsid w:val="00E931BC"/>
    <w:rsid w:val="00E94DFF"/>
    <w:rsid w:val="00E94F8B"/>
    <w:rsid w:val="00E9695A"/>
    <w:rsid w:val="00E978D6"/>
    <w:rsid w:val="00EA0265"/>
    <w:rsid w:val="00EA0432"/>
    <w:rsid w:val="00EA471D"/>
    <w:rsid w:val="00EA6C22"/>
    <w:rsid w:val="00EB0147"/>
    <w:rsid w:val="00EB075C"/>
    <w:rsid w:val="00EB0A78"/>
    <w:rsid w:val="00EB2CBE"/>
    <w:rsid w:val="00EB4475"/>
    <w:rsid w:val="00EB658C"/>
    <w:rsid w:val="00EB75AF"/>
    <w:rsid w:val="00EC02A9"/>
    <w:rsid w:val="00EC230A"/>
    <w:rsid w:val="00EC2453"/>
    <w:rsid w:val="00EC31DB"/>
    <w:rsid w:val="00EC322F"/>
    <w:rsid w:val="00EC659F"/>
    <w:rsid w:val="00EC7AD4"/>
    <w:rsid w:val="00ED0DD5"/>
    <w:rsid w:val="00ED116C"/>
    <w:rsid w:val="00ED125C"/>
    <w:rsid w:val="00ED1E83"/>
    <w:rsid w:val="00ED20B4"/>
    <w:rsid w:val="00ED34F3"/>
    <w:rsid w:val="00ED59F1"/>
    <w:rsid w:val="00ED78C1"/>
    <w:rsid w:val="00EE158E"/>
    <w:rsid w:val="00EE2FDB"/>
    <w:rsid w:val="00EE3677"/>
    <w:rsid w:val="00EE7420"/>
    <w:rsid w:val="00EE7F98"/>
    <w:rsid w:val="00EF02B7"/>
    <w:rsid w:val="00EF1EF0"/>
    <w:rsid w:val="00EF215B"/>
    <w:rsid w:val="00EF27AD"/>
    <w:rsid w:val="00EF5305"/>
    <w:rsid w:val="00F005AE"/>
    <w:rsid w:val="00F01147"/>
    <w:rsid w:val="00F011E7"/>
    <w:rsid w:val="00F01E78"/>
    <w:rsid w:val="00F0288D"/>
    <w:rsid w:val="00F042FC"/>
    <w:rsid w:val="00F04542"/>
    <w:rsid w:val="00F05AE7"/>
    <w:rsid w:val="00F05D4E"/>
    <w:rsid w:val="00F05F77"/>
    <w:rsid w:val="00F07D46"/>
    <w:rsid w:val="00F07D7E"/>
    <w:rsid w:val="00F10DDA"/>
    <w:rsid w:val="00F11793"/>
    <w:rsid w:val="00F1213D"/>
    <w:rsid w:val="00F12881"/>
    <w:rsid w:val="00F13D9F"/>
    <w:rsid w:val="00F158B9"/>
    <w:rsid w:val="00F15980"/>
    <w:rsid w:val="00F15DCE"/>
    <w:rsid w:val="00F21B0B"/>
    <w:rsid w:val="00F2310E"/>
    <w:rsid w:val="00F25A13"/>
    <w:rsid w:val="00F265E7"/>
    <w:rsid w:val="00F27446"/>
    <w:rsid w:val="00F274E2"/>
    <w:rsid w:val="00F2788E"/>
    <w:rsid w:val="00F316B4"/>
    <w:rsid w:val="00F32C48"/>
    <w:rsid w:val="00F3790A"/>
    <w:rsid w:val="00F37A72"/>
    <w:rsid w:val="00F40FC4"/>
    <w:rsid w:val="00F4143F"/>
    <w:rsid w:val="00F41FE6"/>
    <w:rsid w:val="00F42860"/>
    <w:rsid w:val="00F46342"/>
    <w:rsid w:val="00F52130"/>
    <w:rsid w:val="00F52D5B"/>
    <w:rsid w:val="00F534A0"/>
    <w:rsid w:val="00F540DA"/>
    <w:rsid w:val="00F55150"/>
    <w:rsid w:val="00F5736B"/>
    <w:rsid w:val="00F5782F"/>
    <w:rsid w:val="00F57B11"/>
    <w:rsid w:val="00F57E75"/>
    <w:rsid w:val="00F6012A"/>
    <w:rsid w:val="00F60ED9"/>
    <w:rsid w:val="00F62305"/>
    <w:rsid w:val="00F630F2"/>
    <w:rsid w:val="00F65257"/>
    <w:rsid w:val="00F65480"/>
    <w:rsid w:val="00F65E37"/>
    <w:rsid w:val="00F66C5A"/>
    <w:rsid w:val="00F66D36"/>
    <w:rsid w:val="00F66D7F"/>
    <w:rsid w:val="00F70FB6"/>
    <w:rsid w:val="00F71322"/>
    <w:rsid w:val="00F71BC8"/>
    <w:rsid w:val="00F71E9B"/>
    <w:rsid w:val="00F76636"/>
    <w:rsid w:val="00F768B8"/>
    <w:rsid w:val="00F76917"/>
    <w:rsid w:val="00F80987"/>
    <w:rsid w:val="00F81BCB"/>
    <w:rsid w:val="00F8317B"/>
    <w:rsid w:val="00F849D6"/>
    <w:rsid w:val="00F86162"/>
    <w:rsid w:val="00F86235"/>
    <w:rsid w:val="00F8720B"/>
    <w:rsid w:val="00F8772B"/>
    <w:rsid w:val="00F90220"/>
    <w:rsid w:val="00F9122E"/>
    <w:rsid w:val="00F925FC"/>
    <w:rsid w:val="00F92866"/>
    <w:rsid w:val="00F93B19"/>
    <w:rsid w:val="00F93D56"/>
    <w:rsid w:val="00F9508E"/>
    <w:rsid w:val="00F95CB4"/>
    <w:rsid w:val="00FA0D0E"/>
    <w:rsid w:val="00FA2652"/>
    <w:rsid w:val="00FA3C22"/>
    <w:rsid w:val="00FA55D3"/>
    <w:rsid w:val="00FB1C87"/>
    <w:rsid w:val="00FB25AB"/>
    <w:rsid w:val="00FB36E3"/>
    <w:rsid w:val="00FB4362"/>
    <w:rsid w:val="00FB44DF"/>
    <w:rsid w:val="00FB452C"/>
    <w:rsid w:val="00FB5108"/>
    <w:rsid w:val="00FB6A89"/>
    <w:rsid w:val="00FC07E7"/>
    <w:rsid w:val="00FC0B33"/>
    <w:rsid w:val="00FC382B"/>
    <w:rsid w:val="00FC3F19"/>
    <w:rsid w:val="00FC4C12"/>
    <w:rsid w:val="00FC6301"/>
    <w:rsid w:val="00FC686D"/>
    <w:rsid w:val="00FD1256"/>
    <w:rsid w:val="00FD4B74"/>
    <w:rsid w:val="00FE119D"/>
    <w:rsid w:val="00FE2F86"/>
    <w:rsid w:val="00FE4413"/>
    <w:rsid w:val="00FE676E"/>
    <w:rsid w:val="00FE72F4"/>
    <w:rsid w:val="00FF2AB1"/>
    <w:rsid w:val="00FF4174"/>
    <w:rsid w:val="00FF5644"/>
    <w:rsid w:val="00FF625E"/>
    <w:rsid w:val="00FF78D5"/>
    <w:rsid w:val="00FF7C76"/>
    <w:rsid w:val="00FF7CDC"/>
    <w:rsid w:val="12FE8DC5"/>
    <w:rsid w:val="16A8B587"/>
    <w:rsid w:val="1C014881"/>
    <w:rsid w:val="29BB83CC"/>
    <w:rsid w:val="31FD7CA9"/>
    <w:rsid w:val="3AAE4ABD"/>
    <w:rsid w:val="47A784B6"/>
    <w:rsid w:val="591BF41E"/>
    <w:rsid w:val="5F11BC9E"/>
    <w:rsid w:val="62410B33"/>
    <w:rsid w:val="6A20AAF3"/>
    <w:rsid w:val="7045A34B"/>
    <w:rsid w:val="7425517B"/>
    <w:rsid w:val="78A4AE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05DCAA"/>
  <w15:docId w15:val="{72CAB0B3-0492-4AB4-9E49-EBDD7908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5C"/>
    <w:pPr>
      <w:spacing w:before="120" w:after="120"/>
    </w:pPr>
  </w:style>
  <w:style w:type="paragraph" w:styleId="Heading1">
    <w:name w:val="heading 1"/>
    <w:next w:val="Normal"/>
    <w:link w:val="Heading1Char"/>
    <w:uiPriority w:val="1"/>
    <w:qFormat/>
    <w:rsid w:val="00AB2522"/>
    <w:pPr>
      <w:spacing w:before="120" w:after="120"/>
      <w:outlineLvl w:val="0"/>
    </w:pPr>
    <w:rPr>
      <w:rFonts w:asciiTheme="majorHAnsi" w:eastAsia="Times New Roman" w:hAnsiTheme="majorHAnsi" w:cs="Times New Roman"/>
      <w:color w:val="17365D"/>
      <w:spacing w:val="5"/>
      <w:kern w:val="28"/>
      <w:sz w:val="52"/>
      <w:szCs w:val="52"/>
      <w:lang w:bidi="en-US"/>
    </w:rPr>
  </w:style>
  <w:style w:type="paragraph" w:styleId="Heading2">
    <w:name w:val="heading 2"/>
    <w:basedOn w:val="Heading1"/>
    <w:next w:val="Normal"/>
    <w:link w:val="Heading2Char"/>
    <w:uiPriority w:val="9"/>
    <w:unhideWhenUsed/>
    <w:qFormat/>
    <w:rsid w:val="003C25CE"/>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E727FE"/>
    <w:pPr>
      <w:spacing w:before="120" w:after="120"/>
      <w:outlineLvl w:val="2"/>
    </w:pPr>
    <w:rPr>
      <w:color w:val="243F60" w:themeColor="accent1" w:themeShade="7F"/>
      <w:sz w:val="24"/>
      <w:szCs w:val="24"/>
    </w:rPr>
  </w:style>
  <w:style w:type="paragraph" w:styleId="Heading4">
    <w:name w:val="heading 4"/>
    <w:basedOn w:val="Normal"/>
    <w:next w:val="Normal"/>
    <w:link w:val="Heading4Char"/>
    <w:uiPriority w:val="1"/>
    <w:unhideWhenUsed/>
    <w:qFormat/>
    <w:rsid w:val="00515084"/>
    <w:pPr>
      <w:keepNext/>
      <w:keepLines/>
      <w:spacing w:before="200" w:after="0"/>
      <w:outlineLvl w:val="3"/>
    </w:pPr>
    <w:rPr>
      <w:rFonts w:ascii="Cambria" w:eastAsia="Times New Roman" w:hAnsi="Cambria" w:cs="Times New Roman"/>
      <w:b/>
      <w:bCs/>
      <w:i/>
      <w:iCs/>
      <w:color w:val="17365D"/>
      <w:lang w:bidi="en-US"/>
    </w:rPr>
  </w:style>
  <w:style w:type="paragraph" w:styleId="Heading5">
    <w:name w:val="heading 5"/>
    <w:basedOn w:val="Normal"/>
    <w:next w:val="Normal"/>
    <w:link w:val="Heading5Char"/>
    <w:uiPriority w:val="9"/>
    <w:unhideWhenUsed/>
    <w:qFormat/>
    <w:rsid w:val="00C759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7599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99"/>
    <w:qFormat/>
    <w:rsid w:val="000A4D1B"/>
    <w:pPr>
      <w:spacing w:before="2000" w:after="2000" w:line="240" w:lineRule="auto"/>
    </w:pPr>
    <w:rPr>
      <w:rFonts w:ascii="Arial Narrow" w:eastAsia="Times New Roman" w:hAnsi="Arial Narrow" w:cs="Times New Roman"/>
      <w:b/>
      <w:color w:val="17365D"/>
      <w:spacing w:val="5"/>
      <w:kern w:val="28"/>
      <w:sz w:val="72"/>
      <w:szCs w:val="52"/>
      <w:lang w:bidi="en-US"/>
    </w:rPr>
  </w:style>
  <w:style w:type="character" w:customStyle="1" w:styleId="TitleChar">
    <w:name w:val="Title Char"/>
    <w:basedOn w:val="DefaultParagraphFont"/>
    <w:link w:val="Title"/>
    <w:uiPriority w:val="99"/>
    <w:rsid w:val="000A4D1B"/>
    <w:rPr>
      <w:rFonts w:ascii="Arial Narrow" w:eastAsia="Times New Roman" w:hAnsi="Arial Narrow" w:cs="Times New Roman"/>
      <w:b/>
      <w:color w:val="17365D"/>
      <w:spacing w:val="5"/>
      <w:kern w:val="28"/>
      <w:sz w:val="72"/>
      <w:szCs w:val="52"/>
      <w:lang w:bidi="en-US"/>
    </w:rPr>
  </w:style>
  <w:style w:type="character" w:customStyle="1" w:styleId="Heading1Char">
    <w:name w:val="Heading 1 Char"/>
    <w:basedOn w:val="DefaultParagraphFont"/>
    <w:link w:val="Heading1"/>
    <w:uiPriority w:val="1"/>
    <w:rsid w:val="00AB2522"/>
    <w:rPr>
      <w:rFonts w:asciiTheme="majorHAnsi" w:eastAsia="Times New Roman" w:hAnsiTheme="majorHAnsi" w:cs="Times New Roman"/>
      <w:color w:val="17365D"/>
      <w:spacing w:val="5"/>
      <w:kern w:val="28"/>
      <w:sz w:val="52"/>
      <w:szCs w:val="52"/>
      <w:lang w:bidi="en-US"/>
    </w:rPr>
  </w:style>
  <w:style w:type="character" w:customStyle="1" w:styleId="Heading2Char">
    <w:name w:val="Heading 2 Char"/>
    <w:basedOn w:val="DefaultParagraphFont"/>
    <w:link w:val="Heading2"/>
    <w:uiPriority w:val="9"/>
    <w:rsid w:val="00E727FE"/>
    <w:rPr>
      <w:rFonts w:asciiTheme="majorHAnsi" w:eastAsiaTheme="majorEastAsia" w:hAnsiTheme="majorHAnsi" w:cstheme="majorBidi"/>
      <w:color w:val="365F91" w:themeColor="accent1" w:themeShade="BF"/>
      <w:spacing w:val="5"/>
      <w:kern w:val="28"/>
      <w:sz w:val="26"/>
      <w:szCs w:val="26"/>
      <w:lang w:bidi="en-US"/>
    </w:rPr>
  </w:style>
  <w:style w:type="character" w:customStyle="1" w:styleId="Heading3Char">
    <w:name w:val="Heading 3 Char"/>
    <w:basedOn w:val="DefaultParagraphFont"/>
    <w:link w:val="Heading3"/>
    <w:uiPriority w:val="9"/>
    <w:rsid w:val="00E727FE"/>
    <w:rPr>
      <w:rFonts w:asciiTheme="majorHAnsi" w:eastAsiaTheme="majorEastAsia" w:hAnsiTheme="majorHAnsi" w:cstheme="majorBidi"/>
      <w:color w:val="243F60" w:themeColor="accent1" w:themeShade="7F"/>
      <w:spacing w:val="5"/>
      <w:kern w:val="28"/>
      <w:sz w:val="24"/>
      <w:szCs w:val="24"/>
      <w:lang w:bidi="en-US"/>
    </w:rPr>
  </w:style>
  <w:style w:type="character" w:customStyle="1" w:styleId="Heading4Char">
    <w:name w:val="Heading 4 Char"/>
    <w:basedOn w:val="DefaultParagraphFont"/>
    <w:link w:val="Heading4"/>
    <w:uiPriority w:val="1"/>
    <w:rsid w:val="00515084"/>
    <w:rPr>
      <w:rFonts w:ascii="Cambria" w:eastAsia="Times New Roman" w:hAnsi="Cambria" w:cs="Times New Roman"/>
      <w:b/>
      <w:bCs/>
      <w:i/>
      <w:iCs/>
      <w:color w:val="17365D"/>
      <w:lang w:bidi="en-US"/>
    </w:rPr>
  </w:style>
  <w:style w:type="character" w:customStyle="1" w:styleId="Heading5Char">
    <w:name w:val="Heading 5 Char"/>
    <w:basedOn w:val="DefaultParagraphFont"/>
    <w:link w:val="Heading5"/>
    <w:uiPriority w:val="9"/>
    <w:rsid w:val="00C7599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C75992"/>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D31AE"/>
    <w:rPr>
      <w:b/>
      <w:bCs/>
    </w:rPr>
  </w:style>
  <w:style w:type="character" w:styleId="IntenseEmphasis">
    <w:name w:val="Intense Emphasis"/>
    <w:basedOn w:val="DefaultParagraphFont"/>
    <w:uiPriority w:val="21"/>
    <w:qFormat/>
    <w:rsid w:val="00F9122E"/>
    <w:rPr>
      <w:b/>
      <w:bCs/>
      <w:i/>
      <w:iCs/>
      <w:color w:val="17365D"/>
    </w:rPr>
  </w:style>
  <w:style w:type="paragraph" w:customStyle="1" w:styleId="QuoteBullet">
    <w:name w:val="Quote Bullet"/>
    <w:basedOn w:val="Normal"/>
    <w:rsid w:val="00515084"/>
    <w:pPr>
      <w:numPr>
        <w:numId w:val="1"/>
      </w:numPr>
      <w:spacing w:after="240"/>
    </w:pPr>
    <w:rPr>
      <w:rFonts w:ascii="Garamond" w:eastAsia="Times New Roman" w:hAnsi="Garamond" w:cs="Times New Roman"/>
      <w:szCs w:val="20"/>
      <w:lang w:bidi="en-US"/>
    </w:rPr>
  </w:style>
  <w:style w:type="character" w:styleId="Hyperlink">
    <w:name w:val="Hyperlink"/>
    <w:basedOn w:val="DefaultParagraphFont"/>
    <w:uiPriority w:val="99"/>
    <w:rsid w:val="00E727FE"/>
    <w:rPr>
      <w:rFonts w:asciiTheme="minorHAnsi" w:hAnsiTheme="minorHAnsi"/>
      <w:color w:val="0000FF"/>
      <w:sz w:val="20"/>
      <w:u w:val="single"/>
    </w:rPr>
  </w:style>
  <w:style w:type="paragraph" w:styleId="FootnoteText">
    <w:name w:val="footnote text"/>
    <w:basedOn w:val="Normal"/>
    <w:link w:val="FootnoteTextChar"/>
    <w:uiPriority w:val="99"/>
    <w:rsid w:val="00E727FE"/>
    <w:pPr>
      <w:spacing w:before="0" w:after="0" w:line="240" w:lineRule="auto"/>
    </w:pPr>
    <w:rPr>
      <w:rFonts w:ascii="Calibri" w:eastAsia="Times New Roman" w:hAnsi="Calibri" w:cs="Times New Roman"/>
      <w:sz w:val="18"/>
      <w:szCs w:val="20"/>
      <w:lang w:bidi="en-US"/>
    </w:rPr>
  </w:style>
  <w:style w:type="character" w:customStyle="1" w:styleId="FootnoteTextChar">
    <w:name w:val="Footnote Text Char"/>
    <w:basedOn w:val="DefaultParagraphFont"/>
    <w:link w:val="FootnoteText"/>
    <w:uiPriority w:val="99"/>
    <w:rsid w:val="00E727FE"/>
    <w:rPr>
      <w:rFonts w:ascii="Calibri" w:eastAsia="Times New Roman" w:hAnsi="Calibri" w:cs="Times New Roman"/>
      <w:sz w:val="18"/>
      <w:szCs w:val="20"/>
      <w:lang w:bidi="en-US"/>
    </w:rPr>
  </w:style>
  <w:style w:type="character" w:styleId="FootnoteReference">
    <w:name w:val="footnote reference"/>
    <w:basedOn w:val="DefaultParagraphFont"/>
    <w:uiPriority w:val="99"/>
    <w:rsid w:val="00281EDA"/>
    <w:rPr>
      <w:vertAlign w:val="superscript"/>
    </w:rPr>
  </w:style>
  <w:style w:type="table" w:styleId="TableGrid">
    <w:name w:val="Table Grid"/>
    <w:basedOn w:val="TableNormal"/>
    <w:uiPriority w:val="39"/>
    <w:rsid w:val="0052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C2F"/>
  </w:style>
  <w:style w:type="paragraph" w:styleId="Footer">
    <w:name w:val="footer"/>
    <w:basedOn w:val="Normal"/>
    <w:link w:val="FooterChar"/>
    <w:uiPriority w:val="99"/>
    <w:unhideWhenUsed/>
    <w:rsid w:val="00C3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C2F"/>
  </w:style>
  <w:style w:type="paragraph" w:styleId="NormalWeb">
    <w:name w:val="Normal (Web)"/>
    <w:basedOn w:val="Normal"/>
    <w:uiPriority w:val="99"/>
    <w:rsid w:val="00AF57CF"/>
    <w:pPr>
      <w:spacing w:before="100" w:beforeAutospacing="1" w:after="100" w:afterAutospacing="1"/>
    </w:pPr>
    <w:rPr>
      <w:rFonts w:ascii="Calibri" w:eastAsia="Times New Roman" w:hAnsi="Calibri" w:cs="Times New Roman"/>
      <w:lang w:bidi="en-US"/>
    </w:rPr>
  </w:style>
  <w:style w:type="table" w:customStyle="1" w:styleId="AABlackTable1">
    <w:name w:val="AABlackTable1"/>
    <w:basedOn w:val="TableNormal"/>
    <w:uiPriority w:val="99"/>
    <w:rsid w:val="00AF57CF"/>
    <w:pPr>
      <w:spacing w:before="110" w:after="110" w:line="264" w:lineRule="auto"/>
    </w:pPr>
    <w:rPr>
      <w:rFonts w:ascii="Verdana" w:eastAsiaTheme="minorEastAsia" w:hAnsi="Verdana"/>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styleId="TOCHeading">
    <w:name w:val="TOC Heading"/>
    <w:next w:val="Normal"/>
    <w:uiPriority w:val="39"/>
    <w:unhideWhenUsed/>
    <w:qFormat/>
    <w:rsid w:val="00D7585C"/>
    <w:pPr>
      <w:spacing w:before="240" w:line="259" w:lineRule="auto"/>
    </w:pPr>
    <w:rPr>
      <w:rFonts w:asciiTheme="majorHAnsi" w:eastAsiaTheme="majorEastAsia" w:hAnsiTheme="majorHAnsi" w:cstheme="majorBidi"/>
      <w:bCs/>
      <w:color w:val="365F91" w:themeColor="accent1" w:themeShade="BF"/>
      <w:spacing w:val="5"/>
      <w:kern w:val="28"/>
      <w:sz w:val="32"/>
      <w:szCs w:val="32"/>
      <w:lang w:val="en-US"/>
    </w:rPr>
  </w:style>
  <w:style w:type="character" w:styleId="FollowedHyperlink">
    <w:name w:val="FollowedHyperlink"/>
    <w:basedOn w:val="DefaultParagraphFont"/>
    <w:uiPriority w:val="99"/>
    <w:semiHidden/>
    <w:unhideWhenUsed/>
    <w:rsid w:val="005524D0"/>
    <w:rPr>
      <w:color w:val="800080" w:themeColor="followedHyperlink"/>
      <w:u w:val="single"/>
    </w:rPr>
  </w:style>
  <w:style w:type="table" w:customStyle="1" w:styleId="ListTable3-Accent11">
    <w:name w:val="List Table 3 - Accent 11"/>
    <w:basedOn w:val="TableNormal"/>
    <w:uiPriority w:val="48"/>
    <w:rsid w:val="00D7585C"/>
    <w:pPr>
      <w:spacing w:after="0" w:line="240" w:lineRule="auto"/>
    </w:pPr>
    <w:rPr>
      <w:rFonts w:ascii="Calibri" w:eastAsia="Times New Roman" w:hAnsi="Calibri" w:cs="Times New Roman"/>
      <w:szCs w:val="20"/>
      <w:lang w:eastAsia="en-AU"/>
    </w:rPr>
    <w:tblPr>
      <w:tblStyleRowBandSize w:val="1"/>
      <w:tblStyleColBandSize w:val="1"/>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blStylePr w:type="firstRow">
      <w:rPr>
        <w:b/>
        <w:bCs/>
        <w:color w:val="FFFFFF" w:themeColor="background1"/>
      </w:rPr>
      <w:tblPr/>
      <w:tcPr>
        <w:shd w:val="clear" w:color="auto" w:fill="1F497D" w:themeFill="text2"/>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BoxCopy">
    <w:name w:val="Box Copy"/>
    <w:uiPriority w:val="23"/>
    <w:qFormat/>
    <w:rsid w:val="00A91CAF"/>
    <w:pPr>
      <w:pBdr>
        <w:top w:val="single" w:sz="4" w:space="1" w:color="auto"/>
        <w:left w:val="single" w:sz="4" w:space="4" w:color="auto"/>
        <w:bottom w:val="single" w:sz="4" w:space="1" w:color="auto"/>
        <w:right w:val="single" w:sz="4" w:space="4" w:color="auto"/>
      </w:pBdr>
      <w:spacing w:before="60" w:after="60" w:line="240" w:lineRule="atLeast"/>
    </w:pPr>
    <w:rPr>
      <w:rFonts w:cs="Times New Roman"/>
      <w:color w:val="000000" w:themeColor="text1"/>
      <w:spacing w:val="-2"/>
      <w:szCs w:val="20"/>
    </w:rPr>
  </w:style>
  <w:style w:type="paragraph" w:styleId="CommentText">
    <w:name w:val="annotation text"/>
    <w:basedOn w:val="Normal"/>
    <w:link w:val="CommentTextChar"/>
    <w:uiPriority w:val="99"/>
    <w:unhideWhenUsed/>
    <w:rsid w:val="008B2B64"/>
    <w:pPr>
      <w:spacing w:after="160" w:line="240" w:lineRule="auto"/>
    </w:pPr>
    <w:rPr>
      <w:sz w:val="20"/>
      <w:szCs w:val="20"/>
    </w:rPr>
  </w:style>
  <w:style w:type="character" w:customStyle="1" w:styleId="CommentTextChar">
    <w:name w:val="Comment Text Char"/>
    <w:basedOn w:val="DefaultParagraphFont"/>
    <w:link w:val="CommentText"/>
    <w:uiPriority w:val="99"/>
    <w:rsid w:val="008B2B64"/>
    <w:rPr>
      <w:sz w:val="20"/>
      <w:szCs w:val="20"/>
    </w:rPr>
  </w:style>
  <w:style w:type="character" w:styleId="CommentReference">
    <w:name w:val="annotation reference"/>
    <w:basedOn w:val="DefaultParagraphFont"/>
    <w:uiPriority w:val="99"/>
    <w:unhideWhenUsed/>
    <w:rsid w:val="008B2B64"/>
    <w:rPr>
      <w:sz w:val="16"/>
      <w:szCs w:val="16"/>
    </w:rPr>
  </w:style>
  <w:style w:type="paragraph" w:styleId="BalloonText">
    <w:name w:val="Balloon Text"/>
    <w:basedOn w:val="Normal"/>
    <w:link w:val="BalloonTextChar"/>
    <w:uiPriority w:val="99"/>
    <w:semiHidden/>
    <w:unhideWhenUsed/>
    <w:rsid w:val="008B2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B64"/>
    <w:rPr>
      <w:rFonts w:ascii="Segoe UI" w:hAnsi="Segoe UI" w:cs="Segoe UI"/>
      <w:sz w:val="18"/>
      <w:szCs w:val="18"/>
    </w:rPr>
  </w:style>
  <w:style w:type="character" w:styleId="Emphasis">
    <w:name w:val="Emphasis"/>
    <w:basedOn w:val="DefaultParagraphFont"/>
    <w:uiPriority w:val="20"/>
    <w:qFormat/>
    <w:rsid w:val="00D16F73"/>
    <w:rPr>
      <w:i/>
      <w:iCs/>
    </w:rPr>
  </w:style>
  <w:style w:type="paragraph" w:styleId="CommentSubject">
    <w:name w:val="annotation subject"/>
    <w:basedOn w:val="CommentText"/>
    <w:next w:val="CommentText"/>
    <w:link w:val="CommentSubjectChar"/>
    <w:uiPriority w:val="99"/>
    <w:semiHidden/>
    <w:unhideWhenUsed/>
    <w:rsid w:val="00A24841"/>
    <w:pPr>
      <w:spacing w:after="200"/>
    </w:pPr>
    <w:rPr>
      <w:b/>
      <w:bCs/>
    </w:rPr>
  </w:style>
  <w:style w:type="character" w:customStyle="1" w:styleId="CommentSubjectChar">
    <w:name w:val="Comment Subject Char"/>
    <w:basedOn w:val="CommentTextChar"/>
    <w:link w:val="CommentSubject"/>
    <w:uiPriority w:val="99"/>
    <w:semiHidden/>
    <w:rsid w:val="00A24841"/>
    <w:rPr>
      <w:b/>
      <w:bCs/>
      <w:sz w:val="20"/>
      <w:szCs w:val="20"/>
    </w:rPr>
  </w:style>
  <w:style w:type="paragraph" w:customStyle="1" w:styleId="table-heading">
    <w:name w:val="table-heading"/>
    <w:basedOn w:val="Normal"/>
    <w:rsid w:val="007970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next w:val="Normal"/>
    <w:uiPriority w:val="35"/>
    <w:unhideWhenUsed/>
    <w:qFormat/>
    <w:rsid w:val="00A91CAF"/>
    <w:pPr>
      <w:keepNext/>
      <w:spacing w:before="120" w:after="60" w:line="240" w:lineRule="auto"/>
    </w:pPr>
    <w:rPr>
      <w:b/>
      <w:iCs/>
      <w:color w:val="1F497D" w:themeColor="text2"/>
      <w:sz w:val="20"/>
    </w:rPr>
  </w:style>
  <w:style w:type="paragraph" w:styleId="Quote">
    <w:name w:val="Quote"/>
    <w:next w:val="Normal"/>
    <w:link w:val="QuoteChar"/>
    <w:uiPriority w:val="29"/>
    <w:qFormat/>
    <w:rsid w:val="00A91CAF"/>
    <w:pPr>
      <w:spacing w:before="120" w:after="120"/>
      <w:ind w:left="624" w:right="567"/>
    </w:pPr>
    <w:rPr>
      <w:i/>
      <w:iCs/>
      <w:color w:val="404040" w:themeColor="text1" w:themeTint="BF"/>
    </w:rPr>
  </w:style>
  <w:style w:type="character" w:customStyle="1" w:styleId="QuoteChar">
    <w:name w:val="Quote Char"/>
    <w:basedOn w:val="DefaultParagraphFont"/>
    <w:link w:val="Quote"/>
    <w:uiPriority w:val="29"/>
    <w:rsid w:val="00A91CAF"/>
    <w:rPr>
      <w:i/>
      <w:iCs/>
      <w:color w:val="404040" w:themeColor="text1" w:themeTint="BF"/>
    </w:rPr>
  </w:style>
  <w:style w:type="paragraph" w:styleId="NoSpacing">
    <w:name w:val="No Spacing"/>
    <w:link w:val="NoSpacingChar"/>
    <w:uiPriority w:val="1"/>
    <w:qFormat/>
    <w:rsid w:val="00746C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6C42"/>
    <w:rPr>
      <w:rFonts w:eastAsiaTheme="minorEastAsia"/>
      <w:lang w:val="en-US"/>
    </w:rPr>
  </w:style>
  <w:style w:type="paragraph" w:customStyle="1" w:styleId="EndNoteBibliographyTitle">
    <w:name w:val="EndNote Bibliography Title"/>
    <w:basedOn w:val="Normal"/>
    <w:link w:val="EndNoteBibliographyTitleChar"/>
    <w:rsid w:val="004378F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378F4"/>
    <w:rPr>
      <w:rFonts w:ascii="Calibri" w:hAnsi="Calibri" w:cs="Calibri"/>
      <w:noProof/>
      <w:lang w:val="en-US"/>
    </w:rPr>
  </w:style>
  <w:style w:type="paragraph" w:customStyle="1" w:styleId="EndNoteBibliography">
    <w:name w:val="EndNote Bibliography"/>
    <w:basedOn w:val="Normal"/>
    <w:link w:val="EndNoteBibliographyChar"/>
    <w:rsid w:val="004378F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378F4"/>
    <w:rPr>
      <w:rFonts w:ascii="Calibri" w:hAnsi="Calibri" w:cs="Calibri"/>
      <w:noProof/>
      <w:lang w:val="en-US"/>
    </w:rPr>
  </w:style>
  <w:style w:type="paragraph" w:styleId="TOC1">
    <w:name w:val="toc 1"/>
    <w:basedOn w:val="Normal"/>
    <w:next w:val="Normal"/>
    <w:autoRedefine/>
    <w:uiPriority w:val="39"/>
    <w:unhideWhenUsed/>
    <w:rsid w:val="00D44EFE"/>
    <w:pPr>
      <w:tabs>
        <w:tab w:val="right" w:leader="dot" w:pos="9016"/>
      </w:tabs>
      <w:spacing w:after="100"/>
    </w:pPr>
    <w:rPr>
      <w:b/>
      <w:noProof/>
      <w:lang w:bidi="en-US"/>
    </w:rPr>
  </w:style>
  <w:style w:type="paragraph" w:styleId="TOC2">
    <w:name w:val="toc 2"/>
    <w:basedOn w:val="TOC1"/>
    <w:next w:val="Normal"/>
    <w:autoRedefine/>
    <w:uiPriority w:val="39"/>
    <w:unhideWhenUsed/>
    <w:rsid w:val="00D7585C"/>
    <w:pPr>
      <w:spacing w:before="60" w:after="60" w:line="240" w:lineRule="auto"/>
      <w:ind w:left="221"/>
    </w:pPr>
    <w:rPr>
      <w:b w:val="0"/>
    </w:rPr>
  </w:style>
  <w:style w:type="paragraph" w:styleId="TOC3">
    <w:name w:val="toc 3"/>
    <w:basedOn w:val="TOC2"/>
    <w:next w:val="Normal"/>
    <w:autoRedefine/>
    <w:uiPriority w:val="39"/>
    <w:unhideWhenUsed/>
    <w:rsid w:val="00D7585C"/>
    <w:pPr>
      <w:ind w:left="442"/>
    </w:pPr>
  </w:style>
  <w:style w:type="paragraph" w:styleId="Revision">
    <w:name w:val="Revision"/>
    <w:hidden/>
    <w:uiPriority w:val="99"/>
    <w:semiHidden/>
    <w:rsid w:val="00BB44F1"/>
    <w:pPr>
      <w:spacing w:after="0" w:line="240" w:lineRule="auto"/>
    </w:pPr>
  </w:style>
  <w:style w:type="table" w:customStyle="1" w:styleId="TableGrid1">
    <w:name w:val="Table Grid1"/>
    <w:basedOn w:val="TableNormal"/>
    <w:next w:val="TableGrid"/>
    <w:uiPriority w:val="39"/>
    <w:rsid w:val="00E1269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269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next w:val="Normal"/>
    <w:link w:val="SubtitleChar"/>
    <w:uiPriority w:val="11"/>
    <w:qFormat/>
    <w:rsid w:val="000A4D1B"/>
    <w:pPr>
      <w:numPr>
        <w:ilvl w:val="1"/>
      </w:numPr>
      <w:spacing w:after="160"/>
    </w:pPr>
    <w:rPr>
      <w:rFonts w:ascii="Arial" w:eastAsiaTheme="minorEastAsia" w:hAnsi="Arial"/>
      <w:color w:val="5A5A5A" w:themeColor="text1" w:themeTint="A5"/>
      <w:spacing w:val="0"/>
      <w:sz w:val="48"/>
    </w:rPr>
  </w:style>
  <w:style w:type="character" w:customStyle="1" w:styleId="SubtitleChar">
    <w:name w:val="Subtitle Char"/>
    <w:basedOn w:val="DefaultParagraphFont"/>
    <w:link w:val="Subtitle"/>
    <w:uiPriority w:val="11"/>
    <w:rsid w:val="000A4D1B"/>
    <w:rPr>
      <w:rFonts w:ascii="Arial" w:eastAsiaTheme="minorEastAsia" w:hAnsi="Arial" w:cs="Times New Roman"/>
      <w:b/>
      <w:color w:val="5A5A5A" w:themeColor="text1" w:themeTint="A5"/>
      <w:kern w:val="28"/>
      <w:sz w:val="48"/>
      <w:szCs w:val="52"/>
      <w:lang w:bidi="en-US"/>
    </w:rPr>
  </w:style>
  <w:style w:type="paragraph" w:styleId="ListBullet">
    <w:name w:val="List Bullet"/>
    <w:basedOn w:val="Normal"/>
    <w:uiPriority w:val="99"/>
    <w:unhideWhenUsed/>
    <w:qFormat/>
    <w:rsid w:val="003B4C97"/>
    <w:pPr>
      <w:numPr>
        <w:numId w:val="33"/>
      </w:numPr>
      <w:contextualSpacing/>
    </w:pPr>
  </w:style>
  <w:style w:type="paragraph" w:styleId="ListNumber">
    <w:name w:val="List Number"/>
    <w:uiPriority w:val="99"/>
    <w:unhideWhenUsed/>
    <w:rsid w:val="00A91CAF"/>
    <w:pPr>
      <w:numPr>
        <w:numId w:val="38"/>
      </w:numPr>
      <w:spacing w:before="120" w:after="120" w:line="240" w:lineRule="auto"/>
      <w:ind w:left="357" w:hanging="357"/>
    </w:pPr>
  </w:style>
  <w:style w:type="paragraph" w:styleId="ListNumber2">
    <w:name w:val="List Number 2"/>
    <w:basedOn w:val="ListNumber"/>
    <w:next w:val="Normal"/>
    <w:uiPriority w:val="99"/>
    <w:unhideWhenUsed/>
    <w:rsid w:val="00A91CAF"/>
    <w:pPr>
      <w:numPr>
        <w:numId w:val="39"/>
      </w:numPr>
      <w:ind w:left="641" w:hanging="357"/>
    </w:pPr>
  </w:style>
  <w:style w:type="paragraph" w:styleId="ListBullet2">
    <w:name w:val="List Bullet 2"/>
    <w:basedOn w:val="ListBullet"/>
    <w:uiPriority w:val="99"/>
    <w:unhideWhenUsed/>
    <w:rsid w:val="00E727FE"/>
    <w:pPr>
      <w:numPr>
        <w:ilvl w:val="1"/>
        <w:numId w:val="13"/>
      </w:numPr>
      <w:spacing w:line="240" w:lineRule="auto"/>
      <w:ind w:left="641" w:hanging="357"/>
    </w:pPr>
  </w:style>
  <w:style w:type="paragraph" w:styleId="ListBullet3">
    <w:name w:val="List Bullet 3"/>
    <w:basedOn w:val="Normal"/>
    <w:uiPriority w:val="99"/>
    <w:unhideWhenUsed/>
    <w:rsid w:val="00A91CAF"/>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02">
      <w:bodyDiv w:val="1"/>
      <w:marLeft w:val="0"/>
      <w:marRight w:val="0"/>
      <w:marTop w:val="0"/>
      <w:marBottom w:val="0"/>
      <w:divBdr>
        <w:top w:val="none" w:sz="0" w:space="0" w:color="auto"/>
        <w:left w:val="none" w:sz="0" w:space="0" w:color="auto"/>
        <w:bottom w:val="none" w:sz="0" w:space="0" w:color="auto"/>
        <w:right w:val="none" w:sz="0" w:space="0" w:color="auto"/>
      </w:divBdr>
      <w:divsChild>
        <w:div w:id="1364332268">
          <w:marLeft w:val="0"/>
          <w:marRight w:val="0"/>
          <w:marTop w:val="0"/>
          <w:marBottom w:val="0"/>
          <w:divBdr>
            <w:top w:val="none" w:sz="0" w:space="0" w:color="auto"/>
            <w:left w:val="none" w:sz="0" w:space="0" w:color="auto"/>
            <w:bottom w:val="none" w:sz="0" w:space="0" w:color="auto"/>
            <w:right w:val="none" w:sz="0" w:space="0" w:color="auto"/>
          </w:divBdr>
        </w:div>
      </w:divsChild>
    </w:div>
    <w:div w:id="143284088">
      <w:bodyDiv w:val="1"/>
      <w:marLeft w:val="0"/>
      <w:marRight w:val="0"/>
      <w:marTop w:val="0"/>
      <w:marBottom w:val="0"/>
      <w:divBdr>
        <w:top w:val="none" w:sz="0" w:space="0" w:color="auto"/>
        <w:left w:val="none" w:sz="0" w:space="0" w:color="auto"/>
        <w:bottom w:val="none" w:sz="0" w:space="0" w:color="auto"/>
        <w:right w:val="none" w:sz="0" w:space="0" w:color="auto"/>
      </w:divBdr>
    </w:div>
    <w:div w:id="372003470">
      <w:bodyDiv w:val="1"/>
      <w:marLeft w:val="0"/>
      <w:marRight w:val="0"/>
      <w:marTop w:val="0"/>
      <w:marBottom w:val="0"/>
      <w:divBdr>
        <w:top w:val="none" w:sz="0" w:space="0" w:color="auto"/>
        <w:left w:val="none" w:sz="0" w:space="0" w:color="auto"/>
        <w:bottom w:val="none" w:sz="0" w:space="0" w:color="auto"/>
        <w:right w:val="none" w:sz="0" w:space="0" w:color="auto"/>
      </w:divBdr>
    </w:div>
    <w:div w:id="426316885">
      <w:bodyDiv w:val="1"/>
      <w:marLeft w:val="0"/>
      <w:marRight w:val="0"/>
      <w:marTop w:val="0"/>
      <w:marBottom w:val="0"/>
      <w:divBdr>
        <w:top w:val="none" w:sz="0" w:space="0" w:color="auto"/>
        <w:left w:val="none" w:sz="0" w:space="0" w:color="auto"/>
        <w:bottom w:val="none" w:sz="0" w:space="0" w:color="auto"/>
        <w:right w:val="none" w:sz="0" w:space="0" w:color="auto"/>
      </w:divBdr>
    </w:div>
    <w:div w:id="439106235">
      <w:bodyDiv w:val="1"/>
      <w:marLeft w:val="0"/>
      <w:marRight w:val="0"/>
      <w:marTop w:val="0"/>
      <w:marBottom w:val="0"/>
      <w:divBdr>
        <w:top w:val="none" w:sz="0" w:space="0" w:color="auto"/>
        <w:left w:val="none" w:sz="0" w:space="0" w:color="auto"/>
        <w:bottom w:val="none" w:sz="0" w:space="0" w:color="auto"/>
        <w:right w:val="none" w:sz="0" w:space="0" w:color="auto"/>
      </w:divBdr>
    </w:div>
    <w:div w:id="442001458">
      <w:bodyDiv w:val="1"/>
      <w:marLeft w:val="0"/>
      <w:marRight w:val="0"/>
      <w:marTop w:val="0"/>
      <w:marBottom w:val="0"/>
      <w:divBdr>
        <w:top w:val="none" w:sz="0" w:space="0" w:color="auto"/>
        <w:left w:val="none" w:sz="0" w:space="0" w:color="auto"/>
        <w:bottom w:val="none" w:sz="0" w:space="0" w:color="auto"/>
        <w:right w:val="none" w:sz="0" w:space="0" w:color="auto"/>
      </w:divBdr>
    </w:div>
    <w:div w:id="460808278">
      <w:bodyDiv w:val="1"/>
      <w:marLeft w:val="0"/>
      <w:marRight w:val="0"/>
      <w:marTop w:val="0"/>
      <w:marBottom w:val="0"/>
      <w:divBdr>
        <w:top w:val="none" w:sz="0" w:space="0" w:color="auto"/>
        <w:left w:val="none" w:sz="0" w:space="0" w:color="auto"/>
        <w:bottom w:val="none" w:sz="0" w:space="0" w:color="auto"/>
        <w:right w:val="none" w:sz="0" w:space="0" w:color="auto"/>
      </w:divBdr>
    </w:div>
    <w:div w:id="600454157">
      <w:bodyDiv w:val="1"/>
      <w:marLeft w:val="0"/>
      <w:marRight w:val="0"/>
      <w:marTop w:val="0"/>
      <w:marBottom w:val="0"/>
      <w:divBdr>
        <w:top w:val="none" w:sz="0" w:space="0" w:color="auto"/>
        <w:left w:val="none" w:sz="0" w:space="0" w:color="auto"/>
        <w:bottom w:val="none" w:sz="0" w:space="0" w:color="auto"/>
        <w:right w:val="none" w:sz="0" w:space="0" w:color="auto"/>
      </w:divBdr>
      <w:divsChild>
        <w:div w:id="184709868">
          <w:marLeft w:val="1440"/>
          <w:marRight w:val="0"/>
          <w:marTop w:val="96"/>
          <w:marBottom w:val="0"/>
          <w:divBdr>
            <w:top w:val="none" w:sz="0" w:space="0" w:color="auto"/>
            <w:left w:val="none" w:sz="0" w:space="0" w:color="auto"/>
            <w:bottom w:val="none" w:sz="0" w:space="0" w:color="auto"/>
            <w:right w:val="none" w:sz="0" w:space="0" w:color="auto"/>
          </w:divBdr>
        </w:div>
        <w:div w:id="282925844">
          <w:marLeft w:val="1440"/>
          <w:marRight w:val="0"/>
          <w:marTop w:val="96"/>
          <w:marBottom w:val="0"/>
          <w:divBdr>
            <w:top w:val="none" w:sz="0" w:space="0" w:color="auto"/>
            <w:left w:val="none" w:sz="0" w:space="0" w:color="auto"/>
            <w:bottom w:val="none" w:sz="0" w:space="0" w:color="auto"/>
            <w:right w:val="none" w:sz="0" w:space="0" w:color="auto"/>
          </w:divBdr>
        </w:div>
        <w:div w:id="413670554">
          <w:marLeft w:val="806"/>
          <w:marRight w:val="0"/>
          <w:marTop w:val="115"/>
          <w:marBottom w:val="0"/>
          <w:divBdr>
            <w:top w:val="none" w:sz="0" w:space="0" w:color="auto"/>
            <w:left w:val="none" w:sz="0" w:space="0" w:color="auto"/>
            <w:bottom w:val="none" w:sz="0" w:space="0" w:color="auto"/>
            <w:right w:val="none" w:sz="0" w:space="0" w:color="auto"/>
          </w:divBdr>
        </w:div>
        <w:div w:id="753939173">
          <w:marLeft w:val="1440"/>
          <w:marRight w:val="0"/>
          <w:marTop w:val="96"/>
          <w:marBottom w:val="0"/>
          <w:divBdr>
            <w:top w:val="none" w:sz="0" w:space="0" w:color="auto"/>
            <w:left w:val="none" w:sz="0" w:space="0" w:color="auto"/>
            <w:bottom w:val="none" w:sz="0" w:space="0" w:color="auto"/>
            <w:right w:val="none" w:sz="0" w:space="0" w:color="auto"/>
          </w:divBdr>
        </w:div>
        <w:div w:id="884948320">
          <w:marLeft w:val="1440"/>
          <w:marRight w:val="0"/>
          <w:marTop w:val="96"/>
          <w:marBottom w:val="0"/>
          <w:divBdr>
            <w:top w:val="none" w:sz="0" w:space="0" w:color="auto"/>
            <w:left w:val="none" w:sz="0" w:space="0" w:color="auto"/>
            <w:bottom w:val="none" w:sz="0" w:space="0" w:color="auto"/>
            <w:right w:val="none" w:sz="0" w:space="0" w:color="auto"/>
          </w:divBdr>
        </w:div>
        <w:div w:id="1210148666">
          <w:marLeft w:val="1440"/>
          <w:marRight w:val="0"/>
          <w:marTop w:val="96"/>
          <w:marBottom w:val="0"/>
          <w:divBdr>
            <w:top w:val="none" w:sz="0" w:space="0" w:color="auto"/>
            <w:left w:val="none" w:sz="0" w:space="0" w:color="auto"/>
            <w:bottom w:val="none" w:sz="0" w:space="0" w:color="auto"/>
            <w:right w:val="none" w:sz="0" w:space="0" w:color="auto"/>
          </w:divBdr>
        </w:div>
        <w:div w:id="1230077262">
          <w:marLeft w:val="806"/>
          <w:marRight w:val="0"/>
          <w:marTop w:val="115"/>
          <w:marBottom w:val="0"/>
          <w:divBdr>
            <w:top w:val="none" w:sz="0" w:space="0" w:color="auto"/>
            <w:left w:val="none" w:sz="0" w:space="0" w:color="auto"/>
            <w:bottom w:val="none" w:sz="0" w:space="0" w:color="auto"/>
            <w:right w:val="none" w:sz="0" w:space="0" w:color="auto"/>
          </w:divBdr>
        </w:div>
        <w:div w:id="1539707009">
          <w:marLeft w:val="1440"/>
          <w:marRight w:val="0"/>
          <w:marTop w:val="96"/>
          <w:marBottom w:val="0"/>
          <w:divBdr>
            <w:top w:val="none" w:sz="0" w:space="0" w:color="auto"/>
            <w:left w:val="none" w:sz="0" w:space="0" w:color="auto"/>
            <w:bottom w:val="none" w:sz="0" w:space="0" w:color="auto"/>
            <w:right w:val="none" w:sz="0" w:space="0" w:color="auto"/>
          </w:divBdr>
        </w:div>
      </w:divsChild>
    </w:div>
    <w:div w:id="635573616">
      <w:bodyDiv w:val="1"/>
      <w:marLeft w:val="0"/>
      <w:marRight w:val="0"/>
      <w:marTop w:val="0"/>
      <w:marBottom w:val="0"/>
      <w:divBdr>
        <w:top w:val="none" w:sz="0" w:space="0" w:color="auto"/>
        <w:left w:val="none" w:sz="0" w:space="0" w:color="auto"/>
        <w:bottom w:val="none" w:sz="0" w:space="0" w:color="auto"/>
        <w:right w:val="none" w:sz="0" w:space="0" w:color="auto"/>
      </w:divBdr>
    </w:div>
    <w:div w:id="789326428">
      <w:bodyDiv w:val="1"/>
      <w:marLeft w:val="0"/>
      <w:marRight w:val="0"/>
      <w:marTop w:val="0"/>
      <w:marBottom w:val="0"/>
      <w:divBdr>
        <w:top w:val="none" w:sz="0" w:space="0" w:color="auto"/>
        <w:left w:val="none" w:sz="0" w:space="0" w:color="auto"/>
        <w:bottom w:val="none" w:sz="0" w:space="0" w:color="auto"/>
        <w:right w:val="none" w:sz="0" w:space="0" w:color="auto"/>
      </w:divBdr>
      <w:divsChild>
        <w:div w:id="456066425">
          <w:marLeft w:val="1800"/>
          <w:marRight w:val="0"/>
          <w:marTop w:val="86"/>
          <w:marBottom w:val="0"/>
          <w:divBdr>
            <w:top w:val="none" w:sz="0" w:space="0" w:color="auto"/>
            <w:left w:val="none" w:sz="0" w:space="0" w:color="auto"/>
            <w:bottom w:val="none" w:sz="0" w:space="0" w:color="auto"/>
            <w:right w:val="none" w:sz="0" w:space="0" w:color="auto"/>
          </w:divBdr>
        </w:div>
        <w:div w:id="456682402">
          <w:marLeft w:val="1166"/>
          <w:marRight w:val="0"/>
          <w:marTop w:val="86"/>
          <w:marBottom w:val="0"/>
          <w:divBdr>
            <w:top w:val="none" w:sz="0" w:space="0" w:color="auto"/>
            <w:left w:val="none" w:sz="0" w:space="0" w:color="auto"/>
            <w:bottom w:val="none" w:sz="0" w:space="0" w:color="auto"/>
            <w:right w:val="none" w:sz="0" w:space="0" w:color="auto"/>
          </w:divBdr>
        </w:div>
        <w:div w:id="469640237">
          <w:marLeft w:val="1800"/>
          <w:marRight w:val="0"/>
          <w:marTop w:val="86"/>
          <w:marBottom w:val="0"/>
          <w:divBdr>
            <w:top w:val="none" w:sz="0" w:space="0" w:color="auto"/>
            <w:left w:val="none" w:sz="0" w:space="0" w:color="auto"/>
            <w:bottom w:val="none" w:sz="0" w:space="0" w:color="auto"/>
            <w:right w:val="none" w:sz="0" w:space="0" w:color="auto"/>
          </w:divBdr>
        </w:div>
        <w:div w:id="846096077">
          <w:marLeft w:val="1800"/>
          <w:marRight w:val="0"/>
          <w:marTop w:val="86"/>
          <w:marBottom w:val="0"/>
          <w:divBdr>
            <w:top w:val="none" w:sz="0" w:space="0" w:color="auto"/>
            <w:left w:val="none" w:sz="0" w:space="0" w:color="auto"/>
            <w:bottom w:val="none" w:sz="0" w:space="0" w:color="auto"/>
            <w:right w:val="none" w:sz="0" w:space="0" w:color="auto"/>
          </w:divBdr>
        </w:div>
        <w:div w:id="1100875614">
          <w:marLeft w:val="1800"/>
          <w:marRight w:val="0"/>
          <w:marTop w:val="86"/>
          <w:marBottom w:val="0"/>
          <w:divBdr>
            <w:top w:val="none" w:sz="0" w:space="0" w:color="auto"/>
            <w:left w:val="none" w:sz="0" w:space="0" w:color="auto"/>
            <w:bottom w:val="none" w:sz="0" w:space="0" w:color="auto"/>
            <w:right w:val="none" w:sz="0" w:space="0" w:color="auto"/>
          </w:divBdr>
        </w:div>
        <w:div w:id="1182166034">
          <w:marLeft w:val="1166"/>
          <w:marRight w:val="0"/>
          <w:marTop w:val="86"/>
          <w:marBottom w:val="0"/>
          <w:divBdr>
            <w:top w:val="none" w:sz="0" w:space="0" w:color="auto"/>
            <w:left w:val="none" w:sz="0" w:space="0" w:color="auto"/>
            <w:bottom w:val="none" w:sz="0" w:space="0" w:color="auto"/>
            <w:right w:val="none" w:sz="0" w:space="0" w:color="auto"/>
          </w:divBdr>
        </w:div>
        <w:div w:id="1495367507">
          <w:marLeft w:val="1800"/>
          <w:marRight w:val="0"/>
          <w:marTop w:val="86"/>
          <w:marBottom w:val="0"/>
          <w:divBdr>
            <w:top w:val="none" w:sz="0" w:space="0" w:color="auto"/>
            <w:left w:val="none" w:sz="0" w:space="0" w:color="auto"/>
            <w:bottom w:val="none" w:sz="0" w:space="0" w:color="auto"/>
            <w:right w:val="none" w:sz="0" w:space="0" w:color="auto"/>
          </w:divBdr>
        </w:div>
        <w:div w:id="1664043097">
          <w:marLeft w:val="1800"/>
          <w:marRight w:val="0"/>
          <w:marTop w:val="86"/>
          <w:marBottom w:val="0"/>
          <w:divBdr>
            <w:top w:val="none" w:sz="0" w:space="0" w:color="auto"/>
            <w:left w:val="none" w:sz="0" w:space="0" w:color="auto"/>
            <w:bottom w:val="none" w:sz="0" w:space="0" w:color="auto"/>
            <w:right w:val="none" w:sz="0" w:space="0" w:color="auto"/>
          </w:divBdr>
        </w:div>
        <w:div w:id="1728262045">
          <w:marLeft w:val="1166"/>
          <w:marRight w:val="0"/>
          <w:marTop w:val="86"/>
          <w:marBottom w:val="0"/>
          <w:divBdr>
            <w:top w:val="none" w:sz="0" w:space="0" w:color="auto"/>
            <w:left w:val="none" w:sz="0" w:space="0" w:color="auto"/>
            <w:bottom w:val="none" w:sz="0" w:space="0" w:color="auto"/>
            <w:right w:val="none" w:sz="0" w:space="0" w:color="auto"/>
          </w:divBdr>
        </w:div>
        <w:div w:id="1803572240">
          <w:marLeft w:val="547"/>
          <w:marRight w:val="0"/>
          <w:marTop w:val="115"/>
          <w:marBottom w:val="0"/>
          <w:divBdr>
            <w:top w:val="none" w:sz="0" w:space="0" w:color="auto"/>
            <w:left w:val="none" w:sz="0" w:space="0" w:color="auto"/>
            <w:bottom w:val="none" w:sz="0" w:space="0" w:color="auto"/>
            <w:right w:val="none" w:sz="0" w:space="0" w:color="auto"/>
          </w:divBdr>
        </w:div>
      </w:divsChild>
    </w:div>
    <w:div w:id="834807245">
      <w:bodyDiv w:val="1"/>
      <w:marLeft w:val="0"/>
      <w:marRight w:val="0"/>
      <w:marTop w:val="0"/>
      <w:marBottom w:val="0"/>
      <w:divBdr>
        <w:top w:val="none" w:sz="0" w:space="0" w:color="auto"/>
        <w:left w:val="none" w:sz="0" w:space="0" w:color="auto"/>
        <w:bottom w:val="none" w:sz="0" w:space="0" w:color="auto"/>
        <w:right w:val="none" w:sz="0" w:space="0" w:color="auto"/>
      </w:divBdr>
    </w:div>
    <w:div w:id="1070734411">
      <w:bodyDiv w:val="1"/>
      <w:marLeft w:val="0"/>
      <w:marRight w:val="0"/>
      <w:marTop w:val="0"/>
      <w:marBottom w:val="0"/>
      <w:divBdr>
        <w:top w:val="none" w:sz="0" w:space="0" w:color="auto"/>
        <w:left w:val="none" w:sz="0" w:space="0" w:color="auto"/>
        <w:bottom w:val="none" w:sz="0" w:space="0" w:color="auto"/>
        <w:right w:val="none" w:sz="0" w:space="0" w:color="auto"/>
      </w:divBdr>
    </w:div>
    <w:div w:id="1074930045">
      <w:bodyDiv w:val="1"/>
      <w:marLeft w:val="0"/>
      <w:marRight w:val="0"/>
      <w:marTop w:val="0"/>
      <w:marBottom w:val="0"/>
      <w:divBdr>
        <w:top w:val="none" w:sz="0" w:space="0" w:color="auto"/>
        <w:left w:val="none" w:sz="0" w:space="0" w:color="auto"/>
        <w:bottom w:val="none" w:sz="0" w:space="0" w:color="auto"/>
        <w:right w:val="none" w:sz="0" w:space="0" w:color="auto"/>
      </w:divBdr>
    </w:div>
    <w:div w:id="1076198684">
      <w:bodyDiv w:val="1"/>
      <w:marLeft w:val="0"/>
      <w:marRight w:val="0"/>
      <w:marTop w:val="0"/>
      <w:marBottom w:val="0"/>
      <w:divBdr>
        <w:top w:val="none" w:sz="0" w:space="0" w:color="auto"/>
        <w:left w:val="none" w:sz="0" w:space="0" w:color="auto"/>
        <w:bottom w:val="none" w:sz="0" w:space="0" w:color="auto"/>
        <w:right w:val="none" w:sz="0" w:space="0" w:color="auto"/>
      </w:divBdr>
    </w:div>
    <w:div w:id="1242177815">
      <w:bodyDiv w:val="1"/>
      <w:marLeft w:val="0"/>
      <w:marRight w:val="0"/>
      <w:marTop w:val="0"/>
      <w:marBottom w:val="0"/>
      <w:divBdr>
        <w:top w:val="none" w:sz="0" w:space="0" w:color="auto"/>
        <w:left w:val="none" w:sz="0" w:space="0" w:color="auto"/>
        <w:bottom w:val="none" w:sz="0" w:space="0" w:color="auto"/>
        <w:right w:val="none" w:sz="0" w:space="0" w:color="auto"/>
      </w:divBdr>
    </w:div>
    <w:div w:id="1393381249">
      <w:bodyDiv w:val="1"/>
      <w:marLeft w:val="0"/>
      <w:marRight w:val="0"/>
      <w:marTop w:val="0"/>
      <w:marBottom w:val="0"/>
      <w:divBdr>
        <w:top w:val="none" w:sz="0" w:space="0" w:color="auto"/>
        <w:left w:val="none" w:sz="0" w:space="0" w:color="auto"/>
        <w:bottom w:val="none" w:sz="0" w:space="0" w:color="auto"/>
        <w:right w:val="none" w:sz="0" w:space="0" w:color="auto"/>
      </w:divBdr>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sChild>
        <w:div w:id="449278394">
          <w:marLeft w:val="0"/>
          <w:marRight w:val="0"/>
          <w:marTop w:val="0"/>
          <w:marBottom w:val="0"/>
          <w:divBdr>
            <w:top w:val="none" w:sz="0" w:space="0" w:color="auto"/>
            <w:left w:val="none" w:sz="0" w:space="0" w:color="auto"/>
            <w:bottom w:val="none" w:sz="0" w:space="0" w:color="auto"/>
            <w:right w:val="none" w:sz="0" w:space="0" w:color="auto"/>
          </w:divBdr>
        </w:div>
        <w:div w:id="610935099">
          <w:marLeft w:val="0"/>
          <w:marRight w:val="0"/>
          <w:marTop w:val="0"/>
          <w:marBottom w:val="0"/>
          <w:divBdr>
            <w:top w:val="none" w:sz="0" w:space="0" w:color="auto"/>
            <w:left w:val="none" w:sz="0" w:space="0" w:color="auto"/>
            <w:bottom w:val="none" w:sz="0" w:space="0" w:color="auto"/>
            <w:right w:val="none" w:sz="0" w:space="0" w:color="auto"/>
          </w:divBdr>
        </w:div>
        <w:div w:id="1995640977">
          <w:marLeft w:val="0"/>
          <w:marRight w:val="0"/>
          <w:marTop w:val="0"/>
          <w:marBottom w:val="0"/>
          <w:divBdr>
            <w:top w:val="none" w:sz="0" w:space="0" w:color="auto"/>
            <w:left w:val="none" w:sz="0" w:space="0" w:color="auto"/>
            <w:bottom w:val="none" w:sz="0" w:space="0" w:color="auto"/>
            <w:right w:val="none" w:sz="0" w:space="0" w:color="auto"/>
          </w:divBdr>
        </w:div>
      </w:divsChild>
    </w:div>
    <w:div w:id="1539734212">
      <w:bodyDiv w:val="1"/>
      <w:marLeft w:val="0"/>
      <w:marRight w:val="0"/>
      <w:marTop w:val="0"/>
      <w:marBottom w:val="0"/>
      <w:divBdr>
        <w:top w:val="none" w:sz="0" w:space="0" w:color="auto"/>
        <w:left w:val="none" w:sz="0" w:space="0" w:color="auto"/>
        <w:bottom w:val="none" w:sz="0" w:space="0" w:color="auto"/>
        <w:right w:val="none" w:sz="0" w:space="0" w:color="auto"/>
      </w:divBdr>
      <w:divsChild>
        <w:div w:id="122962863">
          <w:marLeft w:val="0"/>
          <w:marRight w:val="0"/>
          <w:marTop w:val="0"/>
          <w:marBottom w:val="0"/>
          <w:divBdr>
            <w:top w:val="none" w:sz="0" w:space="0" w:color="auto"/>
            <w:left w:val="none" w:sz="0" w:space="0" w:color="auto"/>
            <w:bottom w:val="none" w:sz="0" w:space="0" w:color="auto"/>
            <w:right w:val="none" w:sz="0" w:space="0" w:color="auto"/>
          </w:divBdr>
        </w:div>
        <w:div w:id="262617691">
          <w:marLeft w:val="0"/>
          <w:marRight w:val="0"/>
          <w:marTop w:val="0"/>
          <w:marBottom w:val="0"/>
          <w:divBdr>
            <w:top w:val="none" w:sz="0" w:space="0" w:color="auto"/>
            <w:left w:val="none" w:sz="0" w:space="0" w:color="auto"/>
            <w:bottom w:val="none" w:sz="0" w:space="0" w:color="auto"/>
            <w:right w:val="none" w:sz="0" w:space="0" w:color="auto"/>
          </w:divBdr>
        </w:div>
        <w:div w:id="541527607">
          <w:marLeft w:val="0"/>
          <w:marRight w:val="0"/>
          <w:marTop w:val="0"/>
          <w:marBottom w:val="0"/>
          <w:divBdr>
            <w:top w:val="none" w:sz="0" w:space="0" w:color="auto"/>
            <w:left w:val="none" w:sz="0" w:space="0" w:color="auto"/>
            <w:bottom w:val="none" w:sz="0" w:space="0" w:color="auto"/>
            <w:right w:val="none" w:sz="0" w:space="0" w:color="auto"/>
          </w:divBdr>
        </w:div>
        <w:div w:id="957375575">
          <w:marLeft w:val="0"/>
          <w:marRight w:val="0"/>
          <w:marTop w:val="0"/>
          <w:marBottom w:val="0"/>
          <w:divBdr>
            <w:top w:val="none" w:sz="0" w:space="0" w:color="auto"/>
            <w:left w:val="none" w:sz="0" w:space="0" w:color="auto"/>
            <w:bottom w:val="none" w:sz="0" w:space="0" w:color="auto"/>
            <w:right w:val="none" w:sz="0" w:space="0" w:color="auto"/>
          </w:divBdr>
        </w:div>
        <w:div w:id="1059478833">
          <w:marLeft w:val="0"/>
          <w:marRight w:val="0"/>
          <w:marTop w:val="0"/>
          <w:marBottom w:val="0"/>
          <w:divBdr>
            <w:top w:val="none" w:sz="0" w:space="0" w:color="auto"/>
            <w:left w:val="none" w:sz="0" w:space="0" w:color="auto"/>
            <w:bottom w:val="none" w:sz="0" w:space="0" w:color="auto"/>
            <w:right w:val="none" w:sz="0" w:space="0" w:color="auto"/>
          </w:divBdr>
        </w:div>
        <w:div w:id="1592854788">
          <w:marLeft w:val="0"/>
          <w:marRight w:val="0"/>
          <w:marTop w:val="0"/>
          <w:marBottom w:val="0"/>
          <w:divBdr>
            <w:top w:val="none" w:sz="0" w:space="0" w:color="auto"/>
            <w:left w:val="none" w:sz="0" w:space="0" w:color="auto"/>
            <w:bottom w:val="none" w:sz="0" w:space="0" w:color="auto"/>
            <w:right w:val="none" w:sz="0" w:space="0" w:color="auto"/>
          </w:divBdr>
        </w:div>
        <w:div w:id="1620382306">
          <w:marLeft w:val="0"/>
          <w:marRight w:val="0"/>
          <w:marTop w:val="0"/>
          <w:marBottom w:val="0"/>
          <w:divBdr>
            <w:top w:val="none" w:sz="0" w:space="0" w:color="auto"/>
            <w:left w:val="none" w:sz="0" w:space="0" w:color="auto"/>
            <w:bottom w:val="none" w:sz="0" w:space="0" w:color="auto"/>
            <w:right w:val="none" w:sz="0" w:space="0" w:color="auto"/>
          </w:divBdr>
        </w:div>
      </w:divsChild>
    </w:div>
    <w:div w:id="1615096831">
      <w:bodyDiv w:val="1"/>
      <w:marLeft w:val="0"/>
      <w:marRight w:val="0"/>
      <w:marTop w:val="0"/>
      <w:marBottom w:val="0"/>
      <w:divBdr>
        <w:top w:val="none" w:sz="0" w:space="0" w:color="auto"/>
        <w:left w:val="none" w:sz="0" w:space="0" w:color="auto"/>
        <w:bottom w:val="none" w:sz="0" w:space="0" w:color="auto"/>
        <w:right w:val="none" w:sz="0" w:space="0" w:color="auto"/>
      </w:divBdr>
    </w:div>
    <w:div w:id="1658145002">
      <w:bodyDiv w:val="1"/>
      <w:marLeft w:val="0"/>
      <w:marRight w:val="0"/>
      <w:marTop w:val="0"/>
      <w:marBottom w:val="0"/>
      <w:divBdr>
        <w:top w:val="none" w:sz="0" w:space="0" w:color="auto"/>
        <w:left w:val="none" w:sz="0" w:space="0" w:color="auto"/>
        <w:bottom w:val="none" w:sz="0" w:space="0" w:color="auto"/>
        <w:right w:val="none" w:sz="0" w:space="0" w:color="auto"/>
      </w:divBdr>
    </w:div>
    <w:div w:id="1837258279">
      <w:bodyDiv w:val="1"/>
      <w:marLeft w:val="0"/>
      <w:marRight w:val="0"/>
      <w:marTop w:val="0"/>
      <w:marBottom w:val="0"/>
      <w:divBdr>
        <w:top w:val="none" w:sz="0" w:space="0" w:color="auto"/>
        <w:left w:val="none" w:sz="0" w:space="0" w:color="auto"/>
        <w:bottom w:val="none" w:sz="0" w:space="0" w:color="auto"/>
        <w:right w:val="none" w:sz="0" w:space="0" w:color="auto"/>
      </w:divBdr>
    </w:div>
    <w:div w:id="1901592878">
      <w:bodyDiv w:val="1"/>
      <w:marLeft w:val="0"/>
      <w:marRight w:val="0"/>
      <w:marTop w:val="0"/>
      <w:marBottom w:val="0"/>
      <w:divBdr>
        <w:top w:val="none" w:sz="0" w:space="0" w:color="auto"/>
        <w:left w:val="none" w:sz="0" w:space="0" w:color="auto"/>
        <w:bottom w:val="none" w:sz="0" w:space="0" w:color="auto"/>
        <w:right w:val="none" w:sz="0" w:space="0" w:color="auto"/>
      </w:divBdr>
    </w:div>
    <w:div w:id="1922567750">
      <w:bodyDiv w:val="1"/>
      <w:marLeft w:val="0"/>
      <w:marRight w:val="0"/>
      <w:marTop w:val="0"/>
      <w:marBottom w:val="0"/>
      <w:divBdr>
        <w:top w:val="none" w:sz="0" w:space="0" w:color="auto"/>
        <w:left w:val="none" w:sz="0" w:space="0" w:color="auto"/>
        <w:bottom w:val="none" w:sz="0" w:space="0" w:color="auto"/>
        <w:right w:val="none" w:sz="0" w:space="0" w:color="auto"/>
      </w:divBdr>
      <w:divsChild>
        <w:div w:id="340549556">
          <w:marLeft w:val="1166"/>
          <w:marRight w:val="0"/>
          <w:marTop w:val="91"/>
          <w:marBottom w:val="0"/>
          <w:divBdr>
            <w:top w:val="none" w:sz="0" w:space="0" w:color="auto"/>
            <w:left w:val="none" w:sz="0" w:space="0" w:color="auto"/>
            <w:bottom w:val="none" w:sz="0" w:space="0" w:color="auto"/>
            <w:right w:val="none" w:sz="0" w:space="0" w:color="auto"/>
          </w:divBdr>
        </w:div>
        <w:div w:id="580288357">
          <w:marLeft w:val="1166"/>
          <w:marRight w:val="0"/>
          <w:marTop w:val="91"/>
          <w:marBottom w:val="0"/>
          <w:divBdr>
            <w:top w:val="none" w:sz="0" w:space="0" w:color="auto"/>
            <w:left w:val="none" w:sz="0" w:space="0" w:color="auto"/>
            <w:bottom w:val="none" w:sz="0" w:space="0" w:color="auto"/>
            <w:right w:val="none" w:sz="0" w:space="0" w:color="auto"/>
          </w:divBdr>
        </w:div>
        <w:div w:id="642007337">
          <w:marLeft w:val="806"/>
          <w:marRight w:val="0"/>
          <w:marTop w:val="106"/>
          <w:marBottom w:val="0"/>
          <w:divBdr>
            <w:top w:val="none" w:sz="0" w:space="0" w:color="auto"/>
            <w:left w:val="none" w:sz="0" w:space="0" w:color="auto"/>
            <w:bottom w:val="none" w:sz="0" w:space="0" w:color="auto"/>
            <w:right w:val="none" w:sz="0" w:space="0" w:color="auto"/>
          </w:divBdr>
        </w:div>
        <w:div w:id="1038436898">
          <w:marLeft w:val="1166"/>
          <w:marRight w:val="0"/>
          <w:marTop w:val="91"/>
          <w:marBottom w:val="0"/>
          <w:divBdr>
            <w:top w:val="none" w:sz="0" w:space="0" w:color="auto"/>
            <w:left w:val="none" w:sz="0" w:space="0" w:color="auto"/>
            <w:bottom w:val="none" w:sz="0" w:space="0" w:color="auto"/>
            <w:right w:val="none" w:sz="0" w:space="0" w:color="auto"/>
          </w:divBdr>
        </w:div>
        <w:div w:id="1686974363">
          <w:marLeft w:val="806"/>
          <w:marRight w:val="0"/>
          <w:marTop w:val="106"/>
          <w:marBottom w:val="0"/>
          <w:divBdr>
            <w:top w:val="none" w:sz="0" w:space="0" w:color="auto"/>
            <w:left w:val="none" w:sz="0" w:space="0" w:color="auto"/>
            <w:bottom w:val="none" w:sz="0" w:space="0" w:color="auto"/>
            <w:right w:val="none" w:sz="0" w:space="0" w:color="auto"/>
          </w:divBdr>
        </w:div>
      </w:divsChild>
    </w:div>
    <w:div w:id="1973364809">
      <w:bodyDiv w:val="1"/>
      <w:marLeft w:val="0"/>
      <w:marRight w:val="0"/>
      <w:marTop w:val="0"/>
      <w:marBottom w:val="0"/>
      <w:divBdr>
        <w:top w:val="none" w:sz="0" w:space="0" w:color="auto"/>
        <w:left w:val="none" w:sz="0" w:space="0" w:color="auto"/>
        <w:bottom w:val="none" w:sz="0" w:space="0" w:color="auto"/>
        <w:right w:val="none" w:sz="0" w:space="0" w:color="auto"/>
      </w:divBdr>
      <w:divsChild>
        <w:div w:id="125896673">
          <w:marLeft w:val="806"/>
          <w:marRight w:val="0"/>
          <w:marTop w:val="106"/>
          <w:marBottom w:val="0"/>
          <w:divBdr>
            <w:top w:val="none" w:sz="0" w:space="0" w:color="auto"/>
            <w:left w:val="none" w:sz="0" w:space="0" w:color="auto"/>
            <w:bottom w:val="none" w:sz="0" w:space="0" w:color="auto"/>
            <w:right w:val="none" w:sz="0" w:space="0" w:color="auto"/>
          </w:divBdr>
        </w:div>
        <w:div w:id="670184818">
          <w:marLeft w:val="806"/>
          <w:marRight w:val="0"/>
          <w:marTop w:val="106"/>
          <w:marBottom w:val="0"/>
          <w:divBdr>
            <w:top w:val="none" w:sz="0" w:space="0" w:color="auto"/>
            <w:left w:val="none" w:sz="0" w:space="0" w:color="auto"/>
            <w:bottom w:val="none" w:sz="0" w:space="0" w:color="auto"/>
            <w:right w:val="none" w:sz="0" w:space="0" w:color="auto"/>
          </w:divBdr>
        </w:div>
        <w:div w:id="710763520">
          <w:marLeft w:val="1440"/>
          <w:marRight w:val="0"/>
          <w:marTop w:val="91"/>
          <w:marBottom w:val="0"/>
          <w:divBdr>
            <w:top w:val="none" w:sz="0" w:space="0" w:color="auto"/>
            <w:left w:val="none" w:sz="0" w:space="0" w:color="auto"/>
            <w:bottom w:val="none" w:sz="0" w:space="0" w:color="auto"/>
            <w:right w:val="none" w:sz="0" w:space="0" w:color="auto"/>
          </w:divBdr>
        </w:div>
        <w:div w:id="870606857">
          <w:marLeft w:val="1440"/>
          <w:marRight w:val="0"/>
          <w:marTop w:val="91"/>
          <w:marBottom w:val="0"/>
          <w:divBdr>
            <w:top w:val="none" w:sz="0" w:space="0" w:color="auto"/>
            <w:left w:val="none" w:sz="0" w:space="0" w:color="auto"/>
            <w:bottom w:val="none" w:sz="0" w:space="0" w:color="auto"/>
            <w:right w:val="none" w:sz="0" w:space="0" w:color="auto"/>
          </w:divBdr>
        </w:div>
        <w:div w:id="1066489250">
          <w:marLeft w:val="1440"/>
          <w:marRight w:val="0"/>
          <w:marTop w:val="91"/>
          <w:marBottom w:val="0"/>
          <w:divBdr>
            <w:top w:val="none" w:sz="0" w:space="0" w:color="auto"/>
            <w:left w:val="none" w:sz="0" w:space="0" w:color="auto"/>
            <w:bottom w:val="none" w:sz="0" w:space="0" w:color="auto"/>
            <w:right w:val="none" w:sz="0" w:space="0" w:color="auto"/>
          </w:divBdr>
        </w:div>
        <w:div w:id="1195923415">
          <w:marLeft w:val="806"/>
          <w:marRight w:val="0"/>
          <w:marTop w:val="106"/>
          <w:marBottom w:val="0"/>
          <w:divBdr>
            <w:top w:val="none" w:sz="0" w:space="0" w:color="auto"/>
            <w:left w:val="none" w:sz="0" w:space="0" w:color="auto"/>
            <w:bottom w:val="none" w:sz="0" w:space="0" w:color="auto"/>
            <w:right w:val="none" w:sz="0" w:space="0" w:color="auto"/>
          </w:divBdr>
        </w:div>
        <w:div w:id="2074497780">
          <w:marLeft w:val="1440"/>
          <w:marRight w:val="0"/>
          <w:marTop w:val="91"/>
          <w:marBottom w:val="0"/>
          <w:divBdr>
            <w:top w:val="none" w:sz="0" w:space="0" w:color="auto"/>
            <w:left w:val="none" w:sz="0" w:space="0" w:color="auto"/>
            <w:bottom w:val="none" w:sz="0" w:space="0" w:color="auto"/>
            <w:right w:val="none" w:sz="0" w:space="0" w:color="auto"/>
          </w:divBdr>
        </w:div>
      </w:divsChild>
    </w:div>
    <w:div w:id="20262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msac.gov.au/internet/msac/publishing.nsf/Content/msac-terms-of-referen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image" Target="media/image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tga.gov.au/resource/clinical-evidence-guidelines-medical-de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32" Type="http://schemas.openxmlformats.org/officeDocument/2006/relationships/hyperlink" Target="https://www1.health.gov.au/internet/hta/publishing.nsf/Content/policy-1"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health.gov.au/committees-and-groups/prostheses-list-advisory-committee-plac" TargetMode="External"/><Relationship Id="rId28" Type="http://schemas.openxmlformats.org/officeDocument/2006/relationships/hyperlink" Target="https://www.health.gov.au/health-topics/private-health-insurance/the-prostheses-list/the-prostheses-list-reforms" TargetMode="Externa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www.msac.gov.au/internet/msac/publishing.nsf/Content/E0D4E4EDDE91EAC8CA2586E0007AFC75/$File/MSAC%20Guidelines-complete-16-FINAL(18May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pbs.gov.au/pbs/industry/listing/participants/pbac" TargetMode="External"/><Relationship Id="rId27" Type="http://schemas.openxmlformats.org/officeDocument/2006/relationships/image" Target="media/image7.png"/><Relationship Id="rId30" Type="http://schemas.openxmlformats.org/officeDocument/2006/relationships/hyperlink" Target="https://pbac.pbs.gov.au/content/information/files/pbac-guidelines-version-5.pdf"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42F0C1-6B9E-4A46-9D8B-EF0ED713003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47225106-B0D6-4B4B-8D6C-79C6EE8E1EB0}">
      <dgm:prSet phldrT="[Text]" custT="1"/>
      <dgm:spPr/>
      <dgm:t>
        <a:bodyPr/>
        <a:lstStyle/>
        <a:p>
          <a:r>
            <a:rPr lang="en-US" sz="1100"/>
            <a:t>Desktop Review</a:t>
          </a:r>
        </a:p>
      </dgm:t>
    </dgm:pt>
    <dgm:pt modelId="{47D1CFA2-59FE-422F-88D3-2802952F33CA}" type="parTrans" cxnId="{FEBF12D4-FC6F-4BD4-BD43-FA088CD3940B}">
      <dgm:prSet/>
      <dgm:spPr/>
      <dgm:t>
        <a:bodyPr/>
        <a:lstStyle/>
        <a:p>
          <a:endParaRPr lang="en-US"/>
        </a:p>
      </dgm:t>
    </dgm:pt>
    <dgm:pt modelId="{D1B1E9B6-3296-413D-BAC4-B4277B76FDA8}" type="sibTrans" cxnId="{FEBF12D4-FC6F-4BD4-BD43-FA088CD3940B}">
      <dgm:prSet/>
      <dgm:spPr/>
      <dgm:t>
        <a:bodyPr/>
        <a:lstStyle/>
        <a:p>
          <a:endParaRPr lang="en-US"/>
        </a:p>
      </dgm:t>
    </dgm:pt>
    <dgm:pt modelId="{E527C17F-16D0-4F4C-B9AD-2A6E7A8BCA22}">
      <dgm:prSet phldrT="[Text]" custT="1"/>
      <dgm:spPr/>
      <dgm:t>
        <a:bodyPr/>
        <a:lstStyle/>
        <a:p>
          <a:r>
            <a:rPr lang="en-AU" sz="1100"/>
            <a:t>Review of materials provided by the Department on current PL processes</a:t>
          </a:r>
          <a:endParaRPr lang="en-US" sz="1100"/>
        </a:p>
      </dgm:t>
      <dgm:extLst>
        <a:ext uri="{E40237B7-FDA0-4F09-8148-C483321AD2D9}">
          <dgm14:cNvPr xmlns:dgm14="http://schemas.microsoft.com/office/drawing/2010/diagram" id="0" name="" descr="flowchart of the methods undertaken during the preparation of the report" title="Methodology for the development of an assessment framework and governance structure for applications to the Prostheses List"/>
        </a:ext>
      </dgm:extLst>
    </dgm:pt>
    <dgm:pt modelId="{B4CFD7BB-023C-47DB-A58C-530C665897F4}" type="parTrans" cxnId="{D80004D6-BDE2-4822-B2D8-32A19EDE2167}">
      <dgm:prSet/>
      <dgm:spPr/>
      <dgm:t>
        <a:bodyPr/>
        <a:lstStyle/>
        <a:p>
          <a:endParaRPr lang="en-US"/>
        </a:p>
      </dgm:t>
    </dgm:pt>
    <dgm:pt modelId="{B794D87D-3379-4AF1-BEDF-0BF4010B9B4B}" type="sibTrans" cxnId="{D80004D6-BDE2-4822-B2D8-32A19EDE2167}">
      <dgm:prSet/>
      <dgm:spPr/>
      <dgm:t>
        <a:bodyPr/>
        <a:lstStyle/>
        <a:p>
          <a:endParaRPr lang="en-US"/>
        </a:p>
      </dgm:t>
    </dgm:pt>
    <dgm:pt modelId="{3B1E39FC-DD14-482B-9760-41C0C6FE43F5}">
      <dgm:prSet phldrT="[Text]" custT="1"/>
      <dgm:spPr/>
      <dgm:t>
        <a:bodyPr/>
        <a:lstStyle/>
        <a:p>
          <a:r>
            <a:rPr lang="en-US" sz="1100"/>
            <a:t>Consultation on Processes</a:t>
          </a:r>
        </a:p>
      </dgm:t>
    </dgm:pt>
    <dgm:pt modelId="{A2C34380-F19D-43CC-B9EC-B7468CCACD25}" type="parTrans" cxnId="{C8C837C4-2DEB-45D6-BED3-A7C743DED463}">
      <dgm:prSet/>
      <dgm:spPr/>
      <dgm:t>
        <a:bodyPr/>
        <a:lstStyle/>
        <a:p>
          <a:endParaRPr lang="en-US"/>
        </a:p>
      </dgm:t>
    </dgm:pt>
    <dgm:pt modelId="{FFA6EA9C-763C-4643-887C-80CCD08DF614}" type="sibTrans" cxnId="{C8C837C4-2DEB-45D6-BED3-A7C743DED463}">
      <dgm:prSet/>
      <dgm:spPr/>
      <dgm:t>
        <a:bodyPr/>
        <a:lstStyle/>
        <a:p>
          <a:endParaRPr lang="en-US"/>
        </a:p>
      </dgm:t>
    </dgm:pt>
    <dgm:pt modelId="{C7CD4D74-FC0C-48FB-9687-1DF896044DDD}">
      <dgm:prSet phldrT="[Text]" custT="1"/>
      <dgm:spPr/>
      <dgm:t>
        <a:bodyPr/>
        <a:lstStyle/>
        <a:p>
          <a:r>
            <a:rPr lang="en-US" sz="1100"/>
            <a:t>Consultation with Chair of the existing PLAC</a:t>
          </a:r>
        </a:p>
      </dgm:t>
      <dgm:extLst>
        <a:ext uri="{E40237B7-FDA0-4F09-8148-C483321AD2D9}">
          <dgm14:cNvPr xmlns:dgm14="http://schemas.microsoft.com/office/drawing/2010/diagram" id="0" name="" descr="flowchart of methodological steps taken during the preparation of this report" title="Methodology for development of assessment framework and governance structure for applications to the PL"/>
        </a:ext>
      </dgm:extLst>
    </dgm:pt>
    <dgm:pt modelId="{B0EAFD8A-47CA-403A-AA57-8602735D0E07}" type="parTrans" cxnId="{5D88C87D-8309-4A00-865A-0AE10B04B22F}">
      <dgm:prSet/>
      <dgm:spPr/>
      <dgm:t>
        <a:bodyPr/>
        <a:lstStyle/>
        <a:p>
          <a:endParaRPr lang="en-US"/>
        </a:p>
      </dgm:t>
    </dgm:pt>
    <dgm:pt modelId="{9279762F-F3B1-4813-8576-37072A2F1646}" type="sibTrans" cxnId="{5D88C87D-8309-4A00-865A-0AE10B04B22F}">
      <dgm:prSet/>
      <dgm:spPr/>
      <dgm:t>
        <a:bodyPr/>
        <a:lstStyle/>
        <a:p>
          <a:endParaRPr lang="en-US"/>
        </a:p>
      </dgm:t>
    </dgm:pt>
    <dgm:pt modelId="{D4DC9186-B0E1-462B-87B2-C91A11D2064A}">
      <dgm:prSet phldrT="[Text]" custT="1"/>
      <dgm:spPr/>
      <dgm:t>
        <a:bodyPr/>
        <a:lstStyle/>
        <a:p>
          <a:r>
            <a:rPr lang="en-US" sz="1100"/>
            <a:t>Consultation with Departmental representatives involved with administering the PL</a:t>
          </a:r>
        </a:p>
      </dgm:t>
    </dgm:pt>
    <dgm:pt modelId="{7F79F0F8-90C9-4FD4-AA24-2C93425F8B0A}" type="parTrans" cxnId="{13C52BBB-D91F-42B0-9DF2-A4193F1A8F05}">
      <dgm:prSet/>
      <dgm:spPr/>
      <dgm:t>
        <a:bodyPr/>
        <a:lstStyle/>
        <a:p>
          <a:endParaRPr lang="en-US"/>
        </a:p>
      </dgm:t>
    </dgm:pt>
    <dgm:pt modelId="{A59029E2-5118-4284-9DE3-6F9946136F35}" type="sibTrans" cxnId="{13C52BBB-D91F-42B0-9DF2-A4193F1A8F05}">
      <dgm:prSet/>
      <dgm:spPr/>
      <dgm:t>
        <a:bodyPr/>
        <a:lstStyle/>
        <a:p>
          <a:endParaRPr lang="en-US"/>
        </a:p>
      </dgm:t>
    </dgm:pt>
    <dgm:pt modelId="{B25C8943-3A5B-48B9-B9CA-3E8094F2CD68}">
      <dgm:prSet phldrT="[Text]" custT="1"/>
      <dgm:spPr/>
      <dgm:t>
        <a:bodyPr/>
        <a:lstStyle/>
        <a:p>
          <a:r>
            <a:rPr lang="en-US" sz="1100"/>
            <a:t>Assessment of Existing HTA Processes</a:t>
          </a:r>
        </a:p>
      </dgm:t>
    </dgm:pt>
    <dgm:pt modelId="{EECE65D7-D29E-4CE0-BD81-EE5324C03FDB}" type="parTrans" cxnId="{53DCE759-1047-42A2-967F-C6946EAAD4AE}">
      <dgm:prSet/>
      <dgm:spPr/>
      <dgm:t>
        <a:bodyPr/>
        <a:lstStyle/>
        <a:p>
          <a:endParaRPr lang="en-US"/>
        </a:p>
      </dgm:t>
    </dgm:pt>
    <dgm:pt modelId="{DFB60827-CB18-4352-9300-E21BE0B369CC}" type="sibTrans" cxnId="{53DCE759-1047-42A2-967F-C6946EAAD4AE}">
      <dgm:prSet/>
      <dgm:spPr/>
      <dgm:t>
        <a:bodyPr/>
        <a:lstStyle/>
        <a:p>
          <a:endParaRPr lang="en-US"/>
        </a:p>
      </dgm:t>
    </dgm:pt>
    <dgm:pt modelId="{A5C28E58-5D2D-479B-A42B-8B0482DFEBA2}">
      <dgm:prSet phldrT="[Text]" custT="1"/>
      <dgm:spPr/>
      <dgm:t>
        <a:bodyPr/>
        <a:lstStyle/>
        <a:p>
          <a:r>
            <a:rPr lang="en-AU" sz="1100"/>
            <a:t>Review of the objectives of existing HTA processes in the Department</a:t>
          </a:r>
          <a:endParaRPr lang="en-US" sz="1100"/>
        </a:p>
      </dgm:t>
    </dgm:pt>
    <dgm:pt modelId="{2D60DB54-C54C-460E-844F-B320607D1964}" type="parTrans" cxnId="{2B190FC7-E418-470B-A7AC-0AE4C98AC2CF}">
      <dgm:prSet/>
      <dgm:spPr/>
      <dgm:t>
        <a:bodyPr/>
        <a:lstStyle/>
        <a:p>
          <a:endParaRPr lang="en-US"/>
        </a:p>
      </dgm:t>
    </dgm:pt>
    <dgm:pt modelId="{E789884F-64DA-44FF-BAF3-75450A90E707}" type="sibTrans" cxnId="{2B190FC7-E418-470B-A7AC-0AE4C98AC2CF}">
      <dgm:prSet/>
      <dgm:spPr/>
      <dgm:t>
        <a:bodyPr/>
        <a:lstStyle/>
        <a:p>
          <a:endParaRPr lang="en-US"/>
        </a:p>
      </dgm:t>
    </dgm:pt>
    <dgm:pt modelId="{C0A51EEF-E4DC-4338-ACCE-3E0C6FE9C1EA}">
      <dgm:prSet phldrT="[Text]" custT="1"/>
      <dgm:spPr/>
      <dgm:t>
        <a:bodyPr/>
        <a:lstStyle/>
        <a:p>
          <a:r>
            <a:rPr lang="en-AU" sz="1100"/>
            <a:t>Review of the general principles of Australian HTA decision-making bodies responsible for the listing and public funding of medical services (including tests and devices), medicines and vaccines</a:t>
          </a:r>
          <a:endParaRPr lang="en-US" sz="1100"/>
        </a:p>
      </dgm:t>
    </dgm:pt>
    <dgm:pt modelId="{9B44774F-ACFA-4946-8E38-B1BBD76D3C45}" type="parTrans" cxnId="{15BC8F88-79DC-4DA8-AF1E-652C66E13AFB}">
      <dgm:prSet/>
      <dgm:spPr/>
      <dgm:t>
        <a:bodyPr/>
        <a:lstStyle/>
        <a:p>
          <a:endParaRPr lang="en-US"/>
        </a:p>
      </dgm:t>
    </dgm:pt>
    <dgm:pt modelId="{7A3312D6-B2C8-4709-BA6D-E4878CDFCBC6}" type="sibTrans" cxnId="{15BC8F88-79DC-4DA8-AF1E-652C66E13AFB}">
      <dgm:prSet/>
      <dgm:spPr/>
      <dgm:t>
        <a:bodyPr/>
        <a:lstStyle/>
        <a:p>
          <a:endParaRPr lang="en-US"/>
        </a:p>
      </dgm:t>
    </dgm:pt>
    <dgm:pt modelId="{3F0551CA-ACEA-443C-BE15-4896DAB6F4B0}">
      <dgm:prSet custT="1"/>
      <dgm:spPr/>
      <dgm:t>
        <a:bodyPr/>
        <a:lstStyle/>
        <a:p>
          <a:r>
            <a:rPr lang="en-US" sz="1100"/>
            <a:t>Develop Governance Options</a:t>
          </a:r>
        </a:p>
      </dgm:t>
    </dgm:pt>
    <dgm:pt modelId="{9475FDB1-BE52-4801-BDC8-860C90E0E26E}" type="parTrans" cxnId="{53CA6138-C983-4B9B-9D50-76727E401A22}">
      <dgm:prSet/>
      <dgm:spPr/>
      <dgm:t>
        <a:bodyPr/>
        <a:lstStyle/>
        <a:p>
          <a:endParaRPr lang="en-US"/>
        </a:p>
      </dgm:t>
    </dgm:pt>
    <dgm:pt modelId="{E62FBFFA-8FD1-4EE4-860E-F8441ADBC6C5}" type="sibTrans" cxnId="{53CA6138-C983-4B9B-9D50-76727E401A22}">
      <dgm:prSet/>
      <dgm:spPr/>
      <dgm:t>
        <a:bodyPr/>
        <a:lstStyle/>
        <a:p>
          <a:endParaRPr lang="en-US"/>
        </a:p>
      </dgm:t>
    </dgm:pt>
    <dgm:pt modelId="{B43F7356-E38B-4DD0-BCD1-501A3853DEB8}">
      <dgm:prSet custT="1"/>
      <dgm:spPr/>
      <dgm:t>
        <a:bodyPr/>
        <a:lstStyle/>
        <a:p>
          <a:r>
            <a:rPr lang="en-AU" sz="1100"/>
            <a:t>Development of options for possible governance structures that would meet HTA principles identified above</a:t>
          </a:r>
          <a:endParaRPr lang="en-US" sz="1100"/>
        </a:p>
      </dgm:t>
    </dgm:pt>
    <dgm:pt modelId="{BFA7A5E2-EF8E-446D-8D2E-319CDD60B0F2}" type="parTrans" cxnId="{C6C262D8-2FEA-4E2C-800D-422D523D461B}">
      <dgm:prSet/>
      <dgm:spPr/>
      <dgm:t>
        <a:bodyPr/>
        <a:lstStyle/>
        <a:p>
          <a:endParaRPr lang="en-US"/>
        </a:p>
      </dgm:t>
    </dgm:pt>
    <dgm:pt modelId="{00D645E7-F2E9-4550-A383-463D72A0FAA4}" type="sibTrans" cxnId="{C6C262D8-2FEA-4E2C-800D-422D523D461B}">
      <dgm:prSet/>
      <dgm:spPr/>
      <dgm:t>
        <a:bodyPr/>
        <a:lstStyle/>
        <a:p>
          <a:endParaRPr lang="en-US"/>
        </a:p>
      </dgm:t>
    </dgm:pt>
    <dgm:pt modelId="{876A7186-0C72-44D9-BD66-F831F4E00FBE}">
      <dgm:prSet custT="1"/>
      <dgm:spPr/>
      <dgm:t>
        <a:bodyPr/>
        <a:lstStyle/>
        <a:p>
          <a:r>
            <a:rPr lang="en-AU" sz="1100"/>
            <a:t>Consideration of the benefits and risks of the proposed alternative governance structures</a:t>
          </a:r>
          <a:endParaRPr lang="en-US" sz="1100"/>
        </a:p>
      </dgm:t>
    </dgm:pt>
    <dgm:pt modelId="{24A9A013-6C3F-4CA2-B076-67A33C56FCE4}" type="parTrans" cxnId="{F03F841B-BA55-4A4E-ADBF-84C368860A32}">
      <dgm:prSet/>
      <dgm:spPr/>
      <dgm:t>
        <a:bodyPr/>
        <a:lstStyle/>
        <a:p>
          <a:endParaRPr lang="en-US"/>
        </a:p>
      </dgm:t>
    </dgm:pt>
    <dgm:pt modelId="{1892EA5C-04D7-4AF3-898A-20D0A00938E5}" type="sibTrans" cxnId="{F03F841B-BA55-4A4E-ADBF-84C368860A32}">
      <dgm:prSet/>
      <dgm:spPr/>
      <dgm:t>
        <a:bodyPr/>
        <a:lstStyle/>
        <a:p>
          <a:endParaRPr lang="en-US"/>
        </a:p>
      </dgm:t>
    </dgm:pt>
    <dgm:pt modelId="{952FB2FB-C353-4694-938A-50EFE736F130}">
      <dgm:prSet phldrT="[Text]" custT="1"/>
      <dgm:spPr/>
      <dgm:t>
        <a:bodyPr/>
        <a:lstStyle/>
        <a:p>
          <a:r>
            <a:rPr lang="en-US" sz="1100"/>
            <a:t>Review of TGA evaluation processes</a:t>
          </a:r>
        </a:p>
      </dgm:t>
    </dgm:pt>
    <dgm:pt modelId="{584DC6AF-2EA5-4968-B549-69B58C2CA65E}" type="sibTrans" cxnId="{F540FB2A-ECF5-471F-82DB-303110B766FE}">
      <dgm:prSet/>
      <dgm:spPr/>
      <dgm:t>
        <a:bodyPr/>
        <a:lstStyle/>
        <a:p>
          <a:endParaRPr lang="en-US"/>
        </a:p>
      </dgm:t>
    </dgm:pt>
    <dgm:pt modelId="{4A7B86A6-48A6-40E1-B523-358435528A95}" type="parTrans" cxnId="{F540FB2A-ECF5-471F-82DB-303110B766FE}">
      <dgm:prSet/>
      <dgm:spPr/>
      <dgm:t>
        <a:bodyPr/>
        <a:lstStyle/>
        <a:p>
          <a:endParaRPr lang="en-US"/>
        </a:p>
      </dgm:t>
    </dgm:pt>
    <dgm:pt modelId="{44D0A8F3-7548-4616-A854-2CCB8A2FC92C}">
      <dgm:prSet phldrT="[Text]" custT="1"/>
      <dgm:spPr/>
      <dgm:t>
        <a:bodyPr/>
        <a:lstStyle/>
        <a:p>
          <a:r>
            <a:rPr lang="en-US" sz="1100"/>
            <a:t>Review of selected TGA device assessments</a:t>
          </a:r>
        </a:p>
      </dgm:t>
    </dgm:pt>
    <dgm:pt modelId="{9EDFDCF7-E08D-408B-8C52-4E3772D90CC1}" type="sibTrans" cxnId="{30BA9E11-A8D3-4830-8C9E-CDC3F2244CF8}">
      <dgm:prSet/>
      <dgm:spPr/>
      <dgm:t>
        <a:bodyPr/>
        <a:lstStyle/>
        <a:p>
          <a:endParaRPr lang="en-US"/>
        </a:p>
      </dgm:t>
    </dgm:pt>
    <dgm:pt modelId="{F4F937F9-A35E-4782-9342-7DC2472C0B7F}" type="parTrans" cxnId="{30BA9E11-A8D3-4830-8C9E-CDC3F2244CF8}">
      <dgm:prSet/>
      <dgm:spPr/>
      <dgm:t>
        <a:bodyPr/>
        <a:lstStyle/>
        <a:p>
          <a:endParaRPr lang="en-US"/>
        </a:p>
      </dgm:t>
    </dgm:pt>
    <dgm:pt modelId="{AE13CA98-8DDF-495D-88E6-D2885E162586}" type="pres">
      <dgm:prSet presAssocID="{4C42F0C1-6B9E-4A46-9D8B-EF0ED7130036}" presName="linearFlow" presStyleCnt="0">
        <dgm:presLayoutVars>
          <dgm:dir/>
          <dgm:animLvl val="lvl"/>
          <dgm:resizeHandles val="exact"/>
        </dgm:presLayoutVars>
      </dgm:prSet>
      <dgm:spPr/>
    </dgm:pt>
    <dgm:pt modelId="{1A565D68-BB38-43D0-9931-8C94BE7DF2BA}" type="pres">
      <dgm:prSet presAssocID="{47225106-B0D6-4B4B-8D6C-79C6EE8E1EB0}" presName="composite" presStyleCnt="0"/>
      <dgm:spPr/>
    </dgm:pt>
    <dgm:pt modelId="{A5F83CD3-CADB-4F0E-9D12-F04C52F7DD56}" type="pres">
      <dgm:prSet presAssocID="{47225106-B0D6-4B4B-8D6C-79C6EE8E1EB0}" presName="parentText" presStyleLbl="alignNode1" presStyleIdx="0" presStyleCnt="4">
        <dgm:presLayoutVars>
          <dgm:chMax val="1"/>
          <dgm:bulletEnabled val="1"/>
        </dgm:presLayoutVars>
      </dgm:prSet>
      <dgm:spPr/>
    </dgm:pt>
    <dgm:pt modelId="{89650430-71F5-434D-9BD1-7A607698BEAA}" type="pres">
      <dgm:prSet presAssocID="{47225106-B0D6-4B4B-8D6C-79C6EE8E1EB0}" presName="descendantText" presStyleLbl="alignAcc1" presStyleIdx="0" presStyleCnt="4">
        <dgm:presLayoutVars>
          <dgm:bulletEnabled val="1"/>
        </dgm:presLayoutVars>
      </dgm:prSet>
      <dgm:spPr/>
    </dgm:pt>
    <dgm:pt modelId="{1255535D-CB99-4836-8361-F728A208FE7A}" type="pres">
      <dgm:prSet presAssocID="{D1B1E9B6-3296-413D-BAC4-B4277B76FDA8}" presName="sp" presStyleCnt="0"/>
      <dgm:spPr/>
    </dgm:pt>
    <dgm:pt modelId="{CDE9226A-4ECF-4813-AA6B-58F7AF3C2ABE}" type="pres">
      <dgm:prSet presAssocID="{3B1E39FC-DD14-482B-9760-41C0C6FE43F5}" presName="composite" presStyleCnt="0"/>
      <dgm:spPr/>
    </dgm:pt>
    <dgm:pt modelId="{A404DE4B-662B-4B46-848B-65B26D79B745}" type="pres">
      <dgm:prSet presAssocID="{3B1E39FC-DD14-482B-9760-41C0C6FE43F5}" presName="parentText" presStyleLbl="alignNode1" presStyleIdx="1" presStyleCnt="4">
        <dgm:presLayoutVars>
          <dgm:chMax val="1"/>
          <dgm:bulletEnabled val="1"/>
        </dgm:presLayoutVars>
      </dgm:prSet>
      <dgm:spPr/>
    </dgm:pt>
    <dgm:pt modelId="{F275C8C7-8839-443F-98E9-84B4B7FA2668}" type="pres">
      <dgm:prSet presAssocID="{3B1E39FC-DD14-482B-9760-41C0C6FE43F5}" presName="descendantText" presStyleLbl="alignAcc1" presStyleIdx="1" presStyleCnt="4">
        <dgm:presLayoutVars>
          <dgm:bulletEnabled val="1"/>
        </dgm:presLayoutVars>
      </dgm:prSet>
      <dgm:spPr/>
    </dgm:pt>
    <dgm:pt modelId="{D508C634-F228-4C1B-A8D5-0AA8874EB6BA}" type="pres">
      <dgm:prSet presAssocID="{FFA6EA9C-763C-4643-887C-80CCD08DF614}" presName="sp" presStyleCnt="0"/>
      <dgm:spPr/>
    </dgm:pt>
    <dgm:pt modelId="{E8658B6C-050C-49F9-A65E-51CFE199AC93}" type="pres">
      <dgm:prSet presAssocID="{B25C8943-3A5B-48B9-B9CA-3E8094F2CD68}" presName="composite" presStyleCnt="0"/>
      <dgm:spPr/>
    </dgm:pt>
    <dgm:pt modelId="{71F23755-BAB4-4609-9822-8D17C1BD2D64}" type="pres">
      <dgm:prSet presAssocID="{B25C8943-3A5B-48B9-B9CA-3E8094F2CD68}" presName="parentText" presStyleLbl="alignNode1" presStyleIdx="2" presStyleCnt="4">
        <dgm:presLayoutVars>
          <dgm:chMax val="1"/>
          <dgm:bulletEnabled val="1"/>
        </dgm:presLayoutVars>
      </dgm:prSet>
      <dgm:spPr/>
    </dgm:pt>
    <dgm:pt modelId="{8AE316C1-8DA9-4612-9C31-CF0C2E06D4E3}" type="pres">
      <dgm:prSet presAssocID="{B25C8943-3A5B-48B9-B9CA-3E8094F2CD68}" presName="descendantText" presStyleLbl="alignAcc1" presStyleIdx="2" presStyleCnt="4">
        <dgm:presLayoutVars>
          <dgm:bulletEnabled val="1"/>
        </dgm:presLayoutVars>
      </dgm:prSet>
      <dgm:spPr/>
    </dgm:pt>
    <dgm:pt modelId="{A4D7BACB-37C2-47B6-97C0-8A75D75BD25F}" type="pres">
      <dgm:prSet presAssocID="{DFB60827-CB18-4352-9300-E21BE0B369CC}" presName="sp" presStyleCnt="0"/>
      <dgm:spPr/>
    </dgm:pt>
    <dgm:pt modelId="{36271E40-EF88-41F5-9D30-57FFD4C66CA3}" type="pres">
      <dgm:prSet presAssocID="{3F0551CA-ACEA-443C-BE15-4896DAB6F4B0}" presName="composite" presStyleCnt="0"/>
      <dgm:spPr/>
    </dgm:pt>
    <dgm:pt modelId="{CAE81943-3BE3-4606-ABD7-C65EC41CB8CF}" type="pres">
      <dgm:prSet presAssocID="{3F0551CA-ACEA-443C-BE15-4896DAB6F4B0}" presName="parentText" presStyleLbl="alignNode1" presStyleIdx="3" presStyleCnt="4">
        <dgm:presLayoutVars>
          <dgm:chMax val="1"/>
          <dgm:bulletEnabled val="1"/>
        </dgm:presLayoutVars>
      </dgm:prSet>
      <dgm:spPr/>
    </dgm:pt>
    <dgm:pt modelId="{B955DB60-641A-400C-A82F-C38430259046}" type="pres">
      <dgm:prSet presAssocID="{3F0551CA-ACEA-443C-BE15-4896DAB6F4B0}" presName="descendantText" presStyleLbl="alignAcc1" presStyleIdx="3" presStyleCnt="4">
        <dgm:presLayoutVars>
          <dgm:bulletEnabled val="1"/>
        </dgm:presLayoutVars>
      </dgm:prSet>
      <dgm:spPr/>
    </dgm:pt>
  </dgm:ptLst>
  <dgm:cxnLst>
    <dgm:cxn modelId="{EF7A570C-512A-486E-A77A-B4C21838F7EB}" type="presOf" srcId="{4C42F0C1-6B9E-4A46-9D8B-EF0ED7130036}" destId="{AE13CA98-8DDF-495D-88E6-D2885E162586}" srcOrd="0" destOrd="0" presId="urn:microsoft.com/office/officeart/2005/8/layout/chevron2"/>
    <dgm:cxn modelId="{C1537E10-F7B1-43AC-8179-D1E10CCFA78F}" type="presOf" srcId="{3F0551CA-ACEA-443C-BE15-4896DAB6F4B0}" destId="{CAE81943-3BE3-4606-ABD7-C65EC41CB8CF}" srcOrd="0" destOrd="0" presId="urn:microsoft.com/office/officeart/2005/8/layout/chevron2"/>
    <dgm:cxn modelId="{80714111-B32E-465D-9B72-38A1553A8C05}" type="presOf" srcId="{A5C28E58-5D2D-479B-A42B-8B0482DFEBA2}" destId="{8AE316C1-8DA9-4612-9C31-CF0C2E06D4E3}" srcOrd="0" destOrd="0" presId="urn:microsoft.com/office/officeart/2005/8/layout/chevron2"/>
    <dgm:cxn modelId="{30BA9E11-A8D3-4830-8C9E-CDC3F2244CF8}" srcId="{47225106-B0D6-4B4B-8D6C-79C6EE8E1EB0}" destId="{44D0A8F3-7548-4616-A854-2CCB8A2FC92C}" srcOrd="2" destOrd="0" parTransId="{F4F937F9-A35E-4782-9342-7DC2472C0B7F}" sibTransId="{9EDFDCF7-E08D-408B-8C52-4E3772D90CC1}"/>
    <dgm:cxn modelId="{F03F841B-BA55-4A4E-ADBF-84C368860A32}" srcId="{3F0551CA-ACEA-443C-BE15-4896DAB6F4B0}" destId="{876A7186-0C72-44D9-BD66-F831F4E00FBE}" srcOrd="1" destOrd="0" parTransId="{24A9A013-6C3F-4CA2-B076-67A33C56FCE4}" sibTransId="{1892EA5C-04D7-4AF3-898A-20D0A00938E5}"/>
    <dgm:cxn modelId="{7EB87D27-B841-4E5F-B125-3D4941A103A7}" type="presOf" srcId="{E527C17F-16D0-4F4C-B9AD-2A6E7A8BCA22}" destId="{89650430-71F5-434D-9BD1-7A607698BEAA}" srcOrd="0" destOrd="0" presId="urn:microsoft.com/office/officeart/2005/8/layout/chevron2"/>
    <dgm:cxn modelId="{F540FB2A-ECF5-471F-82DB-303110B766FE}" srcId="{47225106-B0D6-4B4B-8D6C-79C6EE8E1EB0}" destId="{952FB2FB-C353-4694-938A-50EFE736F130}" srcOrd="1" destOrd="0" parTransId="{4A7B86A6-48A6-40E1-B523-358435528A95}" sibTransId="{584DC6AF-2EA5-4968-B549-69B58C2CA65E}"/>
    <dgm:cxn modelId="{6F0AC836-0BCB-4388-BA35-9C4201F8E5B8}" type="presOf" srcId="{952FB2FB-C353-4694-938A-50EFE736F130}" destId="{89650430-71F5-434D-9BD1-7A607698BEAA}" srcOrd="0" destOrd="1" presId="urn:microsoft.com/office/officeart/2005/8/layout/chevron2"/>
    <dgm:cxn modelId="{53CA6138-C983-4B9B-9D50-76727E401A22}" srcId="{4C42F0C1-6B9E-4A46-9D8B-EF0ED7130036}" destId="{3F0551CA-ACEA-443C-BE15-4896DAB6F4B0}" srcOrd="3" destOrd="0" parTransId="{9475FDB1-BE52-4801-BDC8-860C90E0E26E}" sibTransId="{E62FBFFA-8FD1-4EE4-860E-F8441ADBC6C5}"/>
    <dgm:cxn modelId="{547C2D3E-CC88-4BF3-B5EF-EF8D7436B8D4}" type="presOf" srcId="{3B1E39FC-DD14-482B-9760-41C0C6FE43F5}" destId="{A404DE4B-662B-4B46-848B-65B26D79B745}" srcOrd="0" destOrd="0" presId="urn:microsoft.com/office/officeart/2005/8/layout/chevron2"/>
    <dgm:cxn modelId="{218E5E5D-3392-4C21-814A-83C71A5A517B}" type="presOf" srcId="{B43F7356-E38B-4DD0-BCD1-501A3853DEB8}" destId="{B955DB60-641A-400C-A82F-C38430259046}" srcOrd="0" destOrd="0" presId="urn:microsoft.com/office/officeart/2005/8/layout/chevron2"/>
    <dgm:cxn modelId="{4A262061-99BB-48A7-855A-E2012A8CFFFD}" type="presOf" srcId="{876A7186-0C72-44D9-BD66-F831F4E00FBE}" destId="{B955DB60-641A-400C-A82F-C38430259046}" srcOrd="0" destOrd="1" presId="urn:microsoft.com/office/officeart/2005/8/layout/chevron2"/>
    <dgm:cxn modelId="{1C80A444-B798-4B84-B08E-793EA8C756EE}" type="presOf" srcId="{C7CD4D74-FC0C-48FB-9687-1DF896044DDD}" destId="{F275C8C7-8839-443F-98E9-84B4B7FA2668}" srcOrd="0" destOrd="0" presId="urn:microsoft.com/office/officeart/2005/8/layout/chevron2"/>
    <dgm:cxn modelId="{53DCE759-1047-42A2-967F-C6946EAAD4AE}" srcId="{4C42F0C1-6B9E-4A46-9D8B-EF0ED7130036}" destId="{B25C8943-3A5B-48B9-B9CA-3E8094F2CD68}" srcOrd="2" destOrd="0" parTransId="{EECE65D7-D29E-4CE0-BD81-EE5324C03FDB}" sibTransId="{DFB60827-CB18-4352-9300-E21BE0B369CC}"/>
    <dgm:cxn modelId="{5D88C87D-8309-4A00-865A-0AE10B04B22F}" srcId="{3B1E39FC-DD14-482B-9760-41C0C6FE43F5}" destId="{C7CD4D74-FC0C-48FB-9687-1DF896044DDD}" srcOrd="0" destOrd="0" parTransId="{B0EAFD8A-47CA-403A-AA57-8602735D0E07}" sibTransId="{9279762F-F3B1-4813-8576-37072A2F1646}"/>
    <dgm:cxn modelId="{15BC8F88-79DC-4DA8-AF1E-652C66E13AFB}" srcId="{B25C8943-3A5B-48B9-B9CA-3E8094F2CD68}" destId="{C0A51EEF-E4DC-4338-ACCE-3E0C6FE9C1EA}" srcOrd="1" destOrd="0" parTransId="{9B44774F-ACFA-4946-8E38-B1BBD76D3C45}" sibTransId="{7A3312D6-B2C8-4709-BA6D-E4878CDFCBC6}"/>
    <dgm:cxn modelId="{DC121390-1C55-4DE7-AE14-D3E2AC356039}" type="presOf" srcId="{D4DC9186-B0E1-462B-87B2-C91A11D2064A}" destId="{F275C8C7-8839-443F-98E9-84B4B7FA2668}" srcOrd="0" destOrd="1" presId="urn:microsoft.com/office/officeart/2005/8/layout/chevron2"/>
    <dgm:cxn modelId="{754123AC-C67A-43E7-B57C-6AA9BD919876}" type="presOf" srcId="{C0A51EEF-E4DC-4338-ACCE-3E0C6FE9C1EA}" destId="{8AE316C1-8DA9-4612-9C31-CF0C2E06D4E3}" srcOrd="0" destOrd="1" presId="urn:microsoft.com/office/officeart/2005/8/layout/chevron2"/>
    <dgm:cxn modelId="{13C52BBB-D91F-42B0-9DF2-A4193F1A8F05}" srcId="{3B1E39FC-DD14-482B-9760-41C0C6FE43F5}" destId="{D4DC9186-B0E1-462B-87B2-C91A11D2064A}" srcOrd="1" destOrd="0" parTransId="{7F79F0F8-90C9-4FD4-AA24-2C93425F8B0A}" sibTransId="{A59029E2-5118-4284-9DE3-6F9946136F35}"/>
    <dgm:cxn modelId="{C8C837C4-2DEB-45D6-BED3-A7C743DED463}" srcId="{4C42F0C1-6B9E-4A46-9D8B-EF0ED7130036}" destId="{3B1E39FC-DD14-482B-9760-41C0C6FE43F5}" srcOrd="1" destOrd="0" parTransId="{A2C34380-F19D-43CC-B9EC-B7468CCACD25}" sibTransId="{FFA6EA9C-763C-4643-887C-80CCD08DF614}"/>
    <dgm:cxn modelId="{C09F9CC6-D1AD-4EFC-BBA6-EA872F563DBE}" type="presOf" srcId="{47225106-B0D6-4B4B-8D6C-79C6EE8E1EB0}" destId="{A5F83CD3-CADB-4F0E-9D12-F04C52F7DD56}" srcOrd="0" destOrd="0" presId="urn:microsoft.com/office/officeart/2005/8/layout/chevron2"/>
    <dgm:cxn modelId="{2B190FC7-E418-470B-A7AC-0AE4C98AC2CF}" srcId="{B25C8943-3A5B-48B9-B9CA-3E8094F2CD68}" destId="{A5C28E58-5D2D-479B-A42B-8B0482DFEBA2}" srcOrd="0" destOrd="0" parTransId="{2D60DB54-C54C-460E-844F-B320607D1964}" sibTransId="{E789884F-64DA-44FF-BAF3-75450A90E707}"/>
    <dgm:cxn modelId="{268CD0CA-73CE-4E47-B4D5-FB5BACEDF87C}" type="presOf" srcId="{B25C8943-3A5B-48B9-B9CA-3E8094F2CD68}" destId="{71F23755-BAB4-4609-9822-8D17C1BD2D64}" srcOrd="0" destOrd="0" presId="urn:microsoft.com/office/officeart/2005/8/layout/chevron2"/>
    <dgm:cxn modelId="{FEBF12D4-FC6F-4BD4-BD43-FA088CD3940B}" srcId="{4C42F0C1-6B9E-4A46-9D8B-EF0ED7130036}" destId="{47225106-B0D6-4B4B-8D6C-79C6EE8E1EB0}" srcOrd="0" destOrd="0" parTransId="{47D1CFA2-59FE-422F-88D3-2802952F33CA}" sibTransId="{D1B1E9B6-3296-413D-BAC4-B4277B76FDA8}"/>
    <dgm:cxn modelId="{D80004D6-BDE2-4822-B2D8-32A19EDE2167}" srcId="{47225106-B0D6-4B4B-8D6C-79C6EE8E1EB0}" destId="{E527C17F-16D0-4F4C-B9AD-2A6E7A8BCA22}" srcOrd="0" destOrd="0" parTransId="{B4CFD7BB-023C-47DB-A58C-530C665897F4}" sibTransId="{B794D87D-3379-4AF1-BEDF-0BF4010B9B4B}"/>
    <dgm:cxn modelId="{C6C262D8-2FEA-4E2C-800D-422D523D461B}" srcId="{3F0551CA-ACEA-443C-BE15-4896DAB6F4B0}" destId="{B43F7356-E38B-4DD0-BCD1-501A3853DEB8}" srcOrd="0" destOrd="0" parTransId="{BFA7A5E2-EF8E-446D-8D2E-319CDD60B0F2}" sibTransId="{00D645E7-F2E9-4550-A383-463D72A0FAA4}"/>
    <dgm:cxn modelId="{094654F1-C364-4410-A181-DDCF8F92F32D}" type="presOf" srcId="{44D0A8F3-7548-4616-A854-2CCB8A2FC92C}" destId="{89650430-71F5-434D-9BD1-7A607698BEAA}" srcOrd="0" destOrd="2" presId="urn:microsoft.com/office/officeart/2005/8/layout/chevron2"/>
    <dgm:cxn modelId="{92495DA4-447F-4EF0-8377-47A413988BDF}" type="presParOf" srcId="{AE13CA98-8DDF-495D-88E6-D2885E162586}" destId="{1A565D68-BB38-43D0-9931-8C94BE7DF2BA}" srcOrd="0" destOrd="0" presId="urn:microsoft.com/office/officeart/2005/8/layout/chevron2"/>
    <dgm:cxn modelId="{673EB057-FB3D-4C6A-96B7-A5CC9DCFA309}" type="presParOf" srcId="{1A565D68-BB38-43D0-9931-8C94BE7DF2BA}" destId="{A5F83CD3-CADB-4F0E-9D12-F04C52F7DD56}" srcOrd="0" destOrd="0" presId="urn:microsoft.com/office/officeart/2005/8/layout/chevron2"/>
    <dgm:cxn modelId="{5117FF97-FD74-4720-8F4C-F1E9BBAC5CBB}" type="presParOf" srcId="{1A565D68-BB38-43D0-9931-8C94BE7DF2BA}" destId="{89650430-71F5-434D-9BD1-7A607698BEAA}" srcOrd="1" destOrd="0" presId="urn:microsoft.com/office/officeart/2005/8/layout/chevron2"/>
    <dgm:cxn modelId="{51F0A4D2-595E-4911-A524-0CC181292E9B}" type="presParOf" srcId="{AE13CA98-8DDF-495D-88E6-D2885E162586}" destId="{1255535D-CB99-4836-8361-F728A208FE7A}" srcOrd="1" destOrd="0" presId="urn:microsoft.com/office/officeart/2005/8/layout/chevron2"/>
    <dgm:cxn modelId="{CD387E93-0C7B-4A76-A45B-B33A734B0B58}" type="presParOf" srcId="{AE13CA98-8DDF-495D-88E6-D2885E162586}" destId="{CDE9226A-4ECF-4813-AA6B-58F7AF3C2ABE}" srcOrd="2" destOrd="0" presId="urn:microsoft.com/office/officeart/2005/8/layout/chevron2"/>
    <dgm:cxn modelId="{CEF264B3-35C5-4285-9CD9-C32CAD150401}" type="presParOf" srcId="{CDE9226A-4ECF-4813-AA6B-58F7AF3C2ABE}" destId="{A404DE4B-662B-4B46-848B-65B26D79B745}" srcOrd="0" destOrd="0" presId="urn:microsoft.com/office/officeart/2005/8/layout/chevron2"/>
    <dgm:cxn modelId="{227663F4-B22A-4891-95F7-D6C21C0A378E}" type="presParOf" srcId="{CDE9226A-4ECF-4813-AA6B-58F7AF3C2ABE}" destId="{F275C8C7-8839-443F-98E9-84B4B7FA2668}" srcOrd="1" destOrd="0" presId="urn:microsoft.com/office/officeart/2005/8/layout/chevron2"/>
    <dgm:cxn modelId="{AE96AC97-8692-438C-B604-941A2FD46465}" type="presParOf" srcId="{AE13CA98-8DDF-495D-88E6-D2885E162586}" destId="{D508C634-F228-4C1B-A8D5-0AA8874EB6BA}" srcOrd="3" destOrd="0" presId="urn:microsoft.com/office/officeart/2005/8/layout/chevron2"/>
    <dgm:cxn modelId="{CCF4E431-65A7-415D-82DC-3AD7A2621656}" type="presParOf" srcId="{AE13CA98-8DDF-495D-88E6-D2885E162586}" destId="{E8658B6C-050C-49F9-A65E-51CFE199AC93}" srcOrd="4" destOrd="0" presId="urn:microsoft.com/office/officeart/2005/8/layout/chevron2"/>
    <dgm:cxn modelId="{48AC7E51-3A6A-45A1-8471-B0FA8D8FC93A}" type="presParOf" srcId="{E8658B6C-050C-49F9-A65E-51CFE199AC93}" destId="{71F23755-BAB4-4609-9822-8D17C1BD2D64}" srcOrd="0" destOrd="0" presId="urn:microsoft.com/office/officeart/2005/8/layout/chevron2"/>
    <dgm:cxn modelId="{3ECC5136-2A41-4B6C-AA96-C147F4B4F49E}" type="presParOf" srcId="{E8658B6C-050C-49F9-A65E-51CFE199AC93}" destId="{8AE316C1-8DA9-4612-9C31-CF0C2E06D4E3}" srcOrd="1" destOrd="0" presId="urn:microsoft.com/office/officeart/2005/8/layout/chevron2"/>
    <dgm:cxn modelId="{C8A4F24A-498C-471E-88F7-F9DB4E0B1903}" type="presParOf" srcId="{AE13CA98-8DDF-495D-88E6-D2885E162586}" destId="{A4D7BACB-37C2-47B6-97C0-8A75D75BD25F}" srcOrd="5" destOrd="0" presId="urn:microsoft.com/office/officeart/2005/8/layout/chevron2"/>
    <dgm:cxn modelId="{106E655E-494C-4163-8862-F87E295E4DD4}" type="presParOf" srcId="{AE13CA98-8DDF-495D-88E6-D2885E162586}" destId="{36271E40-EF88-41F5-9D30-57FFD4C66CA3}" srcOrd="6" destOrd="0" presId="urn:microsoft.com/office/officeart/2005/8/layout/chevron2"/>
    <dgm:cxn modelId="{76072F33-3C06-4FBC-916F-7DD1181BE6FC}" type="presParOf" srcId="{36271E40-EF88-41F5-9D30-57FFD4C66CA3}" destId="{CAE81943-3BE3-4606-ABD7-C65EC41CB8CF}" srcOrd="0" destOrd="0" presId="urn:microsoft.com/office/officeart/2005/8/layout/chevron2"/>
    <dgm:cxn modelId="{845915B0-3C34-4B04-805A-036D9FCD6FD4}" type="presParOf" srcId="{36271E40-EF88-41F5-9D30-57FFD4C66CA3}" destId="{B955DB60-641A-400C-A82F-C38430259046}"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83CD3-CADB-4F0E-9D12-F04C52F7DD56}">
      <dsp:nvSpPr>
        <dsp:cNvPr id="0" name=""/>
        <dsp:cNvSpPr/>
      </dsp:nvSpPr>
      <dsp:spPr>
        <a:xfrm rot="5400000">
          <a:off x="-249060" y="251189"/>
          <a:ext cx="1660404" cy="116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Desktop Review</a:t>
          </a:r>
        </a:p>
      </dsp:txBody>
      <dsp:txXfrm rot="-5400000">
        <a:off x="1" y="583269"/>
        <a:ext cx="1162282" cy="498122"/>
      </dsp:txXfrm>
    </dsp:sp>
    <dsp:sp modelId="{89650430-71F5-434D-9BD1-7A607698BEAA}">
      <dsp:nvSpPr>
        <dsp:cNvPr id="0" name=""/>
        <dsp:cNvSpPr/>
      </dsp:nvSpPr>
      <dsp:spPr>
        <a:xfrm rot="5400000">
          <a:off x="2889485" y="-1725073"/>
          <a:ext cx="1079262" cy="453366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Review of materials provided by the Department on current PL processes</a:t>
          </a:r>
          <a:endParaRPr lang="en-US" sz="1100" kern="1200"/>
        </a:p>
        <a:p>
          <a:pPr marL="57150" lvl="1" indent="-57150" algn="l" defTabSz="488950">
            <a:lnSpc>
              <a:spcPct val="90000"/>
            </a:lnSpc>
            <a:spcBef>
              <a:spcPct val="0"/>
            </a:spcBef>
            <a:spcAft>
              <a:spcPct val="15000"/>
            </a:spcAft>
            <a:buChar char="•"/>
          </a:pPr>
          <a:r>
            <a:rPr lang="en-US" sz="1100" kern="1200"/>
            <a:t>Review of TGA evaluation processes</a:t>
          </a:r>
        </a:p>
        <a:p>
          <a:pPr marL="57150" lvl="1" indent="-57150" algn="l" defTabSz="488950">
            <a:lnSpc>
              <a:spcPct val="90000"/>
            </a:lnSpc>
            <a:spcBef>
              <a:spcPct val="0"/>
            </a:spcBef>
            <a:spcAft>
              <a:spcPct val="15000"/>
            </a:spcAft>
            <a:buChar char="•"/>
          </a:pPr>
          <a:r>
            <a:rPr lang="en-US" sz="1100" kern="1200"/>
            <a:t>Review of selected TGA device assessments</a:t>
          </a:r>
        </a:p>
      </dsp:txBody>
      <dsp:txXfrm rot="-5400000">
        <a:off x="1162283" y="54814"/>
        <a:ext cx="4480982" cy="973892"/>
      </dsp:txXfrm>
    </dsp:sp>
    <dsp:sp modelId="{A404DE4B-662B-4B46-848B-65B26D79B745}">
      <dsp:nvSpPr>
        <dsp:cNvPr id="0" name=""/>
        <dsp:cNvSpPr/>
      </dsp:nvSpPr>
      <dsp:spPr>
        <a:xfrm rot="5400000">
          <a:off x="-249060" y="1768518"/>
          <a:ext cx="1660404" cy="116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Consultation on Processes</a:t>
          </a:r>
        </a:p>
      </dsp:txBody>
      <dsp:txXfrm rot="-5400000">
        <a:off x="1" y="2100598"/>
        <a:ext cx="1162282" cy="498122"/>
      </dsp:txXfrm>
    </dsp:sp>
    <dsp:sp modelId="{F275C8C7-8839-443F-98E9-84B4B7FA2668}">
      <dsp:nvSpPr>
        <dsp:cNvPr id="0" name=""/>
        <dsp:cNvSpPr/>
      </dsp:nvSpPr>
      <dsp:spPr>
        <a:xfrm rot="5400000">
          <a:off x="2889485" y="-207743"/>
          <a:ext cx="1079262" cy="453366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Consultation with Chair of the existing PLAC</a:t>
          </a:r>
        </a:p>
        <a:p>
          <a:pPr marL="57150" lvl="1" indent="-57150" algn="l" defTabSz="488950">
            <a:lnSpc>
              <a:spcPct val="90000"/>
            </a:lnSpc>
            <a:spcBef>
              <a:spcPct val="0"/>
            </a:spcBef>
            <a:spcAft>
              <a:spcPct val="15000"/>
            </a:spcAft>
            <a:buChar char="•"/>
          </a:pPr>
          <a:r>
            <a:rPr lang="en-US" sz="1100" kern="1200"/>
            <a:t>Consultation with Departmental representatives involved with administering the PL</a:t>
          </a:r>
        </a:p>
      </dsp:txBody>
      <dsp:txXfrm rot="-5400000">
        <a:off x="1162283" y="1572144"/>
        <a:ext cx="4480982" cy="973892"/>
      </dsp:txXfrm>
    </dsp:sp>
    <dsp:sp modelId="{71F23755-BAB4-4609-9822-8D17C1BD2D64}">
      <dsp:nvSpPr>
        <dsp:cNvPr id="0" name=""/>
        <dsp:cNvSpPr/>
      </dsp:nvSpPr>
      <dsp:spPr>
        <a:xfrm rot="5400000">
          <a:off x="-249060" y="3285848"/>
          <a:ext cx="1660404" cy="116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Assessment of Existing HTA Processes</a:t>
          </a:r>
        </a:p>
      </dsp:txBody>
      <dsp:txXfrm rot="-5400000">
        <a:off x="1" y="3617928"/>
        <a:ext cx="1162282" cy="498122"/>
      </dsp:txXfrm>
    </dsp:sp>
    <dsp:sp modelId="{8AE316C1-8DA9-4612-9C31-CF0C2E06D4E3}">
      <dsp:nvSpPr>
        <dsp:cNvPr id="0" name=""/>
        <dsp:cNvSpPr/>
      </dsp:nvSpPr>
      <dsp:spPr>
        <a:xfrm rot="5400000">
          <a:off x="2889485" y="1309585"/>
          <a:ext cx="1079262" cy="453366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Review of the objectives of existing HTA processes in the Department</a:t>
          </a:r>
          <a:endParaRPr lang="en-US" sz="1100" kern="1200"/>
        </a:p>
        <a:p>
          <a:pPr marL="57150" lvl="1" indent="-57150" algn="l" defTabSz="488950">
            <a:lnSpc>
              <a:spcPct val="90000"/>
            </a:lnSpc>
            <a:spcBef>
              <a:spcPct val="0"/>
            </a:spcBef>
            <a:spcAft>
              <a:spcPct val="15000"/>
            </a:spcAft>
            <a:buChar char="•"/>
          </a:pPr>
          <a:r>
            <a:rPr lang="en-AU" sz="1100" kern="1200"/>
            <a:t>Review of the general principles of Australian HTA decision-making bodies responsible for the listing and public funding of medical services (including tests and devices), medicines and vaccines</a:t>
          </a:r>
          <a:endParaRPr lang="en-US" sz="1100" kern="1200"/>
        </a:p>
      </dsp:txBody>
      <dsp:txXfrm rot="-5400000">
        <a:off x="1162283" y="3089473"/>
        <a:ext cx="4480982" cy="973892"/>
      </dsp:txXfrm>
    </dsp:sp>
    <dsp:sp modelId="{CAE81943-3BE3-4606-ABD7-C65EC41CB8CF}">
      <dsp:nvSpPr>
        <dsp:cNvPr id="0" name=""/>
        <dsp:cNvSpPr/>
      </dsp:nvSpPr>
      <dsp:spPr>
        <a:xfrm rot="5400000">
          <a:off x="-249060" y="4803177"/>
          <a:ext cx="1660404" cy="116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Develop Governance Options</a:t>
          </a:r>
        </a:p>
      </dsp:txBody>
      <dsp:txXfrm rot="-5400000">
        <a:off x="1" y="5135257"/>
        <a:ext cx="1162282" cy="498122"/>
      </dsp:txXfrm>
    </dsp:sp>
    <dsp:sp modelId="{B955DB60-641A-400C-A82F-C38430259046}">
      <dsp:nvSpPr>
        <dsp:cNvPr id="0" name=""/>
        <dsp:cNvSpPr/>
      </dsp:nvSpPr>
      <dsp:spPr>
        <a:xfrm rot="5400000">
          <a:off x="2889485" y="2826914"/>
          <a:ext cx="1079262" cy="453366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Development of options for possible governance structures that would meet HTA principles identified above</a:t>
          </a:r>
          <a:endParaRPr lang="en-US" sz="1100" kern="1200"/>
        </a:p>
        <a:p>
          <a:pPr marL="57150" lvl="1" indent="-57150" algn="l" defTabSz="488950">
            <a:lnSpc>
              <a:spcPct val="90000"/>
            </a:lnSpc>
            <a:spcBef>
              <a:spcPct val="0"/>
            </a:spcBef>
            <a:spcAft>
              <a:spcPct val="15000"/>
            </a:spcAft>
            <a:buChar char="•"/>
          </a:pPr>
          <a:r>
            <a:rPr lang="en-AU" sz="1100" kern="1200"/>
            <a:t>Consideration of the benefits and risks of the proposed alternative governance structures</a:t>
          </a:r>
          <a:endParaRPr lang="en-US" sz="1100" kern="1200"/>
        </a:p>
      </dsp:txBody>
      <dsp:txXfrm rot="-5400000">
        <a:off x="1162283" y="4606802"/>
        <a:ext cx="4480982" cy="97389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2" ma:contentTypeDescription="Create a new document." ma:contentTypeScope="" ma:versionID="12cddad53e881a48cc6d16bc82c52455">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024faca0bba51fb23eb7b3b5b9bc5d05"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0F079-262C-427B-B8CC-7B1572B0B153}">
  <ds:schemaRefs>
    <ds:schemaRef ds:uri="http://schemas.openxmlformats.org/officeDocument/2006/bibliography"/>
  </ds:schemaRefs>
</ds:datastoreItem>
</file>

<file path=customXml/itemProps2.xml><?xml version="1.0" encoding="utf-8"?>
<ds:datastoreItem xmlns:ds="http://schemas.openxmlformats.org/officeDocument/2006/customXml" ds:itemID="{605B8A6B-EB66-45C8-9FE6-B95B89C9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32CA3-3756-4309-809A-675FDBD5309B}">
  <ds:schemaRefs>
    <ds:schemaRef ds:uri="http://schemas.microsoft.com/sharepoint/v3/contenttype/forms"/>
  </ds:schemaRefs>
</ds:datastoreItem>
</file>

<file path=customXml/itemProps4.xml><?xml version="1.0" encoding="utf-8"?>
<ds:datastoreItem xmlns:ds="http://schemas.openxmlformats.org/officeDocument/2006/customXml" ds:itemID="{1B501CBD-9A9C-4F88-817D-F1701ADC9B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9989</Words>
  <Characters>58936</Characters>
  <Application>Microsoft Office Word</Application>
  <DocSecurity>0</DocSecurity>
  <Lines>1133</Lines>
  <Paragraphs>555</Paragraphs>
  <ScaleCrop>false</ScaleCrop>
  <HeadingPairs>
    <vt:vector size="2" baseType="variant">
      <vt:variant>
        <vt:lpstr>Title</vt:lpstr>
      </vt:variant>
      <vt:variant>
        <vt:i4>1</vt:i4>
      </vt:variant>
    </vt:vector>
  </HeadingPairs>
  <TitlesOfParts>
    <vt:vector size="1" baseType="lpstr">
      <vt:lpstr>Options for a Reformed Prostheses List Pre-Listing Assessment Framework and Governance Structure</vt:lpstr>
    </vt:vector>
  </TitlesOfParts>
  <Company>The University of Adelaide</Company>
  <LinksUpToDate>false</LinksUpToDate>
  <CharactersWithSpaces>68370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for a Reformed Prostheses List Pre-Listing Assessment Framework and Governance Structure</dc:title>
  <dc:subject>Prostheses List</dc:subject>
  <dc:creator>Australian Government Department of Health and Aged Care</dc:creator>
  <cp:keywords>Prostheses List; Private hospitals; Private health insurance</cp:keywords>
  <cp:lastModifiedBy>Department of Health and Aged Care</cp:lastModifiedBy>
  <cp:revision>6</cp:revision>
  <cp:lastPrinted>2022-07-11T20:56:00Z</cp:lastPrinted>
  <dcterms:created xsi:type="dcterms:W3CDTF">2023-01-30T04:20:00Z</dcterms:created>
  <dcterms:modified xsi:type="dcterms:W3CDTF">2023-01-30T04:26:00Z</dcterms:modified>
</cp:coreProperties>
</file>