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8CAA" w14:textId="30240E2F" w:rsidR="00385D9B" w:rsidRPr="00932D90" w:rsidRDefault="00932D90" w:rsidP="00932D90">
      <w:pPr>
        <w:pStyle w:val="Heading1"/>
        <w:rPr>
          <w:rStyle w:val="normaltextrun"/>
        </w:rPr>
      </w:pPr>
      <w:r w:rsidRPr="00932D90">
        <w:rPr>
          <w:rStyle w:val="normaltextrun"/>
        </w:rPr>
        <w:t xml:space="preserve">Intellectual Disability Health </w:t>
      </w:r>
      <w:r w:rsidR="0025165A" w:rsidRPr="00932D90">
        <w:rPr>
          <w:rStyle w:val="normaltextrun"/>
        </w:rPr>
        <w:t>Education and Training Expert Advisory Group</w:t>
      </w:r>
    </w:p>
    <w:p w14:paraId="61B87220" w14:textId="4E420B47" w:rsidR="00A00F9B" w:rsidRPr="00932D90" w:rsidRDefault="0025165A" w:rsidP="00932D90">
      <w:pPr>
        <w:pStyle w:val="Heading1"/>
        <w:rPr>
          <w:rStyle w:val="normaltextrun"/>
        </w:rPr>
      </w:pPr>
      <w:r w:rsidRPr="00932D90">
        <w:rPr>
          <w:rStyle w:val="normaltextrun"/>
        </w:rPr>
        <w:t>Terms of Reference</w:t>
      </w:r>
    </w:p>
    <w:p w14:paraId="5CED2E12" w14:textId="6866AC00" w:rsidR="00047A06" w:rsidRPr="00A01978" w:rsidRDefault="00047A06" w:rsidP="00385D9B">
      <w:pPr>
        <w:pStyle w:val="Heading2"/>
      </w:pPr>
      <w:r w:rsidRPr="00A01978">
        <w:t>Purpose</w:t>
      </w:r>
    </w:p>
    <w:p w14:paraId="7B663C57" w14:textId="38D52A9F" w:rsidR="0025165A" w:rsidRPr="00A01978" w:rsidRDefault="0025165A" w:rsidP="00047A06">
      <w:pPr>
        <w:rPr>
          <w:rFonts w:cstheme="minorHAnsi"/>
        </w:rPr>
      </w:pPr>
      <w:r w:rsidRPr="00A01978">
        <w:rPr>
          <w:rFonts w:cstheme="minorHAnsi"/>
        </w:rPr>
        <w:t xml:space="preserve">The purpose of the Education and Training Expert Advisory Group (Advisory Group) is to </w:t>
      </w:r>
      <w:r w:rsidR="00047A06" w:rsidRPr="00A01978">
        <w:rPr>
          <w:rFonts w:cstheme="minorHAnsi"/>
        </w:rPr>
        <w:t xml:space="preserve">provide expert advice </w:t>
      </w:r>
      <w:r w:rsidRPr="00A01978">
        <w:rPr>
          <w:rFonts w:cstheme="minorHAnsi"/>
        </w:rPr>
        <w:t xml:space="preserve">and guidance on </w:t>
      </w:r>
      <w:r w:rsidR="002F104D">
        <w:rPr>
          <w:rFonts w:cstheme="minorHAnsi"/>
        </w:rPr>
        <w:t xml:space="preserve">the </w:t>
      </w:r>
      <w:r w:rsidRPr="00A01978">
        <w:rPr>
          <w:rFonts w:cstheme="minorHAnsi"/>
        </w:rPr>
        <w:t xml:space="preserve">implementation of education and training actions under the National Roadmap for Improving the Health of People with Intellectual Disability (the </w:t>
      </w:r>
      <w:proofErr w:type="gramStart"/>
      <w:r w:rsidRPr="00A01978">
        <w:rPr>
          <w:rFonts w:cstheme="minorHAnsi"/>
        </w:rPr>
        <w:t>Roadmap</w:t>
      </w:r>
      <w:proofErr w:type="gramEnd"/>
      <w:r w:rsidRPr="00A01978">
        <w:rPr>
          <w:rFonts w:cstheme="minorHAnsi"/>
        </w:rPr>
        <w:t xml:space="preserve">). </w:t>
      </w:r>
      <w:r w:rsidR="000A4710">
        <w:rPr>
          <w:rFonts w:cstheme="minorHAnsi"/>
        </w:rPr>
        <w:t>Initially,</w:t>
      </w:r>
      <w:r w:rsidR="00BD32E0" w:rsidRPr="00A01978">
        <w:rPr>
          <w:rFonts w:cstheme="minorHAnsi"/>
        </w:rPr>
        <w:t xml:space="preserve"> the Advisory Group will focus on </w:t>
      </w:r>
      <w:r w:rsidRPr="00A01978">
        <w:rPr>
          <w:rFonts w:cstheme="minorHAnsi"/>
        </w:rPr>
        <w:t>health professional tertiary education, intellectual disability health learning outcomes</w:t>
      </w:r>
      <w:r w:rsidR="00F108FD">
        <w:rPr>
          <w:rFonts w:cstheme="minorHAnsi"/>
        </w:rPr>
        <w:t xml:space="preserve"> and accreditation</w:t>
      </w:r>
      <w:r w:rsidRPr="00A01978">
        <w:rPr>
          <w:rFonts w:cstheme="minorHAnsi"/>
        </w:rPr>
        <w:t xml:space="preserve">, </w:t>
      </w:r>
      <w:r w:rsidR="002F104D">
        <w:rPr>
          <w:rFonts w:cstheme="minorHAnsi"/>
        </w:rPr>
        <w:t xml:space="preserve">and </w:t>
      </w:r>
      <w:r w:rsidRPr="00A01978">
        <w:rPr>
          <w:rFonts w:cstheme="minorHAnsi"/>
        </w:rPr>
        <w:t>resource development</w:t>
      </w:r>
      <w:r w:rsidR="000A4710">
        <w:rPr>
          <w:rFonts w:cstheme="minorHAnsi"/>
        </w:rPr>
        <w:t>. This will help</w:t>
      </w:r>
      <w:r w:rsidR="00BD32E0" w:rsidRPr="00A01978">
        <w:rPr>
          <w:rFonts w:cstheme="minorHAnsi"/>
        </w:rPr>
        <w:t xml:space="preserve"> </w:t>
      </w:r>
      <w:r w:rsidR="000A4710">
        <w:rPr>
          <w:rFonts w:cstheme="minorHAnsi"/>
        </w:rPr>
        <w:t>implement</w:t>
      </w:r>
      <w:r w:rsidR="00BD32E0" w:rsidRPr="00A01978">
        <w:rPr>
          <w:rFonts w:cstheme="minorHAnsi"/>
        </w:rPr>
        <w:t xml:space="preserve"> the 2020-21 Curriculum Development Budget measure.</w:t>
      </w:r>
      <w:r w:rsidRPr="00A01978">
        <w:rPr>
          <w:rFonts w:cstheme="minorHAnsi"/>
        </w:rPr>
        <w:t xml:space="preserve"> The Advisory Group will also </w:t>
      </w:r>
      <w:r w:rsidR="000A4710">
        <w:rPr>
          <w:rFonts w:cstheme="minorHAnsi"/>
        </w:rPr>
        <w:t xml:space="preserve">help identify </w:t>
      </w:r>
      <w:r w:rsidRPr="00A01978">
        <w:rPr>
          <w:rFonts w:cstheme="minorHAnsi"/>
        </w:rPr>
        <w:t xml:space="preserve">other key stakeholders </w:t>
      </w:r>
      <w:r w:rsidR="000A4710">
        <w:rPr>
          <w:rFonts w:cstheme="minorHAnsi"/>
        </w:rPr>
        <w:t xml:space="preserve">with an interest in related </w:t>
      </w:r>
      <w:r w:rsidRPr="00A01978">
        <w:rPr>
          <w:rFonts w:cstheme="minorHAnsi"/>
        </w:rPr>
        <w:t>project</w:t>
      </w:r>
      <w:r w:rsidR="00BD32E0" w:rsidRPr="00A01978">
        <w:rPr>
          <w:rFonts w:cstheme="minorHAnsi"/>
        </w:rPr>
        <w:t xml:space="preserve">s under the </w:t>
      </w:r>
      <w:proofErr w:type="gramStart"/>
      <w:r w:rsidR="00BD32E0" w:rsidRPr="00A01978">
        <w:rPr>
          <w:rFonts w:cstheme="minorHAnsi"/>
        </w:rPr>
        <w:t>Roadmap</w:t>
      </w:r>
      <w:proofErr w:type="gramEnd"/>
      <w:r w:rsidRPr="00A01978">
        <w:rPr>
          <w:rFonts w:cstheme="minorHAnsi"/>
        </w:rPr>
        <w:t>.</w:t>
      </w:r>
    </w:p>
    <w:p w14:paraId="40B0C664" w14:textId="3FBD3C90" w:rsidR="0025165A" w:rsidRPr="00A01978" w:rsidRDefault="00047A06" w:rsidP="00385D9B">
      <w:pPr>
        <w:pStyle w:val="Heading2"/>
      </w:pPr>
      <w:r w:rsidRPr="00A01978">
        <w:t>Context</w:t>
      </w:r>
    </w:p>
    <w:p w14:paraId="2163292A" w14:textId="4B598382" w:rsidR="00047A06" w:rsidRPr="00A01978" w:rsidRDefault="00047A06" w:rsidP="00047A06">
      <w:pPr>
        <w:rPr>
          <w:rFonts w:cstheme="minorHAnsi"/>
        </w:rPr>
      </w:pPr>
      <w:r w:rsidRPr="00A01978">
        <w:rPr>
          <w:rFonts w:cstheme="minorHAnsi"/>
        </w:rPr>
        <w:t xml:space="preserve">The Royal Commission into Violence, Abuse, Neglect and Exploitation of People with Disability </w:t>
      </w:r>
      <w:r w:rsidR="000110BD">
        <w:rPr>
          <w:rFonts w:cstheme="minorHAnsi"/>
        </w:rPr>
        <w:t xml:space="preserve">(Disability Royal Commission) </w:t>
      </w:r>
      <w:r w:rsidRPr="00A01978">
        <w:rPr>
          <w:rFonts w:cstheme="minorHAnsi"/>
        </w:rPr>
        <w:t xml:space="preserve">was established in April 2019 in response to community concern about widespread reports of violence against, and the neglect, </w:t>
      </w:r>
      <w:proofErr w:type="gramStart"/>
      <w:r w:rsidRPr="00A01978">
        <w:rPr>
          <w:rFonts w:cstheme="minorHAnsi"/>
        </w:rPr>
        <w:t>abuse</w:t>
      </w:r>
      <w:proofErr w:type="gramEnd"/>
      <w:r w:rsidRPr="00A01978">
        <w:rPr>
          <w:rFonts w:cstheme="minorHAnsi"/>
        </w:rPr>
        <w:t xml:space="preserve"> and exploitation of, people with disability.</w:t>
      </w:r>
    </w:p>
    <w:p w14:paraId="742F04ED" w14:textId="77777777" w:rsidR="00047A06" w:rsidRPr="00A01978" w:rsidRDefault="00047A06" w:rsidP="00047A06">
      <w:pPr>
        <w:rPr>
          <w:rFonts w:cstheme="minorHAnsi"/>
        </w:rPr>
      </w:pPr>
      <w:r w:rsidRPr="00A01978">
        <w:rPr>
          <w:rFonts w:cstheme="minorHAnsi"/>
        </w:rPr>
        <w:t>The Disability Royal Commission’s Report on Public Hearing 4 identified the training and education of health professionals as a key issue to address to improve the health of people with intellectual disability. As a result of evidence at this hearing, the Disability Royal Commission devoted Public Hearing 10 to exploring this matter further.</w:t>
      </w:r>
    </w:p>
    <w:p w14:paraId="4ADCDBAD" w14:textId="27C47B56" w:rsidR="00047A06" w:rsidRPr="00A01978" w:rsidRDefault="000110BD" w:rsidP="00047A06">
      <w:pPr>
        <w:rPr>
          <w:rFonts w:cstheme="minorHAnsi"/>
        </w:rPr>
      </w:pPr>
      <w:r>
        <w:rPr>
          <w:rFonts w:cstheme="minorHAnsi"/>
        </w:rPr>
        <w:t>T</w:t>
      </w:r>
      <w:r w:rsidR="00047A06" w:rsidRPr="00A01978">
        <w:rPr>
          <w:rFonts w:cstheme="minorHAnsi"/>
        </w:rPr>
        <w:t xml:space="preserve">he </w:t>
      </w:r>
      <w:proofErr w:type="gramStart"/>
      <w:r w:rsidR="00047A06" w:rsidRPr="00A01978">
        <w:rPr>
          <w:rFonts w:cstheme="minorHAnsi"/>
        </w:rPr>
        <w:t>Roadmap</w:t>
      </w:r>
      <w:proofErr w:type="gramEnd"/>
      <w:r w:rsidR="00047A06" w:rsidRPr="00A01978">
        <w:rPr>
          <w:rFonts w:cstheme="minorHAnsi"/>
        </w:rPr>
        <w:t xml:space="preserve"> takes into consideration a range of issues that have been raised in these hearings and the associated reports. The </w:t>
      </w:r>
      <w:proofErr w:type="gramStart"/>
      <w:r w:rsidR="00047A06" w:rsidRPr="00A01978">
        <w:rPr>
          <w:rFonts w:cstheme="minorHAnsi"/>
        </w:rPr>
        <w:t>Roadmap</w:t>
      </w:r>
      <w:proofErr w:type="gramEnd"/>
      <w:r w:rsidR="00047A06" w:rsidRPr="00A01978">
        <w:rPr>
          <w:rFonts w:cstheme="minorHAnsi"/>
        </w:rPr>
        <w:t xml:space="preserve"> includes a comprehensive range of actions to improve the health of people with intellectual disability.</w:t>
      </w:r>
    </w:p>
    <w:p w14:paraId="15E46520" w14:textId="55909FF9" w:rsidR="00047A06" w:rsidRPr="00A01978" w:rsidRDefault="00047A06" w:rsidP="00047A06">
      <w:pPr>
        <w:rPr>
          <w:rFonts w:cstheme="minorHAnsi"/>
        </w:rPr>
      </w:pPr>
      <w:r w:rsidRPr="00A01978">
        <w:rPr>
          <w:rFonts w:cstheme="minorHAnsi"/>
        </w:rPr>
        <w:t xml:space="preserve">The 2021-22 Commonwealth Budget allocated $4.7m to </w:t>
      </w:r>
      <w:r w:rsidR="000A4710">
        <w:rPr>
          <w:rFonts w:cstheme="minorHAnsi"/>
        </w:rPr>
        <w:t>consult</w:t>
      </w:r>
      <w:r w:rsidRPr="00A01978">
        <w:rPr>
          <w:rFonts w:cstheme="minorHAnsi"/>
        </w:rPr>
        <w:t xml:space="preserve"> on competencies in health care for people with intellectual disability in tertiary education health </w:t>
      </w:r>
      <w:proofErr w:type="gramStart"/>
      <w:r w:rsidRPr="00A01978">
        <w:rPr>
          <w:rFonts w:cstheme="minorHAnsi"/>
        </w:rPr>
        <w:t>curricula, and</w:t>
      </w:r>
      <w:proofErr w:type="gramEnd"/>
      <w:r w:rsidRPr="00A01978">
        <w:rPr>
          <w:rFonts w:cstheme="minorHAnsi"/>
        </w:rPr>
        <w:t xml:space="preserve"> </w:t>
      </w:r>
      <w:r w:rsidR="000A4710">
        <w:rPr>
          <w:rFonts w:cstheme="minorHAnsi"/>
        </w:rPr>
        <w:t>develop</w:t>
      </w:r>
      <w:r w:rsidRPr="00A01978">
        <w:rPr>
          <w:rFonts w:cstheme="minorHAnsi"/>
        </w:rPr>
        <w:t xml:space="preserve"> specific and specialised curricula content. </w:t>
      </w:r>
    </w:p>
    <w:p w14:paraId="3C2F7BA9" w14:textId="012912B6" w:rsidR="00BD32E0" w:rsidRPr="00A01978" w:rsidRDefault="00BD32E0" w:rsidP="00385D9B">
      <w:pPr>
        <w:pStyle w:val="Heading2"/>
      </w:pPr>
      <w:r w:rsidRPr="00A01978">
        <w:t>Responsibilities</w:t>
      </w:r>
    </w:p>
    <w:p w14:paraId="760837F7" w14:textId="5FEA66E0" w:rsidR="00047A06" w:rsidRPr="00A01978" w:rsidRDefault="00BD32E0" w:rsidP="00BD32E0">
      <w:pPr>
        <w:pStyle w:val="NoSpacing"/>
      </w:pPr>
      <w:r w:rsidRPr="00A01978">
        <w:t>T</w:t>
      </w:r>
      <w:r w:rsidR="00047A06" w:rsidRPr="00A01978">
        <w:t>he Advisory Group</w:t>
      </w:r>
      <w:r w:rsidRPr="00A01978">
        <w:t xml:space="preserve"> will</w:t>
      </w:r>
      <w:r w:rsidR="007155B5" w:rsidRPr="00A01978">
        <w:t xml:space="preserve"> provide</w:t>
      </w:r>
      <w:r w:rsidR="00047A06" w:rsidRPr="00A01978">
        <w:t>:</w:t>
      </w:r>
    </w:p>
    <w:p w14:paraId="4FC83517" w14:textId="6B62EE37" w:rsidR="007155B5" w:rsidRPr="00A01978" w:rsidRDefault="00047A06" w:rsidP="00F37555">
      <w:pPr>
        <w:pStyle w:val="ListParagraph"/>
        <w:numPr>
          <w:ilvl w:val="0"/>
          <w:numId w:val="6"/>
        </w:numPr>
        <w:rPr>
          <w:rFonts w:cstheme="minorHAnsi"/>
        </w:rPr>
      </w:pPr>
      <w:r w:rsidRPr="00A01978">
        <w:rPr>
          <w:rFonts w:cstheme="minorHAnsi"/>
        </w:rPr>
        <w:t xml:space="preserve">overarching guidance and direction on the development and implementation of </w:t>
      </w:r>
      <w:r w:rsidR="00A01978">
        <w:rPr>
          <w:rFonts w:cstheme="minorHAnsi"/>
        </w:rPr>
        <w:t>an</w:t>
      </w:r>
      <w:r w:rsidRPr="00A01978">
        <w:rPr>
          <w:rFonts w:cstheme="minorHAnsi"/>
        </w:rPr>
        <w:t xml:space="preserve"> Intellectual Disability Health </w:t>
      </w:r>
      <w:r w:rsidR="00D07FD2">
        <w:rPr>
          <w:rFonts w:cstheme="minorHAnsi"/>
        </w:rPr>
        <w:t>Capability</w:t>
      </w:r>
      <w:r w:rsidRPr="00A01978">
        <w:rPr>
          <w:rFonts w:cstheme="minorHAnsi"/>
        </w:rPr>
        <w:t xml:space="preserve"> Framework</w:t>
      </w:r>
      <w:r w:rsidR="00A01978">
        <w:rPr>
          <w:rFonts w:cstheme="minorHAnsi"/>
        </w:rPr>
        <w:t xml:space="preserve"> </w:t>
      </w:r>
      <w:r w:rsidR="00A01978" w:rsidRPr="00A01978">
        <w:rPr>
          <w:rFonts w:cstheme="minorHAnsi"/>
        </w:rPr>
        <w:t>for medical, nursing</w:t>
      </w:r>
      <w:r w:rsidR="00FD28DD">
        <w:rPr>
          <w:rFonts w:cstheme="minorHAnsi"/>
        </w:rPr>
        <w:t xml:space="preserve"> and midwifery</w:t>
      </w:r>
      <w:r w:rsidR="00A01978" w:rsidRPr="00A01978">
        <w:rPr>
          <w:rFonts w:cstheme="minorHAnsi"/>
        </w:rPr>
        <w:t xml:space="preserve">, dental, </w:t>
      </w:r>
      <w:r w:rsidR="00C4281E">
        <w:rPr>
          <w:rFonts w:cstheme="minorHAnsi"/>
        </w:rPr>
        <w:t xml:space="preserve">psychology, </w:t>
      </w:r>
      <w:r w:rsidR="00A01978" w:rsidRPr="00A01978">
        <w:rPr>
          <w:rFonts w:cstheme="minorHAnsi"/>
        </w:rPr>
        <w:t xml:space="preserve">allied </w:t>
      </w:r>
      <w:proofErr w:type="gramStart"/>
      <w:r w:rsidR="00A01978" w:rsidRPr="00A01978">
        <w:rPr>
          <w:rFonts w:cstheme="minorHAnsi"/>
        </w:rPr>
        <w:t>health</w:t>
      </w:r>
      <w:proofErr w:type="gramEnd"/>
      <w:r w:rsidR="00A01978" w:rsidRPr="00A01978">
        <w:rPr>
          <w:rFonts w:cstheme="minorHAnsi"/>
        </w:rPr>
        <w:t xml:space="preserve"> and pharmacy undergraduate</w:t>
      </w:r>
      <w:r w:rsidR="00A01978">
        <w:rPr>
          <w:rFonts w:cstheme="minorHAnsi"/>
        </w:rPr>
        <w:t>s</w:t>
      </w:r>
    </w:p>
    <w:p w14:paraId="25AB4B18" w14:textId="15048788" w:rsidR="007155B5" w:rsidRPr="00A01978" w:rsidRDefault="00047A06" w:rsidP="00047A06">
      <w:pPr>
        <w:pStyle w:val="ListParagraph"/>
        <w:numPr>
          <w:ilvl w:val="0"/>
          <w:numId w:val="6"/>
        </w:numPr>
        <w:rPr>
          <w:rFonts w:cstheme="minorHAnsi"/>
        </w:rPr>
      </w:pPr>
      <w:r w:rsidRPr="00A01978">
        <w:rPr>
          <w:rFonts w:cstheme="minorHAnsi"/>
        </w:rPr>
        <w:t>input on the</w:t>
      </w:r>
      <w:r w:rsidR="002F104D">
        <w:rPr>
          <w:rFonts w:cstheme="minorHAnsi"/>
        </w:rPr>
        <w:t xml:space="preserve"> development of the</w:t>
      </w:r>
      <w:r w:rsidRPr="00A01978">
        <w:rPr>
          <w:rFonts w:cstheme="minorHAnsi"/>
        </w:rPr>
        <w:t xml:space="preserve"> </w:t>
      </w:r>
      <w:r w:rsidR="00D07FD2">
        <w:rPr>
          <w:rFonts w:cstheme="minorHAnsi"/>
        </w:rPr>
        <w:t>Capability</w:t>
      </w:r>
      <w:r w:rsidRPr="00A01978">
        <w:rPr>
          <w:rFonts w:cstheme="minorHAnsi"/>
        </w:rPr>
        <w:t xml:space="preserve"> Framework, including capabilities, learning outcomes, and implementation guidelines</w:t>
      </w:r>
    </w:p>
    <w:p w14:paraId="0B18A545" w14:textId="77777777" w:rsidR="007155B5" w:rsidRPr="00A01978" w:rsidRDefault="00047A06" w:rsidP="00047A06">
      <w:pPr>
        <w:pStyle w:val="ListParagraph"/>
        <w:numPr>
          <w:ilvl w:val="0"/>
          <w:numId w:val="6"/>
        </w:numPr>
        <w:rPr>
          <w:rFonts w:cstheme="minorHAnsi"/>
        </w:rPr>
      </w:pPr>
      <w:r w:rsidRPr="00A01978">
        <w:rPr>
          <w:rFonts w:cstheme="minorHAnsi"/>
        </w:rPr>
        <w:t>expert advice on health professional tertiary education, intellectual disability health learning outcomes, and intellectual disability health in Australia</w:t>
      </w:r>
    </w:p>
    <w:p w14:paraId="0D47E043" w14:textId="1E020FBB" w:rsidR="007155B5" w:rsidRPr="00A01978" w:rsidRDefault="007155B5" w:rsidP="00047A06">
      <w:pPr>
        <w:pStyle w:val="ListParagraph"/>
        <w:numPr>
          <w:ilvl w:val="0"/>
          <w:numId w:val="6"/>
        </w:numPr>
        <w:rPr>
          <w:rFonts w:cstheme="minorHAnsi"/>
        </w:rPr>
      </w:pPr>
      <w:r w:rsidRPr="00A01978">
        <w:rPr>
          <w:rFonts w:cstheme="minorHAnsi"/>
        </w:rPr>
        <w:t xml:space="preserve">suggestions for </w:t>
      </w:r>
      <w:r w:rsidR="00047A06" w:rsidRPr="00A01978">
        <w:rPr>
          <w:rFonts w:cstheme="minorHAnsi"/>
        </w:rPr>
        <w:t xml:space="preserve">broader consultations on the </w:t>
      </w:r>
      <w:r w:rsidR="00D07FD2">
        <w:rPr>
          <w:rFonts w:cstheme="minorHAnsi"/>
        </w:rPr>
        <w:t>Capability</w:t>
      </w:r>
      <w:r w:rsidRPr="00A01978">
        <w:rPr>
          <w:rFonts w:cstheme="minorHAnsi"/>
        </w:rPr>
        <w:t xml:space="preserve"> </w:t>
      </w:r>
      <w:r w:rsidR="00047A06" w:rsidRPr="00A01978">
        <w:rPr>
          <w:rFonts w:cstheme="minorHAnsi"/>
        </w:rPr>
        <w:t>Framework; and</w:t>
      </w:r>
    </w:p>
    <w:p w14:paraId="54001013" w14:textId="500C2F34" w:rsidR="00A00F9B" w:rsidRDefault="00047A06" w:rsidP="00EA38E4">
      <w:pPr>
        <w:pStyle w:val="ListParagraph"/>
        <w:numPr>
          <w:ilvl w:val="0"/>
          <w:numId w:val="6"/>
        </w:numPr>
        <w:spacing w:after="0"/>
        <w:rPr>
          <w:rFonts w:cstheme="minorHAnsi"/>
        </w:rPr>
      </w:pPr>
      <w:r w:rsidRPr="00A01978">
        <w:rPr>
          <w:rFonts w:cstheme="minorHAnsi"/>
        </w:rPr>
        <w:t xml:space="preserve">linkages to other key stakeholders essential to the </w:t>
      </w:r>
      <w:r w:rsidR="00A01978">
        <w:rPr>
          <w:rFonts w:cstheme="minorHAnsi"/>
        </w:rPr>
        <w:t xml:space="preserve">progress of key education and training actions under the </w:t>
      </w:r>
      <w:proofErr w:type="gramStart"/>
      <w:r w:rsidR="00A01978">
        <w:rPr>
          <w:rFonts w:cstheme="minorHAnsi"/>
        </w:rPr>
        <w:t>Roadmap</w:t>
      </w:r>
      <w:proofErr w:type="gramEnd"/>
      <w:r w:rsidRPr="00A01978">
        <w:rPr>
          <w:rFonts w:cstheme="minorHAnsi"/>
        </w:rPr>
        <w:t>.</w:t>
      </w:r>
    </w:p>
    <w:p w14:paraId="2BC032DF" w14:textId="55121A28" w:rsidR="00974C07" w:rsidRDefault="00974C07" w:rsidP="00974C07">
      <w:pPr>
        <w:pStyle w:val="NoSpacing"/>
      </w:pPr>
      <w:r>
        <w:t xml:space="preserve">Though the initial focus of the Advisory Group will be on the development of </w:t>
      </w:r>
      <w:r>
        <w:rPr>
          <w:rFonts w:cstheme="minorHAnsi"/>
        </w:rPr>
        <w:t>an</w:t>
      </w:r>
      <w:r w:rsidRPr="00A01978">
        <w:rPr>
          <w:rFonts w:cstheme="minorHAnsi"/>
        </w:rPr>
        <w:t xml:space="preserve"> Intellectual Disability Health </w:t>
      </w:r>
      <w:r w:rsidR="00D07FD2">
        <w:rPr>
          <w:rFonts w:cstheme="minorHAnsi"/>
        </w:rPr>
        <w:t>Capability</w:t>
      </w:r>
      <w:r w:rsidRPr="00A01978">
        <w:rPr>
          <w:rFonts w:cstheme="minorHAnsi"/>
        </w:rPr>
        <w:t xml:space="preserve"> Framework</w:t>
      </w:r>
      <w:r>
        <w:t>, future issues for consideration may include:</w:t>
      </w:r>
      <w:r w:rsidRPr="00974C07">
        <w:t xml:space="preserve"> </w:t>
      </w:r>
    </w:p>
    <w:p w14:paraId="1343EC38" w14:textId="2D51874C" w:rsidR="00974C07" w:rsidRPr="00A01978" w:rsidRDefault="00974C07" w:rsidP="00974C07">
      <w:pPr>
        <w:pStyle w:val="NoSpacing"/>
        <w:numPr>
          <w:ilvl w:val="0"/>
          <w:numId w:val="18"/>
        </w:numPr>
        <w:rPr>
          <w:rFonts w:cstheme="minorHAnsi"/>
        </w:rPr>
      </w:pPr>
      <w:r w:rsidRPr="00A01978">
        <w:t xml:space="preserve">Development of </w:t>
      </w:r>
      <w:r>
        <w:t>specialised</w:t>
      </w:r>
      <w:r w:rsidRPr="00A01978">
        <w:t xml:space="preserve"> curriculum</w:t>
      </w:r>
      <w:r>
        <w:t xml:space="preserve"> content</w:t>
      </w:r>
    </w:p>
    <w:p w14:paraId="7FB31A29" w14:textId="77777777" w:rsidR="00974C07" w:rsidRDefault="00974C07" w:rsidP="00974C07">
      <w:pPr>
        <w:pStyle w:val="NoSpacing"/>
        <w:numPr>
          <w:ilvl w:val="0"/>
          <w:numId w:val="8"/>
        </w:numPr>
        <w:rPr>
          <w:rFonts w:cstheme="minorHAnsi"/>
        </w:rPr>
      </w:pPr>
      <w:r w:rsidRPr="00A01978">
        <w:rPr>
          <w:rFonts w:cstheme="minorHAnsi"/>
        </w:rPr>
        <w:t>Vocational and postgraduate education</w:t>
      </w:r>
    </w:p>
    <w:p w14:paraId="14FF9141" w14:textId="77777777" w:rsidR="00974C07" w:rsidRPr="00A01978" w:rsidRDefault="00974C07" w:rsidP="00974C07">
      <w:pPr>
        <w:pStyle w:val="NoSpacing"/>
        <w:numPr>
          <w:ilvl w:val="0"/>
          <w:numId w:val="8"/>
        </w:numPr>
        <w:spacing w:after="160"/>
        <w:ind w:left="714" w:hanging="357"/>
        <w:rPr>
          <w:rFonts w:cstheme="minorHAnsi"/>
        </w:rPr>
      </w:pPr>
      <w:r>
        <w:rPr>
          <w:rFonts w:cstheme="minorHAnsi"/>
        </w:rPr>
        <w:lastRenderedPageBreak/>
        <w:t xml:space="preserve">Clinical placements </w:t>
      </w:r>
    </w:p>
    <w:p w14:paraId="1E7B7AAC" w14:textId="77777777" w:rsidR="00385D9B" w:rsidRDefault="007155B5" w:rsidP="00385D9B">
      <w:pPr>
        <w:pStyle w:val="Heading3"/>
        <w:rPr>
          <w:b w:val="0"/>
        </w:rPr>
      </w:pPr>
      <w:r w:rsidRPr="00EA38E4">
        <w:t>Out of Scope</w:t>
      </w:r>
    </w:p>
    <w:p w14:paraId="08296562" w14:textId="182D5751" w:rsidR="007155B5" w:rsidRPr="00A01978" w:rsidRDefault="00047A06" w:rsidP="00EA38E4">
      <w:pPr>
        <w:pStyle w:val="NoSpacing"/>
      </w:pPr>
      <w:r w:rsidRPr="00A01978">
        <w:t xml:space="preserve">It should be noted that the following is </w:t>
      </w:r>
      <w:r w:rsidR="000543B8">
        <w:t xml:space="preserve">currently </w:t>
      </w:r>
      <w:r w:rsidRPr="00A01978">
        <w:t>not within the scope of the Advisory Group</w:t>
      </w:r>
      <w:r w:rsidR="00974C07">
        <w:t>.</w:t>
      </w:r>
    </w:p>
    <w:p w14:paraId="6ED4209C" w14:textId="1FF194D4" w:rsidR="007155B5" w:rsidRDefault="00047A06" w:rsidP="00047A06">
      <w:pPr>
        <w:pStyle w:val="NoSpacing"/>
        <w:numPr>
          <w:ilvl w:val="0"/>
          <w:numId w:val="8"/>
        </w:numPr>
        <w:rPr>
          <w:rFonts w:cstheme="minorHAnsi"/>
        </w:rPr>
      </w:pPr>
      <w:r w:rsidRPr="00A01978">
        <w:rPr>
          <w:rFonts w:cstheme="minorHAnsi"/>
        </w:rPr>
        <w:t>Mandating inclusion of content within an educational setting</w:t>
      </w:r>
    </w:p>
    <w:p w14:paraId="11E74530" w14:textId="77777777" w:rsidR="00857F80" w:rsidRPr="00A01978" w:rsidRDefault="00857F80" w:rsidP="00857F80">
      <w:pPr>
        <w:pStyle w:val="NoSpacing"/>
        <w:ind w:left="720"/>
        <w:rPr>
          <w:rFonts w:cstheme="minorHAnsi"/>
        </w:rPr>
      </w:pPr>
    </w:p>
    <w:p w14:paraId="4F7C58D5" w14:textId="2E889F0D" w:rsidR="007155B5" w:rsidRPr="00A01978" w:rsidRDefault="007155B5" w:rsidP="00385D9B">
      <w:pPr>
        <w:pStyle w:val="Heading2"/>
      </w:pPr>
      <w:r w:rsidRPr="00A01978">
        <w:t>Roles</w:t>
      </w:r>
    </w:p>
    <w:p w14:paraId="0D32811D" w14:textId="34FC06AE" w:rsidR="007155B5" w:rsidRPr="00A01978" w:rsidRDefault="00047A06" w:rsidP="00385D9B">
      <w:pPr>
        <w:pStyle w:val="Heading3"/>
      </w:pPr>
      <w:r w:rsidRPr="00A01978">
        <w:t>Chair</w:t>
      </w:r>
    </w:p>
    <w:p w14:paraId="1D3FF30F" w14:textId="2855E894" w:rsidR="00047A06" w:rsidRPr="00A01978" w:rsidRDefault="007155B5" w:rsidP="00AC2F73">
      <w:pPr>
        <w:pStyle w:val="NoSpacing"/>
        <w:spacing w:after="160"/>
        <w:rPr>
          <w:rFonts w:cstheme="minorHAnsi"/>
        </w:rPr>
      </w:pPr>
      <w:r w:rsidRPr="00A01978">
        <w:t xml:space="preserve">The Chair is the Assistant Secretary, Allied Health and Service Integration Branch, </w:t>
      </w:r>
      <w:r w:rsidR="00047A06" w:rsidRPr="00A01978">
        <w:t>Primary Care Division, Department of Health.</w:t>
      </w:r>
      <w:r w:rsidRPr="00A01978">
        <w:t xml:space="preserve"> </w:t>
      </w:r>
      <w:r w:rsidR="00047A06" w:rsidRPr="00A01978">
        <w:rPr>
          <w:rFonts w:cstheme="minorHAnsi"/>
        </w:rPr>
        <w:t xml:space="preserve">Where the Chair is absent, a suitable representative will be selected by the Chair to be the Chair’s representative.  </w:t>
      </w:r>
    </w:p>
    <w:p w14:paraId="16BA5374" w14:textId="77777777" w:rsidR="007155B5" w:rsidRPr="00A01978" w:rsidRDefault="00047A06" w:rsidP="00385D9B">
      <w:pPr>
        <w:pStyle w:val="Heading3"/>
      </w:pPr>
      <w:r w:rsidRPr="00A01978">
        <w:t>Membership</w:t>
      </w:r>
    </w:p>
    <w:p w14:paraId="395C4B62" w14:textId="673F5A03" w:rsidR="00047A06" w:rsidRPr="00A01978" w:rsidRDefault="000110BD" w:rsidP="00047A06">
      <w:pPr>
        <w:rPr>
          <w:rFonts w:cstheme="minorHAnsi"/>
        </w:rPr>
      </w:pPr>
      <w:r>
        <w:rPr>
          <w:rFonts w:cstheme="minorHAnsi"/>
          <w:bCs/>
        </w:rPr>
        <w:t>R</w:t>
      </w:r>
      <w:r w:rsidR="00A2611A" w:rsidRPr="00FE6192">
        <w:rPr>
          <w:rFonts w:cstheme="minorHAnsi"/>
          <w:bCs/>
        </w:rPr>
        <w:t xml:space="preserve">epresentatives from the </w:t>
      </w:r>
      <w:r w:rsidR="00A2611A">
        <w:rPr>
          <w:rFonts w:cstheme="minorHAnsi"/>
          <w:bCs/>
        </w:rPr>
        <w:t>education sector</w:t>
      </w:r>
      <w:r w:rsidR="00A2611A" w:rsidRPr="00FE6192">
        <w:rPr>
          <w:rFonts w:cstheme="minorHAnsi"/>
          <w:bCs/>
        </w:rPr>
        <w:t xml:space="preserve">, </w:t>
      </w:r>
      <w:r w:rsidR="00A2611A">
        <w:rPr>
          <w:rFonts w:cstheme="minorHAnsi"/>
          <w:bCs/>
        </w:rPr>
        <w:t>i</w:t>
      </w:r>
      <w:r w:rsidR="00A2611A" w:rsidRPr="00FE6192">
        <w:rPr>
          <w:rFonts w:cstheme="minorHAnsi"/>
          <w:bCs/>
        </w:rPr>
        <w:t xml:space="preserve">ntellectual </w:t>
      </w:r>
      <w:r w:rsidR="00A2611A">
        <w:rPr>
          <w:rFonts w:cstheme="minorHAnsi"/>
          <w:bCs/>
        </w:rPr>
        <w:t>d</w:t>
      </w:r>
      <w:r w:rsidR="00A2611A" w:rsidRPr="00FE6192">
        <w:rPr>
          <w:rFonts w:cstheme="minorHAnsi"/>
          <w:bCs/>
        </w:rPr>
        <w:t xml:space="preserve">isability </w:t>
      </w:r>
      <w:r w:rsidR="00A2611A">
        <w:rPr>
          <w:rFonts w:cstheme="minorHAnsi"/>
          <w:bCs/>
        </w:rPr>
        <w:t>a</w:t>
      </w:r>
      <w:r w:rsidR="00A2611A" w:rsidRPr="00FE6192">
        <w:rPr>
          <w:rFonts w:cstheme="minorHAnsi"/>
          <w:bCs/>
        </w:rPr>
        <w:t xml:space="preserve">cademic experts, </w:t>
      </w:r>
      <w:proofErr w:type="gramStart"/>
      <w:r w:rsidR="00A2611A">
        <w:rPr>
          <w:rFonts w:cstheme="minorHAnsi"/>
          <w:bCs/>
        </w:rPr>
        <w:t>accreditation</w:t>
      </w:r>
      <w:proofErr w:type="gramEnd"/>
      <w:r w:rsidR="00A2611A">
        <w:rPr>
          <w:rFonts w:cstheme="minorHAnsi"/>
          <w:bCs/>
        </w:rPr>
        <w:t xml:space="preserve"> and registration bodies, </w:t>
      </w:r>
      <w:r w:rsidR="000543B8">
        <w:rPr>
          <w:rFonts w:cstheme="minorHAnsi"/>
          <w:bCs/>
        </w:rPr>
        <w:t>indigenous,</w:t>
      </w:r>
      <w:r w:rsidR="00A2611A">
        <w:rPr>
          <w:rFonts w:cstheme="minorHAnsi"/>
          <w:bCs/>
        </w:rPr>
        <w:t xml:space="preserve"> </w:t>
      </w:r>
      <w:r w:rsidR="00A2611A" w:rsidRPr="00FE6192">
        <w:rPr>
          <w:rFonts w:cstheme="minorHAnsi"/>
          <w:bCs/>
        </w:rPr>
        <w:t>health and disability secto</w:t>
      </w:r>
      <w:r w:rsidR="00A2611A">
        <w:rPr>
          <w:rFonts w:cstheme="minorHAnsi"/>
          <w:bCs/>
        </w:rPr>
        <w:t>r and people with lived experience</w:t>
      </w:r>
      <w:r w:rsidR="00047A06" w:rsidRPr="00F6145A">
        <w:rPr>
          <w:rFonts w:cstheme="minorHAnsi"/>
        </w:rPr>
        <w:t>.</w:t>
      </w:r>
      <w:r w:rsidR="00047A06" w:rsidRPr="00A01978">
        <w:rPr>
          <w:rFonts w:cstheme="minorHAnsi"/>
        </w:rPr>
        <w:t xml:space="preserve"> </w:t>
      </w:r>
    </w:p>
    <w:p w14:paraId="2CEB617B" w14:textId="1279B5CC" w:rsidR="00047A06" w:rsidRPr="00A01978" w:rsidRDefault="00047A06" w:rsidP="00047A06">
      <w:pPr>
        <w:rPr>
          <w:rFonts w:cstheme="minorHAnsi"/>
        </w:rPr>
      </w:pPr>
      <w:r w:rsidRPr="00A01978">
        <w:rPr>
          <w:rFonts w:cstheme="minorHAnsi"/>
        </w:rPr>
        <w:t>A member may nominate a proxy for attendance at a meeting, subject to approval by the Chair</w:t>
      </w:r>
      <w:r w:rsidR="007155B5" w:rsidRPr="00A01978">
        <w:rPr>
          <w:rFonts w:cstheme="minorHAnsi"/>
        </w:rPr>
        <w:t xml:space="preserve"> prior to the commencement of the meeting</w:t>
      </w:r>
      <w:r w:rsidRPr="00A01978">
        <w:rPr>
          <w:rFonts w:cstheme="minorHAnsi"/>
        </w:rPr>
        <w:t xml:space="preserve">. </w:t>
      </w:r>
      <w:r w:rsidR="007155B5" w:rsidRPr="00A01978">
        <w:rPr>
          <w:rFonts w:cstheme="minorHAnsi"/>
        </w:rPr>
        <w:t>Members (including proxies) are expected to prepare for and actively participate in group business.</w:t>
      </w:r>
    </w:p>
    <w:p w14:paraId="5EDEAAEC" w14:textId="77777777" w:rsidR="007155B5" w:rsidRPr="00A01978" w:rsidRDefault="007155B5" w:rsidP="00385D9B">
      <w:pPr>
        <w:pStyle w:val="Heading3"/>
      </w:pPr>
      <w:r w:rsidRPr="00A01978">
        <w:t>Observers and Invited Guests</w:t>
      </w:r>
    </w:p>
    <w:p w14:paraId="70317BA1" w14:textId="481BE785" w:rsidR="007155B5" w:rsidRDefault="007155B5" w:rsidP="007155B5">
      <w:pPr>
        <w:rPr>
          <w:rFonts w:cstheme="minorHAnsi"/>
        </w:rPr>
      </w:pPr>
      <w:r w:rsidRPr="00A01978">
        <w:rPr>
          <w:rFonts w:cstheme="minorHAnsi"/>
        </w:rPr>
        <w:t>Observers are invited at the discretion of the Chair. Guests may be invited to speak on a specific topic or agenda item.</w:t>
      </w:r>
    </w:p>
    <w:p w14:paraId="61E62A4E" w14:textId="61B6D455" w:rsidR="00FD28DD" w:rsidRDefault="00FD28DD" w:rsidP="00063032">
      <w:pPr>
        <w:spacing w:after="0"/>
        <w:rPr>
          <w:rFonts w:cstheme="minorHAnsi"/>
          <w:b/>
          <w:bCs/>
        </w:rPr>
      </w:pPr>
      <w:r w:rsidRPr="00385D9B">
        <w:rPr>
          <w:rStyle w:val="Heading2Char"/>
        </w:rPr>
        <w:t>Governance</w:t>
      </w:r>
      <w:r>
        <w:rPr>
          <w:rFonts w:cstheme="minorHAnsi"/>
          <w:b/>
          <w:bCs/>
          <w:sz w:val="24"/>
          <w:szCs w:val="24"/>
        </w:rPr>
        <w:br/>
      </w:r>
      <w:r w:rsidRPr="00385D9B">
        <w:rPr>
          <w:rStyle w:val="Heading3Char"/>
        </w:rPr>
        <w:t>Roadmap Implementation Governance Group</w:t>
      </w:r>
    </w:p>
    <w:p w14:paraId="24E040CE" w14:textId="18A8EC16" w:rsidR="00377F5A" w:rsidRDefault="004930C8" w:rsidP="00063032">
      <w:pPr>
        <w:spacing w:after="0"/>
        <w:rPr>
          <w:rFonts w:cstheme="minorHAnsi"/>
        </w:rPr>
      </w:pPr>
      <w:r w:rsidRPr="004930C8">
        <w:rPr>
          <w:rFonts w:cstheme="minorHAnsi"/>
        </w:rPr>
        <w:t>The Roadmap Implementation Governance Group</w:t>
      </w:r>
      <w:r w:rsidR="00377F5A">
        <w:rPr>
          <w:rFonts w:cstheme="minorHAnsi"/>
        </w:rPr>
        <w:t xml:space="preserve"> (</w:t>
      </w:r>
      <w:r w:rsidRPr="004930C8">
        <w:rPr>
          <w:rFonts w:cstheme="minorHAnsi"/>
        </w:rPr>
        <w:t xml:space="preserve">RIGG) is the overarching </w:t>
      </w:r>
      <w:r w:rsidRPr="00377F5A">
        <w:rPr>
          <w:rFonts w:cstheme="minorHAnsi"/>
        </w:rPr>
        <w:t xml:space="preserve">governing body </w:t>
      </w:r>
      <w:r w:rsidR="00063032" w:rsidRPr="00377F5A">
        <w:t>responsible</w:t>
      </w:r>
      <w:r w:rsidRPr="00377F5A">
        <w:t xml:space="preserve"> for implementing</w:t>
      </w:r>
      <w:r w:rsidR="00377F5A">
        <w:t xml:space="preserve"> actions under </w:t>
      </w:r>
      <w:r w:rsidRPr="00377F5A">
        <w:t xml:space="preserve">the </w:t>
      </w:r>
      <w:proofErr w:type="gramStart"/>
      <w:r w:rsidRPr="00377F5A">
        <w:t>Roadmap</w:t>
      </w:r>
      <w:proofErr w:type="gramEnd"/>
      <w:r w:rsidRPr="00377F5A">
        <w:rPr>
          <w:rFonts w:cstheme="minorHAnsi"/>
        </w:rPr>
        <w:t xml:space="preserve">. </w:t>
      </w:r>
    </w:p>
    <w:p w14:paraId="5E910C4B" w14:textId="501731D9" w:rsidR="004930C8" w:rsidRPr="004930C8" w:rsidRDefault="004930C8" w:rsidP="00063032">
      <w:pPr>
        <w:spacing w:after="0"/>
        <w:rPr>
          <w:rFonts w:cstheme="minorHAnsi"/>
        </w:rPr>
      </w:pPr>
      <w:r w:rsidRPr="00377F5A">
        <w:rPr>
          <w:rFonts w:cstheme="minorHAnsi"/>
        </w:rPr>
        <w:t>The purpose of the RIGG is to:</w:t>
      </w:r>
    </w:p>
    <w:p w14:paraId="7D917FE5" w14:textId="77777777" w:rsidR="004930C8" w:rsidRPr="004930C8" w:rsidRDefault="004930C8">
      <w:pPr>
        <w:numPr>
          <w:ilvl w:val="0"/>
          <w:numId w:val="17"/>
        </w:numPr>
        <w:spacing w:after="0"/>
        <w:rPr>
          <w:rFonts w:cstheme="minorHAnsi"/>
        </w:rPr>
      </w:pPr>
      <w:r w:rsidRPr="004930C8">
        <w:rPr>
          <w:rFonts w:cstheme="minorHAnsi"/>
        </w:rPr>
        <w:t xml:space="preserve">provide oversight and advice on the implementation of the </w:t>
      </w:r>
      <w:proofErr w:type="gramStart"/>
      <w:r w:rsidRPr="004930C8">
        <w:rPr>
          <w:rFonts w:cstheme="minorHAnsi"/>
        </w:rPr>
        <w:t>Roadmap</w:t>
      </w:r>
      <w:proofErr w:type="gramEnd"/>
      <w:r w:rsidRPr="004930C8">
        <w:rPr>
          <w:rFonts w:cstheme="minorHAnsi"/>
        </w:rPr>
        <w:t xml:space="preserve"> throughout its lifespan </w:t>
      </w:r>
    </w:p>
    <w:p w14:paraId="51E46E8C" w14:textId="77777777" w:rsidR="004930C8" w:rsidRPr="004930C8" w:rsidRDefault="004930C8">
      <w:pPr>
        <w:numPr>
          <w:ilvl w:val="0"/>
          <w:numId w:val="17"/>
        </w:numPr>
        <w:spacing w:after="0"/>
        <w:rPr>
          <w:rFonts w:cstheme="minorHAnsi"/>
        </w:rPr>
      </w:pPr>
      <w:r w:rsidRPr="004930C8">
        <w:rPr>
          <w:rFonts w:cstheme="minorHAnsi"/>
        </w:rPr>
        <w:t>ensure implementation is conducted in an inclusive and transparent manner</w:t>
      </w:r>
    </w:p>
    <w:p w14:paraId="23AC72DC" w14:textId="65BD1642" w:rsidR="004930C8" w:rsidRDefault="004930C8" w:rsidP="00063032">
      <w:pPr>
        <w:numPr>
          <w:ilvl w:val="0"/>
          <w:numId w:val="17"/>
        </w:numPr>
        <w:spacing w:after="0"/>
        <w:rPr>
          <w:rFonts w:cstheme="minorHAnsi"/>
        </w:rPr>
      </w:pPr>
      <w:r w:rsidRPr="004930C8">
        <w:rPr>
          <w:rFonts w:cstheme="minorHAnsi"/>
        </w:rPr>
        <w:t xml:space="preserve">ensure governments and other stakeholders are accountable for implementing actions outlined in the </w:t>
      </w:r>
      <w:proofErr w:type="gramStart"/>
      <w:r w:rsidRPr="004930C8">
        <w:rPr>
          <w:rFonts w:cstheme="minorHAnsi"/>
        </w:rPr>
        <w:t>Roadmap</w:t>
      </w:r>
      <w:proofErr w:type="gramEnd"/>
      <w:r w:rsidRPr="004930C8">
        <w:rPr>
          <w:rFonts w:cstheme="minorHAnsi"/>
        </w:rPr>
        <w:t>.</w:t>
      </w:r>
    </w:p>
    <w:p w14:paraId="220BD166" w14:textId="77777777" w:rsidR="00063032" w:rsidRPr="00063032" w:rsidRDefault="00063032" w:rsidP="00063032">
      <w:pPr>
        <w:spacing w:after="0"/>
        <w:ind w:left="720"/>
        <w:rPr>
          <w:rFonts w:cstheme="minorHAnsi"/>
        </w:rPr>
      </w:pPr>
    </w:p>
    <w:p w14:paraId="77422FDD" w14:textId="0CDA2CC9" w:rsidR="004930C8" w:rsidRDefault="00FD28DD" w:rsidP="00871F87">
      <w:pPr>
        <w:spacing w:after="0"/>
        <w:rPr>
          <w:rFonts w:cstheme="minorHAnsi"/>
        </w:rPr>
      </w:pPr>
      <w:r w:rsidRPr="00FD28DD">
        <w:rPr>
          <w:rFonts w:cstheme="minorHAnsi"/>
        </w:rPr>
        <w:t xml:space="preserve">The RIGG will have a standing agenda item for updates </w:t>
      </w:r>
      <w:r>
        <w:rPr>
          <w:rFonts w:cstheme="minorHAnsi"/>
        </w:rPr>
        <w:t>on</w:t>
      </w:r>
      <w:r w:rsidRPr="00FD28DD">
        <w:rPr>
          <w:rFonts w:cstheme="minorHAnsi"/>
        </w:rPr>
        <w:t xml:space="preserve"> projects</w:t>
      </w:r>
      <w:r>
        <w:rPr>
          <w:rFonts w:cstheme="minorHAnsi"/>
        </w:rPr>
        <w:t xml:space="preserve"> currently underway</w:t>
      </w:r>
      <w:r w:rsidRPr="00FD28DD">
        <w:rPr>
          <w:rFonts w:cstheme="minorHAnsi"/>
        </w:rPr>
        <w:t xml:space="preserve"> under the </w:t>
      </w:r>
      <w:proofErr w:type="gramStart"/>
      <w:r w:rsidRPr="00FD28DD">
        <w:rPr>
          <w:rFonts w:cstheme="minorHAnsi"/>
        </w:rPr>
        <w:t>Roadmap</w:t>
      </w:r>
      <w:proofErr w:type="gramEnd"/>
      <w:r w:rsidR="003D0B7F">
        <w:rPr>
          <w:rFonts w:cstheme="minorHAnsi"/>
        </w:rPr>
        <w:t>, a summary of each Advisory Group meeting will be provided to the RIGG for discussion at that item.</w:t>
      </w:r>
    </w:p>
    <w:p w14:paraId="28F4CE33" w14:textId="77777777" w:rsidR="003D0B7F" w:rsidRDefault="003D0B7F" w:rsidP="00871F87">
      <w:pPr>
        <w:spacing w:after="0"/>
        <w:rPr>
          <w:rFonts w:cstheme="minorHAnsi"/>
          <w:b/>
          <w:bCs/>
        </w:rPr>
      </w:pPr>
    </w:p>
    <w:p w14:paraId="0B198B52" w14:textId="420FE7F3" w:rsidR="00871F87" w:rsidRPr="00871F87" w:rsidRDefault="00871F87" w:rsidP="00385D9B">
      <w:pPr>
        <w:pStyle w:val="Heading3"/>
      </w:pPr>
      <w:r w:rsidRPr="00871F87">
        <w:t>Intellectual Disability Focus Group</w:t>
      </w:r>
    </w:p>
    <w:p w14:paraId="72D5203B" w14:textId="34E2C424" w:rsidR="00871F87" w:rsidRDefault="00871F87" w:rsidP="00871F87">
      <w:pPr>
        <w:spacing w:after="0"/>
        <w:rPr>
          <w:rFonts w:cstheme="minorHAnsi"/>
        </w:rPr>
      </w:pPr>
      <w:r>
        <w:rPr>
          <w:rFonts w:cstheme="minorHAnsi"/>
        </w:rPr>
        <w:t xml:space="preserve">The Department of Health </w:t>
      </w:r>
      <w:r w:rsidR="00D07FD2">
        <w:rPr>
          <w:rFonts w:cstheme="minorHAnsi"/>
        </w:rPr>
        <w:t xml:space="preserve">and Ageing has </w:t>
      </w:r>
      <w:r>
        <w:rPr>
          <w:rFonts w:cstheme="minorHAnsi"/>
        </w:rPr>
        <w:t>establish</w:t>
      </w:r>
      <w:r w:rsidR="00D07FD2">
        <w:rPr>
          <w:rFonts w:cstheme="minorHAnsi"/>
        </w:rPr>
        <w:t>ed</w:t>
      </w:r>
      <w:r>
        <w:rPr>
          <w:rFonts w:cstheme="minorHAnsi"/>
        </w:rPr>
        <w:t xml:space="preserve"> an Intellectual Disability Focus Group to ensure appropriate and meaningful engagement with people with intellectual disability across all projects under the </w:t>
      </w:r>
      <w:proofErr w:type="gramStart"/>
      <w:r>
        <w:rPr>
          <w:rFonts w:cstheme="minorHAnsi"/>
        </w:rPr>
        <w:t>Roadmap</w:t>
      </w:r>
      <w:proofErr w:type="gramEnd"/>
      <w:r>
        <w:rPr>
          <w:rFonts w:cstheme="minorHAnsi"/>
        </w:rPr>
        <w:t xml:space="preserve">. The Advisory Group is also expected to consult with the Intellectual Disability Focus Group at key decisions points of the education and training activities under the </w:t>
      </w:r>
      <w:proofErr w:type="gramStart"/>
      <w:r>
        <w:rPr>
          <w:rFonts w:cstheme="minorHAnsi"/>
        </w:rPr>
        <w:t>Roadmap</w:t>
      </w:r>
      <w:proofErr w:type="gramEnd"/>
      <w:r>
        <w:rPr>
          <w:rFonts w:cstheme="minorHAnsi"/>
        </w:rPr>
        <w:t>.</w:t>
      </w:r>
    </w:p>
    <w:p w14:paraId="14256794" w14:textId="77777777" w:rsidR="00871F87" w:rsidRPr="00A01978" w:rsidRDefault="00871F87" w:rsidP="00871F87">
      <w:pPr>
        <w:spacing w:after="0"/>
        <w:rPr>
          <w:rFonts w:cstheme="minorHAnsi"/>
        </w:rPr>
      </w:pPr>
    </w:p>
    <w:p w14:paraId="6F59280E" w14:textId="1F4EB70E" w:rsidR="00883571" w:rsidRPr="00A01978" w:rsidRDefault="00047A06" w:rsidP="00385D9B">
      <w:pPr>
        <w:pStyle w:val="Heading2"/>
      </w:pPr>
      <w:r w:rsidRPr="00A01978">
        <w:t>Committee Term</w:t>
      </w:r>
    </w:p>
    <w:p w14:paraId="2370869E" w14:textId="1A48E4E5" w:rsidR="00047A06" w:rsidRPr="003D0B7F" w:rsidRDefault="00047A06" w:rsidP="00883571">
      <w:pPr>
        <w:rPr>
          <w:rFonts w:cstheme="minorHAnsi"/>
        </w:rPr>
      </w:pPr>
      <w:r w:rsidRPr="003D0B7F">
        <w:rPr>
          <w:rFonts w:cstheme="minorHAnsi"/>
        </w:rPr>
        <w:t xml:space="preserve">The term of the Advisory Group </w:t>
      </w:r>
      <w:r w:rsidR="003D0B7F">
        <w:rPr>
          <w:rFonts w:cstheme="minorHAnsi"/>
        </w:rPr>
        <w:t>will</w:t>
      </w:r>
      <w:r w:rsidRPr="003D0B7F">
        <w:rPr>
          <w:rFonts w:cstheme="minorHAnsi"/>
        </w:rPr>
        <w:t xml:space="preserve"> be for an initial period of </w:t>
      </w:r>
      <w:r w:rsidR="00883571" w:rsidRPr="003D0B7F">
        <w:rPr>
          <w:rFonts w:cstheme="minorHAnsi"/>
        </w:rPr>
        <w:t>four</w:t>
      </w:r>
      <w:r w:rsidRPr="003D0B7F">
        <w:rPr>
          <w:rFonts w:cstheme="minorHAnsi"/>
        </w:rPr>
        <w:t xml:space="preserve"> years</w:t>
      </w:r>
      <w:r w:rsidR="000543B8" w:rsidRPr="003D0B7F">
        <w:rPr>
          <w:rFonts w:cstheme="minorHAnsi"/>
        </w:rPr>
        <w:t>, to June 2025,</w:t>
      </w:r>
      <w:r w:rsidR="00883571" w:rsidRPr="003D0B7F">
        <w:rPr>
          <w:rFonts w:cstheme="minorHAnsi"/>
        </w:rPr>
        <w:t xml:space="preserve"> to align with the Curriculum Development Budget measure</w:t>
      </w:r>
      <w:r w:rsidRPr="003D0B7F">
        <w:rPr>
          <w:rFonts w:cstheme="minorHAnsi"/>
        </w:rPr>
        <w:t xml:space="preserve">.  </w:t>
      </w:r>
    </w:p>
    <w:p w14:paraId="61B44C99" w14:textId="02C8366F" w:rsidR="00883571" w:rsidRPr="003D0B7F" w:rsidRDefault="00883571" w:rsidP="00883571">
      <w:pPr>
        <w:rPr>
          <w:rFonts w:cstheme="minorHAnsi"/>
        </w:rPr>
      </w:pPr>
      <w:bookmarkStart w:id="0" w:name="_Hlk86301402"/>
      <w:r w:rsidRPr="003D0B7F">
        <w:rPr>
          <w:rFonts w:cstheme="minorHAnsi"/>
        </w:rPr>
        <w:t>Members will be appointed for an initial term of two (2) years and may be offered further terms</w:t>
      </w:r>
      <w:bookmarkEnd w:id="0"/>
      <w:r w:rsidRPr="003D0B7F">
        <w:rPr>
          <w:rFonts w:cstheme="minorHAnsi"/>
        </w:rPr>
        <w:t>. New members may be invited to jo</w:t>
      </w:r>
      <w:r w:rsidR="000543B8" w:rsidRPr="003D0B7F">
        <w:rPr>
          <w:rFonts w:cstheme="minorHAnsi"/>
        </w:rPr>
        <w:t xml:space="preserve">in as necessary </w:t>
      </w:r>
      <w:r w:rsidRPr="003D0B7F">
        <w:rPr>
          <w:rFonts w:cstheme="minorHAnsi"/>
        </w:rPr>
        <w:t xml:space="preserve">as implementation of the </w:t>
      </w:r>
      <w:proofErr w:type="gramStart"/>
      <w:r w:rsidRPr="003D0B7F">
        <w:rPr>
          <w:rFonts w:cstheme="minorHAnsi"/>
        </w:rPr>
        <w:t>Roadmap</w:t>
      </w:r>
      <w:proofErr w:type="gramEnd"/>
      <w:r w:rsidRPr="003D0B7F">
        <w:rPr>
          <w:rFonts w:cstheme="minorHAnsi"/>
        </w:rPr>
        <w:t xml:space="preserve"> progresses. </w:t>
      </w:r>
    </w:p>
    <w:p w14:paraId="61C52FB5" w14:textId="64C419AA" w:rsidR="00385D9B" w:rsidRDefault="00047A06" w:rsidP="00385D9B">
      <w:pPr>
        <w:spacing w:after="120"/>
        <w:rPr>
          <w:rFonts w:cstheme="minorHAnsi"/>
        </w:rPr>
      </w:pPr>
      <w:r w:rsidRPr="00A01978">
        <w:rPr>
          <w:rFonts w:cstheme="minorHAnsi"/>
        </w:rPr>
        <w:t>The Terms of Reference are effective from the date of the first meeting and will be reviewed annually</w:t>
      </w:r>
      <w:r w:rsidR="00803C19">
        <w:rPr>
          <w:rFonts w:cstheme="minorHAnsi"/>
        </w:rPr>
        <w:t>,</w:t>
      </w:r>
      <w:r w:rsidRPr="00A01978">
        <w:rPr>
          <w:rFonts w:cstheme="minorHAnsi"/>
        </w:rPr>
        <w:t xml:space="preserve"> or earlier if required.</w:t>
      </w:r>
      <w:r w:rsidR="00385D9B">
        <w:rPr>
          <w:rFonts w:cstheme="minorHAnsi"/>
        </w:rPr>
        <w:br w:type="page"/>
      </w:r>
    </w:p>
    <w:p w14:paraId="45ECC3C1" w14:textId="52973053" w:rsidR="007155B5" w:rsidRPr="00A01978" w:rsidRDefault="007155B5" w:rsidP="00385D9B">
      <w:pPr>
        <w:pStyle w:val="Heading2"/>
      </w:pPr>
      <w:r w:rsidRPr="00A01978">
        <w:lastRenderedPageBreak/>
        <w:t>Operation of meetings</w:t>
      </w:r>
    </w:p>
    <w:p w14:paraId="271E9742" w14:textId="77777777" w:rsidR="007155B5" w:rsidRPr="00A01978" w:rsidRDefault="007155B5" w:rsidP="00A01978">
      <w:pPr>
        <w:pStyle w:val="ListParagraph"/>
        <w:numPr>
          <w:ilvl w:val="0"/>
          <w:numId w:val="6"/>
        </w:numPr>
        <w:rPr>
          <w:rFonts w:cstheme="minorHAnsi"/>
        </w:rPr>
      </w:pPr>
      <w:bookmarkStart w:id="1" w:name="_Hlk86301323"/>
      <w:r w:rsidRPr="00A01978">
        <w:rPr>
          <w:rFonts w:cstheme="minorHAnsi"/>
        </w:rPr>
        <w:t>The Advisory Group will meet quarterly via videoconference</w:t>
      </w:r>
      <w:bookmarkEnd w:id="1"/>
      <w:r w:rsidRPr="00A01978">
        <w:rPr>
          <w:rFonts w:cstheme="minorHAnsi"/>
        </w:rPr>
        <w:t xml:space="preserve"> as per the agreed meeting schedule. </w:t>
      </w:r>
    </w:p>
    <w:p w14:paraId="5B9D9824" w14:textId="7CCB264B" w:rsidR="007155B5" w:rsidRPr="00A01978" w:rsidRDefault="007155B5" w:rsidP="00A01978">
      <w:pPr>
        <w:pStyle w:val="ListParagraph"/>
        <w:numPr>
          <w:ilvl w:val="0"/>
          <w:numId w:val="6"/>
        </w:numPr>
        <w:rPr>
          <w:rFonts w:cstheme="minorHAnsi"/>
        </w:rPr>
      </w:pPr>
      <w:r w:rsidRPr="00A01978">
        <w:rPr>
          <w:rFonts w:cstheme="minorHAnsi"/>
        </w:rPr>
        <w:t>The Chair will decide if additional meetings are necessary or alter the format of the scheduled meetings (</w:t>
      </w:r>
      <w:proofErr w:type="gramStart"/>
      <w:r w:rsidRPr="00A01978">
        <w:rPr>
          <w:rFonts w:cstheme="minorHAnsi"/>
        </w:rPr>
        <w:t>i.e.</w:t>
      </w:r>
      <w:proofErr w:type="gramEnd"/>
      <w:r w:rsidRPr="00A01978">
        <w:rPr>
          <w:rFonts w:cstheme="minorHAnsi"/>
        </w:rPr>
        <w:t xml:space="preserve"> face-to-face or videoconference) if required to ensure timely decision</w:t>
      </w:r>
      <w:r w:rsidR="00883571" w:rsidRPr="00A01978">
        <w:rPr>
          <w:rFonts w:cstheme="minorHAnsi"/>
        </w:rPr>
        <w:t xml:space="preserve"> making</w:t>
      </w:r>
      <w:r w:rsidRPr="00A01978">
        <w:rPr>
          <w:rFonts w:cstheme="minorHAnsi"/>
        </w:rPr>
        <w:t xml:space="preserve">. </w:t>
      </w:r>
    </w:p>
    <w:p w14:paraId="483B895D" w14:textId="77777777" w:rsidR="00883571" w:rsidRPr="00A01978" w:rsidRDefault="00883571" w:rsidP="00A01978">
      <w:pPr>
        <w:pStyle w:val="ListParagraph"/>
        <w:numPr>
          <w:ilvl w:val="0"/>
          <w:numId w:val="6"/>
        </w:numPr>
        <w:rPr>
          <w:rFonts w:cstheme="minorHAnsi"/>
        </w:rPr>
      </w:pPr>
      <w:r w:rsidRPr="00A01978">
        <w:rPr>
          <w:rFonts w:cstheme="minorHAnsi"/>
        </w:rPr>
        <w:t xml:space="preserve">The Secretariat will issue a call for agenda items and/or papers at least 4 weeks in advance of scheduled meetings. </w:t>
      </w:r>
    </w:p>
    <w:p w14:paraId="2F11924C" w14:textId="77777777" w:rsidR="00883571" w:rsidRPr="00A01978" w:rsidRDefault="00883571" w:rsidP="00A01978">
      <w:pPr>
        <w:pStyle w:val="ListParagraph"/>
        <w:numPr>
          <w:ilvl w:val="0"/>
          <w:numId w:val="6"/>
        </w:numPr>
        <w:rPr>
          <w:rFonts w:cstheme="minorHAnsi"/>
        </w:rPr>
      </w:pPr>
      <w:r w:rsidRPr="00A01978">
        <w:rPr>
          <w:rFonts w:cstheme="minorHAnsi"/>
        </w:rPr>
        <w:t xml:space="preserve">Meeting papers will be circulated electronically no later than one week in advance of scheduled meetings, unless otherwise agreed by the Chair. </w:t>
      </w:r>
    </w:p>
    <w:p w14:paraId="50263B76" w14:textId="77777777" w:rsidR="00883571" w:rsidRPr="00A01978" w:rsidRDefault="00883571" w:rsidP="00A01978">
      <w:pPr>
        <w:pStyle w:val="ListParagraph"/>
        <w:numPr>
          <w:ilvl w:val="0"/>
          <w:numId w:val="6"/>
        </w:numPr>
        <w:rPr>
          <w:rFonts w:cstheme="minorHAnsi"/>
        </w:rPr>
      </w:pPr>
      <w:r w:rsidRPr="00A01978">
        <w:rPr>
          <w:rFonts w:cstheme="minorHAnsi"/>
        </w:rPr>
        <w:t xml:space="preserve">The Secretariat will circulate action items and meeting outcome summaries to the Advisory Group within a week of the meeting. </w:t>
      </w:r>
    </w:p>
    <w:p w14:paraId="65C3ED24" w14:textId="77777777" w:rsidR="00883571" w:rsidRPr="00A01978" w:rsidRDefault="00883571" w:rsidP="00A01978">
      <w:pPr>
        <w:pStyle w:val="ListParagraph"/>
        <w:numPr>
          <w:ilvl w:val="0"/>
          <w:numId w:val="6"/>
        </w:numPr>
        <w:rPr>
          <w:rFonts w:cstheme="minorHAnsi"/>
        </w:rPr>
      </w:pPr>
      <w:r w:rsidRPr="00A01978">
        <w:rPr>
          <w:rFonts w:cstheme="minorHAnsi"/>
        </w:rPr>
        <w:t xml:space="preserve">Out of session papers may be circulated with approval of the Chair and will be recorded in the minutes of the next scheduled meeting. </w:t>
      </w:r>
    </w:p>
    <w:p w14:paraId="274F76C7" w14:textId="77777777" w:rsidR="00883571" w:rsidRPr="00A01978" w:rsidRDefault="00883571" w:rsidP="00385D9B">
      <w:pPr>
        <w:pStyle w:val="Heading2"/>
      </w:pPr>
      <w:r w:rsidRPr="00A01978">
        <w:t xml:space="preserve">Conflict of Interest </w:t>
      </w:r>
    </w:p>
    <w:p w14:paraId="2E8C89C2" w14:textId="2BD54ABA" w:rsidR="00883571" w:rsidRPr="00A01978" w:rsidRDefault="00883571" w:rsidP="00A01978">
      <w:pPr>
        <w:rPr>
          <w:rFonts w:cstheme="minorHAnsi"/>
        </w:rPr>
      </w:pPr>
      <w:r w:rsidRPr="00A01978">
        <w:rPr>
          <w:rFonts w:cstheme="minorHAnsi"/>
        </w:rPr>
        <w:t xml:space="preserve">All members of the </w:t>
      </w:r>
      <w:r w:rsidR="00A01978" w:rsidRPr="00A01978">
        <w:rPr>
          <w:rFonts w:cstheme="minorHAnsi"/>
        </w:rPr>
        <w:t>Advisory Group</w:t>
      </w:r>
      <w:r w:rsidRPr="00A01978">
        <w:rPr>
          <w:rFonts w:cstheme="minorHAnsi"/>
        </w:rPr>
        <w:t xml:space="preserve"> are required to declare all existing or potential conflicts of interest. </w:t>
      </w:r>
    </w:p>
    <w:p w14:paraId="608DACAB" w14:textId="26516806" w:rsidR="00883571" w:rsidRPr="00883571" w:rsidRDefault="00883571" w:rsidP="00A01978">
      <w:pPr>
        <w:rPr>
          <w:rFonts w:cstheme="minorHAnsi"/>
        </w:rPr>
      </w:pPr>
      <w:r w:rsidRPr="00883571">
        <w:rPr>
          <w:rFonts w:cstheme="minorHAnsi"/>
        </w:rPr>
        <w:t xml:space="preserve">The Chair may require a member to recuse themselves from discussion of part or whole of an item or issue if the Chair considers the conflict of interest cannot be otherwise managed. </w:t>
      </w:r>
    </w:p>
    <w:p w14:paraId="58BF03A3" w14:textId="77777777" w:rsidR="00A01978" w:rsidRPr="00A01978" w:rsidRDefault="00883571" w:rsidP="00385D9B">
      <w:pPr>
        <w:pStyle w:val="Heading2"/>
      </w:pPr>
      <w:r w:rsidRPr="00A01978">
        <w:t xml:space="preserve">Confidentiality </w:t>
      </w:r>
    </w:p>
    <w:p w14:paraId="32E023ED" w14:textId="7348C65F" w:rsidR="00883571" w:rsidRPr="00A01978" w:rsidRDefault="00883571" w:rsidP="00883571">
      <w:pPr>
        <w:rPr>
          <w:rFonts w:cstheme="minorHAnsi"/>
        </w:rPr>
      </w:pPr>
      <w:r w:rsidRPr="00A01978">
        <w:rPr>
          <w:rFonts w:cstheme="minorHAnsi"/>
        </w:rPr>
        <w:t xml:space="preserve">Members will be clearly informed when they are being consulted on an issue in confidence or information and material is being provided in confidence, for </w:t>
      </w:r>
      <w:r w:rsidR="00A01978" w:rsidRPr="00A01978">
        <w:rPr>
          <w:rFonts w:cstheme="minorHAnsi"/>
        </w:rPr>
        <w:t>Advisory Group</w:t>
      </w:r>
      <w:r w:rsidRPr="00A01978">
        <w:rPr>
          <w:rFonts w:cstheme="minorHAnsi"/>
        </w:rPr>
        <w:t xml:space="preserve"> purposes only. Members will be required to sign a Confidentiality Agreement to cover such circumstances.</w:t>
      </w:r>
      <w:r w:rsidR="00A01978" w:rsidRPr="00A01978">
        <w:rPr>
          <w:rFonts w:cstheme="minorHAnsi"/>
        </w:rPr>
        <w:t xml:space="preserve"> </w:t>
      </w:r>
      <w:r w:rsidRPr="00A01978">
        <w:rPr>
          <w:rFonts w:cstheme="minorHAnsi"/>
        </w:rPr>
        <w:t xml:space="preserve">Should </w:t>
      </w:r>
      <w:r w:rsidR="00803C19">
        <w:rPr>
          <w:rFonts w:cstheme="minorHAnsi"/>
        </w:rPr>
        <w:t>Advisory Group</w:t>
      </w:r>
      <w:r w:rsidR="00803C19" w:rsidRPr="00A01978">
        <w:rPr>
          <w:rFonts w:cstheme="minorHAnsi"/>
        </w:rPr>
        <w:t xml:space="preserve"> </w:t>
      </w:r>
      <w:r w:rsidRPr="00A01978">
        <w:rPr>
          <w:rFonts w:cstheme="minorHAnsi"/>
        </w:rPr>
        <w:t xml:space="preserve">members wish to nominate an observer or proxy to the meeting, it is essential to advise the Secretariat ahead of the meeting as the nominated person will be required to sign </w:t>
      </w:r>
      <w:r w:rsidR="00803C19">
        <w:rPr>
          <w:rFonts w:cstheme="minorHAnsi"/>
        </w:rPr>
        <w:t>a</w:t>
      </w:r>
      <w:r w:rsidR="00803C19" w:rsidRPr="00A01978">
        <w:rPr>
          <w:rFonts w:cstheme="minorHAnsi"/>
        </w:rPr>
        <w:t xml:space="preserve"> </w:t>
      </w:r>
      <w:r w:rsidRPr="00A01978">
        <w:rPr>
          <w:rFonts w:cstheme="minorHAnsi"/>
        </w:rPr>
        <w:t>Confidentiality Agreement.</w:t>
      </w:r>
    </w:p>
    <w:p w14:paraId="7BEBA3E0" w14:textId="3B7D60CA" w:rsidR="00883571" w:rsidRPr="00A01978" w:rsidRDefault="00047A06" w:rsidP="00385D9B">
      <w:pPr>
        <w:pStyle w:val="Heading2"/>
      </w:pPr>
      <w:r w:rsidRPr="00A01978">
        <w:t>Secretariat</w:t>
      </w:r>
    </w:p>
    <w:p w14:paraId="1BF66D2B" w14:textId="77777777" w:rsidR="00883571" w:rsidRPr="00A01978" w:rsidRDefault="00883571" w:rsidP="00047A06">
      <w:r w:rsidRPr="00A01978">
        <w:t xml:space="preserve">The Department of Health will undertake secretariat functions unless otherwise directed by the Chair. </w:t>
      </w:r>
    </w:p>
    <w:p w14:paraId="4987702B" w14:textId="77777777" w:rsidR="00047A06" w:rsidRPr="00A01978" w:rsidRDefault="00047A06" w:rsidP="00047A06">
      <w:pPr>
        <w:rPr>
          <w:rFonts w:cstheme="minorHAnsi"/>
        </w:rPr>
      </w:pPr>
      <w:r w:rsidRPr="00A01978">
        <w:rPr>
          <w:rFonts w:cstheme="minorHAnsi"/>
        </w:rPr>
        <w:t>The Secretariat will be the primary point of communication for matters relating to the Advisory Group and will liaise with the Chair accordingly.</w:t>
      </w:r>
    </w:p>
    <w:p w14:paraId="6BE70679" w14:textId="77777777" w:rsidR="00047A06" w:rsidRPr="00A01978" w:rsidRDefault="00047A06" w:rsidP="00A01978">
      <w:pPr>
        <w:pStyle w:val="NoSpacing"/>
      </w:pPr>
      <w:r w:rsidRPr="00A01978">
        <w:t>Secretariat contact:</w:t>
      </w:r>
    </w:p>
    <w:p w14:paraId="237135BC" w14:textId="6994BFFB" w:rsidR="00767B34" w:rsidRDefault="00047A06" w:rsidP="00A01978">
      <w:pPr>
        <w:pStyle w:val="NoSpacing"/>
      </w:pPr>
      <w:r w:rsidRPr="00A01978">
        <w:t xml:space="preserve">E: </w:t>
      </w:r>
      <w:hyperlink r:id="rId11" w:history="1">
        <w:r w:rsidR="00767B34" w:rsidRPr="00906A13">
          <w:rPr>
            <w:rStyle w:val="Hyperlink"/>
          </w:rPr>
          <w:t>IntellectualDisability@Health.gov.au</w:t>
        </w:r>
      </w:hyperlink>
    </w:p>
    <w:p w14:paraId="08A1514E" w14:textId="57BF90BD" w:rsidR="00480058" w:rsidRDefault="00480058" w:rsidP="007B0D69"/>
    <w:sectPr w:rsidR="00480058" w:rsidSect="00EA38E4">
      <w:headerReference w:type="default" r:id="rId12"/>
      <w:footerReference w:type="default" r:id="rId13"/>
      <w:headerReference w:type="first" r:id="rId14"/>
      <w:footerReference w:type="first" r:id="rId15"/>
      <w:pgSz w:w="11906" w:h="16838"/>
      <w:pgMar w:top="851" w:right="849" w:bottom="851" w:left="993"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F0C5" w14:textId="77777777" w:rsidR="00D00F60" w:rsidRDefault="00D00F60" w:rsidP="00D31AAF">
      <w:pPr>
        <w:spacing w:after="0" w:line="240" w:lineRule="auto"/>
      </w:pPr>
      <w:r>
        <w:separator/>
      </w:r>
    </w:p>
  </w:endnote>
  <w:endnote w:type="continuationSeparator" w:id="0">
    <w:p w14:paraId="2F1749CA" w14:textId="77777777" w:rsidR="00D00F60" w:rsidRDefault="00D00F60" w:rsidP="00D3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4050"/>
      <w:docPartObj>
        <w:docPartGallery w:val="Page Numbers (Bottom of Page)"/>
        <w:docPartUnique/>
      </w:docPartObj>
    </w:sdtPr>
    <w:sdtEndPr>
      <w:rPr>
        <w:noProof/>
      </w:rPr>
    </w:sdtEndPr>
    <w:sdtContent>
      <w:p w14:paraId="6C1700CE" w14:textId="5524A005" w:rsidR="00EA38E4" w:rsidRDefault="00EA38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7FF228" w14:textId="77777777" w:rsidR="00EA38E4" w:rsidRDefault="00EA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496352"/>
      <w:docPartObj>
        <w:docPartGallery w:val="Page Numbers (Bottom of Page)"/>
        <w:docPartUnique/>
      </w:docPartObj>
    </w:sdtPr>
    <w:sdtEndPr>
      <w:rPr>
        <w:noProof/>
      </w:rPr>
    </w:sdtEndPr>
    <w:sdtContent>
      <w:p w14:paraId="0D6902F4" w14:textId="5ACD161C" w:rsidR="00EA38E4" w:rsidRDefault="00EA38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937CB2" w14:textId="77777777" w:rsidR="00EA38E4" w:rsidRDefault="00EA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0B3F" w14:textId="77777777" w:rsidR="00D00F60" w:rsidRDefault="00D00F60" w:rsidP="00D31AAF">
      <w:pPr>
        <w:spacing w:after="0" w:line="240" w:lineRule="auto"/>
      </w:pPr>
      <w:r>
        <w:separator/>
      </w:r>
    </w:p>
  </w:footnote>
  <w:footnote w:type="continuationSeparator" w:id="0">
    <w:p w14:paraId="1332BACA" w14:textId="77777777" w:rsidR="00D00F60" w:rsidRDefault="00D00F60" w:rsidP="00D31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70CD" w14:textId="1142FE5F" w:rsidR="00D31AAF" w:rsidRDefault="00D31AAF" w:rsidP="00D31A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610B" w14:textId="4B829FB9" w:rsidR="00EA38E4" w:rsidRPr="00385D9B" w:rsidRDefault="00D07FD2" w:rsidP="00385D9B">
    <w:pPr>
      <w:pStyle w:val="Header"/>
      <w:jc w:val="center"/>
    </w:pPr>
    <w:r w:rsidRPr="00ED419C">
      <w:rPr>
        <w:noProof/>
        <w:lang w:eastAsia="en-AU"/>
      </w:rPr>
      <w:drawing>
        <wp:inline distT="0" distB="0" distL="0" distR="0" wp14:anchorId="6D3656F1" wp14:editId="58B25A7A">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E30F0"/>
    <w:multiLevelType w:val="hybridMultilevel"/>
    <w:tmpl w:val="2FCE6B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0811AA"/>
    <w:multiLevelType w:val="hybridMultilevel"/>
    <w:tmpl w:val="6B7FA7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D11971"/>
    <w:multiLevelType w:val="hybridMultilevel"/>
    <w:tmpl w:val="0E0C5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6C62DF"/>
    <w:multiLevelType w:val="hybridMultilevel"/>
    <w:tmpl w:val="9CECA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E03B6B"/>
    <w:multiLevelType w:val="hybridMultilevel"/>
    <w:tmpl w:val="4AC25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B312B"/>
    <w:multiLevelType w:val="hybridMultilevel"/>
    <w:tmpl w:val="90105B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83C6209"/>
    <w:multiLevelType w:val="hybridMultilevel"/>
    <w:tmpl w:val="97A87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885DA7"/>
    <w:multiLevelType w:val="hybridMultilevel"/>
    <w:tmpl w:val="10608592"/>
    <w:lvl w:ilvl="0" w:tplc="FFFFFFFF">
      <w:start w:val="1"/>
      <w:numFmt w:val="bullet"/>
      <w:lvlText w:val="•"/>
      <w:lvlJc w:val="left"/>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50795"/>
    <w:multiLevelType w:val="hybridMultilevel"/>
    <w:tmpl w:val="42761D64"/>
    <w:lvl w:ilvl="0" w:tplc="FFFFFFFF">
      <w:start w:val="1"/>
      <w:numFmt w:val="bullet"/>
      <w:lvlText w:val="•"/>
      <w:lvlJc w:val="left"/>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259D6"/>
    <w:multiLevelType w:val="hybridMultilevel"/>
    <w:tmpl w:val="4F725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3B0540"/>
    <w:multiLevelType w:val="hybridMultilevel"/>
    <w:tmpl w:val="C80E51E2"/>
    <w:lvl w:ilvl="0" w:tplc="5478D332">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1" w15:restartNumberingAfterBreak="0">
    <w:nsid w:val="3D5AD69F"/>
    <w:multiLevelType w:val="hybridMultilevel"/>
    <w:tmpl w:val="B9D3AA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361B1E"/>
    <w:multiLevelType w:val="hybridMultilevel"/>
    <w:tmpl w:val="C8B08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D657A0"/>
    <w:multiLevelType w:val="hybridMultilevel"/>
    <w:tmpl w:val="BA3E7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8B191B"/>
    <w:multiLevelType w:val="hybridMultilevel"/>
    <w:tmpl w:val="A1DE7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D76B9F"/>
    <w:multiLevelType w:val="hybridMultilevel"/>
    <w:tmpl w:val="0F14D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4279BA"/>
    <w:multiLevelType w:val="hybridMultilevel"/>
    <w:tmpl w:val="4BE4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0"/>
  </w:num>
  <w:num w:numId="4">
    <w:abstractNumId w:val="5"/>
  </w:num>
  <w:num w:numId="5">
    <w:abstractNumId w:val="16"/>
  </w:num>
  <w:num w:numId="6">
    <w:abstractNumId w:val="14"/>
  </w:num>
  <w:num w:numId="7">
    <w:abstractNumId w:val="9"/>
  </w:num>
  <w:num w:numId="8">
    <w:abstractNumId w:val="4"/>
  </w:num>
  <w:num w:numId="9">
    <w:abstractNumId w:val="11"/>
  </w:num>
  <w:num w:numId="10">
    <w:abstractNumId w:val="12"/>
  </w:num>
  <w:num w:numId="11">
    <w:abstractNumId w:val="13"/>
  </w:num>
  <w:num w:numId="12">
    <w:abstractNumId w:val="0"/>
  </w:num>
  <w:num w:numId="13">
    <w:abstractNumId w:val="2"/>
  </w:num>
  <w:num w:numId="14">
    <w:abstractNumId w:val="1"/>
  </w:num>
  <w:num w:numId="15">
    <w:abstractNumId w:val="7"/>
  </w:num>
  <w:num w:numId="16">
    <w:abstractNumId w:val="8"/>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AF"/>
    <w:rsid w:val="000110BD"/>
    <w:rsid w:val="00016BA4"/>
    <w:rsid w:val="00047A06"/>
    <w:rsid w:val="00047F37"/>
    <w:rsid w:val="000543B8"/>
    <w:rsid w:val="00063032"/>
    <w:rsid w:val="000A4710"/>
    <w:rsid w:val="000B2E19"/>
    <w:rsid w:val="000D3C1A"/>
    <w:rsid w:val="000F37ED"/>
    <w:rsid w:val="001009F3"/>
    <w:rsid w:val="00164861"/>
    <w:rsid w:val="00193397"/>
    <w:rsid w:val="00193CE2"/>
    <w:rsid w:val="001A1FB1"/>
    <w:rsid w:val="001D3C3D"/>
    <w:rsid w:val="0025165A"/>
    <w:rsid w:val="00271BC1"/>
    <w:rsid w:val="00271E53"/>
    <w:rsid w:val="002859CE"/>
    <w:rsid w:val="002C2BF4"/>
    <w:rsid w:val="002C74A0"/>
    <w:rsid w:val="002F104D"/>
    <w:rsid w:val="003025E2"/>
    <w:rsid w:val="00323A9D"/>
    <w:rsid w:val="00333CFE"/>
    <w:rsid w:val="003368AB"/>
    <w:rsid w:val="00363F42"/>
    <w:rsid w:val="00374B20"/>
    <w:rsid w:val="00377554"/>
    <w:rsid w:val="00377F5A"/>
    <w:rsid w:val="00385D9B"/>
    <w:rsid w:val="003924FB"/>
    <w:rsid w:val="003D0B7F"/>
    <w:rsid w:val="003D50C0"/>
    <w:rsid w:val="00442895"/>
    <w:rsid w:val="00480058"/>
    <w:rsid w:val="004930C8"/>
    <w:rsid w:val="004D0810"/>
    <w:rsid w:val="004D30B7"/>
    <w:rsid w:val="004D7E9B"/>
    <w:rsid w:val="00501BC8"/>
    <w:rsid w:val="00527E7E"/>
    <w:rsid w:val="0054470C"/>
    <w:rsid w:val="00581129"/>
    <w:rsid w:val="0058283A"/>
    <w:rsid w:val="005B55AC"/>
    <w:rsid w:val="005E7DFB"/>
    <w:rsid w:val="005F05C7"/>
    <w:rsid w:val="00604E52"/>
    <w:rsid w:val="006168C0"/>
    <w:rsid w:val="006168F2"/>
    <w:rsid w:val="0064332E"/>
    <w:rsid w:val="00682087"/>
    <w:rsid w:val="006A2EEF"/>
    <w:rsid w:val="006D5B96"/>
    <w:rsid w:val="006F4978"/>
    <w:rsid w:val="007155B5"/>
    <w:rsid w:val="00767B34"/>
    <w:rsid w:val="007A2A01"/>
    <w:rsid w:val="007B0D69"/>
    <w:rsid w:val="007B6B5A"/>
    <w:rsid w:val="007D1A60"/>
    <w:rsid w:val="007E24AD"/>
    <w:rsid w:val="007E2C46"/>
    <w:rsid w:val="007E2FEA"/>
    <w:rsid w:val="007E3126"/>
    <w:rsid w:val="007F09DC"/>
    <w:rsid w:val="0080356A"/>
    <w:rsid w:val="00803C19"/>
    <w:rsid w:val="00810544"/>
    <w:rsid w:val="0082163D"/>
    <w:rsid w:val="00827E3E"/>
    <w:rsid w:val="0084674D"/>
    <w:rsid w:val="00850F3D"/>
    <w:rsid w:val="00857F80"/>
    <w:rsid w:val="00861001"/>
    <w:rsid w:val="008703F4"/>
    <w:rsid w:val="00871F87"/>
    <w:rsid w:val="00883571"/>
    <w:rsid w:val="008B08AC"/>
    <w:rsid w:val="008C6D70"/>
    <w:rsid w:val="008D1896"/>
    <w:rsid w:val="008D1D62"/>
    <w:rsid w:val="008E4A0D"/>
    <w:rsid w:val="00921CB0"/>
    <w:rsid w:val="00932D90"/>
    <w:rsid w:val="009334B4"/>
    <w:rsid w:val="0094190D"/>
    <w:rsid w:val="0097024A"/>
    <w:rsid w:val="00974C07"/>
    <w:rsid w:val="0098766D"/>
    <w:rsid w:val="00987C06"/>
    <w:rsid w:val="009B6370"/>
    <w:rsid w:val="009F4755"/>
    <w:rsid w:val="00A00F9B"/>
    <w:rsid w:val="00A0188F"/>
    <w:rsid w:val="00A01978"/>
    <w:rsid w:val="00A074CC"/>
    <w:rsid w:val="00A2406A"/>
    <w:rsid w:val="00A2611A"/>
    <w:rsid w:val="00A45A1F"/>
    <w:rsid w:val="00A47BC1"/>
    <w:rsid w:val="00A7342E"/>
    <w:rsid w:val="00A913FD"/>
    <w:rsid w:val="00AA2E42"/>
    <w:rsid w:val="00AB6AAB"/>
    <w:rsid w:val="00AC006A"/>
    <w:rsid w:val="00AC10A2"/>
    <w:rsid w:val="00AC2F73"/>
    <w:rsid w:val="00B20303"/>
    <w:rsid w:val="00B426A9"/>
    <w:rsid w:val="00B850C2"/>
    <w:rsid w:val="00B9443A"/>
    <w:rsid w:val="00BC21CB"/>
    <w:rsid w:val="00BC7C46"/>
    <w:rsid w:val="00BD32E0"/>
    <w:rsid w:val="00BD39FE"/>
    <w:rsid w:val="00BF2972"/>
    <w:rsid w:val="00BF7108"/>
    <w:rsid w:val="00C057D7"/>
    <w:rsid w:val="00C4281E"/>
    <w:rsid w:val="00C468A8"/>
    <w:rsid w:val="00C57416"/>
    <w:rsid w:val="00C83604"/>
    <w:rsid w:val="00CB10E9"/>
    <w:rsid w:val="00CC31D0"/>
    <w:rsid w:val="00CD0E9E"/>
    <w:rsid w:val="00CE58DC"/>
    <w:rsid w:val="00D00F60"/>
    <w:rsid w:val="00D07FD2"/>
    <w:rsid w:val="00D308A2"/>
    <w:rsid w:val="00D31AAF"/>
    <w:rsid w:val="00D4489F"/>
    <w:rsid w:val="00D7116A"/>
    <w:rsid w:val="00D8572D"/>
    <w:rsid w:val="00D90385"/>
    <w:rsid w:val="00DA5214"/>
    <w:rsid w:val="00DB0DC0"/>
    <w:rsid w:val="00DC4882"/>
    <w:rsid w:val="00DD319D"/>
    <w:rsid w:val="00E0774C"/>
    <w:rsid w:val="00E75325"/>
    <w:rsid w:val="00E95FE9"/>
    <w:rsid w:val="00E968C6"/>
    <w:rsid w:val="00EA38E4"/>
    <w:rsid w:val="00EB0EE2"/>
    <w:rsid w:val="00EC397F"/>
    <w:rsid w:val="00EC3CDB"/>
    <w:rsid w:val="00ED7A96"/>
    <w:rsid w:val="00F108FD"/>
    <w:rsid w:val="00F339ED"/>
    <w:rsid w:val="00F55761"/>
    <w:rsid w:val="00F6145A"/>
    <w:rsid w:val="00FC1586"/>
    <w:rsid w:val="00FC6D77"/>
    <w:rsid w:val="00FD28DD"/>
    <w:rsid w:val="00FE1806"/>
    <w:rsid w:val="00FE2116"/>
    <w:rsid w:val="00FF16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E9A2D"/>
  <w15:chartTrackingRefBased/>
  <w15:docId w15:val="{156DF67C-554E-4B02-BB93-F7D360BD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D9B"/>
    <w:pPr>
      <w:spacing w:before="480" w:after="0" w:line="276" w:lineRule="auto"/>
      <w:contextualSpacing/>
      <w:jc w:val="center"/>
      <w:outlineLvl w:val="0"/>
    </w:pPr>
    <w:rPr>
      <w:rFonts w:ascii="Calibri" w:eastAsiaTheme="majorEastAsia" w:hAnsi="Calibri" w:cstheme="majorBidi"/>
      <w:b/>
      <w:bCs/>
      <w:sz w:val="32"/>
      <w:szCs w:val="28"/>
    </w:rPr>
  </w:style>
  <w:style w:type="paragraph" w:styleId="Heading2">
    <w:name w:val="heading 2"/>
    <w:basedOn w:val="Normal"/>
    <w:next w:val="Normal"/>
    <w:link w:val="Heading2Char"/>
    <w:uiPriority w:val="9"/>
    <w:unhideWhenUsed/>
    <w:qFormat/>
    <w:rsid w:val="00385D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5D9B"/>
    <w:pPr>
      <w:keepNext/>
      <w:keepLines/>
      <w:spacing w:before="40" w:after="0"/>
      <w:outlineLvl w:val="2"/>
    </w:pPr>
    <w:rPr>
      <w:rFonts w:asciiTheme="majorHAnsi" w:eastAsiaTheme="majorEastAsia" w:hAnsiTheme="majorHAns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AAF"/>
  </w:style>
  <w:style w:type="paragraph" w:styleId="Footer">
    <w:name w:val="footer"/>
    <w:basedOn w:val="Normal"/>
    <w:link w:val="FooterChar"/>
    <w:uiPriority w:val="99"/>
    <w:unhideWhenUsed/>
    <w:rsid w:val="00D31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AAF"/>
  </w:style>
  <w:style w:type="character" w:customStyle="1" w:styleId="Heading1Char">
    <w:name w:val="Heading 1 Char"/>
    <w:basedOn w:val="DefaultParagraphFont"/>
    <w:link w:val="Heading1"/>
    <w:uiPriority w:val="9"/>
    <w:rsid w:val="00385D9B"/>
    <w:rPr>
      <w:rFonts w:ascii="Calibri" w:eastAsiaTheme="majorEastAsia" w:hAnsi="Calibri" w:cstheme="majorBidi"/>
      <w:b/>
      <w:bCs/>
      <w:sz w:val="32"/>
      <w:szCs w:val="28"/>
    </w:rPr>
  </w:style>
  <w:style w:type="paragraph" w:styleId="ListParagraph">
    <w:name w:val="List Paragraph"/>
    <w:aliases w:val="List Paragraph11"/>
    <w:basedOn w:val="Normal"/>
    <w:uiPriority w:val="99"/>
    <w:qFormat/>
    <w:rsid w:val="00D31AAF"/>
    <w:pPr>
      <w:spacing w:after="200" w:line="276" w:lineRule="auto"/>
      <w:ind w:left="720"/>
      <w:contextualSpacing/>
    </w:pPr>
    <w:rPr>
      <w:rFonts w:ascii="Calibri" w:eastAsia="Times New Roman" w:hAnsi="Calibri" w:cs="Times New Roman"/>
    </w:rPr>
  </w:style>
  <w:style w:type="character" w:styleId="CommentReference">
    <w:name w:val="annotation reference"/>
    <w:basedOn w:val="DefaultParagraphFont"/>
    <w:uiPriority w:val="99"/>
    <w:semiHidden/>
    <w:unhideWhenUsed/>
    <w:rsid w:val="00D31AAF"/>
    <w:rPr>
      <w:sz w:val="16"/>
      <w:szCs w:val="16"/>
    </w:rPr>
  </w:style>
  <w:style w:type="paragraph" w:styleId="CommentText">
    <w:name w:val="annotation text"/>
    <w:basedOn w:val="Normal"/>
    <w:link w:val="CommentTextChar"/>
    <w:uiPriority w:val="99"/>
    <w:semiHidden/>
    <w:unhideWhenUsed/>
    <w:rsid w:val="00D31AAF"/>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31AA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D31A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AA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497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F4978"/>
    <w:rPr>
      <w:rFonts w:ascii="Calibri" w:eastAsia="Times New Roman" w:hAnsi="Calibri" w:cs="Times New Roman"/>
      <w:b/>
      <w:bCs/>
      <w:sz w:val="20"/>
      <w:szCs w:val="20"/>
    </w:rPr>
  </w:style>
  <w:style w:type="character" w:styleId="Hyperlink">
    <w:name w:val="Hyperlink"/>
    <w:basedOn w:val="DefaultParagraphFont"/>
    <w:uiPriority w:val="99"/>
    <w:unhideWhenUsed/>
    <w:rsid w:val="00DC4882"/>
    <w:rPr>
      <w:color w:val="0563C1" w:themeColor="hyperlink"/>
      <w:u w:val="single"/>
    </w:rPr>
  </w:style>
  <w:style w:type="character" w:styleId="UnresolvedMention">
    <w:name w:val="Unresolved Mention"/>
    <w:basedOn w:val="DefaultParagraphFont"/>
    <w:uiPriority w:val="99"/>
    <w:semiHidden/>
    <w:unhideWhenUsed/>
    <w:rsid w:val="00DC4882"/>
    <w:rPr>
      <w:color w:val="605E5C"/>
      <w:shd w:val="clear" w:color="auto" w:fill="E1DFDD"/>
    </w:rPr>
  </w:style>
  <w:style w:type="character" w:styleId="FollowedHyperlink">
    <w:name w:val="FollowedHyperlink"/>
    <w:basedOn w:val="DefaultParagraphFont"/>
    <w:uiPriority w:val="99"/>
    <w:semiHidden/>
    <w:unhideWhenUsed/>
    <w:rsid w:val="00AC10A2"/>
    <w:rPr>
      <w:color w:val="954F72" w:themeColor="followedHyperlink"/>
      <w:u w:val="single"/>
    </w:rPr>
  </w:style>
  <w:style w:type="paragraph" w:customStyle="1" w:styleId="paragraph">
    <w:name w:val="paragraph"/>
    <w:basedOn w:val="Normal"/>
    <w:rsid w:val="002516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5165A"/>
  </w:style>
  <w:style w:type="paragraph" w:styleId="NoSpacing">
    <w:name w:val="No Spacing"/>
    <w:uiPriority w:val="1"/>
    <w:qFormat/>
    <w:rsid w:val="0025165A"/>
    <w:pPr>
      <w:spacing w:after="0" w:line="240" w:lineRule="auto"/>
    </w:pPr>
  </w:style>
  <w:style w:type="paragraph" w:customStyle="1" w:styleId="Default">
    <w:name w:val="Default"/>
    <w:rsid w:val="0088357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85D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5D9B"/>
    <w:rPr>
      <w:rFonts w:asciiTheme="majorHAnsi" w:eastAsiaTheme="majorEastAsia" w:hAnsiTheme="majorHAnsi" w:cstheme="majorBid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9845">
      <w:bodyDiv w:val="1"/>
      <w:marLeft w:val="0"/>
      <w:marRight w:val="0"/>
      <w:marTop w:val="0"/>
      <w:marBottom w:val="0"/>
      <w:divBdr>
        <w:top w:val="none" w:sz="0" w:space="0" w:color="auto"/>
        <w:left w:val="none" w:sz="0" w:space="0" w:color="auto"/>
        <w:bottom w:val="none" w:sz="0" w:space="0" w:color="auto"/>
        <w:right w:val="none" w:sz="0" w:space="0" w:color="auto"/>
      </w:divBdr>
    </w:div>
    <w:div w:id="529729936">
      <w:bodyDiv w:val="1"/>
      <w:marLeft w:val="0"/>
      <w:marRight w:val="0"/>
      <w:marTop w:val="0"/>
      <w:marBottom w:val="0"/>
      <w:divBdr>
        <w:top w:val="none" w:sz="0" w:space="0" w:color="auto"/>
        <w:left w:val="none" w:sz="0" w:space="0" w:color="auto"/>
        <w:bottom w:val="none" w:sz="0" w:space="0" w:color="auto"/>
        <w:right w:val="none" w:sz="0" w:space="0" w:color="auto"/>
      </w:divBdr>
    </w:div>
    <w:div w:id="863128072">
      <w:bodyDiv w:val="1"/>
      <w:marLeft w:val="0"/>
      <w:marRight w:val="0"/>
      <w:marTop w:val="0"/>
      <w:marBottom w:val="0"/>
      <w:divBdr>
        <w:top w:val="none" w:sz="0" w:space="0" w:color="auto"/>
        <w:left w:val="none" w:sz="0" w:space="0" w:color="auto"/>
        <w:bottom w:val="none" w:sz="0" w:space="0" w:color="auto"/>
        <w:right w:val="none" w:sz="0" w:space="0" w:color="auto"/>
      </w:divBdr>
    </w:div>
    <w:div w:id="1329947298">
      <w:bodyDiv w:val="1"/>
      <w:marLeft w:val="0"/>
      <w:marRight w:val="0"/>
      <w:marTop w:val="0"/>
      <w:marBottom w:val="0"/>
      <w:divBdr>
        <w:top w:val="none" w:sz="0" w:space="0" w:color="auto"/>
        <w:left w:val="none" w:sz="0" w:space="0" w:color="auto"/>
        <w:bottom w:val="none" w:sz="0" w:space="0" w:color="auto"/>
        <w:right w:val="none" w:sz="0" w:space="0" w:color="auto"/>
      </w:divBdr>
    </w:div>
    <w:div w:id="134902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llectualDisability@Health.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CEA54F4355A4EA106FAE3070BCE15" ma:contentTypeVersion="0" ma:contentTypeDescription="Create a new document." ma:contentTypeScope="" ma:versionID="bd81cb67beeeb4bec15968a0124fa54e">
  <xsd:schema xmlns:xsd="http://www.w3.org/2001/XMLSchema" xmlns:xs="http://www.w3.org/2001/XMLSchema" xmlns:p="http://schemas.microsoft.com/office/2006/metadata/properties" targetNamespace="http://schemas.microsoft.com/office/2006/metadata/properties" ma:root="true" ma:fieldsID="00c633224c3f63bbb9f36694705baa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5DD22-C780-4CB4-8D67-FF46169780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7914F43-82A0-4F9F-93EF-270ABF5EC7A2}">
  <ds:schemaRefs>
    <ds:schemaRef ds:uri="http://schemas.microsoft.com/sharepoint/v3/contenttype/forms"/>
  </ds:schemaRefs>
</ds:datastoreItem>
</file>

<file path=customXml/itemProps3.xml><?xml version="1.0" encoding="utf-8"?>
<ds:datastoreItem xmlns:ds="http://schemas.openxmlformats.org/officeDocument/2006/customXml" ds:itemID="{AAE0A443-B2E5-496B-9834-AD6C92825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0AF571-590E-41A8-B50F-9B2A1276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1092</Words>
  <Characters>6511</Characters>
  <Application>Microsoft Office Word</Application>
  <DocSecurity>0</DocSecurity>
  <Lines>105</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Education and Training Expert Advisory Group – Terms of reference</dc:title>
  <dc:subject/>
  <dc:creator>Australian Government Department of Health and Aged Care</dc:creator>
  <cp:keywords>Intellectual Disability Health; Education and Training; Terms of reference</cp:keywords>
  <dc:description/>
  <cp:lastModifiedBy>ARNOLD, Max</cp:lastModifiedBy>
  <cp:revision>5</cp:revision>
  <dcterms:created xsi:type="dcterms:W3CDTF">2023-01-18T02:32:00Z</dcterms:created>
  <dcterms:modified xsi:type="dcterms:W3CDTF">2023-01-31T02:21:00Z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0x010100DADCEA54F4355A4EA106FAE3070BCE15</vt:lpwstr>
  </property>
</Properties>
</file>