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0CA7" w14:textId="6FEA6CCE" w:rsidR="007F54A6" w:rsidRPr="00C0775F" w:rsidRDefault="007F54A6" w:rsidP="0005626E">
      <w:pPr>
        <w:pStyle w:val="Title"/>
      </w:pPr>
      <w:r>
        <w:t>Health Technology Assessment</w:t>
      </w:r>
      <w:r w:rsidR="00C0775F">
        <w:t xml:space="preserve"> </w:t>
      </w:r>
      <w:r>
        <w:t>Consumer Consultative Committee</w:t>
      </w:r>
      <w:r w:rsidR="00C0775F">
        <w:t xml:space="preserve"> </w:t>
      </w:r>
      <w:r w:rsidRPr="00C0775F">
        <w:t>Terms of Reference</w:t>
      </w:r>
    </w:p>
    <w:p w14:paraId="186D230B" w14:textId="0D1F7620" w:rsidR="00B53987" w:rsidRPr="0005626E" w:rsidRDefault="00A56511" w:rsidP="00A56511">
      <w:r>
        <w:t>3</w:t>
      </w:r>
      <w:r w:rsidRPr="00A56511">
        <w:t xml:space="preserve"> </w:t>
      </w:r>
      <w:r w:rsidR="00FC4EF3" w:rsidRPr="00FC4EF3">
        <w:t>January</w:t>
      </w:r>
      <w:r w:rsidR="007F54A6" w:rsidRPr="00FC4EF3">
        <w:t xml:space="preserve"> 202</w:t>
      </w:r>
      <w:r w:rsidR="00FC4EF3" w:rsidRPr="00FC4EF3">
        <w:t>3</w:t>
      </w:r>
    </w:p>
    <w:p w14:paraId="2DE615CB" w14:textId="35FFF943" w:rsidR="00FA02BB" w:rsidRPr="00FA02BB" w:rsidRDefault="007F54A6" w:rsidP="007F54A6">
      <w:pPr>
        <w:pStyle w:val="Heading2"/>
      </w:pPr>
      <w:r>
        <w:t>Role</w:t>
      </w:r>
    </w:p>
    <w:p w14:paraId="05F75213" w14:textId="4B43B5DA" w:rsidR="008D4209" w:rsidRDefault="008D4209" w:rsidP="0005626E">
      <w:pPr>
        <w:rPr>
          <w:b/>
          <w:bCs/>
          <w:iCs/>
        </w:rPr>
      </w:pPr>
      <w:r w:rsidRPr="008D4209">
        <w:t xml:space="preserve">The role of the </w:t>
      </w:r>
      <w:r w:rsidR="0011766A" w:rsidRPr="008D4209">
        <w:t>Health Technology Assessment (HTA)</w:t>
      </w:r>
      <w:r w:rsidR="0011766A">
        <w:t xml:space="preserve"> </w:t>
      </w:r>
      <w:r w:rsidRPr="008D4209">
        <w:t xml:space="preserve">Consumer Consultative Committee (Committee) is to provide strategic advice and support to the principal HTA </w:t>
      </w:r>
      <w:r w:rsidR="008A2FE8">
        <w:t>C</w:t>
      </w:r>
      <w:r w:rsidRPr="008D4209">
        <w:t>ommittees i.e. Pharmaceutical Benefits Advisory Committee, Medical Services Advisory Committee</w:t>
      </w:r>
      <w:r w:rsidR="006C7B01">
        <w:t xml:space="preserve"> and </w:t>
      </w:r>
      <w:r w:rsidRPr="008D4209">
        <w:t xml:space="preserve">Prostheses List Advisory Committee, and the Department of Health and Aged Care (Department) to support optimal consumer engagement and participation in the HTA processes of the relevant HTA </w:t>
      </w:r>
      <w:r w:rsidR="008A2FE8">
        <w:t>C</w:t>
      </w:r>
      <w:r w:rsidRPr="008D4209">
        <w:t xml:space="preserve">ommittees and the </w:t>
      </w:r>
      <w:r w:rsidR="0011766A">
        <w:t>Technology Assessment and Access Division (TAAD)</w:t>
      </w:r>
      <w:r w:rsidRPr="008D4209">
        <w:t>.</w:t>
      </w:r>
    </w:p>
    <w:p w14:paraId="0BF52C4B" w14:textId="1851675E" w:rsidR="007F54A6" w:rsidRPr="00FA02BB" w:rsidRDefault="007F54A6" w:rsidP="007F54A6">
      <w:pPr>
        <w:pStyle w:val="Heading2"/>
      </w:pPr>
      <w:r>
        <w:t>Purpose</w:t>
      </w:r>
    </w:p>
    <w:p w14:paraId="0B9E1560" w14:textId="77777777" w:rsidR="006C7B01" w:rsidRPr="00762719" w:rsidRDefault="006C7B01" w:rsidP="006C7B01">
      <w:pPr>
        <w:rPr>
          <w:lang w:eastAsia="en-AU"/>
        </w:rPr>
      </w:pPr>
      <w:r w:rsidRPr="00762719">
        <w:rPr>
          <w:lang w:eastAsia="en-AU"/>
        </w:rPr>
        <w:t>The purpose of the Committee is as follows:</w:t>
      </w:r>
    </w:p>
    <w:p w14:paraId="4AA6C909" w14:textId="77777777" w:rsidR="006C7B01" w:rsidRPr="00E57F34" w:rsidRDefault="006C7B01" w:rsidP="0005626E">
      <w:pPr>
        <w:pStyle w:val="ListBullet"/>
      </w:pPr>
      <w:r>
        <w:t>T</w:t>
      </w:r>
      <w:r w:rsidRPr="00E57F34">
        <w:t xml:space="preserve">o act as an advisory group for the </w:t>
      </w:r>
      <w:r>
        <w:t>Department</w:t>
      </w:r>
      <w:r w:rsidRPr="00E57F34">
        <w:t xml:space="preserve"> to provide a </w:t>
      </w:r>
      <w:r w:rsidRPr="0031469E">
        <w:t>consumer perspective</w:t>
      </w:r>
      <w:r w:rsidRPr="00E57F34">
        <w:t xml:space="preserve"> on all </w:t>
      </w:r>
      <w:r>
        <w:t>HTA</w:t>
      </w:r>
      <w:r w:rsidRPr="00E57F34">
        <w:t xml:space="preserve"> matters of relevance to Australian consumers and </w:t>
      </w:r>
      <w:proofErr w:type="gramStart"/>
      <w:r w:rsidRPr="00E57F34">
        <w:t>communities;</w:t>
      </w:r>
      <w:proofErr w:type="gramEnd"/>
    </w:p>
    <w:p w14:paraId="7B7B2AD8" w14:textId="77777777" w:rsidR="006C7B01" w:rsidRPr="00E57F34" w:rsidRDefault="006C7B01" w:rsidP="0005626E">
      <w:pPr>
        <w:pStyle w:val="ListBullet"/>
      </w:pPr>
      <w:r>
        <w:t>T</w:t>
      </w:r>
      <w:r w:rsidRPr="00E57F34">
        <w:t>o inform policy on consumer</w:t>
      </w:r>
      <w:r>
        <w:t xml:space="preserve"> </w:t>
      </w:r>
      <w:r w:rsidRPr="00E57F34">
        <w:t>/</w:t>
      </w:r>
      <w:r>
        <w:t xml:space="preserve"> </w:t>
      </w:r>
      <w:r w:rsidRPr="00E57F34">
        <w:t xml:space="preserve">patient matters in </w:t>
      </w:r>
      <w:r>
        <w:t>HTA</w:t>
      </w:r>
      <w:r w:rsidRPr="00E57F34">
        <w:t xml:space="preserve"> of significance to Australian consumers and the </w:t>
      </w:r>
      <w:proofErr w:type="gramStart"/>
      <w:r w:rsidRPr="00E57F34">
        <w:t>community;</w:t>
      </w:r>
      <w:proofErr w:type="gramEnd"/>
    </w:p>
    <w:p w14:paraId="3F2792BC" w14:textId="5AC5025E" w:rsidR="006C7B01" w:rsidRPr="00E57F34" w:rsidRDefault="006C7B01" w:rsidP="0005626E">
      <w:pPr>
        <w:pStyle w:val="ListBullet"/>
      </w:pPr>
      <w:r>
        <w:t>T</w:t>
      </w:r>
      <w:r w:rsidRPr="00E57F34">
        <w:t xml:space="preserve">o promote improved communication, collaboration, engagement, mutual understanding and operational efficiencies across the </w:t>
      </w:r>
      <w:r>
        <w:t>HTA</w:t>
      </w:r>
      <w:r w:rsidRPr="00E57F34">
        <w:t xml:space="preserve"> Committees and </w:t>
      </w:r>
      <w:r w:rsidR="008A2FE8">
        <w:br/>
      </w:r>
      <w:r w:rsidRPr="00E57F34">
        <w:t xml:space="preserve">Sub-Committees where consumer </w:t>
      </w:r>
      <w:r>
        <w:t>members</w:t>
      </w:r>
      <w:r w:rsidRPr="00E57F34">
        <w:t xml:space="preserve"> are </w:t>
      </w:r>
      <w:proofErr w:type="gramStart"/>
      <w:r w:rsidRPr="00E57F34">
        <w:t>involved;</w:t>
      </w:r>
      <w:proofErr w:type="gramEnd"/>
    </w:p>
    <w:p w14:paraId="6C351049" w14:textId="1C2BA648" w:rsidR="006C7B01" w:rsidRPr="00E57F34" w:rsidRDefault="006C7B01" w:rsidP="0005626E">
      <w:pPr>
        <w:pStyle w:val="ListBullet"/>
      </w:pPr>
      <w:r>
        <w:t>T</w:t>
      </w:r>
      <w:r w:rsidRPr="00E57F34">
        <w:t xml:space="preserve">o identify gaps and opportunities for consumer engagement across </w:t>
      </w:r>
      <w:r>
        <w:t>the Department’s</w:t>
      </w:r>
      <w:r w:rsidRPr="00E57F34">
        <w:t xml:space="preserve"> </w:t>
      </w:r>
      <w:r>
        <w:t>t</w:t>
      </w:r>
      <w:r w:rsidRPr="00E57F34">
        <w:t xml:space="preserve">echnology </w:t>
      </w:r>
      <w:r>
        <w:t>a</w:t>
      </w:r>
      <w:r w:rsidRPr="00E57F34">
        <w:t xml:space="preserve">ssessment processes, that can inform the evidence and assessment requirements of the relevant </w:t>
      </w:r>
      <w:r w:rsidR="0011766A">
        <w:t xml:space="preserve">HTA </w:t>
      </w:r>
      <w:proofErr w:type="gramStart"/>
      <w:r w:rsidRPr="00E57F34">
        <w:t>Committees;</w:t>
      </w:r>
      <w:proofErr w:type="gramEnd"/>
    </w:p>
    <w:p w14:paraId="4ABEA021" w14:textId="77777777" w:rsidR="006C7B01" w:rsidRPr="00E57F34" w:rsidRDefault="006C7B01" w:rsidP="0005626E">
      <w:pPr>
        <w:pStyle w:val="ListBullet"/>
      </w:pPr>
      <w:r>
        <w:t>T</w:t>
      </w:r>
      <w:r w:rsidRPr="00E57F34">
        <w:t xml:space="preserve">o collaborate with the </w:t>
      </w:r>
      <w:r>
        <w:t>Consumer Evidence and Engagement Unit (CEEU) within the Department</w:t>
      </w:r>
      <w:r w:rsidRPr="00E57F34">
        <w:t xml:space="preserve"> on strategies to engage with consumer</w:t>
      </w:r>
      <w:r>
        <w:t xml:space="preserve"> </w:t>
      </w:r>
      <w:r w:rsidRPr="00E57F34">
        <w:t>/</w:t>
      </w:r>
      <w:r>
        <w:t xml:space="preserve"> </w:t>
      </w:r>
      <w:r w:rsidRPr="00E57F34">
        <w:t xml:space="preserve">patient groups to help them provide information, education and support on engagement with </w:t>
      </w:r>
      <w:r>
        <w:t>HTA</w:t>
      </w:r>
      <w:r w:rsidRPr="00E57F34">
        <w:t xml:space="preserve"> methods and </w:t>
      </w:r>
      <w:proofErr w:type="gramStart"/>
      <w:r w:rsidRPr="00E57F34">
        <w:t>procedures;</w:t>
      </w:r>
      <w:proofErr w:type="gramEnd"/>
    </w:p>
    <w:p w14:paraId="41A01AEA" w14:textId="2EA64C67" w:rsidR="0011766A" w:rsidRDefault="006C7B01" w:rsidP="0005626E">
      <w:pPr>
        <w:pStyle w:val="ListBullet"/>
      </w:pPr>
      <w:r>
        <w:t>T</w:t>
      </w:r>
      <w:r w:rsidRPr="00E57F34">
        <w:t>o support the</w:t>
      </w:r>
      <w:r>
        <w:t xml:space="preserve"> CEEU </w:t>
      </w:r>
      <w:r w:rsidRPr="00E57F34">
        <w:t xml:space="preserve">in promoting greater public understanding of </w:t>
      </w:r>
      <w:r>
        <w:t>HTA</w:t>
      </w:r>
      <w:r w:rsidRPr="00E57F34">
        <w:t xml:space="preserve"> decision</w:t>
      </w:r>
      <w:r w:rsidR="0011766A">
        <w:noBreakHyphen/>
      </w:r>
      <w:r w:rsidRPr="00E57F34">
        <w:t xml:space="preserve">making processes, and increasing the transparency to the public of how these assessment decisions are </w:t>
      </w:r>
      <w:proofErr w:type="gramStart"/>
      <w:r w:rsidRPr="00E57F34">
        <w:t>made;</w:t>
      </w:r>
      <w:proofErr w:type="gramEnd"/>
    </w:p>
    <w:p w14:paraId="0E11E324" w14:textId="3D7A3219" w:rsidR="006C7B01" w:rsidRPr="00E57F34" w:rsidRDefault="0011766A" w:rsidP="0005626E">
      <w:pPr>
        <w:pStyle w:val="ListBullet"/>
      </w:pPr>
      <w:r>
        <w:t>T</w:t>
      </w:r>
      <w:r w:rsidR="006C7B01" w:rsidRPr="00E57F34">
        <w:t xml:space="preserve">o develop and communicate evidence about consumer values, needs and perspectives to all aspects of the </w:t>
      </w:r>
      <w:r w:rsidR="006C7B01">
        <w:t>HTA</w:t>
      </w:r>
      <w:r w:rsidR="006C7B01" w:rsidRPr="00E57F34">
        <w:t xml:space="preserve"> sector, including external stakeholders; and</w:t>
      </w:r>
    </w:p>
    <w:p w14:paraId="5F4384B0" w14:textId="77777777" w:rsidR="006C7B01" w:rsidRPr="00E57F34" w:rsidRDefault="006C7B01" w:rsidP="0005626E">
      <w:pPr>
        <w:pStyle w:val="ListBullet"/>
      </w:pPr>
      <w:r>
        <w:t>T</w:t>
      </w:r>
      <w:r w:rsidRPr="00E57F34">
        <w:t xml:space="preserve">o </w:t>
      </w:r>
      <w:r>
        <w:t>inform</w:t>
      </w:r>
      <w:r w:rsidRPr="00E57F34">
        <w:t xml:space="preserve"> methods for formal patient inputs and integration in the assessment frameworks and identified priorities for consumers and communities, which would include activities such as training, feedback to patient groups and conflict of interest requirements.</w:t>
      </w:r>
    </w:p>
    <w:p w14:paraId="3F713398" w14:textId="391089D4" w:rsidR="007F54A6" w:rsidRPr="00FA02BB" w:rsidRDefault="007F54A6" w:rsidP="007F54A6">
      <w:pPr>
        <w:pStyle w:val="Heading2"/>
      </w:pPr>
      <w:r>
        <w:lastRenderedPageBreak/>
        <w:t>Membership</w:t>
      </w:r>
    </w:p>
    <w:p w14:paraId="5641A614" w14:textId="7FA4583D" w:rsidR="006C7B01" w:rsidRPr="006C7B01" w:rsidRDefault="006C7B01" w:rsidP="006C7B01">
      <w:r w:rsidRPr="006C7B01">
        <w:t xml:space="preserve">Membership of the Committee will include each consumer member from the Principal Committees and their related sub-committees supported by the Office of HTA. </w:t>
      </w:r>
    </w:p>
    <w:p w14:paraId="73A22EB5" w14:textId="7011B272" w:rsidR="006C7B01" w:rsidRDefault="006C7B01" w:rsidP="006C7B01">
      <w:pPr>
        <w:rPr>
          <w:b/>
          <w:bCs/>
          <w:iCs/>
        </w:rPr>
      </w:pPr>
      <w:r w:rsidRPr="006C7B01">
        <w:t>Other consumer members may be recommended by the Committee as required, for specific periods of time. This will be discussed, and approval will be sought from the First Assistant Secretary, TAAD.</w:t>
      </w:r>
    </w:p>
    <w:p w14:paraId="3D013F42" w14:textId="2B83A01C" w:rsidR="00C924F6" w:rsidRPr="00FA02BB" w:rsidRDefault="00C924F6" w:rsidP="006C7B01">
      <w:pPr>
        <w:pStyle w:val="Heading2"/>
      </w:pPr>
      <w:r>
        <w:t>Roles and Responsibilities</w:t>
      </w:r>
    </w:p>
    <w:p w14:paraId="37B623AF" w14:textId="77777777" w:rsidR="006C7B01" w:rsidRDefault="006C7B01" w:rsidP="006C7B01">
      <w:r>
        <w:t xml:space="preserve">The members will nominate a Chair and Deputy Chair from the group. </w:t>
      </w:r>
    </w:p>
    <w:p w14:paraId="6183BE93" w14:textId="77777777" w:rsidR="006C7B01" w:rsidRDefault="006C7B01" w:rsidP="006C7B01">
      <w:r>
        <w:t>Members will commit to:</w:t>
      </w:r>
    </w:p>
    <w:p w14:paraId="1632EA9E" w14:textId="706E3410" w:rsidR="006C7B01" w:rsidRDefault="006C7B01" w:rsidP="0005626E">
      <w:pPr>
        <w:pStyle w:val="ListBullet"/>
      </w:pPr>
      <w:r>
        <w:t xml:space="preserve">Attending all scheduled Committee </w:t>
      </w:r>
      <w:proofErr w:type="gramStart"/>
      <w:r>
        <w:t>meetings;</w:t>
      </w:r>
      <w:proofErr w:type="gramEnd"/>
    </w:p>
    <w:p w14:paraId="3A5F6160" w14:textId="2386FD50" w:rsidR="006C7B01" w:rsidRDefault="006C7B01" w:rsidP="0005626E">
      <w:pPr>
        <w:pStyle w:val="ListBullet"/>
      </w:pPr>
      <w:r>
        <w:t xml:space="preserve">Championing the Committee and broader partnership with the HTA </w:t>
      </w:r>
      <w:proofErr w:type="gramStart"/>
      <w:r>
        <w:t>sector;</w:t>
      </w:r>
      <w:proofErr w:type="gramEnd"/>
    </w:p>
    <w:p w14:paraId="58F830D0" w14:textId="31F0E337" w:rsidR="006C7B01" w:rsidRDefault="006C7B01" w:rsidP="0005626E">
      <w:pPr>
        <w:pStyle w:val="ListBullet"/>
      </w:pPr>
      <w:r>
        <w:t>Sharing of items</w:t>
      </w:r>
      <w:r w:rsidR="00E414BE">
        <w:t xml:space="preserve"> / </w:t>
      </w:r>
      <w:r>
        <w:t>issues within the Committee as they arise; and</w:t>
      </w:r>
    </w:p>
    <w:p w14:paraId="55183D44" w14:textId="4475715B" w:rsidR="007F54A6" w:rsidRDefault="006C7B01" w:rsidP="0005626E">
      <w:pPr>
        <w:pStyle w:val="ListBullet"/>
      </w:pPr>
      <w:r>
        <w:t>Promotion of the Committee in any relevant forums.</w:t>
      </w:r>
    </w:p>
    <w:p w14:paraId="7C0B2AE3" w14:textId="2F481019" w:rsidR="007F54A6" w:rsidRPr="00FA02BB" w:rsidRDefault="00C924F6" w:rsidP="007F54A6">
      <w:pPr>
        <w:pStyle w:val="Heading2"/>
      </w:pPr>
      <w:r>
        <w:t>Secretariat</w:t>
      </w:r>
    </w:p>
    <w:p w14:paraId="1574246A" w14:textId="04507D23" w:rsidR="00AC588C" w:rsidRDefault="00AC588C" w:rsidP="00AC588C">
      <w:r>
        <w:t xml:space="preserve">The CEEU </w:t>
      </w:r>
      <w:r w:rsidRPr="00452CAB">
        <w:t>will</w:t>
      </w:r>
      <w:r>
        <w:t xml:space="preserve"> provide logistical and organisation</w:t>
      </w:r>
      <w:r w:rsidR="00755E6E">
        <w:t>al</w:t>
      </w:r>
      <w:r>
        <w:t xml:space="preserve"> support for the Committee as follows</w:t>
      </w:r>
      <w:r w:rsidRPr="00452CAB">
        <w:t>:</w:t>
      </w:r>
    </w:p>
    <w:p w14:paraId="23A5AC3C" w14:textId="425F588F" w:rsidR="00AC588C" w:rsidRDefault="002777E2" w:rsidP="0005626E">
      <w:pPr>
        <w:pStyle w:val="ListBullet"/>
      </w:pPr>
      <w:r>
        <w:t xml:space="preserve">Organise meetings (for example undertaking travel arrangements and </w:t>
      </w:r>
      <w:r w:rsidR="00AC588C">
        <w:t>remuneration</w:t>
      </w:r>
      <w:proofErr w:type="gramStart"/>
      <w:r>
        <w:t>)</w:t>
      </w:r>
      <w:r w:rsidR="00AC588C">
        <w:t>;</w:t>
      </w:r>
      <w:proofErr w:type="gramEnd"/>
    </w:p>
    <w:p w14:paraId="25CD3657" w14:textId="77777777" w:rsidR="00AC588C" w:rsidRDefault="00AC588C" w:rsidP="0005626E">
      <w:pPr>
        <w:pStyle w:val="ListBullet"/>
      </w:pPr>
      <w:r>
        <w:t>P</w:t>
      </w:r>
      <w:r w:rsidRPr="009B6792">
        <w:t>rovid</w:t>
      </w:r>
      <w:r>
        <w:t>e</w:t>
      </w:r>
      <w:r w:rsidRPr="009B6792">
        <w:t xml:space="preserve"> advice</w:t>
      </w:r>
      <w:r>
        <w:t xml:space="preserve"> and information on Committee processes and requirements for </w:t>
      </w:r>
      <w:proofErr w:type="gramStart"/>
      <w:r>
        <w:t>meetings;</w:t>
      </w:r>
      <w:proofErr w:type="gramEnd"/>
    </w:p>
    <w:p w14:paraId="4CAA7874" w14:textId="77777777" w:rsidR="00AC588C" w:rsidRDefault="00AC588C" w:rsidP="0005626E">
      <w:pPr>
        <w:pStyle w:val="ListBullet"/>
      </w:pPr>
      <w:r>
        <w:t xml:space="preserve">Support the Committee Chair and members to develop Agenda items, and coordinate actions arising from </w:t>
      </w:r>
      <w:proofErr w:type="gramStart"/>
      <w:r>
        <w:t>meetings;</w:t>
      </w:r>
      <w:proofErr w:type="gramEnd"/>
      <w:r>
        <w:t xml:space="preserve"> </w:t>
      </w:r>
    </w:p>
    <w:p w14:paraId="42DBD39B" w14:textId="713223BD" w:rsidR="00AC588C" w:rsidRPr="00DF3506" w:rsidRDefault="00AC588C" w:rsidP="0005626E">
      <w:pPr>
        <w:pStyle w:val="ListBullet"/>
      </w:pPr>
      <w:r>
        <w:t xml:space="preserve">Record meeting discussions and providing Meeting Outcomes and Communications for public </w:t>
      </w:r>
      <w:proofErr w:type="gramStart"/>
      <w:r w:rsidRPr="00DF3506">
        <w:t>access</w:t>
      </w:r>
      <w:r w:rsidR="001364D1">
        <w:t>;</w:t>
      </w:r>
      <w:proofErr w:type="gramEnd"/>
    </w:p>
    <w:p w14:paraId="0651B682" w14:textId="77777777" w:rsidR="00AC588C" w:rsidRPr="00DF3506" w:rsidRDefault="00AC588C" w:rsidP="0005626E">
      <w:pPr>
        <w:pStyle w:val="ListBullet"/>
      </w:pPr>
      <w:r w:rsidRPr="00DF3506">
        <w:t xml:space="preserve">Inform and coordinate communications between the Committee and other Departmental areas, and Principal HTA Committee </w:t>
      </w:r>
      <w:proofErr w:type="gramStart"/>
      <w:r w:rsidRPr="00DF3506">
        <w:t>Chairs;</w:t>
      </w:r>
      <w:proofErr w:type="gramEnd"/>
      <w:r w:rsidRPr="00DF3506">
        <w:t xml:space="preserve"> </w:t>
      </w:r>
    </w:p>
    <w:p w14:paraId="07D33A80" w14:textId="77777777" w:rsidR="00AC588C" w:rsidRPr="00DF3506" w:rsidRDefault="00AC588C" w:rsidP="0005626E">
      <w:pPr>
        <w:pStyle w:val="ListBullet"/>
      </w:pPr>
      <w:r w:rsidRPr="00DF3506">
        <w:t>Support and coordinate communications for the Committee, for internal and external contacts and referrals; and</w:t>
      </w:r>
    </w:p>
    <w:p w14:paraId="4D77E67D" w14:textId="77777777" w:rsidR="00AC588C" w:rsidRPr="00DF3506" w:rsidRDefault="00AC588C" w:rsidP="0005626E">
      <w:pPr>
        <w:pStyle w:val="ListBullet"/>
      </w:pPr>
      <w:r w:rsidRPr="00DF3506">
        <w:t>Promote the Committee in any relevant forums.</w:t>
      </w:r>
    </w:p>
    <w:p w14:paraId="182639D9" w14:textId="2340ECF2" w:rsidR="00AC588C" w:rsidRDefault="00AC588C" w:rsidP="00AC588C">
      <w:r>
        <w:t xml:space="preserve">Email contact for the CEEU is: </w:t>
      </w:r>
      <w:hyperlink r:id="rId8" w:tooltip="CEEU email address" w:history="1">
        <w:r w:rsidRPr="00AC588C">
          <w:rPr>
            <w:rStyle w:val="Hyperlink"/>
            <w:color w:val="auto"/>
          </w:rPr>
          <w:t>HTAconsumerengagement@health.gov.au</w:t>
        </w:r>
      </w:hyperlink>
      <w:r w:rsidRPr="00AC588C">
        <w:rPr>
          <w:color w:val="auto"/>
        </w:rPr>
        <w:t>.</w:t>
      </w:r>
    </w:p>
    <w:p w14:paraId="5DC5F79A" w14:textId="6C98A9EE" w:rsidR="00C924F6" w:rsidRPr="00FA02BB" w:rsidRDefault="00C924F6" w:rsidP="00C924F6">
      <w:pPr>
        <w:pStyle w:val="Heading2"/>
      </w:pPr>
      <w:r>
        <w:t>Meetings</w:t>
      </w:r>
    </w:p>
    <w:p w14:paraId="595AD674" w14:textId="77777777" w:rsidR="00AC588C" w:rsidRPr="00E3744E" w:rsidRDefault="00AC588C" w:rsidP="0005626E">
      <w:pPr>
        <w:pStyle w:val="ListBullet"/>
      </w:pPr>
      <w:r w:rsidRPr="00D21753">
        <w:t>All me</w:t>
      </w:r>
      <w:r>
        <w:t>etings chaired by the Committee</w:t>
      </w:r>
      <w:r w:rsidRPr="00D21753">
        <w:t xml:space="preserve"> Chair or Dep</w:t>
      </w:r>
      <w:r w:rsidRPr="00E3744E">
        <w:t xml:space="preserve">uty Chair as </w:t>
      </w:r>
      <w:proofErr w:type="gramStart"/>
      <w:r w:rsidRPr="00E3744E">
        <w:t>required</w:t>
      </w:r>
      <w:r>
        <w:t>;</w:t>
      </w:r>
      <w:proofErr w:type="gramEnd"/>
    </w:p>
    <w:p w14:paraId="0CE200F4" w14:textId="26509273" w:rsidR="00AC588C" w:rsidRPr="003D32C2" w:rsidRDefault="00AC588C" w:rsidP="0005626E">
      <w:pPr>
        <w:pStyle w:val="ListBullet"/>
      </w:pPr>
      <w:r w:rsidRPr="003D32C2">
        <w:t>Quorum will be half plus</w:t>
      </w:r>
      <w:r w:rsidR="0029058E">
        <w:t xml:space="preserve"> </w:t>
      </w:r>
      <w:proofErr w:type="gramStart"/>
      <w:r w:rsidR="0029058E">
        <w:t>1</w:t>
      </w:r>
      <w:r>
        <w:t>;</w:t>
      </w:r>
      <w:proofErr w:type="gramEnd"/>
    </w:p>
    <w:p w14:paraId="554B37D4" w14:textId="77777777" w:rsidR="00AC588C" w:rsidRPr="00D21753" w:rsidRDefault="00AC588C" w:rsidP="0005626E">
      <w:pPr>
        <w:pStyle w:val="ListBullet"/>
      </w:pPr>
      <w:r w:rsidRPr="00D21753">
        <w:t xml:space="preserve">Consensus for key decisions and actions will be the preferred process of </w:t>
      </w:r>
      <w:proofErr w:type="gramStart"/>
      <w:r w:rsidRPr="00D21753">
        <w:t>deliberations</w:t>
      </w:r>
      <w:r>
        <w:t>;</w:t>
      </w:r>
      <w:proofErr w:type="gramEnd"/>
    </w:p>
    <w:p w14:paraId="41A999C8" w14:textId="77777777" w:rsidR="00AC588C" w:rsidRPr="00D21753" w:rsidRDefault="00AC588C" w:rsidP="0005626E">
      <w:pPr>
        <w:pStyle w:val="ListBullet"/>
      </w:pPr>
      <w:r w:rsidRPr="00D21753">
        <w:t xml:space="preserve">Agenda set by members, with Chair to finalise prior to each </w:t>
      </w:r>
      <w:proofErr w:type="gramStart"/>
      <w:r w:rsidRPr="00D21753">
        <w:t>meeting</w:t>
      </w:r>
      <w:r>
        <w:t>;</w:t>
      </w:r>
      <w:proofErr w:type="gramEnd"/>
    </w:p>
    <w:p w14:paraId="227D585D" w14:textId="77777777" w:rsidR="00AC588C" w:rsidRPr="00D21753" w:rsidRDefault="00AC588C" w:rsidP="0005626E">
      <w:pPr>
        <w:pStyle w:val="ListBullet"/>
      </w:pPr>
      <w:r w:rsidRPr="00D21753">
        <w:t>Open discussions with confidentiality observed, as noted</w:t>
      </w:r>
      <w:r>
        <w:t>; and</w:t>
      </w:r>
    </w:p>
    <w:p w14:paraId="3DB39EEF" w14:textId="58E4B72B" w:rsidR="00AC588C" w:rsidRPr="00E3744E" w:rsidRDefault="00AC588C" w:rsidP="0005626E">
      <w:pPr>
        <w:pStyle w:val="ListBullet"/>
      </w:pPr>
      <w:r w:rsidRPr="00D21753">
        <w:t>Face</w:t>
      </w:r>
      <w:r w:rsidR="001364D1">
        <w:noBreakHyphen/>
      </w:r>
      <w:r w:rsidRPr="00D21753">
        <w:t>to</w:t>
      </w:r>
      <w:r w:rsidR="00E414BE">
        <w:t>-</w:t>
      </w:r>
      <w:r w:rsidRPr="00D21753">
        <w:t xml:space="preserve">face meetings held three times per year, with </w:t>
      </w:r>
      <w:r w:rsidR="001364D1">
        <w:t>videoconference/</w:t>
      </w:r>
      <w:r>
        <w:t>teleconferences</w:t>
      </w:r>
      <w:r w:rsidRPr="00E3744E">
        <w:t xml:space="preserve"> or extra meetings as required</w:t>
      </w:r>
      <w:r>
        <w:t>.</w:t>
      </w:r>
    </w:p>
    <w:p w14:paraId="653FB3DE" w14:textId="49A9715A" w:rsidR="00C924F6" w:rsidRPr="00FA02BB" w:rsidRDefault="00C924F6" w:rsidP="00C924F6">
      <w:pPr>
        <w:pStyle w:val="Heading2"/>
      </w:pPr>
      <w:r>
        <w:lastRenderedPageBreak/>
        <w:t>Governance</w:t>
      </w:r>
    </w:p>
    <w:p w14:paraId="6FDE0159" w14:textId="6B8D385A" w:rsidR="00AC588C" w:rsidRDefault="00AC588C" w:rsidP="0005626E">
      <w:pPr>
        <w:pStyle w:val="ListBullet"/>
      </w:pPr>
      <w:r>
        <w:t>Requests, policy input, and Committee recommendations to be proposed directly to the First Assistant Secretary, TAAD, as required; and</w:t>
      </w:r>
    </w:p>
    <w:p w14:paraId="43C99A7F" w14:textId="5F7EDB6C" w:rsidR="00AC588C" w:rsidRDefault="00AC588C" w:rsidP="0005626E">
      <w:pPr>
        <w:pStyle w:val="ListBullet"/>
      </w:pPr>
      <w:r w:rsidRPr="00AC588C">
        <w:t>Record of meetings to be reported following each meeting to the First Assistant Secretary, TAAD, and Principal HTA Committee Chairs.</w:t>
      </w:r>
    </w:p>
    <w:p w14:paraId="68B804DE" w14:textId="215BCE2B" w:rsidR="00C924F6" w:rsidRPr="00FA02BB" w:rsidRDefault="00C924F6" w:rsidP="00C924F6">
      <w:pPr>
        <w:pStyle w:val="Heading2"/>
      </w:pPr>
      <w:r>
        <w:t>Review</w:t>
      </w:r>
    </w:p>
    <w:p w14:paraId="5796626B" w14:textId="063168CF" w:rsidR="002E05DF" w:rsidRDefault="002E05DF" w:rsidP="00DC1B75">
      <w:r w:rsidRPr="002E05DF">
        <w:t xml:space="preserve">Confirm the Chair / Deputy Chair and the Committee Plan of Activities every two years by the Committee members, and confirmed with the First Assistant Secretary, TAAD. </w:t>
      </w:r>
    </w:p>
    <w:p w14:paraId="0DADC0B1" w14:textId="7F581AE5" w:rsidR="00C924F6" w:rsidRPr="0005626E" w:rsidRDefault="00C924F6" w:rsidP="0005626E">
      <w:r w:rsidRPr="0005626E">
        <w:t xml:space="preserve">The HTA Consumer Consultative Committee acknowledges the traditional custodians of the land, community, </w:t>
      </w:r>
      <w:proofErr w:type="gramStart"/>
      <w:r w:rsidRPr="0005626E">
        <w:t>sea</w:t>
      </w:r>
      <w:proofErr w:type="gramEnd"/>
      <w:r w:rsidRPr="0005626E">
        <w:t xml:space="preserve"> and waters where we live and work. We pay our respects to </w:t>
      </w:r>
      <w:proofErr w:type="gramStart"/>
      <w:r w:rsidRPr="0005626E">
        <w:t>elders</w:t>
      </w:r>
      <w:proofErr w:type="gramEnd"/>
      <w:r w:rsidRPr="0005626E">
        <w:t xml:space="preserve"> past, present and future and value the contributions </w:t>
      </w:r>
      <w:r w:rsidR="001364D1" w:rsidRPr="0005626E">
        <w:t>First Nations people</w:t>
      </w:r>
      <w:r w:rsidRPr="0005626E">
        <w:t xml:space="preserve"> make in our society.</w:t>
      </w:r>
    </w:p>
    <w:sectPr w:rsidR="00C924F6" w:rsidRPr="0005626E" w:rsidSect="00B53987">
      <w:headerReference w:type="default" r:id="rId9"/>
      <w:footerReference w:type="default" r:id="rId10"/>
      <w:headerReference w:type="first" r:id="rId11"/>
      <w:footerReference w:type="first" r:id="rId1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F7DD" w14:textId="77777777" w:rsidR="00FE31AA" w:rsidRDefault="00FE31AA" w:rsidP="006B56BB">
      <w:r>
        <w:separator/>
      </w:r>
    </w:p>
    <w:p w14:paraId="0521A484" w14:textId="77777777" w:rsidR="00FE31AA" w:rsidRDefault="00FE31AA"/>
  </w:endnote>
  <w:endnote w:type="continuationSeparator" w:id="0">
    <w:p w14:paraId="03C62853" w14:textId="77777777" w:rsidR="00FE31AA" w:rsidRDefault="00FE31AA" w:rsidP="006B56BB">
      <w:r>
        <w:continuationSeparator/>
      </w:r>
    </w:p>
    <w:p w14:paraId="6405A3D5" w14:textId="77777777" w:rsidR="00FE31AA" w:rsidRDefault="00FE31AA"/>
  </w:endnote>
  <w:endnote w:type="continuationNotice" w:id="1">
    <w:p w14:paraId="738226A7" w14:textId="77777777" w:rsidR="00FE31AA" w:rsidRDefault="00FE3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06F0" w14:textId="025E7B0B" w:rsidR="00B53987" w:rsidRDefault="004C1BCD" w:rsidP="00B53987">
    <w:pPr>
      <w:pStyle w:val="Footer"/>
    </w:pPr>
    <w:r>
      <w:t xml:space="preserve">Department of Health and Aged Care </w:t>
    </w:r>
    <w:r w:rsidR="00B53987">
      <w:t xml:space="preserve">– </w:t>
    </w:r>
    <w:r w:rsidR="007F54A6">
      <w:t>HTA CCC Terms of Reference</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1592" w14:textId="0A5BF1EF" w:rsidR="00B53987" w:rsidRDefault="00B53987" w:rsidP="00B53987">
    <w:pPr>
      <w:pStyle w:val="Footer"/>
    </w:pPr>
    <w:r>
      <w:t xml:space="preserve">Department of Health </w:t>
    </w:r>
    <w:r w:rsidR="004C1BCD">
      <w:t xml:space="preserve">and Aged Care </w:t>
    </w:r>
    <w:r>
      <w:t xml:space="preserve">– </w:t>
    </w:r>
    <w:r w:rsidR="007D2146">
      <w:t>HTA CCC</w:t>
    </w:r>
    <w:r w:rsidR="007F54A6">
      <w:t xml:space="preserve"> Terms of Reference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428C" w14:textId="77777777" w:rsidR="00FE31AA" w:rsidRDefault="00FE31AA" w:rsidP="006B56BB">
      <w:r>
        <w:separator/>
      </w:r>
    </w:p>
    <w:p w14:paraId="64EDD5E4" w14:textId="77777777" w:rsidR="00FE31AA" w:rsidRDefault="00FE31AA"/>
  </w:footnote>
  <w:footnote w:type="continuationSeparator" w:id="0">
    <w:p w14:paraId="371D93CB" w14:textId="77777777" w:rsidR="00FE31AA" w:rsidRDefault="00FE31AA" w:rsidP="006B56BB">
      <w:r>
        <w:continuationSeparator/>
      </w:r>
    </w:p>
    <w:p w14:paraId="04BB9A75" w14:textId="77777777" w:rsidR="00FE31AA" w:rsidRDefault="00FE31AA"/>
  </w:footnote>
  <w:footnote w:type="continuationNotice" w:id="1">
    <w:p w14:paraId="0EF3B31C" w14:textId="77777777" w:rsidR="00FE31AA" w:rsidRDefault="00FE3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EB6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FB78" w14:textId="77777777" w:rsidR="00B53987" w:rsidRDefault="00B53987">
    <w:pPr>
      <w:pStyle w:val="Header"/>
    </w:pPr>
    <w:r>
      <w:rPr>
        <w:noProof/>
        <w:lang w:eastAsia="en-AU"/>
      </w:rPr>
      <w:drawing>
        <wp:inline distT="0" distB="0" distL="0" distR="0" wp14:anchorId="49E78A56" wp14:editId="52B2DCAF">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ACC1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70CF8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88802A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6E7E9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B283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5BE3DD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F15778"/>
    <w:multiLevelType w:val="hybridMultilevel"/>
    <w:tmpl w:val="ABBA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45644D"/>
    <w:multiLevelType w:val="hybridMultilevel"/>
    <w:tmpl w:val="31F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92DF3"/>
    <w:multiLevelType w:val="hybridMultilevel"/>
    <w:tmpl w:val="1B06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625384F"/>
    <w:multiLevelType w:val="hybridMultilevel"/>
    <w:tmpl w:val="B6CC2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CE5D5C"/>
    <w:multiLevelType w:val="hybridMultilevel"/>
    <w:tmpl w:val="9FF87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5A7234"/>
    <w:multiLevelType w:val="hybridMultilevel"/>
    <w:tmpl w:val="0ED2E0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813424"/>
    <w:multiLevelType w:val="hybridMultilevel"/>
    <w:tmpl w:val="30D0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925B9"/>
    <w:multiLevelType w:val="hybridMultilevel"/>
    <w:tmpl w:val="ABF8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5"/>
  </w:num>
  <w:num w:numId="4">
    <w:abstractNumId w:val="8"/>
  </w:num>
  <w:num w:numId="5">
    <w:abstractNumId w:val="8"/>
    <w:lvlOverride w:ilvl="0">
      <w:startOverride w:val="1"/>
    </w:lvlOverride>
  </w:num>
  <w:num w:numId="6">
    <w:abstractNumId w:val="9"/>
  </w:num>
  <w:num w:numId="7">
    <w:abstractNumId w:val="16"/>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3"/>
  </w:num>
  <w:num w:numId="19">
    <w:abstractNumId w:val="15"/>
  </w:num>
  <w:num w:numId="20">
    <w:abstractNumId w:val="10"/>
  </w:num>
  <w:num w:numId="21">
    <w:abstractNumId w:val="15"/>
  </w:num>
  <w:num w:numId="22">
    <w:abstractNumId w:val="26"/>
  </w:num>
  <w:num w:numId="23">
    <w:abstractNumId w:val="20"/>
  </w:num>
  <w:num w:numId="24">
    <w:abstractNumId w:val="25"/>
  </w:num>
  <w:num w:numId="25">
    <w:abstractNumId w:val="8"/>
  </w:num>
  <w:num w:numId="26">
    <w:abstractNumId w:val="19"/>
  </w:num>
  <w:num w:numId="27">
    <w:abstractNumId w:val="18"/>
  </w:num>
  <w:num w:numId="28">
    <w:abstractNumId w:val="14"/>
  </w:num>
  <w:num w:numId="29">
    <w:abstractNumId w:val="23"/>
  </w:num>
  <w:num w:numId="30">
    <w:abstractNumId w:val="11"/>
  </w:num>
  <w:num w:numId="31">
    <w:abstractNumId w:val="22"/>
  </w:num>
  <w:num w:numId="32">
    <w:abstractNumId w:val="21"/>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17"/>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626E"/>
    <w:rsid w:val="000634DD"/>
    <w:rsid w:val="00067456"/>
    <w:rsid w:val="00071506"/>
    <w:rsid w:val="0007154F"/>
    <w:rsid w:val="00081AB1"/>
    <w:rsid w:val="00090316"/>
    <w:rsid w:val="00093981"/>
    <w:rsid w:val="000A48DE"/>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66A"/>
    <w:rsid w:val="00117F8A"/>
    <w:rsid w:val="00121B9B"/>
    <w:rsid w:val="00122ADC"/>
    <w:rsid w:val="00130F59"/>
    <w:rsid w:val="00133EC0"/>
    <w:rsid w:val="001364D1"/>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777E2"/>
    <w:rsid w:val="002803AD"/>
    <w:rsid w:val="00282052"/>
    <w:rsid w:val="002831A3"/>
    <w:rsid w:val="0028519E"/>
    <w:rsid w:val="002856A5"/>
    <w:rsid w:val="002872ED"/>
    <w:rsid w:val="0029058E"/>
    <w:rsid w:val="002905C2"/>
    <w:rsid w:val="00295AF2"/>
    <w:rsid w:val="00295C91"/>
    <w:rsid w:val="00297151"/>
    <w:rsid w:val="002B20E6"/>
    <w:rsid w:val="002B42A3"/>
    <w:rsid w:val="002C0CDD"/>
    <w:rsid w:val="002C38C4"/>
    <w:rsid w:val="002E05DF"/>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C7B01"/>
    <w:rsid w:val="006D4098"/>
    <w:rsid w:val="006D7681"/>
    <w:rsid w:val="006D7B2E"/>
    <w:rsid w:val="006E02EA"/>
    <w:rsid w:val="006E0968"/>
    <w:rsid w:val="006E2AF6"/>
    <w:rsid w:val="006F30F2"/>
    <w:rsid w:val="00701275"/>
    <w:rsid w:val="00707F56"/>
    <w:rsid w:val="00713558"/>
    <w:rsid w:val="00720D08"/>
    <w:rsid w:val="007263B9"/>
    <w:rsid w:val="007334F8"/>
    <w:rsid w:val="007339CD"/>
    <w:rsid w:val="007359D8"/>
    <w:rsid w:val="007362D4"/>
    <w:rsid w:val="00755E6E"/>
    <w:rsid w:val="0076672A"/>
    <w:rsid w:val="00775E45"/>
    <w:rsid w:val="00776E74"/>
    <w:rsid w:val="00784A17"/>
    <w:rsid w:val="00785169"/>
    <w:rsid w:val="007954AB"/>
    <w:rsid w:val="007A14C5"/>
    <w:rsid w:val="007A4A10"/>
    <w:rsid w:val="007B1760"/>
    <w:rsid w:val="007C192F"/>
    <w:rsid w:val="007C1FDC"/>
    <w:rsid w:val="007C6D9C"/>
    <w:rsid w:val="007C7DDB"/>
    <w:rsid w:val="007D2146"/>
    <w:rsid w:val="007D2CC7"/>
    <w:rsid w:val="007D673D"/>
    <w:rsid w:val="007E0FB8"/>
    <w:rsid w:val="007E4D09"/>
    <w:rsid w:val="007F2220"/>
    <w:rsid w:val="007F4B3E"/>
    <w:rsid w:val="007F54A6"/>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2FE8"/>
    <w:rsid w:val="008A7438"/>
    <w:rsid w:val="008B1334"/>
    <w:rsid w:val="008B25C7"/>
    <w:rsid w:val="008C0278"/>
    <w:rsid w:val="008C24E9"/>
    <w:rsid w:val="008D0533"/>
    <w:rsid w:val="008D4209"/>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56511"/>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588C"/>
    <w:rsid w:val="00AD05E6"/>
    <w:rsid w:val="00AD0D3F"/>
    <w:rsid w:val="00AE1D7D"/>
    <w:rsid w:val="00AE2A8B"/>
    <w:rsid w:val="00AE3F64"/>
    <w:rsid w:val="00AF7386"/>
    <w:rsid w:val="00AF7934"/>
    <w:rsid w:val="00B00B81"/>
    <w:rsid w:val="00B04580"/>
    <w:rsid w:val="00B04B09"/>
    <w:rsid w:val="00B131FE"/>
    <w:rsid w:val="00B16A51"/>
    <w:rsid w:val="00B32222"/>
    <w:rsid w:val="00B3618D"/>
    <w:rsid w:val="00B36233"/>
    <w:rsid w:val="00B42851"/>
    <w:rsid w:val="00B45AC7"/>
    <w:rsid w:val="00B5372F"/>
    <w:rsid w:val="00B53987"/>
    <w:rsid w:val="00B61129"/>
    <w:rsid w:val="00B67E7F"/>
    <w:rsid w:val="00B839B2"/>
    <w:rsid w:val="00B86921"/>
    <w:rsid w:val="00B94252"/>
    <w:rsid w:val="00B9715A"/>
    <w:rsid w:val="00BA14BE"/>
    <w:rsid w:val="00BA2732"/>
    <w:rsid w:val="00BA293D"/>
    <w:rsid w:val="00BA49BC"/>
    <w:rsid w:val="00BA56B7"/>
    <w:rsid w:val="00BA7A1E"/>
    <w:rsid w:val="00BB2F6C"/>
    <w:rsid w:val="00BB3875"/>
    <w:rsid w:val="00BB5860"/>
    <w:rsid w:val="00BB6AAD"/>
    <w:rsid w:val="00BC0BEE"/>
    <w:rsid w:val="00BC4A19"/>
    <w:rsid w:val="00BC4E6D"/>
    <w:rsid w:val="00BD0617"/>
    <w:rsid w:val="00BD2E9B"/>
    <w:rsid w:val="00BD7FB2"/>
    <w:rsid w:val="00C00930"/>
    <w:rsid w:val="00C060AD"/>
    <w:rsid w:val="00C0775F"/>
    <w:rsid w:val="00C113BF"/>
    <w:rsid w:val="00C2176E"/>
    <w:rsid w:val="00C23430"/>
    <w:rsid w:val="00C27D67"/>
    <w:rsid w:val="00C4631F"/>
    <w:rsid w:val="00C47CDE"/>
    <w:rsid w:val="00C50E16"/>
    <w:rsid w:val="00C55258"/>
    <w:rsid w:val="00C82EEB"/>
    <w:rsid w:val="00C924F6"/>
    <w:rsid w:val="00C971DC"/>
    <w:rsid w:val="00CA16B7"/>
    <w:rsid w:val="00CA62AE"/>
    <w:rsid w:val="00CB5B1A"/>
    <w:rsid w:val="00CC220B"/>
    <w:rsid w:val="00CC5C43"/>
    <w:rsid w:val="00CD02AE"/>
    <w:rsid w:val="00CD2A4F"/>
    <w:rsid w:val="00CE03CA"/>
    <w:rsid w:val="00CE06BE"/>
    <w:rsid w:val="00CE22F1"/>
    <w:rsid w:val="00CE50F2"/>
    <w:rsid w:val="00CE6502"/>
    <w:rsid w:val="00CF7D3C"/>
    <w:rsid w:val="00D01F09"/>
    <w:rsid w:val="00D147EB"/>
    <w:rsid w:val="00D34667"/>
    <w:rsid w:val="00D401E1"/>
    <w:rsid w:val="00D408B4"/>
    <w:rsid w:val="00D44330"/>
    <w:rsid w:val="00D524C8"/>
    <w:rsid w:val="00D66E2F"/>
    <w:rsid w:val="00D70E24"/>
    <w:rsid w:val="00D72B61"/>
    <w:rsid w:val="00DA3D1D"/>
    <w:rsid w:val="00DB6286"/>
    <w:rsid w:val="00DB645F"/>
    <w:rsid w:val="00DB76E9"/>
    <w:rsid w:val="00DC0A67"/>
    <w:rsid w:val="00DC1B75"/>
    <w:rsid w:val="00DC1D5E"/>
    <w:rsid w:val="00DC5220"/>
    <w:rsid w:val="00DD2061"/>
    <w:rsid w:val="00DD7967"/>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14B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166A0"/>
    <w:rsid w:val="00F21302"/>
    <w:rsid w:val="00F2430D"/>
    <w:rsid w:val="00F321DE"/>
    <w:rsid w:val="00F33777"/>
    <w:rsid w:val="00F40648"/>
    <w:rsid w:val="00F47DA2"/>
    <w:rsid w:val="00F519FC"/>
    <w:rsid w:val="00F6239D"/>
    <w:rsid w:val="00F715D2"/>
    <w:rsid w:val="00F7274F"/>
    <w:rsid w:val="00F7437E"/>
    <w:rsid w:val="00F74E84"/>
    <w:rsid w:val="00F76FA8"/>
    <w:rsid w:val="00F93F08"/>
    <w:rsid w:val="00F94CED"/>
    <w:rsid w:val="00F96BC8"/>
    <w:rsid w:val="00FA02BB"/>
    <w:rsid w:val="00FA2CEE"/>
    <w:rsid w:val="00FA318C"/>
    <w:rsid w:val="00FB6F92"/>
    <w:rsid w:val="00FC026E"/>
    <w:rsid w:val="00FC4EF3"/>
    <w:rsid w:val="00FC5124"/>
    <w:rsid w:val="00FD4731"/>
    <w:rsid w:val="00FD6768"/>
    <w:rsid w:val="00FE31AA"/>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A7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5626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05626E"/>
    <w:pPr>
      <w:numPr>
        <w:numId w:val="20"/>
      </w:numPr>
      <w:spacing w:before="60" w:after="60" w:line="240" w:lineRule="auto"/>
      <w:ind w:left="527" w:hanging="357"/>
    </w:pPr>
  </w:style>
  <w:style w:type="paragraph" w:styleId="ListParagraph">
    <w:name w:val="List Paragraph"/>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6C7B01"/>
    <w:rPr>
      <w:sz w:val="16"/>
      <w:szCs w:val="16"/>
    </w:rPr>
  </w:style>
  <w:style w:type="paragraph" w:styleId="CommentText">
    <w:name w:val="annotation text"/>
    <w:basedOn w:val="Normal"/>
    <w:link w:val="CommentTextChar"/>
    <w:semiHidden/>
    <w:unhideWhenUsed/>
    <w:rsid w:val="006C7B01"/>
    <w:pPr>
      <w:spacing w:line="240" w:lineRule="auto"/>
    </w:pPr>
    <w:rPr>
      <w:sz w:val="20"/>
      <w:szCs w:val="20"/>
    </w:rPr>
  </w:style>
  <w:style w:type="character" w:customStyle="1" w:styleId="CommentTextChar">
    <w:name w:val="Comment Text Char"/>
    <w:basedOn w:val="DefaultParagraphFont"/>
    <w:link w:val="CommentText"/>
    <w:semiHidden/>
    <w:rsid w:val="006C7B0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6C7B01"/>
    <w:rPr>
      <w:b/>
      <w:bCs/>
    </w:rPr>
  </w:style>
  <w:style w:type="character" w:customStyle="1" w:styleId="CommentSubjectChar">
    <w:name w:val="Comment Subject Char"/>
    <w:basedOn w:val="CommentTextChar"/>
    <w:link w:val="CommentSubject"/>
    <w:semiHidden/>
    <w:rsid w:val="006C7B01"/>
    <w:rPr>
      <w:rFonts w:ascii="Arial" w:hAnsi="Arial"/>
      <w:b/>
      <w:bCs/>
      <w:color w:val="000000" w:themeColor="text1"/>
      <w:lang w:eastAsia="en-US"/>
    </w:rPr>
  </w:style>
  <w:style w:type="character" w:customStyle="1" w:styleId="ListParagraphChar">
    <w:name w:val="List Paragraph Char"/>
    <w:basedOn w:val="DefaultParagraphFont"/>
    <w:link w:val="ListParagraph"/>
    <w:uiPriority w:val="34"/>
    <w:rsid w:val="006C7B01"/>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Aconsumerengagement@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4283</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Health Technology Assessment (HTA) Consumer Consultative Committee (CCC) Terms of Reference</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(HTA) Consumer Consultative Committee (CCC) Terms of Reference</dc:title>
  <dc:subject>Health Technology</dc:subject>
  <dc:creator/>
  <cp:keywords>Health Technology; HTC; Consumer Consultative Committee (CCC); Terms of Reference</cp:keywords>
  <cp:lastModifiedBy/>
  <cp:revision>1</cp:revision>
  <dcterms:created xsi:type="dcterms:W3CDTF">2023-01-03T02:27:00Z</dcterms:created>
  <dcterms:modified xsi:type="dcterms:W3CDTF">2023-01-03T03:01:00Z</dcterms:modified>
</cp:coreProperties>
</file>