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034D" w14:textId="77777777" w:rsidR="00B30D1E" w:rsidRDefault="00B30D1E" w:rsidP="00B30D1E">
      <w:pPr>
        <w:pStyle w:val="Title"/>
      </w:pPr>
      <w:r>
        <w:t>Correct Claiming of Regional and Field Nerve Block Items (18222 and 18225)</w:t>
      </w:r>
    </w:p>
    <w:p w14:paraId="68F115DB" w14:textId="11693273" w:rsidR="00B53987" w:rsidRPr="00B53987" w:rsidRDefault="005239FA" w:rsidP="00B53987">
      <w:r>
        <w:t>January 2023</w:t>
      </w:r>
    </w:p>
    <w:p w14:paraId="30D4FE81" w14:textId="77777777" w:rsidR="00B30D1E" w:rsidRDefault="00B30D1E" w:rsidP="00E25B1F">
      <w:r>
        <w:t>On 1 March 2022, updates were made to the item descriptors for pain management Medicare Benefits Schedule Items (MBS) 18222 and 18225 for regional or field nerve blocks. This fact sheet outlines these changes and provides information to help ensure the correct billing of these items.</w:t>
      </w:r>
      <w:bookmarkStart w:id="0" w:name="_Hlk85795649"/>
    </w:p>
    <w:p w14:paraId="53152A17" w14:textId="151493F0" w:rsidR="00B30D1E" w:rsidRDefault="00B30D1E" w:rsidP="00360A09">
      <w:pPr>
        <w:pStyle w:val="Heading1"/>
      </w:pPr>
      <w:r>
        <w:t>Medicare Benefits Schedule (MBS) items 18222 and 18225</w:t>
      </w:r>
    </w:p>
    <w:p w14:paraId="168C351A" w14:textId="365F0983" w:rsidR="007E0FB8" w:rsidRPr="007E0FB8" w:rsidRDefault="00B30D1E" w:rsidP="00B30D1E">
      <w:r w:rsidRPr="00B30D1E">
        <w:t>MBS Items 18222 and 18225 are pain management items which are intended for services that involve the</w:t>
      </w:r>
      <w:r>
        <w:t xml:space="preserve"> </w:t>
      </w:r>
      <w:r w:rsidRPr="00B30D1E">
        <w:t>continuous infusion or injection by catheter of a therapeutic substance (not contrast agent) to maintain</w:t>
      </w:r>
      <w:r>
        <w:t xml:space="preserve"> </w:t>
      </w:r>
      <w:r w:rsidRPr="00B30D1E">
        <w:t>anaesthesia or analgesia.</w:t>
      </w:r>
    </w:p>
    <w:bookmarkEnd w:id="0"/>
    <w:p w14:paraId="091A6D01" w14:textId="0FE36D46" w:rsidR="00A13EB5" w:rsidRDefault="00B30D1E" w:rsidP="00356D67">
      <w:pPr>
        <w:pStyle w:val="Heading2"/>
      </w:pPr>
      <w:r>
        <w:t>1 March 2022 changes to items 18222 and 18225</w:t>
      </w:r>
    </w:p>
    <w:p w14:paraId="25ED382F" w14:textId="5A6AF210" w:rsidR="00323685" w:rsidRDefault="00B30D1E" w:rsidP="00B30D1E">
      <w:r w:rsidRPr="00B30D1E">
        <w:t>Changes made to the item descriptors for MBS items 18222 and 18225 on 1 March 2022 are outlined in the</w:t>
      </w:r>
      <w:r>
        <w:t xml:space="preserve"> </w:t>
      </w:r>
      <w:r w:rsidRPr="00B30D1E">
        <w:t xml:space="preserve">table below (changes are </w:t>
      </w:r>
      <w:r w:rsidR="00441A11">
        <w:t>bolded</w:t>
      </w:r>
      <w:r w:rsidRPr="00B30D1E">
        <w:t>). To ensure compliant billing of these items, practitioners should</w:t>
      </w:r>
      <w:r>
        <w:t xml:space="preserve"> </w:t>
      </w:r>
      <w:r w:rsidRPr="00B30D1E">
        <w:t>ensure that the current item description is being met.</w:t>
      </w:r>
    </w:p>
    <w:p w14:paraId="58A818A3" w14:textId="77777777" w:rsidR="00F92093" w:rsidRPr="00F92093" w:rsidRDefault="00F92093" w:rsidP="00F92093">
      <w:pPr>
        <w:pStyle w:val="Tabletitle0"/>
        <w:rPr>
          <w:iCs/>
        </w:rPr>
      </w:pPr>
      <w:r w:rsidRPr="00F92093">
        <w:rPr>
          <w:iCs/>
        </w:rPr>
        <w:t>MBS items 18222 and 18225 item descriptor changes</w:t>
      </w:r>
      <w:r>
        <w:rPr>
          <w:iCs/>
        </w:rPr>
        <w:t>:</w:t>
      </w:r>
      <w:r w:rsidRPr="00F92093">
        <w:rPr>
          <w:iCs/>
        </w:rPr>
        <w:t xml:space="preserve"> </w:t>
      </w:r>
    </w:p>
    <w:tbl>
      <w:tblPr>
        <w:tblStyle w:val="DepartmentofHealthtable"/>
        <w:tblW w:w="0" w:type="auto"/>
        <w:tblLook w:val="04A0" w:firstRow="1" w:lastRow="0" w:firstColumn="1" w:lastColumn="0" w:noHBand="0" w:noVBand="1"/>
        <w:tblDescription w:val="This table is a list of MBS items 18222 and 18225 item descriptor changes."/>
      </w:tblPr>
      <w:tblGrid>
        <w:gridCol w:w="2998"/>
        <w:gridCol w:w="2999"/>
        <w:gridCol w:w="2999"/>
      </w:tblGrid>
      <w:tr w:rsidR="0011336E" w:rsidRPr="009040E9" w14:paraId="55B8F29D" w14:textId="77777777" w:rsidTr="0011336E">
        <w:trPr>
          <w:cnfStyle w:val="100000000000" w:firstRow="1" w:lastRow="0" w:firstColumn="0" w:lastColumn="0" w:oddVBand="0" w:evenVBand="0" w:oddHBand="0" w:evenHBand="0" w:firstRowFirstColumn="0" w:firstRowLastColumn="0" w:lastRowFirstColumn="0" w:lastRowLastColumn="0"/>
          <w:trHeight w:val="472"/>
          <w:tblHeader/>
        </w:trPr>
        <w:tc>
          <w:tcPr>
            <w:cnfStyle w:val="001000000000" w:firstRow="0" w:lastRow="0" w:firstColumn="1" w:lastColumn="0" w:oddVBand="0" w:evenVBand="0" w:oddHBand="0" w:evenHBand="0" w:firstRowFirstColumn="0" w:firstRowLastColumn="0" w:lastRowFirstColumn="0" w:lastRowLastColumn="0"/>
            <w:tcW w:w="2998" w:type="dxa"/>
          </w:tcPr>
          <w:p w14:paraId="43C604D3" w14:textId="3F8B830E" w:rsidR="0011336E" w:rsidRPr="009040E9" w:rsidRDefault="0011336E" w:rsidP="003B0E46">
            <w:pPr>
              <w:pStyle w:val="Tableheader0"/>
              <w:rPr>
                <w:rFonts w:eastAsia="Cambria"/>
                <w:lang w:val="en-US"/>
              </w:rPr>
            </w:pPr>
            <w:r>
              <w:rPr>
                <w:rFonts w:eastAsia="Cambria"/>
                <w:lang w:val="en-US"/>
              </w:rPr>
              <w:t>Item number</w:t>
            </w:r>
            <w:r w:rsidRPr="009040E9">
              <w:rPr>
                <w:rFonts w:eastAsia="Cambria"/>
                <w:lang w:val="en-US"/>
              </w:rPr>
              <w:t xml:space="preserve"> </w:t>
            </w:r>
          </w:p>
        </w:tc>
        <w:tc>
          <w:tcPr>
            <w:tcW w:w="2999" w:type="dxa"/>
          </w:tcPr>
          <w:p w14:paraId="1EB3E3CD" w14:textId="5375B2BE" w:rsidR="0011336E" w:rsidRPr="009040E9" w:rsidRDefault="0011336E" w:rsidP="003B0E46">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Previous description (pre-March 2022)</w:t>
            </w:r>
          </w:p>
        </w:tc>
        <w:tc>
          <w:tcPr>
            <w:tcW w:w="2999" w:type="dxa"/>
          </w:tcPr>
          <w:p w14:paraId="7636FE72" w14:textId="5C20975F" w:rsidR="0011336E" w:rsidRPr="009040E9" w:rsidRDefault="0011336E" w:rsidP="003B0E46">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Current description (post-March 2022)</w:t>
            </w:r>
          </w:p>
        </w:tc>
      </w:tr>
      <w:tr w:rsidR="0011336E" w:rsidRPr="009040E9" w14:paraId="44D8F206" w14:textId="77777777" w:rsidTr="0011336E">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98" w:type="dxa"/>
          </w:tcPr>
          <w:p w14:paraId="33405CA2" w14:textId="7E15E8E7" w:rsidR="0011336E" w:rsidRPr="009040E9" w:rsidRDefault="0011336E" w:rsidP="003B0E46">
            <w:pPr>
              <w:pStyle w:val="Tabletextleft"/>
            </w:pPr>
            <w:r>
              <w:t>18222</w:t>
            </w:r>
          </w:p>
        </w:tc>
        <w:tc>
          <w:tcPr>
            <w:tcW w:w="2999" w:type="dxa"/>
          </w:tcPr>
          <w:p w14:paraId="472E8666" w14:textId="68094963" w:rsidR="0011336E" w:rsidRPr="009040E9" w:rsidRDefault="0011336E" w:rsidP="003B0E46">
            <w:pPr>
              <w:pStyle w:val="Tabletextleft"/>
              <w:cnfStyle w:val="000000100000" w:firstRow="0" w:lastRow="0" w:firstColumn="0" w:lastColumn="0" w:oddVBand="0" w:evenVBand="0" w:oddHBand="1" w:evenHBand="0" w:firstRowFirstColumn="0" w:firstRowLastColumn="0" w:lastRowFirstColumn="0" w:lastRowLastColumn="0"/>
            </w:pPr>
            <w:r w:rsidRPr="0011336E">
              <w:t>Infusion of a therapeutic substance to maintain regional anaesthesia or analgesia, subsequent injection, or revision of, if the period of continuous medical practitioner attendance is 15 minutes or less.</w:t>
            </w:r>
          </w:p>
        </w:tc>
        <w:tc>
          <w:tcPr>
            <w:tcW w:w="2999" w:type="dxa"/>
          </w:tcPr>
          <w:p w14:paraId="5EE6BED6" w14:textId="6CCE387F" w:rsidR="0011336E" w:rsidRPr="009040E9" w:rsidRDefault="0011336E" w:rsidP="0011336E">
            <w:pPr>
              <w:pStyle w:val="Tabletextleft"/>
              <w:cnfStyle w:val="000000100000" w:firstRow="0" w:lastRow="0" w:firstColumn="0" w:lastColumn="0" w:oddVBand="0" w:evenVBand="0" w:oddHBand="1" w:evenHBand="0" w:firstRowFirstColumn="0" w:firstRowLastColumn="0" w:lastRowFirstColumn="0" w:lastRowLastColumn="0"/>
            </w:pPr>
            <w:r w:rsidRPr="00356D67">
              <w:rPr>
                <w:rStyle w:val="Strong"/>
              </w:rPr>
              <w:t>Continuous</w:t>
            </w:r>
            <w:r w:rsidRPr="0011336E">
              <w:t xml:space="preserve"> infusion </w:t>
            </w:r>
            <w:r w:rsidRPr="00356D67">
              <w:rPr>
                <w:rStyle w:val="Strong"/>
              </w:rPr>
              <w:t>or injection by catheter</w:t>
            </w:r>
            <w:r w:rsidRPr="0011336E">
              <w:t xml:space="preserve"> of a therapeutic substance </w:t>
            </w:r>
            <w:r w:rsidRPr="00356D67">
              <w:rPr>
                <w:rStyle w:val="Strong"/>
              </w:rPr>
              <w:t>(not contrast agent)</w:t>
            </w:r>
            <w:r w:rsidRPr="0011336E">
              <w:t xml:space="preserve"> to maintain regional anaesthesia or analgesia, subsequent injection, or revision of, if the period of continuous medical practitioner attendance is 15 minutes or less.</w:t>
            </w:r>
          </w:p>
        </w:tc>
      </w:tr>
      <w:tr w:rsidR="0011336E" w:rsidRPr="009040E9" w14:paraId="531430B9" w14:textId="77777777" w:rsidTr="0011336E">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98" w:type="dxa"/>
          </w:tcPr>
          <w:p w14:paraId="51C9B735" w14:textId="69C02BF0" w:rsidR="0011336E" w:rsidRPr="009040E9" w:rsidRDefault="0011336E" w:rsidP="003B0E46">
            <w:pPr>
              <w:pStyle w:val="Tabletextleft"/>
            </w:pPr>
            <w:r>
              <w:t>18225</w:t>
            </w:r>
          </w:p>
        </w:tc>
        <w:tc>
          <w:tcPr>
            <w:tcW w:w="2999" w:type="dxa"/>
          </w:tcPr>
          <w:p w14:paraId="42863CBA" w14:textId="0032D561" w:rsidR="0011336E" w:rsidRPr="009040E9" w:rsidRDefault="0011336E" w:rsidP="003B0E46">
            <w:pPr>
              <w:pStyle w:val="Tabletextleft"/>
              <w:cnfStyle w:val="000000010000" w:firstRow="0" w:lastRow="0" w:firstColumn="0" w:lastColumn="0" w:oddVBand="0" w:evenVBand="0" w:oddHBand="0" w:evenHBand="1" w:firstRowFirstColumn="0" w:firstRowLastColumn="0" w:lastRowFirstColumn="0" w:lastRowLastColumn="0"/>
            </w:pPr>
            <w:r w:rsidRPr="0011336E">
              <w:t>Infusion of a therapeutic substance to maintain regional anaesthesia or analgesia, subsequent injection, or revision of, if the period of continuous medical practitioner attendance is more than 15 minutes.</w:t>
            </w:r>
          </w:p>
        </w:tc>
        <w:tc>
          <w:tcPr>
            <w:tcW w:w="2999" w:type="dxa"/>
          </w:tcPr>
          <w:p w14:paraId="32D4888F" w14:textId="2CCC3C74" w:rsidR="0011336E" w:rsidRPr="009040E9" w:rsidRDefault="0011336E" w:rsidP="0011336E">
            <w:pPr>
              <w:pStyle w:val="Tabletextleft"/>
              <w:cnfStyle w:val="000000010000" w:firstRow="0" w:lastRow="0" w:firstColumn="0" w:lastColumn="0" w:oddVBand="0" w:evenVBand="0" w:oddHBand="0" w:evenHBand="1" w:firstRowFirstColumn="0" w:firstRowLastColumn="0" w:lastRowFirstColumn="0" w:lastRowLastColumn="0"/>
            </w:pPr>
            <w:r w:rsidRPr="00356D67">
              <w:rPr>
                <w:rStyle w:val="Strong"/>
              </w:rPr>
              <w:t>Continuous</w:t>
            </w:r>
            <w:r w:rsidRPr="0011336E">
              <w:t xml:space="preserve"> infusion </w:t>
            </w:r>
            <w:r w:rsidRPr="00356D67">
              <w:rPr>
                <w:rStyle w:val="Strong"/>
              </w:rPr>
              <w:t xml:space="preserve">or injection by catheter </w:t>
            </w:r>
            <w:r w:rsidRPr="0011336E">
              <w:t xml:space="preserve">of a therapeutic substance </w:t>
            </w:r>
            <w:r w:rsidRPr="00356D67">
              <w:rPr>
                <w:rStyle w:val="Strong"/>
              </w:rPr>
              <w:t xml:space="preserve">(not contrast agent) </w:t>
            </w:r>
            <w:r w:rsidRPr="0011336E">
              <w:t>to maintain regional anaesthesia or analgesia, subsequent injection, or revision of, if the period of continuous medical practitioner attendance is more than 15 minutes.</w:t>
            </w:r>
          </w:p>
        </w:tc>
      </w:tr>
    </w:tbl>
    <w:p w14:paraId="0869CF44" w14:textId="79FA263F" w:rsidR="006F2322" w:rsidRPr="00356D67" w:rsidRDefault="006F2322" w:rsidP="00356D67">
      <w:r w:rsidRPr="00356D67">
        <w:lastRenderedPageBreak/>
        <w:t>These changes were made to provide improved clarity on the intended use of the items and are a result of recommendations from the Pain Management Clinical Committee (PMCC) of the MBS Review Taskforce. The PMCC recommended amending the descriptors to ensure that these items are not claimed for diagnostic radiology purposes. The changes follow extensive consultation with stakeholders and have been implemented to improve safety and health outcomes by ensuring improved alignment with contemporary best practice.</w:t>
      </w:r>
    </w:p>
    <w:p w14:paraId="728DDA2F" w14:textId="1941B281" w:rsidR="00B30D1E" w:rsidRDefault="00185910" w:rsidP="00360A09">
      <w:pPr>
        <w:pStyle w:val="Heading2"/>
      </w:pPr>
      <w:r>
        <w:t>Correct billing of MBS items 18222 and 18225</w:t>
      </w:r>
    </w:p>
    <w:p w14:paraId="3B8DAC64" w14:textId="7B6B882F" w:rsidR="00185910" w:rsidRDefault="00185910" w:rsidP="00185910">
      <w:pPr>
        <w:rPr>
          <w:lang w:eastAsia="en-AU"/>
        </w:rPr>
      </w:pPr>
      <w:r>
        <w:rPr>
          <w:lang w:eastAsia="en-AU"/>
        </w:rPr>
        <w:t xml:space="preserve">In accordance with the updated item descriptors, MBS Items 18222 and 18225 can only be claimed for regional or field nerve blocks where the service involves the </w:t>
      </w:r>
      <w:r w:rsidRPr="00356D67">
        <w:rPr>
          <w:rStyle w:val="Strong"/>
        </w:rPr>
        <w:t xml:space="preserve">continuous infusion or injection by catheter </w:t>
      </w:r>
      <w:r>
        <w:rPr>
          <w:lang w:eastAsia="en-AU"/>
        </w:rPr>
        <w:t>of a therapeutic substance to maintain regional anaesthesia or analgesia.</w:t>
      </w:r>
    </w:p>
    <w:p w14:paraId="6754748C" w14:textId="463B56EC" w:rsidR="00185910" w:rsidRDefault="00185910" w:rsidP="001E47B9">
      <w:pPr>
        <w:rPr>
          <w:lang w:eastAsia="en-AU"/>
        </w:rPr>
      </w:pPr>
      <w:r>
        <w:rPr>
          <w:lang w:eastAsia="en-AU"/>
        </w:rPr>
        <w:t xml:space="preserve">These items </w:t>
      </w:r>
      <w:r w:rsidRPr="00356D67">
        <w:rPr>
          <w:rStyle w:val="Strong"/>
        </w:rPr>
        <w:t>should not</w:t>
      </w:r>
      <w:r w:rsidRPr="00356D67">
        <w:t xml:space="preserve"> </w:t>
      </w:r>
      <w:r>
        <w:rPr>
          <w:lang w:eastAsia="en-AU"/>
        </w:rPr>
        <w:t>be claimed for the infusion or injection of a contrast agent.</w:t>
      </w:r>
    </w:p>
    <w:p w14:paraId="6D826589" w14:textId="5626565F" w:rsidR="001E47B9" w:rsidRPr="00356D67" w:rsidRDefault="001E47B9" w:rsidP="00356D67">
      <w:r w:rsidRPr="00356D67">
        <w:t>Time requirements for these items remain unchanged. To correctly bill these items, practitioners should ensure the specified period of continuous medical practitioner attendance, as per the item descriptors, is appropriately met.</w:t>
      </w:r>
    </w:p>
    <w:p w14:paraId="369DE389" w14:textId="77777777" w:rsidR="001E47B9" w:rsidRPr="00356D67" w:rsidRDefault="001E47B9" w:rsidP="001E47B9">
      <w:pPr>
        <w:pStyle w:val="ListBullet"/>
      </w:pPr>
      <w:r w:rsidRPr="001E47B9">
        <w:rPr>
          <w:lang w:eastAsia="en-AU"/>
        </w:rPr>
        <w:t>Item 18222 - the period of continuous medical practitioner attendance is 15 minutes or less.</w:t>
      </w:r>
    </w:p>
    <w:p w14:paraId="622EDE74" w14:textId="77777777" w:rsidR="001E47B9" w:rsidRPr="00356D67" w:rsidRDefault="001E47B9" w:rsidP="001E47B9">
      <w:pPr>
        <w:pStyle w:val="ListBullet"/>
      </w:pPr>
      <w:r w:rsidRPr="001E47B9">
        <w:rPr>
          <w:lang w:eastAsia="en-AU"/>
        </w:rPr>
        <w:t>Item 18225 - the period of continuous medical practitioner attendance is more than 15 minutes.</w:t>
      </w:r>
    </w:p>
    <w:p w14:paraId="17CC66DD" w14:textId="04A81BCE" w:rsidR="001E47B9" w:rsidRDefault="001E47B9" w:rsidP="001E47B9">
      <w:pPr>
        <w:pStyle w:val="Heading2"/>
        <w:rPr>
          <w:lang w:eastAsia="en-AU"/>
        </w:rPr>
      </w:pPr>
      <w:r>
        <w:rPr>
          <w:lang w:eastAsia="en-AU"/>
        </w:rPr>
        <w:t>Ensuring compliant claiming</w:t>
      </w:r>
    </w:p>
    <w:p w14:paraId="41F8A6A4" w14:textId="25DE67D3" w:rsidR="00185910" w:rsidRPr="00356D67" w:rsidRDefault="001E47B9" w:rsidP="00356D67">
      <w:r w:rsidRPr="00356D67">
        <w:t>The Department of Health and Aged Care recognises that most health practitioners maintain high professional standards and adhere to the rules that govern access to the MBS.</w:t>
      </w:r>
    </w:p>
    <w:p w14:paraId="6041D421" w14:textId="645B19F9" w:rsidR="001E47B9" w:rsidRPr="00356D67" w:rsidRDefault="001E47B9" w:rsidP="00356D67">
      <w:pPr>
        <w:pStyle w:val="PolicyStatement"/>
      </w:pPr>
      <w:r w:rsidRPr="00356D67">
        <w:t>One of the easiest and most effective ways for a practitioner to ensure high compliance standards in their own practice is through making sure they know what is being claimed under their provider number and taking steps to remedy any errors.</w:t>
      </w:r>
    </w:p>
    <w:p w14:paraId="160053D4" w14:textId="7D362D6D" w:rsidR="000934E1" w:rsidRPr="00356D67" w:rsidRDefault="000934E1" w:rsidP="00356D67">
      <w:r w:rsidRPr="00356D67">
        <w:t>All practitioners play a vital role in supporting Medicare compliance. You can help ensure appropriate MBS claiming and help to avoid inadvertent non-compliance by:</w:t>
      </w:r>
    </w:p>
    <w:p w14:paraId="2279BB04" w14:textId="7C14CF8F" w:rsidR="003D67FC" w:rsidRPr="00356D67" w:rsidRDefault="003D67FC" w:rsidP="00356D67">
      <w:pPr>
        <w:pStyle w:val="ListBullet"/>
      </w:pPr>
      <w:r w:rsidRPr="00356D67">
        <w:t xml:space="preserve">remembering </w:t>
      </w:r>
      <w:r w:rsidRPr="00356D67">
        <w:rPr>
          <w:rStyle w:val="Strong"/>
        </w:rPr>
        <w:t>you</w:t>
      </w:r>
      <w:r w:rsidRPr="00356D67">
        <w:t xml:space="preserve"> are responsible for what is claimed under </w:t>
      </w:r>
      <w:r w:rsidRPr="00356D67">
        <w:rPr>
          <w:rStyle w:val="Strong"/>
        </w:rPr>
        <w:t>your</w:t>
      </w:r>
      <w:r w:rsidRPr="00356D67">
        <w:t xml:space="preserve"> provider number. Be proactive and conduct regular reviews on claiming under your provider number, particularly if your claiming is managed by someone other than yourself.</w:t>
      </w:r>
    </w:p>
    <w:p w14:paraId="456B9CBB" w14:textId="78D1894A" w:rsidR="003D67FC" w:rsidRPr="00356D67" w:rsidRDefault="003D67FC" w:rsidP="003D67FC">
      <w:pPr>
        <w:pStyle w:val="ListBullet"/>
      </w:pPr>
      <w:r w:rsidRPr="003D67FC">
        <w:t>being aware and educated on the rules and requirements of the MBS and where necessary utilis</w:t>
      </w:r>
      <w:r w:rsidR="00441A11">
        <w:t>ing</w:t>
      </w:r>
      <w:r w:rsidRPr="003D67FC">
        <w:t xml:space="preserve"> the range of services and resources provided by the Department and Services Australia listed on the next page.</w:t>
      </w:r>
    </w:p>
    <w:p w14:paraId="3135468B" w14:textId="34A462E6" w:rsidR="003D67FC" w:rsidRPr="00356D67" w:rsidRDefault="003D67FC" w:rsidP="003D67FC">
      <w:pPr>
        <w:pStyle w:val="ListBullet"/>
      </w:pPr>
      <w:r w:rsidRPr="003D67FC">
        <w:t>using professional judgment to ensure that you bill MBS items only where services are clinically relevant.</w:t>
      </w:r>
    </w:p>
    <w:p w14:paraId="2172DC1C" w14:textId="2D295900" w:rsidR="003D67FC" w:rsidRPr="00356D67" w:rsidRDefault="003D67FC" w:rsidP="003D67FC">
      <w:pPr>
        <w:pStyle w:val="ListBullet"/>
      </w:pPr>
      <w:r w:rsidRPr="003D67FC">
        <w:t>checking that the full item descriptor requirements of the services have been met before billing against the MBS item(s) and ensur</w:t>
      </w:r>
      <w:r w:rsidR="00441A11">
        <w:t>ing</w:t>
      </w:r>
      <w:r w:rsidRPr="003D67FC">
        <w:t xml:space="preserve"> that claims are made for eligible services only.</w:t>
      </w:r>
    </w:p>
    <w:p w14:paraId="11BA16C3" w14:textId="227D6474" w:rsidR="003D67FC" w:rsidRPr="00356D67" w:rsidRDefault="006F2322" w:rsidP="00356D67">
      <w:pPr>
        <w:pStyle w:val="ListBullet"/>
      </w:pPr>
      <w:r w:rsidRPr="006F2322">
        <w:lastRenderedPageBreak/>
        <w:t>creating and retaining contemporaneous clinical and administrative records.</w:t>
      </w:r>
    </w:p>
    <w:p w14:paraId="05FDFEC1" w14:textId="7F0638DB" w:rsidR="001E47B9" w:rsidRPr="00356D67" w:rsidRDefault="006F2322" w:rsidP="00356D67">
      <w:pPr>
        <w:pStyle w:val="ListBullet"/>
      </w:pPr>
      <w:r w:rsidRPr="00356D67">
        <w:t>proactively contacting the Department of Health and Aged Care and Services Australia if errors in claiming are identified.</w:t>
      </w:r>
    </w:p>
    <w:p w14:paraId="0E4175AB" w14:textId="5C2CDB69" w:rsidR="00B61129" w:rsidRDefault="006F2322" w:rsidP="00B61129">
      <w:pPr>
        <w:pStyle w:val="PolicyStatement"/>
      </w:pPr>
      <w:r w:rsidRPr="006F2322">
        <w:rPr>
          <w:rFonts w:cs="Arial"/>
        </w:rPr>
        <w:t xml:space="preserve">Remember, if an error has been made with your MBS claiming, you can complete a Voluntary Acknowledgment of Incorrect Payment form - </w:t>
      </w:r>
      <w:hyperlink r:id="rId12" w:history="1">
        <w:r w:rsidR="00C53CD8" w:rsidRPr="00C46B52">
          <w:rPr>
            <w:rStyle w:val="Hyperlink"/>
            <w:rFonts w:cs="Arial"/>
          </w:rPr>
          <w:t>Voluntary acknowledgement of incorrect payments | Australian Government Department of Health and Aged Care</w:t>
        </w:r>
      </w:hyperlink>
    </w:p>
    <w:p w14:paraId="004BD2BA" w14:textId="046A7F5F" w:rsidR="00EF58B8" w:rsidRDefault="00C32FC5" w:rsidP="00360A09">
      <w:pPr>
        <w:pStyle w:val="Heading2"/>
      </w:pPr>
      <w:r>
        <w:t>Further support, contacts, and resources</w:t>
      </w:r>
    </w:p>
    <w:p w14:paraId="526C2AD4" w14:textId="4A3F2718" w:rsidR="00C32FC5" w:rsidRDefault="00C32FC5" w:rsidP="00E25B1F">
      <w:r w:rsidRPr="00C32FC5">
        <w:t>Additional information and resources on health payment programs, compliance, and enforcement for practitioners include the following:</w:t>
      </w:r>
    </w:p>
    <w:p w14:paraId="73CB8F3E" w14:textId="4D7DA1AC" w:rsidR="00C32FC5" w:rsidRDefault="00C32FC5" w:rsidP="00C32FC5">
      <w:pPr>
        <w:pStyle w:val="ListBullet"/>
      </w:pPr>
      <w:proofErr w:type="spellStart"/>
      <w:r w:rsidRPr="00356D67">
        <w:rPr>
          <w:rStyle w:val="Strong"/>
        </w:rPr>
        <w:t>AskMBS</w:t>
      </w:r>
      <w:proofErr w:type="spellEnd"/>
      <w:r w:rsidRPr="00356D67">
        <w:rPr>
          <w:rStyle w:val="Strong"/>
        </w:rPr>
        <w:t xml:space="preserve"> </w:t>
      </w:r>
      <w:r w:rsidRPr="00C32FC5">
        <w:t xml:space="preserve">– The </w:t>
      </w:r>
      <w:proofErr w:type="spellStart"/>
      <w:r w:rsidRPr="00C32FC5">
        <w:t>AskMBS</w:t>
      </w:r>
      <w:proofErr w:type="spellEnd"/>
      <w:r w:rsidRPr="00C32FC5">
        <w:t xml:space="preserve"> email service responds to enquiries from providers of services listed on the MBS seeking advice on the interpretation of MBS items, explanatory </w:t>
      </w:r>
      <w:proofErr w:type="gramStart"/>
      <w:r w:rsidRPr="00C32FC5">
        <w:t>notes</w:t>
      </w:r>
      <w:proofErr w:type="gramEnd"/>
      <w:r w:rsidRPr="00C32FC5">
        <w:t xml:space="preserve"> and associated legislation. More information about </w:t>
      </w:r>
      <w:proofErr w:type="spellStart"/>
      <w:r w:rsidRPr="00C32FC5">
        <w:t>AskMBS</w:t>
      </w:r>
      <w:proofErr w:type="spellEnd"/>
      <w:r w:rsidRPr="00C32FC5">
        <w:t xml:space="preserve"> can be found on the </w:t>
      </w:r>
      <w:hyperlink r:id="rId13" w:tgtFrame="_blank" w:history="1">
        <w:proofErr w:type="spellStart"/>
        <w:r w:rsidRPr="00C32FC5">
          <w:rPr>
            <w:rStyle w:val="Hyperlink"/>
          </w:rPr>
          <w:t>AskMBS</w:t>
        </w:r>
        <w:proofErr w:type="spellEnd"/>
        <w:r w:rsidRPr="00C32FC5">
          <w:rPr>
            <w:rStyle w:val="Hyperlink"/>
          </w:rPr>
          <w:t xml:space="preserve"> Email Advice Service</w:t>
        </w:r>
      </w:hyperlink>
      <w:r w:rsidRPr="00441A11">
        <w:t xml:space="preserve"> page</w:t>
      </w:r>
      <w:r w:rsidRPr="00C32FC5">
        <w:t>.</w:t>
      </w:r>
    </w:p>
    <w:p w14:paraId="7F682171" w14:textId="11BB0012" w:rsidR="00C32FC5" w:rsidRDefault="00C32FC5" w:rsidP="00C32FC5">
      <w:pPr>
        <w:pStyle w:val="ListBullet"/>
      </w:pPr>
      <w:r w:rsidRPr="00356D67">
        <w:rPr>
          <w:rStyle w:val="Strong"/>
        </w:rPr>
        <w:t xml:space="preserve">Record Keeping </w:t>
      </w:r>
      <w:r w:rsidRPr="00C32FC5">
        <w:t xml:space="preserve">– Guidelines for administrative and clinical record keeping can be found at the Department of Health and Aged Care website on the </w:t>
      </w:r>
      <w:hyperlink r:id="rId14" w:tgtFrame="_blank" w:history="1">
        <w:r w:rsidRPr="00C32FC5">
          <w:rPr>
            <w:rStyle w:val="Hyperlink"/>
          </w:rPr>
          <w:t>Administrative record keeping guidelines for health professionals</w:t>
        </w:r>
      </w:hyperlink>
      <w:r w:rsidRPr="00C32FC5">
        <w:t xml:space="preserve"> page.</w:t>
      </w:r>
    </w:p>
    <w:p w14:paraId="4DFE78E5" w14:textId="205B3544" w:rsidR="00C32FC5" w:rsidRDefault="00F92093" w:rsidP="00C32FC5">
      <w:pPr>
        <w:pStyle w:val="ListBullet"/>
      </w:pPr>
      <w:r w:rsidRPr="00356D67">
        <w:rPr>
          <w:rStyle w:val="Strong"/>
        </w:rPr>
        <w:t xml:space="preserve">Medicare Billing Toolkit </w:t>
      </w:r>
      <w:r w:rsidRPr="00F92093">
        <w:t xml:space="preserve">– Information to assist with the prevention of non-compliance and to assist healthcare professionals to bill correctly can be found at the </w:t>
      </w:r>
      <w:hyperlink r:id="rId15" w:tgtFrame="_blank" w:history="1">
        <w:r w:rsidRPr="00F92093">
          <w:rPr>
            <w:rStyle w:val="Hyperlink"/>
          </w:rPr>
          <w:t>Compliance education for health professionals Medicare Billing Assurance Toolkit</w:t>
        </w:r>
      </w:hyperlink>
      <w:r w:rsidRPr="00F92093">
        <w:t xml:space="preserve"> on the Department of Health and Aged Care website.</w:t>
      </w:r>
    </w:p>
    <w:p w14:paraId="17054332" w14:textId="3200E1D4" w:rsidR="00F92093" w:rsidRDefault="00F92093" w:rsidP="00C32FC5">
      <w:pPr>
        <w:pStyle w:val="ListBullet"/>
      </w:pPr>
      <w:r w:rsidRPr="00356D67">
        <w:rPr>
          <w:rStyle w:val="Strong"/>
        </w:rPr>
        <w:t>Services Australia</w:t>
      </w:r>
      <w:r w:rsidRPr="00F92093">
        <w:t xml:space="preserve"> – Services Australia is responsible for the administration of Medicare. More information can be found on the Services Australia website, including </w:t>
      </w:r>
      <w:proofErr w:type="gramStart"/>
      <w:r w:rsidRPr="00F92093">
        <w:t>a number of</w:t>
      </w:r>
      <w:proofErr w:type="gramEnd"/>
      <w:r w:rsidRPr="00F92093">
        <w:t xml:space="preserve"> educational guides to help practitioners understand their obligations when billing and claiming MBS items.</w:t>
      </w:r>
    </w:p>
    <w:p w14:paraId="66E450B0" w14:textId="1EE016BB" w:rsidR="00F92093" w:rsidRDefault="00F92093" w:rsidP="00360A09">
      <w:pPr>
        <w:pStyle w:val="Heading3"/>
      </w:pPr>
      <w:r>
        <w:t>E-Learning</w:t>
      </w:r>
    </w:p>
    <w:p w14:paraId="15D4D981" w14:textId="6CEA869D" w:rsidR="00F92093" w:rsidRDefault="00F92093" w:rsidP="00F92093">
      <w:pPr>
        <w:pStyle w:val="ListBullet"/>
      </w:pPr>
      <w:r w:rsidRPr="00356D67">
        <w:rPr>
          <w:rStyle w:val="Strong"/>
        </w:rPr>
        <w:t>Introduction to compliance within Medicare</w:t>
      </w:r>
      <w:r w:rsidRPr="00F92093">
        <w:t xml:space="preserve"> – This is a three-module introductory course targeted at practitioners and designed to help them understand compliance. The course can be accessed on the Department of Health and Aged Care’s website at: </w:t>
      </w:r>
      <w:hyperlink r:id="rId16" w:history="1">
        <w:r w:rsidRPr="00DF4EF8">
          <w:rPr>
            <w:rStyle w:val="Hyperlink"/>
          </w:rPr>
          <w:t>Introduction to Compliance within Medicare</w:t>
        </w:r>
      </w:hyperlink>
      <w:r w:rsidRPr="00356D67">
        <w:t>.</w:t>
      </w:r>
    </w:p>
    <w:p w14:paraId="27FDF1D1" w14:textId="7BB3F7B3" w:rsidR="00F92093" w:rsidRDefault="00F92093" w:rsidP="00F92093">
      <w:pPr>
        <w:pStyle w:val="ListBullet"/>
      </w:pPr>
      <w:r w:rsidRPr="00356D67">
        <w:rPr>
          <w:rStyle w:val="Strong"/>
        </w:rPr>
        <w:t xml:space="preserve">Billing Medicare in public hospitals </w:t>
      </w:r>
      <w:r w:rsidRPr="00F92093">
        <w:t xml:space="preserve">– Online learning for practitioners billing Medicare in public hospitals can be found at the Department of Health and Aged Care website on </w:t>
      </w:r>
      <w:hyperlink r:id="rId17" w:tgtFrame="_blank" w:history="1">
        <w:r w:rsidRPr="00F92093">
          <w:rPr>
            <w:rStyle w:val="Hyperlink"/>
          </w:rPr>
          <w:t>Billing Medicare in Public Hospitals</w:t>
        </w:r>
      </w:hyperlink>
      <w:r w:rsidRPr="00F92093">
        <w:t>.</w:t>
      </w:r>
    </w:p>
    <w:p w14:paraId="1A19945F" w14:textId="7D062CC6" w:rsidR="00F92093" w:rsidRDefault="00F92093" w:rsidP="00360A09">
      <w:pPr>
        <w:pStyle w:val="Heading3"/>
      </w:pPr>
      <w:r>
        <w:t>Medicare program information</w:t>
      </w:r>
    </w:p>
    <w:p w14:paraId="70F0A522" w14:textId="716F7011" w:rsidR="00F92093" w:rsidRDefault="00F92093" w:rsidP="00F92093">
      <w:pPr>
        <w:pStyle w:val="ListBullet"/>
      </w:pPr>
      <w:r w:rsidRPr="00356D67">
        <w:rPr>
          <w:rStyle w:val="Strong"/>
        </w:rPr>
        <w:t xml:space="preserve">Medicare Benefits Schedule (MBS) </w:t>
      </w:r>
      <w:r w:rsidRPr="00F92093">
        <w:t xml:space="preserve">– Information on the MBS, eligible services and the rules under which services are subsidised can be found on </w:t>
      </w:r>
      <w:hyperlink r:id="rId18" w:tgtFrame="_blank" w:history="1">
        <w:r w:rsidRPr="00F92093">
          <w:rPr>
            <w:rStyle w:val="Hyperlink"/>
          </w:rPr>
          <w:t>MBS Online</w:t>
        </w:r>
      </w:hyperlink>
      <w:r w:rsidRPr="00F92093">
        <w:t>.</w:t>
      </w:r>
    </w:p>
    <w:p w14:paraId="5B2B3AE1" w14:textId="4C9C3D39" w:rsidR="00F92093" w:rsidRDefault="00F92093" w:rsidP="00F92093">
      <w:pPr>
        <w:pStyle w:val="ListBullet"/>
      </w:pPr>
      <w:r w:rsidRPr="00356D67">
        <w:rPr>
          <w:rStyle w:val="Strong"/>
        </w:rPr>
        <w:t xml:space="preserve">Pharmaceutical Benefits Schedule (PBS) </w:t>
      </w:r>
      <w:r w:rsidRPr="00F92093">
        <w:t xml:space="preserve">– Information on the PBS and subsidised medicines can be found on the </w:t>
      </w:r>
      <w:hyperlink r:id="rId19" w:history="1">
        <w:r w:rsidRPr="00441A11">
          <w:rPr>
            <w:rStyle w:val="Hyperlink"/>
          </w:rPr>
          <w:t>Pharmaceutical Benefits Scheme (PBS)</w:t>
        </w:r>
      </w:hyperlink>
      <w:r w:rsidRPr="00441A11">
        <w:t xml:space="preserve"> website</w:t>
      </w:r>
      <w:r w:rsidRPr="00F92093">
        <w:t>.</w:t>
      </w:r>
    </w:p>
    <w:p w14:paraId="34F17E75" w14:textId="7A1905B7" w:rsidR="00F92093" w:rsidRDefault="00F92093" w:rsidP="00F92093">
      <w:pPr>
        <w:pStyle w:val="ListBullet"/>
      </w:pPr>
      <w:r w:rsidRPr="00356D67">
        <w:rPr>
          <w:rStyle w:val="Strong"/>
        </w:rPr>
        <w:lastRenderedPageBreak/>
        <w:t xml:space="preserve">Child Dental Benefits Schedule (CDBS) </w:t>
      </w:r>
      <w:r w:rsidRPr="00F92093">
        <w:t xml:space="preserve">– Information about the CDBS is available at: the </w:t>
      </w:r>
      <w:hyperlink r:id="rId20" w:tgtFrame="_blank" w:history="1">
        <w:r w:rsidRPr="00F92093">
          <w:rPr>
            <w:rStyle w:val="Hyperlink"/>
          </w:rPr>
          <w:t>Child Dental Benefits Schedule</w:t>
        </w:r>
      </w:hyperlink>
      <w:r w:rsidRPr="00F92093">
        <w:t xml:space="preserve"> page on the Department of Health and Aged Care website.</w:t>
      </w:r>
    </w:p>
    <w:p w14:paraId="5A7908AE" w14:textId="33F87B14" w:rsidR="00F92093" w:rsidRDefault="00F92093" w:rsidP="00F92093">
      <w:pPr>
        <w:pStyle w:val="ListBullet"/>
      </w:pPr>
      <w:r w:rsidRPr="00356D67">
        <w:rPr>
          <w:rStyle w:val="Strong"/>
        </w:rPr>
        <w:t xml:space="preserve">Practice Inventive Programs (PIP) </w:t>
      </w:r>
      <w:r w:rsidRPr="00F92093">
        <w:t xml:space="preserve">– Information about PIP can be found on the Services Australia website at the </w:t>
      </w:r>
      <w:hyperlink r:id="rId21" w:tgtFrame="_blank" w:history="1">
        <w:r w:rsidRPr="00F92093">
          <w:rPr>
            <w:rStyle w:val="Hyperlink"/>
          </w:rPr>
          <w:t>Practice Incentives Program</w:t>
        </w:r>
      </w:hyperlink>
      <w:r w:rsidRPr="00441A11">
        <w:t xml:space="preserve"> page</w:t>
      </w:r>
      <w:r w:rsidRPr="00F92093">
        <w:t>.</w:t>
      </w:r>
    </w:p>
    <w:p w14:paraId="21684B3B" w14:textId="00A1179F" w:rsidR="00F92093" w:rsidRDefault="00F92093" w:rsidP="00F92093">
      <w:pPr>
        <w:pStyle w:val="ListBullet"/>
      </w:pPr>
      <w:r w:rsidRPr="00356D67">
        <w:rPr>
          <w:rStyle w:val="Strong"/>
        </w:rPr>
        <w:t xml:space="preserve">Pathology and Diagnostic Imaging </w:t>
      </w:r>
      <w:r w:rsidRPr="00F92093">
        <w:t xml:space="preserve">– Guidance on prohibited practices in relation to pathology and diagnostic imaging can be found in </w:t>
      </w:r>
      <w:hyperlink r:id="rId22" w:tgtFrame="_blank" w:history="1">
        <w:r w:rsidRPr="00F92093">
          <w:rPr>
            <w:rStyle w:val="Hyperlink"/>
          </w:rPr>
          <w:t>The Red Book</w:t>
        </w:r>
      </w:hyperlink>
      <w:r w:rsidRPr="00F92093">
        <w:t xml:space="preserve"> on the Department of Health and Aged Care website.</w:t>
      </w:r>
    </w:p>
    <w:p w14:paraId="3F13EA08" w14:textId="1A07DB12" w:rsidR="00F92093" w:rsidRDefault="00F92093" w:rsidP="00360A09">
      <w:pPr>
        <w:pStyle w:val="Heading3"/>
      </w:pPr>
      <w:r>
        <w:t>Compliance contacts</w:t>
      </w:r>
    </w:p>
    <w:p w14:paraId="3A6BFF35" w14:textId="5F52CF3D" w:rsidR="00F92093" w:rsidRDefault="00F92093" w:rsidP="00F92093">
      <w:r w:rsidRPr="00F92093">
        <w:t>Key contact details can be found on the Department of Health and Aged Care website at Medicare Compliance. These contacts include:</w:t>
      </w:r>
    </w:p>
    <w:p w14:paraId="1D3D7AD1" w14:textId="32CDA2FD" w:rsidR="00F92093" w:rsidRPr="00356D67" w:rsidRDefault="00654675" w:rsidP="00F92093">
      <w:pPr>
        <w:pStyle w:val="ListBullet"/>
      </w:pPr>
      <w:hyperlink r:id="rId23" w:history="1">
        <w:r w:rsidR="00F92093" w:rsidRPr="00186BDA">
          <w:rPr>
            <w:rStyle w:val="Hyperlink"/>
          </w:rPr>
          <w:t>Voluntary Acknowledgement of Incorrect Payments</w:t>
        </w:r>
      </w:hyperlink>
    </w:p>
    <w:p w14:paraId="5A9D6616" w14:textId="3B5BB67B" w:rsidR="00F92093" w:rsidRPr="00441A11" w:rsidRDefault="00441A11" w:rsidP="00F92093">
      <w:pPr>
        <w:pStyle w:val="ListBullet"/>
        <w:rPr>
          <w:rStyle w:val="Hyperlink"/>
        </w:rPr>
      </w:pPr>
      <w:r>
        <w:fldChar w:fldCharType="begin"/>
      </w:r>
      <w:r>
        <w:instrText xml:space="preserve"> HYPERLINK "https://www.health.gov.au/topics/medicare/compliance/reporting-incorrect-billing-claiming-or-suspected-fraud" \t "_blank" </w:instrText>
      </w:r>
      <w:r>
        <w:fldChar w:fldCharType="separate"/>
      </w:r>
      <w:r w:rsidR="00F92093" w:rsidRPr="00441A11">
        <w:rPr>
          <w:rStyle w:val="Hyperlink"/>
        </w:rPr>
        <w:t>Tip-offs</w:t>
      </w:r>
    </w:p>
    <w:p w14:paraId="636242BD" w14:textId="6F324CD2" w:rsidR="00F92093" w:rsidRDefault="00441A11" w:rsidP="00F92093">
      <w:pPr>
        <w:pStyle w:val="ListBullet"/>
      </w:pPr>
      <w:r>
        <w:fldChar w:fldCharType="end"/>
      </w:r>
      <w:hyperlink r:id="rId24" w:history="1">
        <w:r w:rsidR="00F92093" w:rsidRPr="00186BDA">
          <w:rPr>
            <w:rStyle w:val="Hyperlink"/>
          </w:rPr>
          <w:t>Review of Decision of a Compliance Audit</w:t>
        </w:r>
      </w:hyperlink>
    </w:p>
    <w:p w14:paraId="27B7D307" w14:textId="1BE8472B" w:rsidR="009040E9" w:rsidRPr="009040E9" w:rsidRDefault="00654675" w:rsidP="009040E9">
      <w:pPr>
        <w:pStyle w:val="ListBullet"/>
      </w:pPr>
      <w:hyperlink r:id="rId25" w:history="1">
        <w:r w:rsidR="00F92093" w:rsidRPr="00186BDA">
          <w:rPr>
            <w:rStyle w:val="Hyperlink"/>
          </w:rPr>
          <w:t>Pathology Rents</w:t>
        </w:r>
      </w:hyperlink>
      <w:r w:rsidR="00F92093" w:rsidRPr="00356D67">
        <w:rPr>
          <w:rFonts w:eastAsiaTheme="majorEastAsia"/>
        </w:rPr>
        <w:t>.</w:t>
      </w:r>
    </w:p>
    <w:sectPr w:rsidR="009040E9" w:rsidRPr="009040E9" w:rsidSect="00B53987">
      <w:headerReference w:type="default" r:id="rId26"/>
      <w:footerReference w:type="default" r:id="rId27"/>
      <w:headerReference w:type="first" r:id="rId28"/>
      <w:footerReference w:type="first" r:id="rId2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C23B" w14:textId="77777777" w:rsidR="00B30D1E" w:rsidRDefault="00B30D1E" w:rsidP="006B56BB">
      <w:r>
        <w:separator/>
      </w:r>
    </w:p>
    <w:p w14:paraId="2D0657EE" w14:textId="77777777" w:rsidR="00B30D1E" w:rsidRDefault="00B30D1E"/>
  </w:endnote>
  <w:endnote w:type="continuationSeparator" w:id="0">
    <w:p w14:paraId="20CA9B8B" w14:textId="77777777" w:rsidR="00B30D1E" w:rsidRDefault="00B30D1E" w:rsidP="006B56BB">
      <w:r>
        <w:continuationSeparator/>
      </w:r>
    </w:p>
    <w:p w14:paraId="17BDE6B6" w14:textId="77777777" w:rsidR="00B30D1E" w:rsidRDefault="00B30D1E"/>
  </w:endnote>
  <w:endnote w:type="continuationNotice" w:id="1">
    <w:p w14:paraId="5822086A" w14:textId="77777777" w:rsidR="00B30D1E" w:rsidRDefault="00B30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4733" w14:textId="4463698D" w:rsidR="00B53987" w:rsidRDefault="00AA262B" w:rsidP="00B53987">
    <w:pPr>
      <w:pStyle w:val="Footer"/>
    </w:pPr>
    <w:r>
      <w:t xml:space="preserve">Department of Health and Aged Care </w:t>
    </w:r>
    <w:r w:rsidR="00B53987">
      <w:t xml:space="preserve">– </w:t>
    </w:r>
    <w:r w:rsidR="00F92093">
      <w:t>Corr</w:t>
    </w:r>
    <w:r w:rsidR="00B53987" w:rsidRPr="00DE3355">
      <w:t>e</w:t>
    </w:r>
    <w:r w:rsidR="00F92093">
      <w:t xml:space="preserve">ct claiming of regional and field block nerve </w:t>
    </w:r>
    <w:r w:rsidR="00BB71C6">
      <w:t>items</w:t>
    </w:r>
    <w:r w:rsidR="00F92093">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822D" w14:textId="28A365ED" w:rsidR="00B53987" w:rsidRDefault="00AA262B" w:rsidP="00B53987">
    <w:pPr>
      <w:pStyle w:val="Footer"/>
    </w:pPr>
    <w:r>
      <w:t xml:space="preserve">Department of Health and Aged Care </w:t>
    </w:r>
    <w:r w:rsidR="00B53987">
      <w:t xml:space="preserve">– </w:t>
    </w:r>
    <w:r w:rsidR="001E47B9">
      <w:t>Correct claiming of regional and field block nerve items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BDC5" w14:textId="77777777" w:rsidR="00B30D1E" w:rsidRDefault="00B30D1E" w:rsidP="006B56BB">
      <w:r>
        <w:separator/>
      </w:r>
    </w:p>
    <w:p w14:paraId="1E21190B" w14:textId="77777777" w:rsidR="00B30D1E" w:rsidRDefault="00B30D1E"/>
  </w:footnote>
  <w:footnote w:type="continuationSeparator" w:id="0">
    <w:p w14:paraId="4FA0C242" w14:textId="77777777" w:rsidR="00B30D1E" w:rsidRDefault="00B30D1E" w:rsidP="006B56BB">
      <w:r>
        <w:continuationSeparator/>
      </w:r>
    </w:p>
    <w:p w14:paraId="654932B8" w14:textId="77777777" w:rsidR="00B30D1E" w:rsidRDefault="00B30D1E"/>
  </w:footnote>
  <w:footnote w:type="continuationNotice" w:id="1">
    <w:p w14:paraId="59C18C68" w14:textId="77777777" w:rsidR="00B30D1E" w:rsidRDefault="00B30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A5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D379" w14:textId="77777777" w:rsidR="00B53987" w:rsidRDefault="00B53987">
    <w:pPr>
      <w:pStyle w:val="Header"/>
    </w:pPr>
    <w:r>
      <w:rPr>
        <w:noProof/>
        <w:lang w:eastAsia="en-AU"/>
      </w:rPr>
      <w:drawing>
        <wp:inline distT="0" distB="0" distL="0" distR="0" wp14:anchorId="3615B0B3" wp14:editId="7928990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514608"/>
    <w:multiLevelType w:val="multilevel"/>
    <w:tmpl w:val="E06A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D468E"/>
    <w:multiLevelType w:val="multilevel"/>
    <w:tmpl w:val="F98E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1E"/>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4E1"/>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336E"/>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85910"/>
    <w:rsid w:val="00186BDA"/>
    <w:rsid w:val="00190079"/>
    <w:rsid w:val="0019622E"/>
    <w:rsid w:val="001966A7"/>
    <w:rsid w:val="001A4627"/>
    <w:rsid w:val="001A4979"/>
    <w:rsid w:val="001B15D3"/>
    <w:rsid w:val="001B3443"/>
    <w:rsid w:val="001C0326"/>
    <w:rsid w:val="001C192F"/>
    <w:rsid w:val="001C3C42"/>
    <w:rsid w:val="001D7869"/>
    <w:rsid w:val="001E47B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3685"/>
    <w:rsid w:val="0032466B"/>
    <w:rsid w:val="003330EB"/>
    <w:rsid w:val="003415FD"/>
    <w:rsid w:val="003429F0"/>
    <w:rsid w:val="00345A82"/>
    <w:rsid w:val="0035097A"/>
    <w:rsid w:val="003540A4"/>
    <w:rsid w:val="00356D67"/>
    <w:rsid w:val="00357BCC"/>
    <w:rsid w:val="00360A09"/>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D67FC"/>
    <w:rsid w:val="003E5265"/>
    <w:rsid w:val="003F0955"/>
    <w:rsid w:val="003F5F4D"/>
    <w:rsid w:val="003F646F"/>
    <w:rsid w:val="00400F00"/>
    <w:rsid w:val="00404F8B"/>
    <w:rsid w:val="00405256"/>
    <w:rsid w:val="00410031"/>
    <w:rsid w:val="00415C81"/>
    <w:rsid w:val="00432378"/>
    <w:rsid w:val="00440D65"/>
    <w:rsid w:val="00441A11"/>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4A7"/>
    <w:rsid w:val="004C6BCF"/>
    <w:rsid w:val="004D58BF"/>
    <w:rsid w:val="004E4335"/>
    <w:rsid w:val="004F13EE"/>
    <w:rsid w:val="004F2022"/>
    <w:rsid w:val="004F7C05"/>
    <w:rsid w:val="00501C94"/>
    <w:rsid w:val="00506432"/>
    <w:rsid w:val="00506E82"/>
    <w:rsid w:val="0052051D"/>
    <w:rsid w:val="005239FA"/>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4675"/>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2322"/>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B3C72"/>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5626A"/>
    <w:rsid w:val="00A627D7"/>
    <w:rsid w:val="00A63CA6"/>
    <w:rsid w:val="00A656C7"/>
    <w:rsid w:val="00A705AF"/>
    <w:rsid w:val="00A71441"/>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0D1E"/>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B71C6"/>
    <w:rsid w:val="00BC4A19"/>
    <w:rsid w:val="00BC4E6D"/>
    <w:rsid w:val="00BD0617"/>
    <w:rsid w:val="00BD2E9B"/>
    <w:rsid w:val="00BD7FB2"/>
    <w:rsid w:val="00C00930"/>
    <w:rsid w:val="00C060AD"/>
    <w:rsid w:val="00C113BF"/>
    <w:rsid w:val="00C2176E"/>
    <w:rsid w:val="00C23430"/>
    <w:rsid w:val="00C27D67"/>
    <w:rsid w:val="00C32FC5"/>
    <w:rsid w:val="00C4631F"/>
    <w:rsid w:val="00C46B52"/>
    <w:rsid w:val="00C47CDE"/>
    <w:rsid w:val="00C50E16"/>
    <w:rsid w:val="00C53CD8"/>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4EF8"/>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2093"/>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953403"/>
  <w15:docId w15:val="{107305A6-F06D-472B-91B6-93D8D5E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56D6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356D67"/>
    <w:pPr>
      <w:keepNext/>
      <w:spacing w:before="120" w:after="120"/>
      <w:outlineLvl w:val="0"/>
    </w:pPr>
    <w:rPr>
      <w:rFonts w:ascii="Arial" w:hAnsi="Arial" w:cs="Arial"/>
      <w:b/>
      <w:bCs/>
      <w:color w:val="3F4A75"/>
      <w:kern w:val="28"/>
      <w:sz w:val="40"/>
      <w:szCs w:val="36"/>
      <w:lang w:eastAsia="en-US"/>
    </w:rPr>
  </w:style>
  <w:style w:type="paragraph" w:styleId="Heading2">
    <w:name w:val="heading 2"/>
    <w:basedOn w:val="Heading1"/>
    <w:next w:val="Normal"/>
    <w:qFormat/>
    <w:rsid w:val="00356D67"/>
    <w:pPr>
      <w:outlineLvl w:val="1"/>
    </w:pPr>
    <w:rPr>
      <w:bCs w:val="0"/>
      <w:iCs/>
      <w:color w:val="358189"/>
      <w:sz w:val="36"/>
      <w:szCs w:val="28"/>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356D67"/>
    <w:pPr>
      <w:spacing w:before="120" w:after="120"/>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356D67"/>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C32FC5"/>
    <w:rPr>
      <w:color w:val="605E5C"/>
      <w:shd w:val="clear" w:color="auto" w:fill="E1DFDD"/>
    </w:rPr>
  </w:style>
  <w:style w:type="character" w:styleId="FollowedHyperlink">
    <w:name w:val="FollowedHyperlink"/>
    <w:basedOn w:val="DefaultParagraphFont"/>
    <w:semiHidden/>
    <w:unhideWhenUsed/>
    <w:rsid w:val="00186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25179223">
      <w:bodyDiv w:val="1"/>
      <w:marLeft w:val="0"/>
      <w:marRight w:val="0"/>
      <w:marTop w:val="0"/>
      <w:marBottom w:val="0"/>
      <w:divBdr>
        <w:top w:val="none" w:sz="0" w:space="0" w:color="auto"/>
        <w:left w:val="none" w:sz="0" w:space="0" w:color="auto"/>
        <w:bottom w:val="none" w:sz="0" w:space="0" w:color="auto"/>
        <w:right w:val="none" w:sz="0" w:space="0" w:color="auto"/>
      </w:divBdr>
    </w:div>
    <w:div w:id="21362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resources/collections/askmbs-advisories" TargetMode="External"/><Relationship Id="rId18" Type="http://schemas.openxmlformats.org/officeDocument/2006/relationships/hyperlink" Target="http://www.mbsonline.gov.au/internet/mbsonline/publishing.nsf/Content/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rvicesaustralia.gov.au/organisations/health-professionals/services/medicare/practice-incentives-program" TargetMode="External"/><Relationship Id="rId7" Type="http://schemas.openxmlformats.org/officeDocument/2006/relationships/styles" Target="styles.xml"/><Relationship Id="rId12" Type="http://schemas.openxmlformats.org/officeDocument/2006/relationships/hyperlink" Target="https://www.health.gov.au/topics/medicare/compliance/voluntary-acknowledgement-of-incorrect-payments" TargetMode="External"/><Relationship Id="rId17" Type="http://schemas.openxmlformats.org/officeDocument/2006/relationships/hyperlink" Target="http://medicareaust.com/PublicHospitals/index.html" TargetMode="External"/><Relationship Id="rId25" Type="http://schemas.openxmlformats.org/officeDocument/2006/relationships/hyperlink" Target="https://www.health.gov.au/topics/pathology/compliance" TargetMode="External"/><Relationship Id="rId2" Type="http://schemas.openxmlformats.org/officeDocument/2006/relationships/customXml" Target="../customXml/item2.xml"/><Relationship Id="rId16" Type="http://schemas.openxmlformats.org/officeDocument/2006/relationships/hyperlink" Target="http://www.medicareaust.com/compliance/Welcome/index.html" TargetMode="External"/><Relationship Id="rId20" Type="http://schemas.openxmlformats.org/officeDocument/2006/relationships/hyperlink" Target="https://www.health.gov.au/our-work/child-dental-benefits-schedul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au/contacts/review-of-decision" TargetMode="External"/><Relationship Id="rId5" Type="http://schemas.openxmlformats.org/officeDocument/2006/relationships/customXml" Target="../customXml/item5.xml"/><Relationship Id="rId15" Type="http://schemas.openxmlformats.org/officeDocument/2006/relationships/hyperlink" Target="https://www.health.gov.au/resources/collections/medicare-billing-assurance-toolkit" TargetMode="External"/><Relationship Id="rId23" Type="http://schemas.openxmlformats.org/officeDocument/2006/relationships/hyperlink" Target="https://www.health.gov.au/health-topics/medicare-compliance/debts-and-penalties/voluntary-acknowledgements"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pbs.gov.au/pbs/hom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resources/publications/administrative-record-keeping-guidelines-for-health-professionals" TargetMode="External"/><Relationship Id="rId22" Type="http://schemas.openxmlformats.org/officeDocument/2006/relationships/hyperlink" Target="https://www.health.gov.au/resources/publications/the-red-boo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Contact_x0020_email xmlns="7b0f5f5d-7db3-4d3b-b63b-ce18a6ecc538" xsi:nil="true"/>
    <Content_x0020_owner xmlns="7b0f5f5d-7db3-4d3b-b63b-ce18a6ecc53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B1338F2-F968-4C2C-B8DF-ED30A28A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8366</Characters>
  <Application>Microsoft Office Word</Application>
  <DocSecurity>4</DocSecurity>
  <Lines>185</Lines>
  <Paragraphs>77</Paragraphs>
  <ScaleCrop>false</ScaleCrop>
  <HeadingPairs>
    <vt:vector size="2" baseType="variant">
      <vt:variant>
        <vt:lpstr>Title</vt:lpstr>
      </vt:variant>
      <vt:variant>
        <vt:i4>1</vt:i4>
      </vt:variant>
    </vt:vector>
  </HeadingPairs>
  <TitlesOfParts>
    <vt:vector size="1" baseType="lpstr">
      <vt:lpstr>Correct claiming of field and nerve block items (18222 and 18225)</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claiming of field and nerve block items (18222 and 18225)</dc:title>
  <dc:subject>Medicare compliance</dc:subject>
  <dc:creator>Australian Government Department of Health and Aged Care</dc:creator>
  <cp:keywords>medicare compliance; billing; field and nerve block items</cp:keywords>
  <cp:lastModifiedBy>Department of Health and Aged Care</cp:lastModifiedBy>
  <cp:revision>2</cp:revision>
  <dcterms:created xsi:type="dcterms:W3CDTF">2023-01-30T03:02:00Z</dcterms:created>
  <dcterms:modified xsi:type="dcterms:W3CDTF">2023-01-30T03:02:00Z</dcterms:modified>
  <cp:category/>
</cp:coreProperties>
</file>