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4D8CC" w14:textId="25CF5AB3" w:rsidR="00BA2732" w:rsidRDefault="00C54B56" w:rsidP="003D033A">
      <w:pPr>
        <w:pStyle w:val="Title"/>
      </w:pPr>
      <w:r>
        <w:t xml:space="preserve">Commencement of New </w:t>
      </w:r>
      <w:r w:rsidR="00BB05D4">
        <w:t xml:space="preserve">Prescribed Pattern of Services </w:t>
      </w:r>
      <w:r w:rsidR="00855304" w:rsidRPr="00855304">
        <w:t>–</w:t>
      </w:r>
      <w:r w:rsidR="0016589F">
        <w:t xml:space="preserve"> </w:t>
      </w:r>
      <w:r w:rsidR="00BB05D4">
        <w:t xml:space="preserve">30/20 </w:t>
      </w:r>
      <w:r w:rsidR="0016589F">
        <w:t>tele</w:t>
      </w:r>
      <w:r w:rsidR="0095263C">
        <w:t xml:space="preserve">phone </w:t>
      </w:r>
      <w:r w:rsidR="00BB05D4">
        <w:t>rule</w:t>
      </w:r>
    </w:p>
    <w:p w14:paraId="529DF674" w14:textId="1C87A906" w:rsidR="00B53987" w:rsidRPr="00B53987" w:rsidRDefault="00746EAC" w:rsidP="00B53987">
      <w:r>
        <w:t>30 September 2022</w:t>
      </w:r>
    </w:p>
    <w:p w14:paraId="66E37DE8" w14:textId="623B6355" w:rsidR="006024CB" w:rsidRPr="004F2C7D" w:rsidRDefault="006024CB" w:rsidP="004F2C7D">
      <w:pPr>
        <w:pStyle w:val="Intropara0"/>
      </w:pPr>
      <w:bookmarkStart w:id="0" w:name="_Hlk114136353"/>
      <w:r>
        <w:t>From 1 October 2022, GP,</w:t>
      </w:r>
      <w:r w:rsidRPr="00BB05D4">
        <w:t xml:space="preserve"> </w:t>
      </w:r>
      <w:hyperlink r:id="rId11" w:history="1">
        <w:r>
          <w:rPr>
            <w:rStyle w:val="Hyperlink"/>
          </w:rPr>
          <w:t>O</w:t>
        </w:r>
        <w:r w:rsidRPr="00A87DBC">
          <w:rPr>
            <w:rStyle w:val="Hyperlink"/>
          </w:rPr>
          <w:t xml:space="preserve">ther </w:t>
        </w:r>
        <w:r>
          <w:rPr>
            <w:rStyle w:val="Hyperlink"/>
          </w:rPr>
          <w:t>M</w:t>
        </w:r>
        <w:r w:rsidRPr="00A87DBC">
          <w:rPr>
            <w:rStyle w:val="Hyperlink"/>
          </w:rPr>
          <w:t xml:space="preserve">edical </w:t>
        </w:r>
        <w:r>
          <w:rPr>
            <w:rStyle w:val="Hyperlink"/>
          </w:rPr>
          <w:t>P</w:t>
        </w:r>
        <w:r w:rsidRPr="00A87DBC">
          <w:rPr>
            <w:rStyle w:val="Hyperlink"/>
          </w:rPr>
          <w:t>ractitioners</w:t>
        </w:r>
      </w:hyperlink>
      <w:r>
        <w:t xml:space="preserve"> (OMP) and </w:t>
      </w:r>
      <w:r w:rsidRPr="00BB05D4">
        <w:t>consultant physicians</w:t>
      </w:r>
      <w:r>
        <w:t xml:space="preserve"> that </w:t>
      </w:r>
      <w:r w:rsidR="00B82A29">
        <w:t>claim</w:t>
      </w:r>
      <w:r w:rsidRPr="00BB05D4">
        <w:t xml:space="preserve"> </w:t>
      </w:r>
      <w:r>
        <w:t xml:space="preserve">relevant Medicare </w:t>
      </w:r>
      <w:r w:rsidRPr="00BB05D4">
        <w:t xml:space="preserve">telephone </w:t>
      </w:r>
      <w:r>
        <w:t xml:space="preserve">items </w:t>
      </w:r>
      <w:r w:rsidRPr="00BB05D4">
        <w:t xml:space="preserve">will be subject to </w:t>
      </w:r>
      <w:r>
        <w:t>the</w:t>
      </w:r>
      <w:r w:rsidRPr="00BB05D4">
        <w:t xml:space="preserve"> new </w:t>
      </w:r>
      <w:r>
        <w:t>prescribed pattern of service 30/20</w:t>
      </w:r>
      <w:r w:rsidR="004A3B04">
        <w:t xml:space="preserve"> telephone</w:t>
      </w:r>
      <w:r>
        <w:t xml:space="preserve"> rule</w:t>
      </w:r>
      <w:r w:rsidR="00CC5319">
        <w:t>.</w:t>
      </w:r>
    </w:p>
    <w:p w14:paraId="065071FD" w14:textId="5B3C51C7" w:rsidR="00E54ED5" w:rsidRPr="00001185" w:rsidRDefault="00E54ED5" w:rsidP="00855304">
      <w:pPr>
        <w:pStyle w:val="Heading1"/>
      </w:pPr>
      <w:r w:rsidRPr="00001185">
        <w:t>What you need to know</w:t>
      </w:r>
    </w:p>
    <w:p w14:paraId="6206110A" w14:textId="085D2B74" w:rsidR="00247325" w:rsidRDefault="00E54ED5" w:rsidP="00855304">
      <w:pPr>
        <w:pStyle w:val="ListBullet"/>
      </w:pPr>
      <w:r>
        <w:t xml:space="preserve">From </w:t>
      </w:r>
      <w:r w:rsidRPr="00117E99">
        <w:rPr>
          <w:rStyle w:val="Strong"/>
        </w:rPr>
        <w:t xml:space="preserve">1 October 2022 </w:t>
      </w:r>
      <w:r w:rsidR="0016589F">
        <w:t>the</w:t>
      </w:r>
      <w:r>
        <w:t xml:space="preserve"> new prescribed pattern of services </w:t>
      </w:r>
      <w:r w:rsidR="00FD4DAC">
        <w:t xml:space="preserve">called the </w:t>
      </w:r>
      <w:r>
        <w:t xml:space="preserve">30/20 </w:t>
      </w:r>
      <w:r w:rsidR="0016589F">
        <w:t>tele</w:t>
      </w:r>
      <w:r>
        <w:t>phone rul</w:t>
      </w:r>
      <w:r w:rsidR="00FD4DAC">
        <w:t>e</w:t>
      </w:r>
      <w:r>
        <w:t xml:space="preserve"> will come into effect.</w:t>
      </w:r>
      <w:r w:rsidR="00247325">
        <w:t xml:space="preserve"> </w:t>
      </w:r>
    </w:p>
    <w:p w14:paraId="22FEA632" w14:textId="64C059D1" w:rsidR="00A76313" w:rsidRDefault="00AC5978" w:rsidP="00855304">
      <w:pPr>
        <w:pStyle w:val="ListBullet"/>
      </w:pPr>
      <w:r>
        <w:t xml:space="preserve">Certain </w:t>
      </w:r>
      <w:r w:rsidR="00247325">
        <w:t xml:space="preserve">MBS telephone items for GP, </w:t>
      </w:r>
      <w:hyperlink r:id="rId12" w:history="1">
        <w:r w:rsidR="00247325" w:rsidRPr="006904A2">
          <w:rPr>
            <w:rStyle w:val="Hyperlink"/>
          </w:rPr>
          <w:t>OMP</w:t>
        </w:r>
      </w:hyperlink>
      <w:r w:rsidR="00247325">
        <w:t xml:space="preserve"> and consultant physicians will be included in the 30/20 telephone rule.</w:t>
      </w:r>
      <w:r w:rsidR="00B35880">
        <w:t xml:space="preserve">  A detailed list of these items is provided below.</w:t>
      </w:r>
    </w:p>
    <w:p w14:paraId="265E9A0C" w14:textId="2D80332E" w:rsidR="006024CB" w:rsidRPr="00117E99" w:rsidRDefault="007D1E09" w:rsidP="00855304">
      <w:pPr>
        <w:pStyle w:val="ListBullet"/>
      </w:pPr>
      <w:r>
        <w:t>Under this rule a</w:t>
      </w:r>
      <w:r w:rsidR="006024CB" w:rsidRPr="00130914">
        <w:t xml:space="preserve">ny GP, </w:t>
      </w:r>
      <w:hyperlink r:id="rId13" w:history="1">
        <w:r w:rsidR="006024CB" w:rsidRPr="006904A2">
          <w:rPr>
            <w:rStyle w:val="Hyperlink"/>
          </w:rPr>
          <w:t>OMP</w:t>
        </w:r>
      </w:hyperlink>
      <w:r w:rsidR="006024CB" w:rsidRPr="00117E99">
        <w:t xml:space="preserve"> </w:t>
      </w:r>
      <w:r w:rsidR="006024CB" w:rsidRPr="00130914">
        <w:t xml:space="preserve">or consultant physician </w:t>
      </w:r>
      <w:r w:rsidR="00CA787E">
        <w:t>who</w:t>
      </w:r>
      <w:r w:rsidR="00CA787E" w:rsidRPr="00130914">
        <w:t xml:space="preserve"> </w:t>
      </w:r>
      <w:r w:rsidR="00FD4DAC" w:rsidRPr="00117E99">
        <w:rPr>
          <w:rStyle w:val="Strong"/>
        </w:rPr>
        <w:t>claims</w:t>
      </w:r>
      <w:r w:rsidR="006024CB" w:rsidRPr="00117E99">
        <w:rPr>
          <w:rStyle w:val="Strong"/>
        </w:rPr>
        <w:t xml:space="preserve"> 30 or more relevant telephone</w:t>
      </w:r>
      <w:r w:rsidR="00E64167" w:rsidRPr="00117E99">
        <w:rPr>
          <w:rStyle w:val="Strong"/>
        </w:rPr>
        <w:t xml:space="preserve"> attendance</w:t>
      </w:r>
      <w:r w:rsidR="006024CB" w:rsidRPr="00117E99">
        <w:rPr>
          <w:rStyle w:val="Strong"/>
        </w:rPr>
        <w:t xml:space="preserve"> services on each of 20 or more (cumulative </w:t>
      </w:r>
      <w:r w:rsidR="00FD4DAC" w:rsidRPr="00117E99">
        <w:rPr>
          <w:rStyle w:val="Strong"/>
        </w:rPr>
        <w:t>and</w:t>
      </w:r>
      <w:r w:rsidR="002F0DE6" w:rsidRPr="00117E99">
        <w:rPr>
          <w:rStyle w:val="Strong"/>
        </w:rPr>
        <w:t>/</w:t>
      </w:r>
      <w:r w:rsidR="00FD4DAC" w:rsidRPr="00117E99">
        <w:rPr>
          <w:rStyle w:val="Strong"/>
        </w:rPr>
        <w:t>or</w:t>
      </w:r>
      <w:r w:rsidR="006024CB" w:rsidRPr="00117E99">
        <w:rPr>
          <w:rStyle w:val="Strong"/>
        </w:rPr>
        <w:t xml:space="preserve"> consecutive) days in a </w:t>
      </w:r>
      <w:r w:rsidR="00610576" w:rsidRPr="00117E99">
        <w:rPr>
          <w:rStyle w:val="Strong"/>
        </w:rPr>
        <w:t xml:space="preserve">rolling </w:t>
      </w:r>
      <w:r w:rsidR="006024CB" w:rsidRPr="00117E99">
        <w:rPr>
          <w:rStyle w:val="Strong"/>
        </w:rPr>
        <w:t xml:space="preserve">12-month period </w:t>
      </w:r>
      <w:r w:rsidR="00CC5319" w:rsidRPr="00CC5319">
        <w:t>will be in</w:t>
      </w:r>
      <w:r w:rsidR="00CC5319" w:rsidRPr="00117E99">
        <w:rPr>
          <w:rStyle w:val="Strong"/>
        </w:rPr>
        <w:t xml:space="preserve"> </w:t>
      </w:r>
      <w:r w:rsidR="006024CB" w:rsidRPr="007D1E09">
        <w:t>breach</w:t>
      </w:r>
      <w:r w:rsidR="00CC5319">
        <w:t xml:space="preserve"> of</w:t>
      </w:r>
      <w:r w:rsidR="006024CB" w:rsidRPr="007D1E09">
        <w:t xml:space="preserve"> the 30/20 </w:t>
      </w:r>
      <w:r w:rsidR="004A3B04" w:rsidRPr="007D1E09">
        <w:t xml:space="preserve">telephone </w:t>
      </w:r>
      <w:r w:rsidR="006024CB" w:rsidRPr="007D1E09">
        <w:t>rule</w:t>
      </w:r>
      <w:r w:rsidR="006024CB" w:rsidRPr="00117E99">
        <w:t>.</w:t>
      </w:r>
    </w:p>
    <w:p w14:paraId="66D0AC84" w14:textId="0061D435" w:rsidR="007D1E09" w:rsidRPr="009B64D8" w:rsidRDefault="00CC5319" w:rsidP="00855304">
      <w:pPr>
        <w:pStyle w:val="ListBullet"/>
        <w:rPr>
          <w:szCs w:val="22"/>
        </w:rPr>
      </w:pPr>
      <w:r>
        <w:t>All</w:t>
      </w:r>
      <w:r w:rsidR="007D1E09" w:rsidRPr="0032245F">
        <w:t xml:space="preserve"> </w:t>
      </w:r>
      <w:r w:rsidR="007D1E09">
        <w:t>breaches</w:t>
      </w:r>
      <w:r>
        <w:t xml:space="preserve"> of</w:t>
      </w:r>
      <w:r w:rsidR="007D1E09">
        <w:t xml:space="preserve"> the 30/20 telephone rule will be referred </w:t>
      </w:r>
      <w:r w:rsidR="007D1E09" w:rsidRPr="0032245F">
        <w:t>to the</w:t>
      </w:r>
      <w:r w:rsidR="007D1E09">
        <w:t xml:space="preserve"> Director of the</w:t>
      </w:r>
      <w:r w:rsidR="007D1E09" w:rsidRPr="0032245F">
        <w:t xml:space="preserve"> </w:t>
      </w:r>
      <w:r w:rsidR="001B6D2C">
        <w:t>Professional Services Review (</w:t>
      </w:r>
      <w:hyperlink r:id="rId14" w:history="1">
        <w:r w:rsidR="007D1E09" w:rsidRPr="00D94441">
          <w:rPr>
            <w:rStyle w:val="Hyperlink"/>
            <w:rFonts w:cs="Arial"/>
          </w:rPr>
          <w:t>PS</w:t>
        </w:r>
        <w:r w:rsidR="00D94441" w:rsidRPr="00D94441">
          <w:rPr>
            <w:rStyle w:val="Hyperlink"/>
            <w:rFonts w:cs="Arial"/>
          </w:rPr>
          <w:t>R</w:t>
        </w:r>
      </w:hyperlink>
      <w:r w:rsidR="00D94441">
        <w:t>).</w:t>
      </w:r>
    </w:p>
    <w:p w14:paraId="7313AA39" w14:textId="4416A04D" w:rsidR="001B6D2C" w:rsidRPr="00855304" w:rsidRDefault="00E54ED5" w:rsidP="00855304">
      <w:pPr>
        <w:pStyle w:val="ListBullet"/>
      </w:pPr>
      <w:r w:rsidRPr="0016589F">
        <w:t xml:space="preserve">Only relevant </w:t>
      </w:r>
      <w:r w:rsidR="00E64167">
        <w:t>tele</w:t>
      </w:r>
      <w:r w:rsidRPr="0016589F">
        <w:t>phone</w:t>
      </w:r>
      <w:r w:rsidR="00E64167">
        <w:t xml:space="preserve"> attendance</w:t>
      </w:r>
      <w:r w:rsidRPr="0016589F">
        <w:t xml:space="preserve"> services </w:t>
      </w:r>
      <w:r w:rsidR="00D52BD9">
        <w:t xml:space="preserve">that have been provided and </w:t>
      </w:r>
      <w:r w:rsidR="00FD4DAC">
        <w:t>claimed</w:t>
      </w:r>
      <w:r w:rsidRPr="0016589F">
        <w:t xml:space="preserve"> </w:t>
      </w:r>
      <w:r w:rsidRPr="00117E99">
        <w:rPr>
          <w:rStyle w:val="Strong"/>
        </w:rPr>
        <w:t>on or after 1 October 2022</w:t>
      </w:r>
      <w:r w:rsidRPr="0016589F">
        <w:t xml:space="preserve"> will be subject to this rule. </w:t>
      </w:r>
      <w:r w:rsidR="00E64167">
        <w:t>Telephone</w:t>
      </w:r>
      <w:r w:rsidR="00E64167" w:rsidRPr="0016589F">
        <w:t xml:space="preserve"> </w:t>
      </w:r>
      <w:r w:rsidRPr="0016589F">
        <w:t>services provided</w:t>
      </w:r>
      <w:r w:rsidR="00CC5319">
        <w:t xml:space="preserve"> and claimed</w:t>
      </w:r>
      <w:r w:rsidRPr="0016589F">
        <w:t xml:space="preserve"> prior to 1 October 2022 are not subject to this rule.</w:t>
      </w:r>
    </w:p>
    <w:p w14:paraId="3EC347A3" w14:textId="2DA644B9" w:rsidR="00703377" w:rsidRDefault="0083033F" w:rsidP="00855304">
      <w:pPr>
        <w:pStyle w:val="ListBullet"/>
      </w:pPr>
      <w:r>
        <w:t>For GP</w:t>
      </w:r>
      <w:r w:rsidR="001609FD">
        <w:t>s</w:t>
      </w:r>
      <w:r w:rsidR="00CE416D">
        <w:t xml:space="preserve"> and OMP</w:t>
      </w:r>
      <w:r>
        <w:t>, t</w:t>
      </w:r>
      <w:r w:rsidR="00610576" w:rsidRPr="00610576">
        <w:t xml:space="preserve">he new 30/20 </w:t>
      </w:r>
      <w:r w:rsidR="004A3B04">
        <w:t xml:space="preserve">telephone </w:t>
      </w:r>
      <w:r w:rsidR="00610576" w:rsidRPr="00610576">
        <w:t xml:space="preserve">rule </w:t>
      </w:r>
      <w:r w:rsidR="00610576" w:rsidRPr="00062056">
        <w:t xml:space="preserve">will </w:t>
      </w:r>
      <w:r w:rsidR="009B65A4">
        <w:t xml:space="preserve">apply alongside </w:t>
      </w:r>
      <w:r w:rsidR="00610576" w:rsidRPr="00062056">
        <w:t xml:space="preserve">the </w:t>
      </w:r>
      <w:r w:rsidR="00610576" w:rsidRPr="008159D7">
        <w:t>80/20 rule</w:t>
      </w:r>
      <w:r w:rsidR="007C6CED" w:rsidRPr="008159D7">
        <w:t>.</w:t>
      </w:r>
      <w:r w:rsidR="009B65A4">
        <w:t xml:space="preserve"> </w:t>
      </w:r>
      <w:r w:rsidR="001B6D2C" w:rsidRPr="00B6113A">
        <w:t xml:space="preserve">Patterns of claiming for relevant telephone attendance services </w:t>
      </w:r>
      <w:r w:rsidR="00CC5319" w:rsidRPr="00B6113A">
        <w:t xml:space="preserve">will be </w:t>
      </w:r>
      <w:r w:rsidR="001B6D2C" w:rsidRPr="00B6113A">
        <w:t>counted towards both the 80/20 and the 30/20 pattern of prescribed services</w:t>
      </w:r>
      <w:r w:rsidRPr="00B6113A">
        <w:t>.</w:t>
      </w:r>
    </w:p>
    <w:p w14:paraId="19553236" w14:textId="0E2018BD" w:rsidR="00821363" w:rsidRDefault="00703377" w:rsidP="00855304">
      <w:pPr>
        <w:pStyle w:val="Heading2"/>
        <w:rPr>
          <w:rFonts w:eastAsiaTheme="majorEastAsia"/>
        </w:rPr>
      </w:pPr>
      <w:r>
        <w:rPr>
          <w:rFonts w:eastAsiaTheme="majorEastAsia"/>
        </w:rPr>
        <w:t>Prescribed pattern of service</w:t>
      </w:r>
    </w:p>
    <w:p w14:paraId="7B96B888" w14:textId="067F478E" w:rsidR="00703377" w:rsidRPr="00A76313" w:rsidRDefault="004F2C7D" w:rsidP="00855304">
      <w:pPr>
        <w:rPr>
          <w:szCs w:val="22"/>
        </w:rPr>
      </w:pPr>
      <w:r w:rsidRPr="004F2C7D">
        <w:rPr>
          <w:rFonts w:eastAsiaTheme="majorEastAsia"/>
          <w:szCs w:val="22"/>
        </w:rPr>
        <w:t>A prescribed pattern of service occurs when a practitioner claims a specified type of Medical Benefits Schedule service at a frequency and quantity defined in the</w:t>
      </w:r>
      <w:r w:rsidR="00703377" w:rsidRPr="009B65A4">
        <w:rPr>
          <w:rFonts w:eastAsiaTheme="majorEastAsia"/>
          <w:szCs w:val="22"/>
        </w:rPr>
        <w:t xml:space="preserve"> </w:t>
      </w:r>
      <w:hyperlink r:id="rId15" w:history="1">
        <w:r w:rsidR="00703377" w:rsidRPr="00A76313">
          <w:rPr>
            <w:rStyle w:val="Hyperlink"/>
            <w:rFonts w:cs="Arial"/>
            <w:i/>
            <w:iCs/>
            <w:szCs w:val="22"/>
          </w:rPr>
          <w:t>Health Insurance (Professional Services Review Scheme) Regulations 2019</w:t>
        </w:r>
      </w:hyperlink>
      <w:r w:rsidR="00703377" w:rsidRPr="00A76313">
        <w:rPr>
          <w:szCs w:val="22"/>
        </w:rPr>
        <w:t xml:space="preserve"> (the regulations).</w:t>
      </w:r>
    </w:p>
    <w:p w14:paraId="7EAA1EBA" w14:textId="072211F5" w:rsidR="00E64167" w:rsidRDefault="00DD08A5" w:rsidP="00855304">
      <w:r>
        <w:rPr>
          <w:rFonts w:eastAsiaTheme="majorEastAsia"/>
        </w:rPr>
        <w:t xml:space="preserve">If a practitioner provides </w:t>
      </w:r>
      <w:r w:rsidR="00B35880">
        <w:rPr>
          <w:rFonts w:eastAsiaTheme="majorEastAsia"/>
        </w:rPr>
        <w:t xml:space="preserve">services </w:t>
      </w:r>
      <w:r w:rsidR="00430A52">
        <w:rPr>
          <w:rFonts w:eastAsiaTheme="majorEastAsia"/>
        </w:rPr>
        <w:t xml:space="preserve">at a level </w:t>
      </w:r>
      <w:r w:rsidR="00B35880">
        <w:rPr>
          <w:rFonts w:eastAsiaTheme="majorEastAsia"/>
        </w:rPr>
        <w:t>that meet</w:t>
      </w:r>
      <w:r w:rsidR="00430A52">
        <w:rPr>
          <w:rFonts w:eastAsiaTheme="majorEastAsia"/>
        </w:rPr>
        <w:t>s</w:t>
      </w:r>
      <w:r w:rsidR="00B35880">
        <w:rPr>
          <w:rFonts w:eastAsiaTheme="majorEastAsia"/>
        </w:rPr>
        <w:t xml:space="preserve"> the definition of </w:t>
      </w:r>
      <w:r>
        <w:rPr>
          <w:rFonts w:eastAsiaTheme="majorEastAsia"/>
        </w:rPr>
        <w:t xml:space="preserve">a prescribed pattern of </w:t>
      </w:r>
      <w:r w:rsidR="00327F5B">
        <w:rPr>
          <w:rFonts w:eastAsiaTheme="majorEastAsia"/>
        </w:rPr>
        <w:t>service,</w:t>
      </w:r>
      <w:r>
        <w:rPr>
          <w:rFonts w:eastAsiaTheme="majorEastAsia"/>
        </w:rPr>
        <w:t xml:space="preserve"> they will be referred to the</w:t>
      </w:r>
      <w:r w:rsidR="00CA787E">
        <w:rPr>
          <w:rFonts w:eastAsiaTheme="majorEastAsia"/>
        </w:rPr>
        <w:t xml:space="preserve"> Director of</w:t>
      </w:r>
      <w:r>
        <w:rPr>
          <w:rFonts w:eastAsiaTheme="majorEastAsia"/>
        </w:rPr>
        <w:t xml:space="preserve"> </w:t>
      </w:r>
      <w:hyperlink r:id="rId16" w:history="1">
        <w:r w:rsidR="001B6D2C" w:rsidRPr="001B6D2C">
          <w:rPr>
            <w:rStyle w:val="Hyperlink"/>
            <w:rFonts w:eastAsiaTheme="majorEastAsia"/>
          </w:rPr>
          <w:t>PSR</w:t>
        </w:r>
      </w:hyperlink>
      <w:r>
        <w:rPr>
          <w:rFonts w:eastAsiaTheme="majorEastAsia"/>
        </w:rPr>
        <w:t>.</w:t>
      </w:r>
    </w:p>
    <w:p w14:paraId="559FD5F5" w14:textId="4C1DA931" w:rsidR="00E64167" w:rsidRPr="009B65A4" w:rsidRDefault="00E64167" w:rsidP="00855304">
      <w:pPr>
        <w:pStyle w:val="Heading2"/>
        <w:rPr>
          <w:rFonts w:eastAsiaTheme="majorEastAsia"/>
        </w:rPr>
      </w:pPr>
      <w:r w:rsidRPr="00A76313">
        <w:rPr>
          <w:rFonts w:eastAsiaTheme="majorEastAsia"/>
        </w:rPr>
        <w:t>T</w:t>
      </w:r>
      <w:r w:rsidRPr="009B65A4">
        <w:rPr>
          <w:rFonts w:eastAsiaTheme="majorEastAsia"/>
        </w:rPr>
        <w:t xml:space="preserve">he 30/20 </w:t>
      </w:r>
      <w:r w:rsidR="004A3B04" w:rsidRPr="00A76313">
        <w:rPr>
          <w:rFonts w:eastAsiaTheme="majorEastAsia"/>
        </w:rPr>
        <w:t xml:space="preserve">telephone </w:t>
      </w:r>
      <w:r w:rsidRPr="009B65A4">
        <w:rPr>
          <w:rFonts w:eastAsiaTheme="majorEastAsia"/>
        </w:rPr>
        <w:t>rule</w:t>
      </w:r>
    </w:p>
    <w:p w14:paraId="2D82B8CC" w14:textId="2CB2752D" w:rsidR="00F954C6" w:rsidRDefault="00A13C77" w:rsidP="00855304">
      <w:pPr>
        <w:rPr>
          <w:rFonts w:cs="Arial"/>
        </w:rPr>
      </w:pPr>
      <w:r w:rsidRPr="00A76313">
        <w:rPr>
          <w:rFonts w:cs="Arial"/>
        </w:rPr>
        <w:t xml:space="preserve">The </w:t>
      </w:r>
      <w:r>
        <w:rPr>
          <w:rFonts w:cs="Arial"/>
        </w:rPr>
        <w:t xml:space="preserve">30/20 telephone rule </w:t>
      </w:r>
      <w:r w:rsidRPr="00A76313">
        <w:rPr>
          <w:rFonts w:cs="Arial"/>
        </w:rPr>
        <w:t>recognises that the highest proportion of telehealth services</w:t>
      </w:r>
      <w:r w:rsidR="00CC5319">
        <w:rPr>
          <w:rFonts w:cs="Arial"/>
        </w:rPr>
        <w:t xml:space="preserve"> are provided by </w:t>
      </w:r>
      <w:r w:rsidR="00CC5319" w:rsidRPr="00A76313">
        <w:rPr>
          <w:rFonts w:cs="Arial"/>
        </w:rPr>
        <w:t>GPs</w:t>
      </w:r>
      <w:r w:rsidR="00CC5319">
        <w:rPr>
          <w:rFonts w:cs="Arial"/>
        </w:rPr>
        <w:t xml:space="preserve">, </w:t>
      </w:r>
      <w:hyperlink r:id="rId17" w:history="1">
        <w:r w:rsidR="00CC5319" w:rsidRPr="00D56434">
          <w:rPr>
            <w:rStyle w:val="Hyperlink"/>
            <w:rFonts w:cs="Arial"/>
          </w:rPr>
          <w:t>OMP</w:t>
        </w:r>
      </w:hyperlink>
      <w:r w:rsidR="00CC5319">
        <w:rPr>
          <w:rFonts w:cs="Arial"/>
        </w:rPr>
        <w:t xml:space="preserve"> and </w:t>
      </w:r>
      <w:r w:rsidR="00D56434">
        <w:rPr>
          <w:rFonts w:cs="Arial"/>
        </w:rPr>
        <w:t>consultant physicians</w:t>
      </w:r>
      <w:r w:rsidR="00CC5319">
        <w:rPr>
          <w:rFonts w:cs="Arial"/>
        </w:rPr>
        <w:t xml:space="preserve"> with </w:t>
      </w:r>
      <w:r w:rsidRPr="00A76313">
        <w:rPr>
          <w:rFonts w:cs="Arial"/>
        </w:rPr>
        <w:t xml:space="preserve">a </w:t>
      </w:r>
      <w:r w:rsidR="002339AA">
        <w:rPr>
          <w:rFonts w:cs="Arial"/>
        </w:rPr>
        <w:t>large</w:t>
      </w:r>
      <w:r w:rsidRPr="00A76313">
        <w:rPr>
          <w:rFonts w:cs="Arial"/>
        </w:rPr>
        <w:t xml:space="preserve"> proportion of their telehealth services </w:t>
      </w:r>
      <w:r w:rsidR="001B6D2C">
        <w:rPr>
          <w:rFonts w:cs="Arial"/>
        </w:rPr>
        <w:t>provided</w:t>
      </w:r>
      <w:r w:rsidRPr="00A76313">
        <w:rPr>
          <w:rFonts w:cs="Arial"/>
        </w:rPr>
        <w:t xml:space="preserve"> by </w:t>
      </w:r>
      <w:r w:rsidR="001B6D2C">
        <w:rPr>
          <w:rFonts w:cs="Arial"/>
        </w:rPr>
        <w:t>tele</w:t>
      </w:r>
      <w:r w:rsidRPr="00A76313">
        <w:rPr>
          <w:rFonts w:cs="Arial"/>
        </w:rPr>
        <w:t>phone.</w:t>
      </w:r>
      <w:r>
        <w:rPr>
          <w:rFonts w:cs="Arial"/>
        </w:rPr>
        <w:t xml:space="preserve"> </w:t>
      </w:r>
      <w:r w:rsidR="009B65A4">
        <w:rPr>
          <w:rFonts w:cs="Arial"/>
        </w:rPr>
        <w:t>W</w:t>
      </w:r>
      <w:r w:rsidR="009B65A4" w:rsidRPr="00EA2ED3">
        <w:rPr>
          <w:rFonts w:cs="Arial"/>
        </w:rPr>
        <w:t xml:space="preserve">ith telephone items now a permanent feature of the MBS, </w:t>
      </w:r>
      <w:r w:rsidR="009B65A4" w:rsidRPr="00AA28D2">
        <w:rPr>
          <w:rFonts w:cs="Arial"/>
        </w:rPr>
        <w:t>high-</w:t>
      </w:r>
      <w:r w:rsidR="009B65A4">
        <w:rPr>
          <w:rFonts w:cs="Arial"/>
        </w:rPr>
        <w:t>value</w:t>
      </w:r>
      <w:r w:rsidR="009B65A4" w:rsidRPr="00AA28D2">
        <w:rPr>
          <w:rFonts w:cs="Arial"/>
        </w:rPr>
        <w:t xml:space="preserve"> comprehensive </w:t>
      </w:r>
      <w:r w:rsidR="009B65A4">
        <w:rPr>
          <w:rFonts w:cs="Arial"/>
        </w:rPr>
        <w:t xml:space="preserve">patient care will be supported by </w:t>
      </w:r>
      <w:r w:rsidR="009B65A4" w:rsidRPr="00EA2ED3">
        <w:rPr>
          <w:rFonts w:cs="Arial"/>
        </w:rPr>
        <w:t>th</w:t>
      </w:r>
      <w:r w:rsidR="009B65A4">
        <w:rPr>
          <w:rFonts w:cs="Arial"/>
        </w:rPr>
        <w:t>is</w:t>
      </w:r>
      <w:r w:rsidR="009B65A4" w:rsidRPr="00EA2ED3">
        <w:rPr>
          <w:rFonts w:cs="Arial"/>
        </w:rPr>
        <w:t xml:space="preserve"> rule</w:t>
      </w:r>
      <w:r w:rsidR="009B65A4">
        <w:rPr>
          <w:rFonts w:cs="Arial"/>
        </w:rPr>
        <w:t>.</w:t>
      </w:r>
    </w:p>
    <w:p w14:paraId="09976F40" w14:textId="09BAB58F" w:rsidR="0083033F" w:rsidRDefault="00A13C77" w:rsidP="00855304">
      <w:r w:rsidRPr="0029039C">
        <w:lastRenderedPageBreak/>
        <w:t xml:space="preserve">Video consultations remain the </w:t>
      </w:r>
      <w:r w:rsidRPr="00A76313">
        <w:t>preferred medium when someone cannot see a</w:t>
      </w:r>
      <w:r w:rsidR="00B03CCA" w:rsidRPr="00A76313">
        <w:t xml:space="preserve"> medical practitioner</w:t>
      </w:r>
      <w:r w:rsidRPr="00A76313">
        <w:t xml:space="preserve"> in person. </w:t>
      </w:r>
      <w:r w:rsidR="0083033F">
        <w:t>Practitioners are responsible for choosing how telehealth services are integrated into their model of care to best suit their patients.</w:t>
      </w:r>
    </w:p>
    <w:p w14:paraId="11939A5B" w14:textId="08DFB8A1" w:rsidR="0083033F" w:rsidRPr="00117E99" w:rsidRDefault="0083033F" w:rsidP="00855304">
      <w:r>
        <w:rPr>
          <w:rFonts w:cs="Arial"/>
        </w:rPr>
        <w:t>This new rule seeks a balance between improved access to services enabled by telehealth and maintenance of high-quality care. This approach is consistent with and complements the existing clinical relationship required for most GP telehealth services.</w:t>
      </w:r>
    </w:p>
    <w:p w14:paraId="4F74826C" w14:textId="62C0310C" w:rsidR="00821363" w:rsidRDefault="00821363" w:rsidP="00855304">
      <w:r>
        <w:t xml:space="preserve">Legislated rules, such as the 30/20 </w:t>
      </w:r>
      <w:r w:rsidR="004A3B04">
        <w:t xml:space="preserve">telephone </w:t>
      </w:r>
      <w:r>
        <w:t>rule, govern access to Australia’s health programs to help ensure that public health funding is directed towards services that are clinically effective, cost effective and achieve their intended health outcomes for all Australians.</w:t>
      </w:r>
    </w:p>
    <w:p w14:paraId="3A552B7E" w14:textId="7EFBB4D4" w:rsidR="00976AC9" w:rsidRPr="00BB05D4" w:rsidRDefault="000A19AA" w:rsidP="00855304">
      <w:pPr>
        <w:pStyle w:val="Heading2"/>
        <w:rPr>
          <w:rFonts w:eastAsiaTheme="majorEastAsia"/>
        </w:rPr>
      </w:pPr>
      <w:bookmarkStart w:id="1" w:name="_Hlk125015917"/>
      <w:r>
        <w:rPr>
          <w:rFonts w:eastAsiaTheme="majorEastAsia"/>
        </w:rPr>
        <w:t xml:space="preserve">Relevant </w:t>
      </w:r>
      <w:r w:rsidR="00610576">
        <w:rPr>
          <w:rFonts w:eastAsiaTheme="majorEastAsia"/>
        </w:rPr>
        <w:t xml:space="preserve">telephone </w:t>
      </w:r>
      <w:r w:rsidR="00B82A29">
        <w:rPr>
          <w:rFonts w:eastAsiaTheme="majorEastAsia"/>
        </w:rPr>
        <w:t xml:space="preserve">services and eligible </w:t>
      </w:r>
      <w:r w:rsidR="006A6551">
        <w:rPr>
          <w:rFonts w:eastAsiaTheme="majorEastAsia"/>
        </w:rPr>
        <w:t>practitioners</w:t>
      </w:r>
    </w:p>
    <w:bookmarkEnd w:id="1"/>
    <w:p w14:paraId="46962E2D" w14:textId="0F482DDF" w:rsidR="00464BB1" w:rsidRDefault="004A3B04" w:rsidP="00117E99">
      <w:r w:rsidRPr="0032245F">
        <w:t xml:space="preserve">If you are a GP, </w:t>
      </w:r>
      <w:hyperlink r:id="rId18" w:history="1">
        <w:r w:rsidR="00D56434">
          <w:rPr>
            <w:rStyle w:val="Hyperlink"/>
            <w:rFonts w:eastAsiaTheme="majorEastAsia" w:cs="Arial"/>
          </w:rPr>
          <w:t>OMP</w:t>
        </w:r>
      </w:hyperlink>
      <w:r>
        <w:rPr>
          <w:rFonts w:cstheme="minorHAnsi"/>
        </w:rPr>
        <w:t xml:space="preserve"> </w:t>
      </w:r>
      <w:r w:rsidRPr="00B82A29">
        <w:t>or consultant physician</w:t>
      </w:r>
      <w:r>
        <w:t>, claiming</w:t>
      </w:r>
      <w:r w:rsidRPr="00B82A29">
        <w:t xml:space="preserve"> the </w:t>
      </w:r>
      <w:r>
        <w:t xml:space="preserve">relevant </w:t>
      </w:r>
      <w:r w:rsidRPr="00B82A29">
        <w:t>telephone</w:t>
      </w:r>
      <w:r>
        <w:t xml:space="preserve"> attendance</w:t>
      </w:r>
      <w:r w:rsidRPr="00B82A29">
        <w:t xml:space="preserve"> services</w:t>
      </w:r>
      <w:r>
        <w:t xml:space="preserve"> listed in the table below, </w:t>
      </w:r>
      <w:r w:rsidRPr="00B82A29">
        <w:t xml:space="preserve">the new 30/20 </w:t>
      </w:r>
      <w:r>
        <w:t xml:space="preserve">telephone </w:t>
      </w:r>
      <w:r w:rsidRPr="00B82A29">
        <w:t>rule will apply to you.</w:t>
      </w:r>
    </w:p>
    <w:tbl>
      <w:tblPr>
        <w:tblStyle w:val="DepartmentofHealthtable"/>
        <w:tblW w:w="9072" w:type="dxa"/>
        <w:tblLook w:val="04A0" w:firstRow="1" w:lastRow="0" w:firstColumn="1" w:lastColumn="0" w:noHBand="0" w:noVBand="1"/>
      </w:tblPr>
      <w:tblGrid>
        <w:gridCol w:w="2835"/>
        <w:gridCol w:w="6237"/>
      </w:tblGrid>
      <w:tr w:rsidR="00464BB1" w:rsidRPr="00AA441D" w14:paraId="706327C3" w14:textId="77777777" w:rsidTr="008553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2A4BDB00" w14:textId="77777777" w:rsidR="00464BB1" w:rsidRPr="00117E99" w:rsidRDefault="00464BB1" w:rsidP="00117E99">
            <w:pPr>
              <w:pStyle w:val="TableHeaderWhite"/>
            </w:pPr>
            <w:bookmarkStart w:id="2" w:name="_Hlk125015876"/>
            <w:r w:rsidRPr="00117E99">
              <w:t>Provider group</w:t>
            </w:r>
          </w:p>
        </w:tc>
        <w:tc>
          <w:tcPr>
            <w:tcW w:w="6237" w:type="dxa"/>
          </w:tcPr>
          <w:p w14:paraId="3B1D5C1A" w14:textId="77777777" w:rsidR="00464BB1" w:rsidRPr="00117E99" w:rsidRDefault="00464BB1" w:rsidP="00117E99">
            <w:pPr>
              <w:pStyle w:val="TableHeaderWhite"/>
              <w:cnfStyle w:val="100000000000" w:firstRow="1" w:lastRow="0" w:firstColumn="0" w:lastColumn="0" w:oddVBand="0" w:evenVBand="0" w:oddHBand="0" w:evenHBand="0" w:firstRowFirstColumn="0" w:firstRowLastColumn="0" w:lastRowFirstColumn="0" w:lastRowLastColumn="0"/>
            </w:pPr>
            <w:r w:rsidRPr="00117E99">
              <w:t>Items by MBS Group and Subgroup</w:t>
            </w:r>
          </w:p>
        </w:tc>
      </w:tr>
      <w:tr w:rsidR="00464BB1" w:rsidRPr="00AA441D" w14:paraId="0019425F" w14:textId="77777777" w:rsidTr="00117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26F94746" w14:textId="77777777" w:rsidR="00464BB1" w:rsidRPr="00117E99" w:rsidRDefault="00464BB1" w:rsidP="00117E99">
            <w:r w:rsidRPr="00117E99">
              <w:t>Consultant physicians (excluding specialists and psychiatrists)</w:t>
            </w:r>
          </w:p>
        </w:tc>
        <w:tc>
          <w:tcPr>
            <w:tcW w:w="6237" w:type="dxa"/>
          </w:tcPr>
          <w:p w14:paraId="442FFD67" w14:textId="77777777" w:rsidR="00464BB1" w:rsidRPr="00117E99" w:rsidRDefault="00464BB1" w:rsidP="00117E99">
            <w:pPr>
              <w:cnfStyle w:val="000000100000" w:firstRow="0" w:lastRow="0" w:firstColumn="0" w:lastColumn="0" w:oddVBand="0" w:evenVBand="0" w:oddHBand="1" w:evenHBand="0" w:firstRowFirstColumn="0" w:firstRowLastColumn="0" w:lastRowFirstColumn="0" w:lastRowLastColumn="0"/>
            </w:pPr>
            <w:r w:rsidRPr="00117E99">
              <w:t xml:space="preserve">Group A40, Subgroup 8 – Consultant physician phone service – Item </w:t>
            </w:r>
            <w:r w:rsidRPr="00CA64A5">
              <w:rPr>
                <w:rStyle w:val="Strong"/>
              </w:rPr>
              <w:t>91836</w:t>
            </w:r>
          </w:p>
        </w:tc>
      </w:tr>
      <w:tr w:rsidR="008570A5" w:rsidRPr="00AA441D" w14:paraId="4F6C301F" w14:textId="77777777" w:rsidTr="00117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val="restart"/>
          </w:tcPr>
          <w:p w14:paraId="6413E3D7" w14:textId="2E94199B" w:rsidR="008570A5" w:rsidRPr="00117E99" w:rsidRDefault="008570A5" w:rsidP="00117E99">
            <w:r w:rsidRPr="00117E99">
              <w:t>General practitioners (vocationally recognised GPs)</w:t>
            </w:r>
          </w:p>
        </w:tc>
        <w:tc>
          <w:tcPr>
            <w:tcW w:w="6237" w:type="dxa"/>
          </w:tcPr>
          <w:p w14:paraId="6A18AB30" w14:textId="77777777" w:rsidR="008570A5" w:rsidRPr="00117E99" w:rsidRDefault="008570A5" w:rsidP="00117E99">
            <w:pPr>
              <w:cnfStyle w:val="000000010000" w:firstRow="0" w:lastRow="0" w:firstColumn="0" w:lastColumn="0" w:oddVBand="0" w:evenVBand="0" w:oddHBand="0" w:evenHBand="1" w:firstRowFirstColumn="0" w:firstRowLastColumn="0" w:lastRowFirstColumn="0" w:lastRowLastColumn="0"/>
            </w:pPr>
            <w:r w:rsidRPr="00117E99">
              <w:t xml:space="preserve">Group A40, Subgroup 2 – General practice phone services – Items </w:t>
            </w:r>
            <w:r w:rsidRPr="00CA64A5">
              <w:rPr>
                <w:rStyle w:val="Strong"/>
              </w:rPr>
              <w:t>91890, 91891, 91894</w:t>
            </w:r>
          </w:p>
        </w:tc>
      </w:tr>
      <w:tr w:rsidR="008570A5" w:rsidRPr="00AA441D" w14:paraId="1216F6CE" w14:textId="77777777" w:rsidTr="00117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047EED62" w14:textId="77777777" w:rsidR="008570A5" w:rsidRPr="00DB0253" w:rsidRDefault="008570A5" w:rsidP="003D606C">
            <w:pPr>
              <w:spacing w:before="40" w:after="40"/>
              <w:rPr>
                <w:rFonts w:ascii="Calibri" w:hAnsi="Calibri" w:cs="Calibri"/>
                <w:color w:val="000000"/>
              </w:rPr>
            </w:pPr>
          </w:p>
        </w:tc>
        <w:tc>
          <w:tcPr>
            <w:tcW w:w="6237" w:type="dxa"/>
          </w:tcPr>
          <w:p w14:paraId="14656D18" w14:textId="77777777" w:rsidR="008570A5" w:rsidRPr="00117E99" w:rsidRDefault="008570A5" w:rsidP="00117E99">
            <w:pPr>
              <w:cnfStyle w:val="000000100000" w:firstRow="0" w:lastRow="0" w:firstColumn="0" w:lastColumn="0" w:oddVBand="0" w:evenVBand="0" w:oddHBand="1" w:evenHBand="0" w:firstRowFirstColumn="0" w:firstRowLastColumn="0" w:lastRowFirstColumn="0" w:lastRowLastColumn="0"/>
            </w:pPr>
            <w:r w:rsidRPr="00117E99">
              <w:t xml:space="preserve">Group A40, Subgroup 10 – Focussed psychological strategies phone services – Items </w:t>
            </w:r>
            <w:r w:rsidRPr="00CA64A5">
              <w:rPr>
                <w:rStyle w:val="Strong"/>
              </w:rPr>
              <w:t>91842, 91843</w:t>
            </w:r>
          </w:p>
        </w:tc>
      </w:tr>
      <w:tr w:rsidR="008570A5" w:rsidRPr="00AA441D" w14:paraId="5AF2653A" w14:textId="77777777" w:rsidTr="00117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16070272" w14:textId="77777777" w:rsidR="008570A5" w:rsidRPr="00DB0253" w:rsidRDefault="008570A5" w:rsidP="003D606C">
            <w:pPr>
              <w:spacing w:before="40" w:after="40"/>
              <w:rPr>
                <w:rFonts w:ascii="Calibri" w:hAnsi="Calibri" w:cs="Calibri"/>
                <w:color w:val="000000"/>
              </w:rPr>
            </w:pPr>
          </w:p>
        </w:tc>
        <w:tc>
          <w:tcPr>
            <w:tcW w:w="6237" w:type="dxa"/>
          </w:tcPr>
          <w:p w14:paraId="25F59F70" w14:textId="77777777" w:rsidR="008570A5" w:rsidRPr="00117E99" w:rsidRDefault="008570A5" w:rsidP="00117E99">
            <w:pPr>
              <w:cnfStyle w:val="000000010000" w:firstRow="0" w:lastRow="0" w:firstColumn="0" w:lastColumn="0" w:oddVBand="0" w:evenVBand="0" w:oddHBand="0" w:evenHBand="1" w:firstRowFirstColumn="0" w:firstRowLastColumn="0" w:lastRowFirstColumn="0" w:lastRowLastColumn="0"/>
            </w:pPr>
            <w:r w:rsidRPr="00117E99">
              <w:t xml:space="preserve">Group A40, Subgroup 16 – GP pregnancy support counselling phone service – Item </w:t>
            </w:r>
            <w:r w:rsidRPr="00CA64A5">
              <w:rPr>
                <w:rStyle w:val="Strong"/>
              </w:rPr>
              <w:t>92138</w:t>
            </w:r>
          </w:p>
        </w:tc>
      </w:tr>
      <w:tr w:rsidR="008570A5" w:rsidRPr="00AA441D" w14:paraId="714E6E6C" w14:textId="77777777" w:rsidTr="00117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20223E3C" w14:textId="77777777" w:rsidR="008570A5" w:rsidRPr="00DB0253" w:rsidRDefault="008570A5" w:rsidP="003D606C">
            <w:pPr>
              <w:spacing w:before="40" w:after="40"/>
              <w:rPr>
                <w:rFonts w:ascii="Calibri" w:hAnsi="Calibri" w:cs="Calibri"/>
                <w:color w:val="000000"/>
              </w:rPr>
            </w:pPr>
          </w:p>
        </w:tc>
        <w:tc>
          <w:tcPr>
            <w:tcW w:w="6237" w:type="dxa"/>
          </w:tcPr>
          <w:p w14:paraId="5CBA474E" w14:textId="77777777" w:rsidR="008570A5" w:rsidRPr="00117E99" w:rsidRDefault="008570A5" w:rsidP="00117E99">
            <w:pPr>
              <w:cnfStyle w:val="000000100000" w:firstRow="0" w:lastRow="0" w:firstColumn="0" w:lastColumn="0" w:oddVBand="0" w:evenVBand="0" w:oddHBand="1" w:evenHBand="0" w:firstRowFirstColumn="0" w:firstRowLastColumn="0" w:lastRowFirstColumn="0" w:lastRowLastColumn="0"/>
            </w:pPr>
            <w:r w:rsidRPr="00117E99">
              <w:t xml:space="preserve">Group A40, Subgroup 20 – GP mental health treatment plan phone service – Items </w:t>
            </w:r>
            <w:r w:rsidRPr="00CA64A5">
              <w:rPr>
                <w:rStyle w:val="Strong"/>
              </w:rPr>
              <w:t>92126, 92127</w:t>
            </w:r>
          </w:p>
        </w:tc>
      </w:tr>
      <w:tr w:rsidR="008570A5" w:rsidRPr="00AA441D" w14:paraId="66CF81AE" w14:textId="77777777" w:rsidTr="00117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68EF256F" w14:textId="77777777" w:rsidR="008570A5" w:rsidRPr="00DB0253" w:rsidRDefault="008570A5" w:rsidP="003D606C">
            <w:pPr>
              <w:spacing w:before="40" w:after="40"/>
              <w:rPr>
                <w:rFonts w:ascii="Calibri" w:hAnsi="Calibri" w:cs="Calibri"/>
                <w:color w:val="000000"/>
              </w:rPr>
            </w:pPr>
          </w:p>
        </w:tc>
        <w:tc>
          <w:tcPr>
            <w:tcW w:w="6237" w:type="dxa"/>
          </w:tcPr>
          <w:p w14:paraId="397C0B6F" w14:textId="77777777" w:rsidR="008570A5" w:rsidRPr="00117E99" w:rsidRDefault="008570A5" w:rsidP="00117E99">
            <w:pPr>
              <w:cnfStyle w:val="000000010000" w:firstRow="0" w:lastRow="0" w:firstColumn="0" w:lastColumn="0" w:oddVBand="0" w:evenVBand="0" w:oddHBand="0" w:evenHBand="1" w:firstRowFirstColumn="0" w:firstRowLastColumn="0" w:lastRowFirstColumn="0" w:lastRowLastColumn="0"/>
            </w:pPr>
            <w:r w:rsidRPr="00117E99">
              <w:t xml:space="preserve">Group A40, Subgroup 26 – Review of an eating disorder plan phone service – Item </w:t>
            </w:r>
            <w:r w:rsidRPr="00CA64A5">
              <w:rPr>
                <w:rStyle w:val="Strong"/>
              </w:rPr>
              <w:t>92176</w:t>
            </w:r>
          </w:p>
        </w:tc>
      </w:tr>
      <w:tr w:rsidR="008570A5" w:rsidRPr="00AA441D" w14:paraId="0B00B511" w14:textId="77777777" w:rsidTr="00117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41AEE0AE" w14:textId="77777777" w:rsidR="008570A5" w:rsidRPr="00DB0253" w:rsidRDefault="008570A5" w:rsidP="003D606C">
            <w:pPr>
              <w:spacing w:before="40" w:after="40"/>
              <w:rPr>
                <w:rFonts w:ascii="Calibri" w:hAnsi="Calibri" w:cs="Calibri"/>
                <w:color w:val="000000"/>
              </w:rPr>
            </w:pPr>
          </w:p>
        </w:tc>
        <w:tc>
          <w:tcPr>
            <w:tcW w:w="6237" w:type="dxa"/>
          </w:tcPr>
          <w:p w14:paraId="6CEE3F56" w14:textId="77777777" w:rsidR="008570A5" w:rsidRPr="00117E99" w:rsidRDefault="008570A5" w:rsidP="00117E99">
            <w:pPr>
              <w:cnfStyle w:val="000000100000" w:firstRow="0" w:lastRow="0" w:firstColumn="0" w:lastColumn="0" w:oddVBand="0" w:evenVBand="0" w:oddHBand="1" w:evenHBand="0" w:firstRowFirstColumn="0" w:firstRowLastColumn="0" w:lastRowFirstColumn="0" w:lastRowLastColumn="0"/>
            </w:pPr>
            <w:r w:rsidRPr="00117E99">
              <w:t xml:space="preserve">Group A40, Subgroup 28 – GP eating disorder focussed psychological strategies phone service – Items </w:t>
            </w:r>
            <w:r w:rsidRPr="00CA64A5">
              <w:rPr>
                <w:rStyle w:val="Strong"/>
              </w:rPr>
              <w:t>92194, 92196</w:t>
            </w:r>
          </w:p>
        </w:tc>
      </w:tr>
      <w:tr w:rsidR="008570A5" w:rsidRPr="00AA441D" w14:paraId="014DE6AE" w14:textId="77777777" w:rsidTr="00117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352EF32A" w14:textId="77777777" w:rsidR="008570A5" w:rsidRPr="00DB0253" w:rsidRDefault="008570A5" w:rsidP="003D606C">
            <w:pPr>
              <w:spacing w:before="40" w:after="40"/>
              <w:rPr>
                <w:rFonts w:ascii="Calibri" w:hAnsi="Calibri" w:cs="Calibri"/>
                <w:color w:val="000000"/>
              </w:rPr>
            </w:pPr>
          </w:p>
        </w:tc>
        <w:tc>
          <w:tcPr>
            <w:tcW w:w="6237" w:type="dxa"/>
          </w:tcPr>
          <w:p w14:paraId="65336F9E" w14:textId="5664424E" w:rsidR="008570A5" w:rsidRPr="00117E99" w:rsidRDefault="008570A5" w:rsidP="00117E99">
            <w:pPr>
              <w:cnfStyle w:val="000000010000" w:firstRow="0" w:lastRow="0" w:firstColumn="0" w:lastColumn="0" w:oddVBand="0" w:evenVBand="0" w:oddHBand="0" w:evenHBand="1" w:firstRowFirstColumn="0" w:firstRowLastColumn="0" w:lastRowFirstColumn="0" w:lastRowLastColumn="0"/>
            </w:pPr>
            <w:bookmarkStart w:id="3" w:name="_Hlk125015715"/>
            <w:r w:rsidRPr="00117E99">
              <w:t>Group A40, Subgroup 40</w:t>
            </w:r>
            <w:bookmarkEnd w:id="3"/>
            <w:r w:rsidRPr="00117E99">
              <w:t xml:space="preserve"> – GP sexual and reproductive health consultation phone service – Items </w:t>
            </w:r>
            <w:r w:rsidRPr="00CA64A5">
              <w:rPr>
                <w:rStyle w:val="Strong"/>
              </w:rPr>
              <w:t>9273</w:t>
            </w:r>
            <w:r w:rsidR="00D94441" w:rsidRPr="00CA64A5">
              <w:rPr>
                <w:rStyle w:val="Strong"/>
              </w:rPr>
              <w:t>1</w:t>
            </w:r>
            <w:r w:rsidRPr="00CA64A5">
              <w:rPr>
                <w:rStyle w:val="Strong"/>
              </w:rPr>
              <w:t>, 92734, 92737, 92740</w:t>
            </w:r>
          </w:p>
        </w:tc>
      </w:tr>
      <w:tr w:rsidR="008570A5" w:rsidRPr="00AA441D" w14:paraId="0EF533F5" w14:textId="77777777" w:rsidTr="00117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2497525E" w14:textId="77777777" w:rsidR="008570A5" w:rsidRPr="00DB0253" w:rsidRDefault="008570A5" w:rsidP="003D606C">
            <w:pPr>
              <w:spacing w:before="40" w:after="40"/>
              <w:rPr>
                <w:rFonts w:ascii="Calibri" w:hAnsi="Calibri" w:cs="Calibri"/>
                <w:color w:val="000000"/>
              </w:rPr>
            </w:pPr>
          </w:p>
        </w:tc>
        <w:tc>
          <w:tcPr>
            <w:tcW w:w="6237" w:type="dxa"/>
          </w:tcPr>
          <w:p w14:paraId="5C3F999E" w14:textId="77777777" w:rsidR="008570A5" w:rsidRPr="00117E99" w:rsidRDefault="008570A5" w:rsidP="00117E99">
            <w:pPr>
              <w:cnfStyle w:val="000000100000" w:firstRow="0" w:lastRow="0" w:firstColumn="0" w:lastColumn="0" w:oddVBand="0" w:evenVBand="0" w:oddHBand="1" w:evenHBand="0" w:firstRowFirstColumn="0" w:firstRowLastColumn="0" w:lastRowFirstColumn="0" w:lastRowLastColumn="0"/>
            </w:pPr>
            <w:r w:rsidRPr="00117E99">
              <w:t xml:space="preserve">Group A41, Subgroup 1 – GP additional focussed psychological strategies – Items </w:t>
            </w:r>
            <w:r w:rsidRPr="00CA64A5">
              <w:rPr>
                <w:rStyle w:val="Strong"/>
              </w:rPr>
              <w:t>93302, 93305</w:t>
            </w:r>
          </w:p>
        </w:tc>
      </w:tr>
      <w:tr w:rsidR="008570A5" w:rsidRPr="00AA441D" w14:paraId="5E036418" w14:textId="77777777" w:rsidTr="00117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6FD6E8DC" w14:textId="77777777" w:rsidR="008570A5" w:rsidRPr="00DB0253" w:rsidRDefault="008570A5" w:rsidP="003D606C">
            <w:pPr>
              <w:spacing w:before="40" w:after="40"/>
              <w:rPr>
                <w:rFonts w:ascii="Calibri" w:hAnsi="Calibri" w:cs="Calibri"/>
                <w:color w:val="000000"/>
              </w:rPr>
            </w:pPr>
          </w:p>
        </w:tc>
        <w:tc>
          <w:tcPr>
            <w:tcW w:w="6237" w:type="dxa"/>
          </w:tcPr>
          <w:p w14:paraId="22B03C3B" w14:textId="77777777" w:rsidR="008570A5" w:rsidRPr="00117E99" w:rsidRDefault="008570A5" w:rsidP="00117E99">
            <w:pPr>
              <w:cnfStyle w:val="000000010000" w:firstRow="0" w:lastRow="0" w:firstColumn="0" w:lastColumn="0" w:oddVBand="0" w:evenVBand="0" w:oddHBand="0" w:evenHBand="1" w:firstRowFirstColumn="0" w:firstRowLastColumn="0" w:lastRowFirstColumn="0" w:lastRowLastColumn="0"/>
            </w:pPr>
            <w:r w:rsidRPr="00117E99">
              <w:t xml:space="preserve">Group A42, Subgroup 2 – GP mental health treatment plan review for care recipients of a residential aged care facility – Item </w:t>
            </w:r>
            <w:r w:rsidRPr="00CA64A5">
              <w:rPr>
                <w:rStyle w:val="Strong"/>
              </w:rPr>
              <w:t>93423</w:t>
            </w:r>
          </w:p>
        </w:tc>
      </w:tr>
      <w:tr w:rsidR="008570A5" w:rsidRPr="00AA441D" w14:paraId="1AA619D7" w14:textId="77777777" w:rsidTr="00117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4323E38E" w14:textId="77777777" w:rsidR="008570A5" w:rsidRPr="00DB0253" w:rsidRDefault="008570A5" w:rsidP="003D606C">
            <w:pPr>
              <w:spacing w:before="40" w:after="40"/>
              <w:rPr>
                <w:rFonts w:ascii="Calibri" w:hAnsi="Calibri" w:cs="Calibri"/>
                <w:color w:val="000000"/>
              </w:rPr>
            </w:pPr>
          </w:p>
        </w:tc>
        <w:tc>
          <w:tcPr>
            <w:tcW w:w="6237" w:type="dxa"/>
          </w:tcPr>
          <w:p w14:paraId="52DD9B92" w14:textId="77777777" w:rsidR="008570A5" w:rsidRPr="00117E99" w:rsidRDefault="008570A5" w:rsidP="00117E99">
            <w:pPr>
              <w:cnfStyle w:val="000000100000" w:firstRow="0" w:lastRow="0" w:firstColumn="0" w:lastColumn="0" w:oddVBand="0" w:evenVBand="0" w:oddHBand="1" w:evenHBand="0" w:firstRowFirstColumn="0" w:firstRowLastColumn="0" w:lastRowFirstColumn="0" w:lastRowLastColumn="0"/>
            </w:pPr>
            <w:r w:rsidRPr="00117E99">
              <w:t xml:space="preserve">Group A45, Subgroup 3 – GP smoking cessation services phone services – Items </w:t>
            </w:r>
            <w:r w:rsidRPr="00CA64A5">
              <w:rPr>
                <w:rStyle w:val="Strong"/>
              </w:rPr>
              <w:t>93700, 93703</w:t>
            </w:r>
          </w:p>
        </w:tc>
      </w:tr>
      <w:tr w:rsidR="00464BB1" w:rsidRPr="00AA441D" w14:paraId="0214F056" w14:textId="77777777" w:rsidTr="00117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val="restart"/>
          </w:tcPr>
          <w:p w14:paraId="713A12DC" w14:textId="6ACED613" w:rsidR="00464BB1" w:rsidRPr="00117E99" w:rsidRDefault="00464BB1" w:rsidP="00117E99">
            <w:r w:rsidRPr="00117E99">
              <w:t>Other medical practitioners (</w:t>
            </w:r>
            <w:r w:rsidR="008570A5" w:rsidRPr="00117E99">
              <w:t>non-</w:t>
            </w:r>
            <w:r w:rsidR="008570A5" w:rsidRPr="00117E99">
              <w:lastRenderedPageBreak/>
              <w:t>vocationally</w:t>
            </w:r>
            <w:r w:rsidR="00746EAC" w:rsidRPr="00117E99">
              <w:t xml:space="preserve"> </w:t>
            </w:r>
            <w:r w:rsidRPr="00117E99">
              <w:t>recognised GPs)</w:t>
            </w:r>
          </w:p>
        </w:tc>
        <w:tc>
          <w:tcPr>
            <w:tcW w:w="6237" w:type="dxa"/>
          </w:tcPr>
          <w:p w14:paraId="5BF2863E" w14:textId="77777777" w:rsidR="00464BB1" w:rsidRPr="00117E99" w:rsidRDefault="00464BB1" w:rsidP="00117E99">
            <w:pPr>
              <w:cnfStyle w:val="000000010000" w:firstRow="0" w:lastRow="0" w:firstColumn="0" w:lastColumn="0" w:oddVBand="0" w:evenVBand="0" w:oddHBand="0" w:evenHBand="1" w:firstRowFirstColumn="0" w:firstRowLastColumn="0" w:lastRowFirstColumn="0" w:lastRowLastColumn="0"/>
            </w:pPr>
            <w:r w:rsidRPr="00117E99">
              <w:lastRenderedPageBreak/>
              <w:t xml:space="preserve">Group A40, Subgroup 2 – General practice phone services – Items </w:t>
            </w:r>
            <w:r w:rsidRPr="00CA64A5">
              <w:rPr>
                <w:rStyle w:val="Strong"/>
              </w:rPr>
              <w:t>91892, 91893, 91895</w:t>
            </w:r>
          </w:p>
        </w:tc>
      </w:tr>
      <w:tr w:rsidR="00464BB1" w:rsidRPr="00AA441D" w14:paraId="0AD26788" w14:textId="77777777" w:rsidTr="00117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7854D7B9" w14:textId="77777777" w:rsidR="00464BB1" w:rsidRPr="00DB0253" w:rsidRDefault="00464BB1" w:rsidP="003D606C">
            <w:pPr>
              <w:spacing w:before="40" w:after="40"/>
              <w:rPr>
                <w:rFonts w:ascii="Calibri" w:hAnsi="Calibri" w:cs="Calibri"/>
                <w:color w:val="000000"/>
              </w:rPr>
            </w:pPr>
          </w:p>
        </w:tc>
        <w:tc>
          <w:tcPr>
            <w:tcW w:w="6237" w:type="dxa"/>
          </w:tcPr>
          <w:p w14:paraId="69E4D529" w14:textId="77777777" w:rsidR="00464BB1" w:rsidRPr="00117E99" w:rsidRDefault="00464BB1" w:rsidP="00117E99">
            <w:pPr>
              <w:cnfStyle w:val="000000100000" w:firstRow="0" w:lastRow="0" w:firstColumn="0" w:lastColumn="0" w:oddVBand="0" w:evenVBand="0" w:oddHBand="1" w:evenHBand="0" w:firstRowFirstColumn="0" w:firstRowLastColumn="0" w:lastRowFirstColumn="0" w:lastRowLastColumn="0"/>
            </w:pPr>
            <w:r w:rsidRPr="00117E99">
              <w:t xml:space="preserve">Group A40, Subgroup 10 – Focussed psychological strategies phone services – Items </w:t>
            </w:r>
            <w:r w:rsidRPr="00CA64A5">
              <w:rPr>
                <w:rStyle w:val="Strong"/>
              </w:rPr>
              <w:t>91844, 91845</w:t>
            </w:r>
          </w:p>
        </w:tc>
      </w:tr>
      <w:tr w:rsidR="00464BB1" w:rsidRPr="00AA441D" w14:paraId="76088F5B" w14:textId="77777777" w:rsidTr="00117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44DA7385" w14:textId="77777777" w:rsidR="00464BB1" w:rsidRPr="00DB0253" w:rsidRDefault="00464BB1" w:rsidP="003D606C">
            <w:pPr>
              <w:spacing w:before="40" w:after="40"/>
              <w:rPr>
                <w:rFonts w:ascii="Calibri" w:hAnsi="Calibri" w:cs="Calibri"/>
                <w:color w:val="000000"/>
              </w:rPr>
            </w:pPr>
          </w:p>
        </w:tc>
        <w:tc>
          <w:tcPr>
            <w:tcW w:w="6237" w:type="dxa"/>
          </w:tcPr>
          <w:p w14:paraId="0B8E881E" w14:textId="77777777" w:rsidR="00464BB1" w:rsidRPr="00117E99" w:rsidRDefault="00464BB1" w:rsidP="00117E99">
            <w:pPr>
              <w:cnfStyle w:val="000000010000" w:firstRow="0" w:lastRow="0" w:firstColumn="0" w:lastColumn="0" w:oddVBand="0" w:evenVBand="0" w:oddHBand="0" w:evenHBand="1" w:firstRowFirstColumn="0" w:firstRowLastColumn="0" w:lastRowFirstColumn="0" w:lastRowLastColumn="0"/>
            </w:pPr>
            <w:r w:rsidRPr="00117E99">
              <w:t xml:space="preserve">Group A40, Subgroup 16 – GP pregnancy support counselling phone service – Item </w:t>
            </w:r>
            <w:r w:rsidRPr="00CA64A5">
              <w:rPr>
                <w:rStyle w:val="Strong"/>
              </w:rPr>
              <w:t>92139</w:t>
            </w:r>
          </w:p>
        </w:tc>
      </w:tr>
      <w:tr w:rsidR="00464BB1" w:rsidRPr="00AA441D" w14:paraId="3544118A" w14:textId="77777777" w:rsidTr="00117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4170998F" w14:textId="77777777" w:rsidR="00464BB1" w:rsidRPr="00DB0253" w:rsidRDefault="00464BB1" w:rsidP="003D606C">
            <w:pPr>
              <w:spacing w:before="40" w:after="40"/>
              <w:rPr>
                <w:rFonts w:ascii="Calibri" w:hAnsi="Calibri" w:cs="Calibri"/>
                <w:color w:val="000000"/>
              </w:rPr>
            </w:pPr>
          </w:p>
        </w:tc>
        <w:tc>
          <w:tcPr>
            <w:tcW w:w="6237" w:type="dxa"/>
          </w:tcPr>
          <w:p w14:paraId="17BFD466" w14:textId="77777777" w:rsidR="00464BB1" w:rsidRPr="00117E99" w:rsidRDefault="00464BB1" w:rsidP="00117E99">
            <w:pPr>
              <w:cnfStyle w:val="000000100000" w:firstRow="0" w:lastRow="0" w:firstColumn="0" w:lastColumn="0" w:oddVBand="0" w:evenVBand="0" w:oddHBand="1" w:evenHBand="0" w:firstRowFirstColumn="0" w:firstRowLastColumn="0" w:lastRowFirstColumn="0" w:lastRowLastColumn="0"/>
            </w:pPr>
            <w:r w:rsidRPr="00117E99">
              <w:t xml:space="preserve">Group A40, Subgroup 20 – GP mental health treatment plan phone service – Items </w:t>
            </w:r>
            <w:r w:rsidRPr="00CA64A5">
              <w:rPr>
                <w:rStyle w:val="Strong"/>
              </w:rPr>
              <w:t>92132, 92133</w:t>
            </w:r>
          </w:p>
        </w:tc>
      </w:tr>
      <w:tr w:rsidR="00464BB1" w:rsidRPr="00AA441D" w14:paraId="3DAE9C49" w14:textId="77777777" w:rsidTr="00117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0F61B5B9" w14:textId="77777777" w:rsidR="00464BB1" w:rsidRPr="00DB0253" w:rsidRDefault="00464BB1" w:rsidP="003D606C">
            <w:pPr>
              <w:spacing w:before="40" w:after="40"/>
              <w:rPr>
                <w:rFonts w:ascii="Calibri" w:hAnsi="Calibri" w:cs="Calibri"/>
                <w:color w:val="000000"/>
              </w:rPr>
            </w:pPr>
          </w:p>
        </w:tc>
        <w:tc>
          <w:tcPr>
            <w:tcW w:w="6237" w:type="dxa"/>
          </w:tcPr>
          <w:p w14:paraId="328544D6" w14:textId="77777777" w:rsidR="00464BB1" w:rsidRPr="00117E99" w:rsidRDefault="00464BB1" w:rsidP="00117E99">
            <w:pPr>
              <w:cnfStyle w:val="000000010000" w:firstRow="0" w:lastRow="0" w:firstColumn="0" w:lastColumn="0" w:oddVBand="0" w:evenVBand="0" w:oddHBand="0" w:evenHBand="1" w:firstRowFirstColumn="0" w:firstRowLastColumn="0" w:lastRowFirstColumn="0" w:lastRowLastColumn="0"/>
            </w:pPr>
            <w:r w:rsidRPr="00117E99">
              <w:t xml:space="preserve">Group A40, Subgroup 26 – Review of an eating disorder plan phone service – Item </w:t>
            </w:r>
            <w:r w:rsidRPr="00CA64A5">
              <w:rPr>
                <w:rStyle w:val="Strong"/>
              </w:rPr>
              <w:t>92177</w:t>
            </w:r>
          </w:p>
        </w:tc>
      </w:tr>
      <w:tr w:rsidR="00464BB1" w:rsidRPr="00AA441D" w14:paraId="69F3F8A9" w14:textId="77777777" w:rsidTr="00117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6EAE6E7D" w14:textId="77777777" w:rsidR="00464BB1" w:rsidRPr="00DB0253" w:rsidRDefault="00464BB1" w:rsidP="003D606C">
            <w:pPr>
              <w:spacing w:before="40" w:after="40"/>
              <w:rPr>
                <w:rFonts w:ascii="Calibri" w:hAnsi="Calibri" w:cs="Calibri"/>
                <w:color w:val="000000"/>
              </w:rPr>
            </w:pPr>
          </w:p>
        </w:tc>
        <w:tc>
          <w:tcPr>
            <w:tcW w:w="6237" w:type="dxa"/>
          </w:tcPr>
          <w:p w14:paraId="34D1A6AD" w14:textId="77777777" w:rsidR="00464BB1" w:rsidRPr="00117E99" w:rsidRDefault="00464BB1" w:rsidP="00117E99">
            <w:pPr>
              <w:cnfStyle w:val="000000100000" w:firstRow="0" w:lastRow="0" w:firstColumn="0" w:lastColumn="0" w:oddVBand="0" w:evenVBand="0" w:oddHBand="1" w:evenHBand="0" w:firstRowFirstColumn="0" w:firstRowLastColumn="0" w:lastRowFirstColumn="0" w:lastRowLastColumn="0"/>
            </w:pPr>
            <w:r w:rsidRPr="00117E99">
              <w:t xml:space="preserve">Group A40, Subgroup 28 – GP eating disorder focussed psychological strategies phone service – Items </w:t>
            </w:r>
            <w:r w:rsidRPr="00CA64A5">
              <w:rPr>
                <w:rStyle w:val="Strong"/>
              </w:rPr>
              <w:t>92198, 92200</w:t>
            </w:r>
          </w:p>
        </w:tc>
      </w:tr>
      <w:tr w:rsidR="00464BB1" w:rsidRPr="00AA441D" w14:paraId="13ADF735" w14:textId="77777777" w:rsidTr="00117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4F9765FA" w14:textId="77777777" w:rsidR="00464BB1" w:rsidRPr="00DB0253" w:rsidRDefault="00464BB1" w:rsidP="003D606C">
            <w:pPr>
              <w:spacing w:before="40" w:after="40"/>
              <w:rPr>
                <w:rFonts w:ascii="Calibri" w:hAnsi="Calibri" w:cs="Calibri"/>
                <w:color w:val="000000"/>
              </w:rPr>
            </w:pPr>
          </w:p>
        </w:tc>
        <w:tc>
          <w:tcPr>
            <w:tcW w:w="6237" w:type="dxa"/>
          </w:tcPr>
          <w:p w14:paraId="7E3007F3" w14:textId="77777777" w:rsidR="00464BB1" w:rsidRPr="00117E99" w:rsidRDefault="00464BB1" w:rsidP="00117E99">
            <w:pPr>
              <w:cnfStyle w:val="000000010000" w:firstRow="0" w:lastRow="0" w:firstColumn="0" w:lastColumn="0" w:oddVBand="0" w:evenVBand="0" w:oddHBand="0" w:evenHBand="1" w:firstRowFirstColumn="0" w:firstRowLastColumn="0" w:lastRowFirstColumn="0" w:lastRowLastColumn="0"/>
            </w:pPr>
            <w:r w:rsidRPr="00117E99">
              <w:t xml:space="preserve">Group A40, Subgroup 40 – GP sexual and reproductive health consultation phone service – Items </w:t>
            </w:r>
            <w:r w:rsidRPr="00CA64A5">
              <w:rPr>
                <w:rStyle w:val="Strong"/>
              </w:rPr>
              <w:t>92732, 92733, 92735, 92736, 92738, 92739, 92741, 92742</w:t>
            </w:r>
          </w:p>
        </w:tc>
      </w:tr>
      <w:tr w:rsidR="00464BB1" w:rsidRPr="00AA441D" w14:paraId="61242772" w14:textId="77777777" w:rsidTr="00117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13F15E89" w14:textId="77777777" w:rsidR="00464BB1" w:rsidRPr="00DB0253" w:rsidRDefault="00464BB1" w:rsidP="003D606C">
            <w:pPr>
              <w:spacing w:before="40" w:after="40"/>
              <w:rPr>
                <w:rFonts w:ascii="Calibri" w:hAnsi="Calibri" w:cs="Calibri"/>
                <w:color w:val="000000"/>
              </w:rPr>
            </w:pPr>
          </w:p>
        </w:tc>
        <w:tc>
          <w:tcPr>
            <w:tcW w:w="6237" w:type="dxa"/>
          </w:tcPr>
          <w:p w14:paraId="2DC45CAD" w14:textId="77777777" w:rsidR="00464BB1" w:rsidRPr="00117E99" w:rsidRDefault="00464BB1" w:rsidP="00117E99">
            <w:pPr>
              <w:cnfStyle w:val="000000100000" w:firstRow="0" w:lastRow="0" w:firstColumn="0" w:lastColumn="0" w:oddVBand="0" w:evenVBand="0" w:oddHBand="1" w:evenHBand="0" w:firstRowFirstColumn="0" w:firstRowLastColumn="0" w:lastRowFirstColumn="0" w:lastRowLastColumn="0"/>
            </w:pPr>
            <w:r w:rsidRPr="00117E99">
              <w:t xml:space="preserve">Group A41, Subgroup 2 – Non-specialist practitioner additional focussed psychological strategies – Items </w:t>
            </w:r>
            <w:r w:rsidRPr="00CA64A5">
              <w:rPr>
                <w:rStyle w:val="Strong"/>
              </w:rPr>
              <w:t>93308, 93311</w:t>
            </w:r>
          </w:p>
        </w:tc>
      </w:tr>
      <w:tr w:rsidR="00464BB1" w:rsidRPr="00AA441D" w14:paraId="1BD4BAA0" w14:textId="77777777" w:rsidTr="00117E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430A2F02" w14:textId="77777777" w:rsidR="00464BB1" w:rsidRPr="00DB0253" w:rsidRDefault="00464BB1" w:rsidP="003D606C">
            <w:pPr>
              <w:spacing w:before="40" w:after="40"/>
              <w:rPr>
                <w:rFonts w:ascii="Calibri" w:hAnsi="Calibri" w:cs="Calibri"/>
                <w:color w:val="000000"/>
              </w:rPr>
            </w:pPr>
          </w:p>
        </w:tc>
        <w:tc>
          <w:tcPr>
            <w:tcW w:w="6237" w:type="dxa"/>
          </w:tcPr>
          <w:p w14:paraId="78BA3D75" w14:textId="77777777" w:rsidR="00464BB1" w:rsidRPr="00117E99" w:rsidRDefault="00464BB1" w:rsidP="00117E99">
            <w:pPr>
              <w:cnfStyle w:val="000000010000" w:firstRow="0" w:lastRow="0" w:firstColumn="0" w:lastColumn="0" w:oddVBand="0" w:evenVBand="0" w:oddHBand="0" w:evenHBand="1" w:firstRowFirstColumn="0" w:firstRowLastColumn="0" w:lastRowFirstColumn="0" w:lastRowLastColumn="0"/>
            </w:pPr>
            <w:r w:rsidRPr="00117E99">
              <w:t xml:space="preserve">Group A42, Subgroup 4 – Non-specialist practitioner mental health treatment plan review for care recipients of a residential aged care facility – Item </w:t>
            </w:r>
            <w:r w:rsidRPr="00CA64A5">
              <w:rPr>
                <w:rStyle w:val="Strong"/>
              </w:rPr>
              <w:t>93453</w:t>
            </w:r>
          </w:p>
        </w:tc>
      </w:tr>
      <w:tr w:rsidR="00464BB1" w:rsidRPr="00DB0253" w14:paraId="655F380B" w14:textId="77777777" w:rsidTr="00117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Pr>
          <w:p w14:paraId="4B084F2F" w14:textId="77777777" w:rsidR="00464BB1" w:rsidRPr="00DB0253" w:rsidRDefault="00464BB1" w:rsidP="003D606C">
            <w:pPr>
              <w:spacing w:before="40" w:after="40"/>
              <w:rPr>
                <w:rFonts w:ascii="Calibri" w:hAnsi="Calibri" w:cs="Calibri"/>
                <w:color w:val="000000"/>
              </w:rPr>
            </w:pPr>
          </w:p>
        </w:tc>
        <w:tc>
          <w:tcPr>
            <w:tcW w:w="6237" w:type="dxa"/>
          </w:tcPr>
          <w:p w14:paraId="18D2ADB8" w14:textId="77777777" w:rsidR="00464BB1" w:rsidRPr="00117E99" w:rsidRDefault="00464BB1" w:rsidP="00117E99">
            <w:pPr>
              <w:cnfStyle w:val="000000100000" w:firstRow="0" w:lastRow="0" w:firstColumn="0" w:lastColumn="0" w:oddVBand="0" w:evenVBand="0" w:oddHBand="1" w:evenHBand="0" w:firstRowFirstColumn="0" w:firstRowLastColumn="0" w:lastRowFirstColumn="0" w:lastRowLastColumn="0"/>
            </w:pPr>
            <w:r w:rsidRPr="00117E99">
              <w:t xml:space="preserve">Group A45, Subgroup 3 – GP smoking cessation services phone services – Items </w:t>
            </w:r>
            <w:r w:rsidRPr="00CA64A5">
              <w:rPr>
                <w:rStyle w:val="Strong"/>
              </w:rPr>
              <w:t>93701, 93702, 93704, 93705</w:t>
            </w:r>
          </w:p>
        </w:tc>
      </w:tr>
    </w:tbl>
    <w:bookmarkEnd w:id="2"/>
    <w:p w14:paraId="3C7AD6EA" w14:textId="5B28E36B" w:rsidR="004F2C7D" w:rsidRPr="00117E99" w:rsidRDefault="004F2C7D" w:rsidP="004F2C7D">
      <w:r>
        <w:t>The telephone attendance services in the table above are listed in the </w:t>
      </w:r>
      <w:hyperlink r:id="rId19" w:tgtFrame="_blank" w:history="1">
        <w:r>
          <w:rPr>
            <w:rStyle w:val="Emphasis"/>
            <w:color w:val="0000FF"/>
            <w:u w:val="single"/>
          </w:rPr>
          <w:t>Health Insurance (Section 3C General Medical Services – Telehealth and Telephone Attendances) Determination 2021</w:t>
        </w:r>
      </w:hyperlink>
      <w:r w:rsidR="00844BD4">
        <w:t>.</w:t>
      </w:r>
    </w:p>
    <w:p w14:paraId="483DB7CA" w14:textId="12DAD97A" w:rsidR="00C36908" w:rsidRPr="00117E99" w:rsidRDefault="00A76313" w:rsidP="00CA64A5">
      <w:pPr>
        <w:pStyle w:val="Heading1"/>
      </w:pPr>
      <w:r w:rsidRPr="00117E99">
        <w:t xml:space="preserve">Other </w:t>
      </w:r>
      <w:r w:rsidR="00C36908" w:rsidRPr="00117E99">
        <w:t>Exclusions</w:t>
      </w:r>
    </w:p>
    <w:p w14:paraId="775853DE" w14:textId="5233F22E" w:rsidR="005F54B8" w:rsidRDefault="005F54B8" w:rsidP="00855304">
      <w:r>
        <w:t>The following are not included in the new 30/20</w:t>
      </w:r>
      <w:r w:rsidR="00282187">
        <w:t xml:space="preserve"> telephone</w:t>
      </w:r>
      <w:r>
        <w:t xml:space="preserve"> rule:</w:t>
      </w:r>
    </w:p>
    <w:p w14:paraId="43950D93" w14:textId="554611EB" w:rsidR="007C6CED" w:rsidRPr="00117E99" w:rsidRDefault="007C6CED" w:rsidP="00855304">
      <w:pPr>
        <w:pStyle w:val="ListBullet"/>
      </w:pPr>
      <w:bookmarkStart w:id="4" w:name="_Hlk115253374"/>
      <w:r w:rsidRPr="00117E99">
        <w:t>temporary MBS</w:t>
      </w:r>
      <w:r w:rsidR="00860635" w:rsidRPr="00117E99">
        <w:t xml:space="preserve"> items for</w:t>
      </w:r>
      <w:r w:rsidRPr="00117E99">
        <w:t xml:space="preserve"> telephone services for assessing patients’ suitability for COVID-19 oral antiviral medications </w:t>
      </w:r>
      <w:r w:rsidR="005116CB" w:rsidRPr="00117E99">
        <w:t>(item 93716 for GPs, and 93717 for OMP)</w:t>
      </w:r>
    </w:p>
    <w:bookmarkEnd w:id="4"/>
    <w:p w14:paraId="6BCA9565" w14:textId="386E4D2C" w:rsidR="00C36908" w:rsidRPr="00117E99" w:rsidRDefault="00247325" w:rsidP="00855304">
      <w:pPr>
        <w:pStyle w:val="ListBullet"/>
      </w:pPr>
      <w:r w:rsidRPr="00117E99">
        <w:t xml:space="preserve">MBS </w:t>
      </w:r>
      <w:r w:rsidR="00C63A3E" w:rsidRPr="00117E99">
        <w:t>t</w:t>
      </w:r>
      <w:r w:rsidR="00C36908" w:rsidRPr="00117E99">
        <w:t>elephone items for midwives, allied health practitioners, allied mental health practitioners and nurse practitioners</w:t>
      </w:r>
    </w:p>
    <w:p w14:paraId="45229166" w14:textId="2F890724" w:rsidR="00522BA3" w:rsidRPr="00117E99" w:rsidRDefault="00860635" w:rsidP="00855304">
      <w:pPr>
        <w:pStyle w:val="ListBullet"/>
      </w:pPr>
      <w:r w:rsidRPr="00117E99">
        <w:t xml:space="preserve">MBS items for </w:t>
      </w:r>
      <w:r w:rsidR="00C63A3E" w:rsidRPr="00117E99">
        <w:t>s</w:t>
      </w:r>
      <w:r w:rsidR="00522BA3" w:rsidRPr="00117E99">
        <w:t>ervices provided on behalf of a medical practitioner (items 93202 and 93203)</w:t>
      </w:r>
    </w:p>
    <w:p w14:paraId="364243FF" w14:textId="609F268B" w:rsidR="00522BA3" w:rsidRPr="00117E99" w:rsidRDefault="00C63A3E" w:rsidP="00855304">
      <w:pPr>
        <w:pStyle w:val="ListBullet"/>
      </w:pPr>
      <w:r w:rsidRPr="00117E99">
        <w:t>o</w:t>
      </w:r>
      <w:r w:rsidR="00522BA3" w:rsidRPr="00117E99">
        <w:t>bstetric services (items 91855, 91856, 91857 and 91858)</w:t>
      </w:r>
      <w:r w:rsidRPr="00117E99">
        <w:t>.</w:t>
      </w:r>
    </w:p>
    <w:p w14:paraId="6BCA128A" w14:textId="527EFAB3" w:rsidR="00976AC9" w:rsidRPr="0032245F" w:rsidRDefault="00B546D4" w:rsidP="00855304">
      <w:pPr>
        <w:pStyle w:val="Heading2"/>
        <w:rPr>
          <w:rFonts w:eastAsiaTheme="majorEastAsia"/>
        </w:rPr>
      </w:pPr>
      <w:r>
        <w:rPr>
          <w:rFonts w:eastAsiaTheme="majorEastAsia"/>
        </w:rPr>
        <w:t xml:space="preserve">Breaches of the 30/20 </w:t>
      </w:r>
      <w:r w:rsidR="00282187">
        <w:rPr>
          <w:rFonts w:eastAsiaTheme="majorEastAsia"/>
        </w:rPr>
        <w:t xml:space="preserve">telephone </w:t>
      </w:r>
      <w:r>
        <w:rPr>
          <w:rFonts w:eastAsiaTheme="majorEastAsia"/>
        </w:rPr>
        <w:t>rule</w:t>
      </w:r>
    </w:p>
    <w:p w14:paraId="7525EEEB" w14:textId="77F95DAF" w:rsidR="00586DEE" w:rsidRPr="00117E99" w:rsidRDefault="00586DEE" w:rsidP="00117E99">
      <w:r w:rsidRPr="00117E99">
        <w:t xml:space="preserve">The Department of Health and Aged Care will identify breaches through </w:t>
      </w:r>
      <w:r w:rsidR="007D69AB" w:rsidRPr="00117E99">
        <w:t>regular data monitoring</w:t>
      </w:r>
      <w:r w:rsidRPr="00117E99">
        <w:t xml:space="preserve">. A breach can be identified at any time within a 12-month period </w:t>
      </w:r>
      <w:r w:rsidR="00746EAC" w:rsidRPr="00117E99">
        <w:t>from 1</w:t>
      </w:r>
      <w:r w:rsidR="001609FD" w:rsidRPr="00117E99">
        <w:t xml:space="preserve"> October </w:t>
      </w:r>
      <w:r w:rsidR="00AC090F" w:rsidRPr="00117E99">
        <w:t>2022</w:t>
      </w:r>
      <w:r w:rsidRPr="00117E99">
        <w:t xml:space="preserve">. </w:t>
      </w:r>
      <w:r w:rsidR="00C31653" w:rsidRPr="00117E99">
        <w:t xml:space="preserve">A </w:t>
      </w:r>
      <w:r w:rsidRPr="00117E99">
        <w:t xml:space="preserve">full 12-months of cumulative </w:t>
      </w:r>
      <w:r w:rsidR="00EE3A86" w:rsidRPr="00117E99">
        <w:t xml:space="preserve">claiming </w:t>
      </w:r>
      <w:r w:rsidRPr="00117E99">
        <w:t xml:space="preserve">is </w:t>
      </w:r>
      <w:r w:rsidR="00C31653" w:rsidRPr="00117E99">
        <w:t xml:space="preserve">not </w:t>
      </w:r>
      <w:r w:rsidRPr="00117E99">
        <w:t>required to identify a breach</w:t>
      </w:r>
      <w:r w:rsidR="00C31653" w:rsidRPr="00117E99">
        <w:t xml:space="preserve">. A breach can be identified at any time </w:t>
      </w:r>
      <w:r w:rsidR="00FD4DAC" w:rsidRPr="00117E99">
        <w:t>during</w:t>
      </w:r>
      <w:r w:rsidR="00B82A29" w:rsidRPr="00117E99">
        <w:t xml:space="preserve"> a rolling </w:t>
      </w:r>
      <w:r w:rsidR="009B0421" w:rsidRPr="00117E99">
        <w:t>12-month</w:t>
      </w:r>
      <w:r w:rsidR="00B82A29" w:rsidRPr="00117E99">
        <w:t xml:space="preserve"> period.</w:t>
      </w:r>
    </w:p>
    <w:p w14:paraId="32A9692F" w14:textId="348C0D6B" w:rsidR="00976AC9" w:rsidRPr="00117E99" w:rsidRDefault="00976AC9" w:rsidP="00117E99">
      <w:r w:rsidRPr="00117E99">
        <w:t xml:space="preserve">Under the </w:t>
      </w:r>
      <w:hyperlink r:id="rId20" w:history="1">
        <w:r w:rsidRPr="00844BD4">
          <w:rPr>
            <w:rStyle w:val="Hyperlink"/>
            <w:rFonts w:eastAsiaTheme="majorEastAsia"/>
            <w:i/>
            <w:iCs/>
          </w:rPr>
          <w:t>Health Insurance Act 1973</w:t>
        </w:r>
      </w:hyperlink>
      <w:r w:rsidRPr="00117E99">
        <w:t xml:space="preserve"> the Chief Executive Medicare or delegate is required  to </w:t>
      </w:r>
      <w:r w:rsidR="0095274B" w:rsidRPr="00117E99">
        <w:t xml:space="preserve">request a review by the Director of the </w:t>
      </w:r>
      <w:hyperlink r:id="rId21" w:history="1">
        <w:r w:rsidR="0095274B" w:rsidRPr="00117E99">
          <w:rPr>
            <w:rStyle w:val="Hyperlink"/>
          </w:rPr>
          <w:t>PSR</w:t>
        </w:r>
      </w:hyperlink>
      <w:r w:rsidR="0095274B" w:rsidRPr="00117E99">
        <w:t xml:space="preserve"> of </w:t>
      </w:r>
      <w:r w:rsidR="00B82A29" w:rsidRPr="00117E99">
        <w:t xml:space="preserve">any </w:t>
      </w:r>
      <w:r w:rsidR="006A6551" w:rsidRPr="00117E99">
        <w:t>practitioner</w:t>
      </w:r>
      <w:r w:rsidRPr="00117E99">
        <w:t xml:space="preserve"> who </w:t>
      </w:r>
      <w:r w:rsidR="005D2211" w:rsidRPr="00117E99">
        <w:t xml:space="preserve">is </w:t>
      </w:r>
      <w:r w:rsidR="00B82A29" w:rsidRPr="00117E99">
        <w:t>breaching the</w:t>
      </w:r>
      <w:r w:rsidRPr="00117E99">
        <w:t xml:space="preserve"> </w:t>
      </w:r>
      <w:r w:rsidRPr="00117E99">
        <w:lastRenderedPageBreak/>
        <w:t xml:space="preserve">prescribed pattern of services </w:t>
      </w:r>
      <w:r w:rsidR="00B82A29" w:rsidRPr="00117E99">
        <w:t>rules</w:t>
      </w:r>
      <w:r w:rsidRPr="00117E99">
        <w:t xml:space="preserve">. This referral is undertaken through the </w:t>
      </w:r>
      <w:hyperlink r:id="rId22" w:history="1">
        <w:r w:rsidRPr="00117E99">
          <w:rPr>
            <w:rStyle w:val="Hyperlink"/>
          </w:rPr>
          <w:t>Practitioner Review Program</w:t>
        </w:r>
      </w:hyperlink>
      <w:r w:rsidRPr="00117E99">
        <w:t xml:space="preserve"> which is administered by the Department of Health and Aged Care.</w:t>
      </w:r>
    </w:p>
    <w:p w14:paraId="472A6E8B" w14:textId="77777777" w:rsidR="0095263C" w:rsidRPr="00117E99" w:rsidRDefault="0095263C" w:rsidP="00855304">
      <w:pPr>
        <w:pStyle w:val="Heading1"/>
      </w:pPr>
      <w:r w:rsidRPr="00117E99">
        <w:t>Exceptional Circumstances</w:t>
      </w:r>
    </w:p>
    <w:p w14:paraId="35F64C9F" w14:textId="22E47F9F" w:rsidR="00117E99" w:rsidRDefault="00037551" w:rsidP="00855304">
      <w:r w:rsidRPr="00117E99">
        <w:t xml:space="preserve">If a medical practitioner is identified as providing a prescribed pattern of services, they will be </w:t>
      </w:r>
      <w:hyperlink r:id="rId23" w:history="1">
        <w:r w:rsidRPr="00117E99">
          <w:rPr>
            <w:rStyle w:val="Hyperlink"/>
          </w:rPr>
          <w:t>referred to the Director of the PSR</w:t>
        </w:r>
      </w:hyperlink>
      <w:r w:rsidRPr="00117E99">
        <w:t xml:space="preserve"> </w:t>
      </w:r>
      <w:r w:rsidR="00CA787E" w:rsidRPr="00117E99">
        <w:t xml:space="preserve">as they are deemed </w:t>
      </w:r>
      <w:r w:rsidRPr="00117E99">
        <w:t>to have engaged in inappropriate practice.</w:t>
      </w:r>
    </w:p>
    <w:p w14:paraId="3300AFC9" w14:textId="486DFE04" w:rsidR="004F2C7D" w:rsidRPr="004F2C7D" w:rsidRDefault="004F2C7D" w:rsidP="004F2C7D">
      <w:r>
        <w:t>A limited set of exceptional circumstances exist, as defined in the </w:t>
      </w:r>
      <w:hyperlink r:id="rId24" w:tgtFrame="_blank" w:history="1">
        <w:r>
          <w:rPr>
            <w:rStyle w:val="Emphasis"/>
            <w:color w:val="0000FF"/>
            <w:u w:val="single"/>
          </w:rPr>
          <w:t>Health Insurance (Professional Services Review Scheme) Regulations 2019</w:t>
        </w:r>
      </w:hyperlink>
      <w:r>
        <w:t>, which may be taken into account when breaches are identified.</w:t>
      </w:r>
    </w:p>
    <w:p w14:paraId="49BB4E3F" w14:textId="7D3CD13F" w:rsidR="00A23C83" w:rsidRDefault="00A23C83" w:rsidP="00855304">
      <w:pPr>
        <w:pStyle w:val="Heading2"/>
        <w:rPr>
          <w:rFonts w:eastAsiaTheme="majorEastAsia"/>
        </w:rPr>
      </w:pPr>
      <w:r>
        <w:rPr>
          <w:rFonts w:eastAsiaTheme="majorEastAsia"/>
        </w:rPr>
        <w:t>Ensuring</w:t>
      </w:r>
      <w:r w:rsidRPr="00A23C83">
        <w:rPr>
          <w:rFonts w:eastAsiaTheme="majorEastAsia"/>
        </w:rPr>
        <w:t xml:space="preserve"> complian</w:t>
      </w:r>
      <w:r>
        <w:rPr>
          <w:rFonts w:eastAsiaTheme="majorEastAsia"/>
        </w:rPr>
        <w:t>t</w:t>
      </w:r>
      <w:r w:rsidRPr="00A23C83">
        <w:rPr>
          <w:rFonts w:eastAsiaTheme="majorEastAsia"/>
        </w:rPr>
        <w:t xml:space="preserve"> </w:t>
      </w:r>
      <w:r w:rsidR="00FD4DAC">
        <w:rPr>
          <w:rFonts w:eastAsiaTheme="majorEastAsia"/>
        </w:rPr>
        <w:t>claiming</w:t>
      </w:r>
    </w:p>
    <w:p w14:paraId="437F203F" w14:textId="77777777" w:rsidR="0078541E" w:rsidRDefault="00A23C83" w:rsidP="00855304">
      <w:r>
        <w:t xml:space="preserve">The Department of Health and Aged Care recognises that </w:t>
      </w:r>
      <w:r w:rsidR="002F0DE6">
        <w:t>most</w:t>
      </w:r>
      <w:r>
        <w:t xml:space="preserve"> health </w:t>
      </w:r>
      <w:r w:rsidR="006A6551">
        <w:t>practitioners</w:t>
      </w:r>
      <w:r>
        <w:t xml:space="preserve"> maintain high professional standards and adhere to the rules that govern access to the MBS. </w:t>
      </w:r>
    </w:p>
    <w:p w14:paraId="11CF9AAC" w14:textId="14065332" w:rsidR="0078541E" w:rsidRPr="00117E99" w:rsidRDefault="0078541E" w:rsidP="00855304">
      <w:pPr>
        <w:pStyle w:val="Boxtype"/>
      </w:pPr>
      <w:r>
        <w:t xml:space="preserve">One of the </w:t>
      </w:r>
      <w:r w:rsidR="005F54B8">
        <w:t>easiest and most effective</w:t>
      </w:r>
      <w:r>
        <w:t xml:space="preserve"> ways </w:t>
      </w:r>
      <w:r w:rsidR="00860635">
        <w:t xml:space="preserve">for practitioners to </w:t>
      </w:r>
      <w:r>
        <w:t xml:space="preserve">ensure high compliance standards in </w:t>
      </w:r>
      <w:r w:rsidR="00860635">
        <w:t xml:space="preserve">their </w:t>
      </w:r>
      <w:r>
        <w:t xml:space="preserve">own practice is through </w:t>
      </w:r>
      <w:r w:rsidR="004B642D" w:rsidRPr="00117E99">
        <w:rPr>
          <w:rStyle w:val="Strong"/>
        </w:rPr>
        <w:t xml:space="preserve">making sure </w:t>
      </w:r>
      <w:r w:rsidR="00860635" w:rsidRPr="00117E99">
        <w:rPr>
          <w:rStyle w:val="Strong"/>
        </w:rPr>
        <w:t xml:space="preserve">they </w:t>
      </w:r>
      <w:r w:rsidR="004B642D" w:rsidRPr="00117E99">
        <w:rPr>
          <w:rStyle w:val="Strong"/>
        </w:rPr>
        <w:t xml:space="preserve">know what is being claimed </w:t>
      </w:r>
      <w:r w:rsidRPr="00117E99">
        <w:rPr>
          <w:rStyle w:val="Strong"/>
        </w:rPr>
        <w:t xml:space="preserve">under </w:t>
      </w:r>
      <w:r w:rsidR="00860635" w:rsidRPr="00117E99">
        <w:rPr>
          <w:rStyle w:val="Strong"/>
        </w:rPr>
        <w:t xml:space="preserve">their </w:t>
      </w:r>
      <w:r w:rsidRPr="00117E99">
        <w:rPr>
          <w:rStyle w:val="Strong"/>
        </w:rPr>
        <w:t xml:space="preserve">provider number and </w:t>
      </w:r>
      <w:r w:rsidR="004B642D" w:rsidRPr="00117E99">
        <w:rPr>
          <w:rStyle w:val="Strong"/>
        </w:rPr>
        <w:t xml:space="preserve">taking steps to remedy </w:t>
      </w:r>
      <w:r w:rsidRPr="00117E99">
        <w:rPr>
          <w:rStyle w:val="Strong"/>
        </w:rPr>
        <w:t>any errors.</w:t>
      </w:r>
    </w:p>
    <w:p w14:paraId="595CCB7E" w14:textId="259549A3" w:rsidR="00A23C83" w:rsidRDefault="0078541E" w:rsidP="00844BD4">
      <w:r>
        <w:t>A</w:t>
      </w:r>
      <w:r w:rsidR="00A23C83">
        <w:t xml:space="preserve">pplying the following simple measures, </w:t>
      </w:r>
      <w:r>
        <w:t>can also help to</w:t>
      </w:r>
      <w:r w:rsidR="006A6551">
        <w:t xml:space="preserve"> avoid inadvertent non-compliance</w:t>
      </w:r>
      <w:r>
        <w:t>:</w:t>
      </w:r>
    </w:p>
    <w:p w14:paraId="350A4F44" w14:textId="7E8BE895" w:rsidR="00A23C83" w:rsidRDefault="00860635" w:rsidP="00855304">
      <w:pPr>
        <w:pStyle w:val="ListBullet"/>
      </w:pPr>
      <w:r>
        <w:t xml:space="preserve">ensuring </w:t>
      </w:r>
      <w:r w:rsidR="006904A2">
        <w:t>awareness and education</w:t>
      </w:r>
      <w:r>
        <w:t xml:space="preserve"> </w:t>
      </w:r>
      <w:r w:rsidR="00A23C83">
        <w:t>about the rules and requirements of the MBS utilising the range of services and resources provided by the Department and Services Australia</w:t>
      </w:r>
    </w:p>
    <w:p w14:paraId="10AF2BF0" w14:textId="7EE87E6D" w:rsidR="00A23C83" w:rsidRDefault="009B65A4" w:rsidP="00855304">
      <w:pPr>
        <w:pStyle w:val="ListBullet"/>
      </w:pPr>
      <w:r>
        <w:t xml:space="preserve">using professional judgment to ensure that only </w:t>
      </w:r>
      <w:r w:rsidR="00A23C83">
        <w:t xml:space="preserve">clinically relevant services and referrals that are necessary for the appropriate treatment of the patient </w:t>
      </w:r>
      <w:r>
        <w:t>are provided</w:t>
      </w:r>
    </w:p>
    <w:p w14:paraId="38155C63" w14:textId="0E774456" w:rsidR="00A23C83" w:rsidRDefault="00A23C83" w:rsidP="00855304">
      <w:pPr>
        <w:pStyle w:val="ListBullet"/>
      </w:pPr>
      <w:r>
        <w:t xml:space="preserve">ensuring that only eligible services are claimed </w:t>
      </w:r>
    </w:p>
    <w:p w14:paraId="7E170B59" w14:textId="68F243A9" w:rsidR="00A23C83" w:rsidRDefault="00A23C83" w:rsidP="00855304">
      <w:pPr>
        <w:pStyle w:val="ListBullet"/>
      </w:pPr>
      <w:r>
        <w:t xml:space="preserve">creating and retaining contemporaneous clinical and administrative records </w:t>
      </w:r>
    </w:p>
    <w:p w14:paraId="67DFACEB" w14:textId="669223A6" w:rsidR="0087320F" w:rsidRPr="0087320F" w:rsidRDefault="00984D40" w:rsidP="00855304">
      <w:pPr>
        <w:pStyle w:val="ListBullet"/>
        <w:rPr>
          <w:rFonts w:eastAsia="Calibri"/>
        </w:rPr>
      </w:pPr>
      <w:hyperlink w:anchor="Compliance_contacts" w:history="1">
        <w:r w:rsidR="00A23C83" w:rsidRPr="006904A2">
          <w:rPr>
            <w:rStyle w:val="Hyperlink"/>
          </w:rPr>
          <w:t>proactively contacting the Department</w:t>
        </w:r>
        <w:r w:rsidR="006904A2" w:rsidRPr="006904A2">
          <w:rPr>
            <w:rStyle w:val="Hyperlink"/>
          </w:rPr>
          <w:t xml:space="preserve"> of Health and Age</w:t>
        </w:r>
        <w:r w:rsidR="002225DC">
          <w:rPr>
            <w:rStyle w:val="Hyperlink"/>
          </w:rPr>
          <w:t>d Care</w:t>
        </w:r>
        <w:r w:rsidR="00A23C83" w:rsidRPr="006904A2">
          <w:rPr>
            <w:rStyle w:val="Hyperlink"/>
          </w:rPr>
          <w:t xml:space="preserve"> and Services Australia</w:t>
        </w:r>
      </w:hyperlink>
      <w:r w:rsidR="00A23C83">
        <w:t xml:space="preserve"> if </w:t>
      </w:r>
      <w:r w:rsidR="00D56434">
        <w:t>errors in claiming are identified.</w:t>
      </w:r>
    </w:p>
    <w:p w14:paraId="65A8DAE0" w14:textId="4AA97655" w:rsidR="00844BD4" w:rsidRDefault="0087320F" w:rsidP="00844BD4">
      <w:r>
        <w:t xml:space="preserve">Practitioners can avoid inadvertent breaches of the 30/20 </w:t>
      </w:r>
      <w:r w:rsidR="00282187">
        <w:t xml:space="preserve">telephone </w:t>
      </w:r>
      <w:r>
        <w:t xml:space="preserve">rule by </w:t>
      </w:r>
      <w:r w:rsidR="00C36908">
        <w:t>utilising</w:t>
      </w:r>
      <w:r>
        <w:t xml:space="preserve"> video</w:t>
      </w:r>
      <w:r w:rsidR="00B03CCA">
        <w:noBreakHyphen/>
      </w:r>
      <w:r>
        <w:t xml:space="preserve">conferencing </w:t>
      </w:r>
      <w:r w:rsidR="00C36908">
        <w:t>where appropriate</w:t>
      </w:r>
      <w:r w:rsidR="005F54B8">
        <w:t>.</w:t>
      </w:r>
      <w:r w:rsidR="00844BD4">
        <w:br w:type="page"/>
      </w:r>
    </w:p>
    <w:p w14:paraId="46BDE640" w14:textId="77777777" w:rsidR="00464BB1" w:rsidRPr="00117E99" w:rsidRDefault="00464BB1" w:rsidP="00855304">
      <w:pPr>
        <w:pStyle w:val="Heading1"/>
      </w:pPr>
      <w:bookmarkStart w:id="5" w:name="_Toc82699879"/>
      <w:bookmarkEnd w:id="0"/>
      <w:r w:rsidRPr="00117E99">
        <w:lastRenderedPageBreak/>
        <w:t xml:space="preserve">Further support, </w:t>
      </w:r>
      <w:proofErr w:type="gramStart"/>
      <w:r w:rsidRPr="00117E99">
        <w:t>contacts</w:t>
      </w:r>
      <w:proofErr w:type="gramEnd"/>
      <w:r w:rsidRPr="00117E99">
        <w:t xml:space="preserve"> and resources</w:t>
      </w:r>
    </w:p>
    <w:bookmarkEnd w:id="5"/>
    <w:p w14:paraId="1D8ED66B" w14:textId="77777777" w:rsidR="00464BB1" w:rsidRPr="00117E99" w:rsidRDefault="00464BB1" w:rsidP="00855304">
      <w:r w:rsidRPr="00117E99">
        <w:t>Additional information and resources on health payment programs compliance and enforcement for practitioners include the following.</w:t>
      </w:r>
    </w:p>
    <w:p w14:paraId="0BC49806" w14:textId="77777777" w:rsidR="00464BB1" w:rsidRPr="00117E99" w:rsidRDefault="00464BB1" w:rsidP="00855304">
      <w:pPr>
        <w:rPr>
          <w:rFonts w:eastAsia="HelveticaNeueLTStd-Lt"/>
        </w:rPr>
      </w:pPr>
      <w:proofErr w:type="spellStart"/>
      <w:r w:rsidRPr="00117E99">
        <w:rPr>
          <w:rStyle w:val="Strong"/>
          <w:rFonts w:eastAsia="HelveticaNeueLTStd-Lt"/>
        </w:rPr>
        <w:t>AskMBS</w:t>
      </w:r>
      <w:proofErr w:type="spellEnd"/>
      <w:r w:rsidRPr="00117E99">
        <w:rPr>
          <w:rFonts w:eastAsia="HelveticaNeueLTStd-Lt"/>
        </w:rPr>
        <w:t xml:space="preserve"> – The </w:t>
      </w:r>
      <w:proofErr w:type="spellStart"/>
      <w:r w:rsidRPr="00117E99">
        <w:rPr>
          <w:rFonts w:eastAsia="HelveticaNeueLTStd-Lt"/>
        </w:rPr>
        <w:t>AskMBS</w:t>
      </w:r>
      <w:proofErr w:type="spellEnd"/>
      <w:r w:rsidRPr="00117E99">
        <w:rPr>
          <w:rFonts w:eastAsia="HelveticaNeueLTStd-Lt"/>
        </w:rPr>
        <w:t xml:space="preserve"> email service responds to enquiries from providers of services listed on the MBS seeking advice on the interpretation of MBS items, explanatory </w:t>
      </w:r>
      <w:proofErr w:type="gramStart"/>
      <w:r w:rsidRPr="00117E99">
        <w:rPr>
          <w:rFonts w:eastAsia="HelveticaNeueLTStd-Lt"/>
        </w:rPr>
        <w:t>notes</w:t>
      </w:r>
      <w:proofErr w:type="gramEnd"/>
      <w:r w:rsidRPr="00117E99">
        <w:rPr>
          <w:rFonts w:eastAsia="HelveticaNeueLTStd-Lt"/>
        </w:rPr>
        <w:t xml:space="preserve"> and associated legislation.</w:t>
      </w:r>
    </w:p>
    <w:p w14:paraId="1008C6CB" w14:textId="10C8404C" w:rsidR="00464BB1" w:rsidRPr="00117E99" w:rsidRDefault="00464BB1" w:rsidP="00855304">
      <w:pPr>
        <w:rPr>
          <w:rFonts w:eastAsia="HelveticaNeueLTStd-Lt"/>
        </w:rPr>
      </w:pPr>
      <w:r w:rsidRPr="00117E99">
        <w:rPr>
          <w:rFonts w:eastAsia="HelveticaNeueLTStd-Lt"/>
        </w:rPr>
        <w:t xml:space="preserve">More information about </w:t>
      </w:r>
      <w:proofErr w:type="spellStart"/>
      <w:r w:rsidRPr="00117E99">
        <w:rPr>
          <w:rFonts w:eastAsia="HelveticaNeueLTStd-Lt"/>
        </w:rPr>
        <w:t>AskMBS</w:t>
      </w:r>
      <w:proofErr w:type="spellEnd"/>
      <w:r w:rsidRPr="00117E99">
        <w:rPr>
          <w:rFonts w:eastAsia="HelveticaNeueLTStd-Lt"/>
        </w:rPr>
        <w:t xml:space="preserve"> can be found on the </w:t>
      </w:r>
      <w:hyperlink r:id="rId25" w:history="1">
        <w:proofErr w:type="spellStart"/>
        <w:r w:rsidRPr="00855304">
          <w:rPr>
            <w:rStyle w:val="Hyperlink"/>
            <w:rFonts w:eastAsia="HelveticaNeueLTStd-Lt"/>
          </w:rPr>
          <w:t>AskMBS</w:t>
        </w:r>
        <w:proofErr w:type="spellEnd"/>
        <w:r w:rsidRPr="00855304">
          <w:rPr>
            <w:rStyle w:val="Hyperlink"/>
            <w:rFonts w:eastAsia="HelveticaNeueLTStd-Lt"/>
          </w:rPr>
          <w:t xml:space="preserve"> Email Advice Service</w:t>
        </w:r>
      </w:hyperlink>
      <w:r w:rsidRPr="00117E99">
        <w:rPr>
          <w:rFonts w:eastAsia="HelveticaNeueLTStd-Lt"/>
        </w:rPr>
        <w:t xml:space="preserve"> page.</w:t>
      </w:r>
    </w:p>
    <w:p w14:paraId="3BBF1E75" w14:textId="0D230DBD" w:rsidR="00464BB1" w:rsidRPr="00117E99" w:rsidRDefault="00464BB1" w:rsidP="00855304">
      <w:pPr>
        <w:rPr>
          <w:rFonts w:eastAsia="HelveticaNeueLTStd-Lt"/>
        </w:rPr>
      </w:pPr>
      <w:r w:rsidRPr="00117E99">
        <w:rPr>
          <w:rStyle w:val="Strong"/>
          <w:rFonts w:eastAsia="HelveticaNeueLTStd-Lt"/>
        </w:rPr>
        <w:t>Record Keeping</w:t>
      </w:r>
      <w:r w:rsidRPr="00117E99">
        <w:rPr>
          <w:rFonts w:eastAsia="HelveticaNeueLTStd-Lt"/>
        </w:rPr>
        <w:t xml:space="preserve"> – Guidelines for administrative and clinical record keeping can be found at the Department of Health</w:t>
      </w:r>
      <w:r w:rsidR="006904A2" w:rsidRPr="00117E99">
        <w:rPr>
          <w:rFonts w:eastAsia="HelveticaNeueLTStd-Lt"/>
        </w:rPr>
        <w:t xml:space="preserve"> and </w:t>
      </w:r>
      <w:r w:rsidR="002225DC" w:rsidRPr="00117E99">
        <w:rPr>
          <w:rFonts w:eastAsia="HelveticaNeueLTStd-Lt"/>
        </w:rPr>
        <w:t>Aged Care</w:t>
      </w:r>
      <w:r w:rsidRPr="00117E99">
        <w:rPr>
          <w:rFonts w:eastAsia="HelveticaNeueLTStd-Lt"/>
        </w:rPr>
        <w:t xml:space="preserve"> website on the </w:t>
      </w:r>
      <w:hyperlink r:id="rId26" w:history="1">
        <w:r w:rsidRPr="00117E99">
          <w:rPr>
            <w:rStyle w:val="Hyperlink"/>
            <w:rFonts w:eastAsia="HelveticaNeueLTStd-Lt"/>
          </w:rPr>
          <w:t>Administrative record keeping guidelines for health professionals</w:t>
        </w:r>
      </w:hyperlink>
      <w:r w:rsidRPr="00117E99">
        <w:rPr>
          <w:rFonts w:eastAsia="HelveticaNeueLTStd-Lt"/>
        </w:rPr>
        <w:t xml:space="preserve"> page.</w:t>
      </w:r>
    </w:p>
    <w:p w14:paraId="2E0037A3" w14:textId="4ED707A6" w:rsidR="00464BB1" w:rsidRPr="00117E99" w:rsidRDefault="00464BB1" w:rsidP="00855304">
      <w:pPr>
        <w:rPr>
          <w:rFonts w:eastAsia="HelveticaNeueLTStd-Lt"/>
        </w:rPr>
      </w:pPr>
      <w:r w:rsidRPr="00117E99">
        <w:rPr>
          <w:rStyle w:val="Strong"/>
          <w:rFonts w:eastAsia="HelveticaNeueLTStd-Lt"/>
        </w:rPr>
        <w:t>Medicare Billing Toolkit</w:t>
      </w:r>
      <w:r w:rsidRPr="00117E99">
        <w:rPr>
          <w:rFonts w:eastAsia="HelveticaNeueLTStd-Lt"/>
        </w:rPr>
        <w:t xml:space="preserve"> – Information to assist with the prevention of non-compliance and to assist healthcare professionals to bill correctly can be found at the </w:t>
      </w:r>
      <w:hyperlink r:id="rId27" w:history="1">
        <w:r w:rsidRPr="00117E99">
          <w:rPr>
            <w:rStyle w:val="Hyperlink"/>
            <w:rFonts w:eastAsia="HelveticaNeueLTStd-Lt"/>
          </w:rPr>
          <w:t>Compliance education for health professionals Medicare Billing Assurance Toolkit</w:t>
        </w:r>
      </w:hyperlink>
      <w:r w:rsidRPr="00117E99">
        <w:rPr>
          <w:rFonts w:eastAsia="HelveticaNeueLTStd-Lt"/>
        </w:rPr>
        <w:t xml:space="preserve"> on the Department of Health</w:t>
      </w:r>
      <w:r w:rsidR="006904A2" w:rsidRPr="00117E99">
        <w:rPr>
          <w:rFonts w:eastAsia="HelveticaNeueLTStd-Lt"/>
        </w:rPr>
        <w:t xml:space="preserve"> and </w:t>
      </w:r>
      <w:r w:rsidR="002225DC" w:rsidRPr="00117E99">
        <w:rPr>
          <w:rFonts w:eastAsia="HelveticaNeueLTStd-Lt"/>
        </w:rPr>
        <w:t>Aged Care</w:t>
      </w:r>
      <w:r w:rsidR="006904A2" w:rsidRPr="00117E99">
        <w:rPr>
          <w:rFonts w:eastAsia="HelveticaNeueLTStd-Lt"/>
        </w:rPr>
        <w:t xml:space="preserve"> website</w:t>
      </w:r>
      <w:r w:rsidRPr="00117E99">
        <w:rPr>
          <w:rFonts w:eastAsia="HelveticaNeueLTStd-Lt"/>
        </w:rPr>
        <w:t>.</w:t>
      </w:r>
    </w:p>
    <w:p w14:paraId="5963267B" w14:textId="77777777" w:rsidR="00464BB1" w:rsidRPr="00117E99" w:rsidRDefault="00464BB1" w:rsidP="00855304">
      <w:pPr>
        <w:rPr>
          <w:rFonts w:eastAsia="HelveticaNeueLTStd-Lt"/>
        </w:rPr>
      </w:pPr>
      <w:r w:rsidRPr="00117E99">
        <w:rPr>
          <w:rStyle w:val="Strong"/>
          <w:rFonts w:eastAsia="HelveticaNeueLTStd-Lt"/>
        </w:rPr>
        <w:t>Services Australia</w:t>
      </w:r>
      <w:r w:rsidRPr="00117E99">
        <w:rPr>
          <w:rFonts w:eastAsia="HelveticaNeueLTStd-Lt"/>
        </w:rPr>
        <w:t xml:space="preserve"> – Services Australia is responsible for the administration of Medicare. More information can be found on the Services Australia website at </w:t>
      </w:r>
      <w:hyperlink r:id="rId28">
        <w:r w:rsidRPr="00117E99">
          <w:rPr>
            <w:rStyle w:val="Hyperlink"/>
            <w:rFonts w:eastAsia="HelveticaNeueLTStd-Lt"/>
          </w:rPr>
          <w:t>Medicare information for health professionals</w:t>
        </w:r>
      </w:hyperlink>
      <w:r w:rsidRPr="00117E99">
        <w:rPr>
          <w:rFonts w:eastAsia="HelveticaNeueLTStd-Lt"/>
        </w:rPr>
        <w:t>.</w:t>
      </w:r>
    </w:p>
    <w:p w14:paraId="4BC81459" w14:textId="77777777" w:rsidR="00464BB1" w:rsidRPr="00117E99" w:rsidRDefault="00464BB1" w:rsidP="00855304">
      <w:pPr>
        <w:pStyle w:val="Heading2"/>
      </w:pPr>
      <w:r w:rsidRPr="00117E99">
        <w:t>E-learning</w:t>
      </w:r>
    </w:p>
    <w:p w14:paraId="55C1881A" w14:textId="414BCB3C" w:rsidR="00464BB1" w:rsidRPr="00117E99" w:rsidRDefault="00464BB1" w:rsidP="00855304">
      <w:pPr>
        <w:rPr>
          <w:rFonts w:eastAsia="HelveticaNeueLTStd-Lt"/>
        </w:rPr>
      </w:pPr>
      <w:r w:rsidRPr="00117E99">
        <w:rPr>
          <w:rStyle w:val="Strong"/>
          <w:rFonts w:eastAsia="HelveticaNeueLTStd-Lt"/>
        </w:rPr>
        <w:t>Introduction to compliance within Medicare</w:t>
      </w:r>
      <w:r w:rsidRPr="00117E99">
        <w:rPr>
          <w:rFonts w:eastAsia="HelveticaNeueLTStd-Lt"/>
        </w:rPr>
        <w:t xml:space="preserve"> – This is a three-module introductory course targeted at practitioners and designed to help practitioners understand compliance. The course can be accessed on the Department of Health</w:t>
      </w:r>
      <w:r w:rsidR="006904A2" w:rsidRPr="00117E99">
        <w:rPr>
          <w:rFonts w:eastAsia="HelveticaNeueLTStd-Lt"/>
        </w:rPr>
        <w:t xml:space="preserve"> and </w:t>
      </w:r>
      <w:r w:rsidR="002225DC" w:rsidRPr="00117E99">
        <w:rPr>
          <w:rFonts w:eastAsia="HelveticaNeueLTStd-Lt"/>
        </w:rPr>
        <w:t>Aged Care’s</w:t>
      </w:r>
      <w:r w:rsidRPr="00117E99">
        <w:rPr>
          <w:rFonts w:eastAsia="HelveticaNeueLTStd-Lt"/>
        </w:rPr>
        <w:t xml:space="preserve"> website at: </w:t>
      </w:r>
      <w:hyperlink r:id="rId29" w:history="1">
        <w:r w:rsidRPr="00117E99">
          <w:rPr>
            <w:rStyle w:val="Hyperlink"/>
            <w:rFonts w:eastAsia="HelveticaNeueLTStd-Lt"/>
          </w:rPr>
          <w:t>Introduction to Compliance within Medicare</w:t>
        </w:r>
      </w:hyperlink>
      <w:r w:rsidRPr="00117E99">
        <w:rPr>
          <w:rFonts w:eastAsia="HelveticaNeueLTStd-Lt"/>
        </w:rPr>
        <w:t>.</w:t>
      </w:r>
    </w:p>
    <w:p w14:paraId="1B7B4657" w14:textId="3D8D9662" w:rsidR="00464BB1" w:rsidRPr="00117E99" w:rsidRDefault="00464BB1" w:rsidP="00855304">
      <w:pPr>
        <w:rPr>
          <w:rFonts w:eastAsia="HelveticaNeueLTStd-Lt"/>
        </w:rPr>
      </w:pPr>
      <w:r w:rsidRPr="00117E99">
        <w:rPr>
          <w:rStyle w:val="Strong"/>
          <w:rFonts w:eastAsia="HelveticaNeueLTStd-Lt"/>
        </w:rPr>
        <w:t>Billing Medicare in public hospitals</w:t>
      </w:r>
      <w:r w:rsidRPr="00117E99">
        <w:rPr>
          <w:rFonts w:eastAsia="HelveticaNeueLTStd-Lt"/>
        </w:rPr>
        <w:t xml:space="preserve"> – Online learning for practitioners billing Medicare in public hospitals can be found at the Department of Health</w:t>
      </w:r>
      <w:r w:rsidR="006904A2" w:rsidRPr="00117E99">
        <w:rPr>
          <w:rFonts w:eastAsia="HelveticaNeueLTStd-Lt"/>
        </w:rPr>
        <w:t xml:space="preserve"> and </w:t>
      </w:r>
      <w:r w:rsidR="002225DC" w:rsidRPr="00117E99">
        <w:rPr>
          <w:rFonts w:eastAsia="HelveticaNeueLTStd-Lt"/>
        </w:rPr>
        <w:t>Aged Care’s</w:t>
      </w:r>
      <w:r w:rsidRPr="00117E99">
        <w:rPr>
          <w:rFonts w:eastAsia="HelveticaNeueLTStd-Lt"/>
        </w:rPr>
        <w:t xml:space="preserve"> website on </w:t>
      </w:r>
      <w:hyperlink r:id="rId30" w:history="1">
        <w:r w:rsidRPr="00117E99">
          <w:rPr>
            <w:rStyle w:val="Hyperlink"/>
            <w:rFonts w:eastAsia="HelveticaNeueLTStd-Lt"/>
          </w:rPr>
          <w:t>Billing Medicare in Public Hospitals</w:t>
        </w:r>
      </w:hyperlink>
      <w:r w:rsidRPr="00117E99">
        <w:rPr>
          <w:rFonts w:eastAsia="HelveticaNeueLTStd-Lt"/>
        </w:rPr>
        <w:t>.</w:t>
      </w:r>
    </w:p>
    <w:p w14:paraId="63463678" w14:textId="77777777" w:rsidR="00464BB1" w:rsidRPr="00117E99" w:rsidRDefault="00464BB1" w:rsidP="00855304">
      <w:pPr>
        <w:pStyle w:val="Heading2"/>
      </w:pPr>
      <w:r w:rsidRPr="00117E99">
        <w:t>Medicare Program Information</w:t>
      </w:r>
    </w:p>
    <w:p w14:paraId="17A482A5" w14:textId="77777777" w:rsidR="00464BB1" w:rsidRPr="00117E99" w:rsidRDefault="00464BB1" w:rsidP="00855304">
      <w:pPr>
        <w:rPr>
          <w:rFonts w:eastAsia="HelveticaNeueLTStd-Lt"/>
        </w:rPr>
      </w:pPr>
      <w:r w:rsidRPr="00117E99">
        <w:rPr>
          <w:rStyle w:val="Strong"/>
          <w:rFonts w:eastAsia="HelveticaNeueLTStd-Lt"/>
        </w:rPr>
        <w:t>Medicare Benefits Schedule</w:t>
      </w:r>
      <w:r w:rsidRPr="00117E99">
        <w:rPr>
          <w:rFonts w:eastAsia="HelveticaNeueLTStd-Lt"/>
        </w:rPr>
        <w:t xml:space="preserve"> – Information on the MBS, eligible services and the rules under which services are subsidised can be found on </w:t>
      </w:r>
      <w:hyperlink r:id="rId31" w:history="1">
        <w:r w:rsidRPr="00117E99">
          <w:rPr>
            <w:rStyle w:val="Hyperlink"/>
            <w:rFonts w:eastAsia="HelveticaNeueLTStd-Lt"/>
          </w:rPr>
          <w:t>MBS Online</w:t>
        </w:r>
      </w:hyperlink>
      <w:r w:rsidRPr="00117E99">
        <w:rPr>
          <w:rFonts w:eastAsia="HelveticaNeueLTStd-Lt"/>
        </w:rPr>
        <w:t>.</w:t>
      </w:r>
    </w:p>
    <w:p w14:paraId="1D34C0BF" w14:textId="1C7A9402" w:rsidR="00464BB1" w:rsidRPr="00117E99" w:rsidRDefault="00464BB1" w:rsidP="00855304">
      <w:pPr>
        <w:rPr>
          <w:rFonts w:eastAsia="HelveticaNeueLTStd-Lt"/>
        </w:rPr>
      </w:pPr>
      <w:r w:rsidRPr="00117E99">
        <w:rPr>
          <w:rStyle w:val="Strong"/>
          <w:rFonts w:eastAsia="HelveticaNeueLTStd-Lt"/>
        </w:rPr>
        <w:t>Pharmaceutical Benefits Scheme</w:t>
      </w:r>
      <w:r w:rsidRPr="00117E99">
        <w:rPr>
          <w:rFonts w:eastAsia="HelveticaNeueLTStd-Lt"/>
        </w:rPr>
        <w:t xml:space="preserve"> – Information on the PBS and subsidised medicines can be found on the </w:t>
      </w:r>
      <w:hyperlink r:id="rId32" w:history="1">
        <w:r w:rsidRPr="00117E99">
          <w:rPr>
            <w:rStyle w:val="Hyperlink"/>
            <w:rFonts w:eastAsia="HelveticaNeueLTStd-Lt"/>
          </w:rPr>
          <w:t>Pharmaceutical Benefits Scheme (PBS)</w:t>
        </w:r>
      </w:hyperlink>
      <w:r w:rsidRPr="00117E99">
        <w:rPr>
          <w:rFonts w:eastAsia="HelveticaNeueLTStd-Lt"/>
        </w:rPr>
        <w:t xml:space="preserve"> website.</w:t>
      </w:r>
    </w:p>
    <w:p w14:paraId="0BD319D6" w14:textId="0B93A41A" w:rsidR="00464BB1" w:rsidRPr="00117E99" w:rsidRDefault="00464BB1" w:rsidP="00855304">
      <w:pPr>
        <w:rPr>
          <w:rFonts w:eastAsia="HelveticaNeueLTStd-Lt"/>
        </w:rPr>
      </w:pPr>
      <w:r w:rsidRPr="00117E99">
        <w:rPr>
          <w:rStyle w:val="Strong"/>
          <w:rFonts w:eastAsia="HelveticaNeueLTStd-Lt"/>
        </w:rPr>
        <w:t>Child Dental Benefits Schedule</w:t>
      </w:r>
      <w:r w:rsidRPr="00117E99">
        <w:rPr>
          <w:rFonts w:eastAsia="HelveticaNeueLTStd-Lt"/>
        </w:rPr>
        <w:t xml:space="preserve"> – Information about the CDBS is available at: The </w:t>
      </w:r>
      <w:hyperlink r:id="rId33" w:history="1">
        <w:r w:rsidRPr="00117E99">
          <w:rPr>
            <w:rStyle w:val="Hyperlink"/>
            <w:rFonts w:eastAsia="HelveticaNeueLTStd-Lt"/>
          </w:rPr>
          <w:t>Child Dental Benefits Schedule</w:t>
        </w:r>
      </w:hyperlink>
      <w:r w:rsidRPr="00117E99">
        <w:rPr>
          <w:rFonts w:eastAsia="HelveticaNeueLTStd-Lt"/>
        </w:rPr>
        <w:t xml:space="preserve"> page on the Department of Health</w:t>
      </w:r>
      <w:r w:rsidR="006904A2" w:rsidRPr="00117E99">
        <w:rPr>
          <w:rFonts w:eastAsia="HelveticaNeueLTStd-Lt"/>
        </w:rPr>
        <w:t xml:space="preserve"> and </w:t>
      </w:r>
      <w:r w:rsidR="002225DC" w:rsidRPr="00117E99">
        <w:rPr>
          <w:rFonts w:eastAsia="HelveticaNeueLTStd-Lt"/>
        </w:rPr>
        <w:t>Aged Care</w:t>
      </w:r>
      <w:r w:rsidRPr="00117E99">
        <w:rPr>
          <w:rFonts w:eastAsia="HelveticaNeueLTStd-Lt"/>
        </w:rPr>
        <w:t xml:space="preserve"> website.</w:t>
      </w:r>
    </w:p>
    <w:p w14:paraId="3C92CDEE" w14:textId="1F0F5A4C" w:rsidR="00464BB1" w:rsidRPr="00117E99" w:rsidRDefault="00464BB1" w:rsidP="00855304">
      <w:pPr>
        <w:rPr>
          <w:rFonts w:eastAsia="HelveticaNeueLTStd-Lt"/>
        </w:rPr>
      </w:pPr>
      <w:r w:rsidRPr="00117E99">
        <w:rPr>
          <w:rFonts w:eastAsia="HelveticaNeueLTStd-Lt"/>
        </w:rPr>
        <w:t xml:space="preserve">Practice Incentive Programs – Information about PIP can be found on the Services Australia website at the </w:t>
      </w:r>
      <w:hyperlink r:id="rId34" w:history="1">
        <w:r w:rsidRPr="00117E99">
          <w:rPr>
            <w:rStyle w:val="Hyperlink"/>
            <w:rFonts w:eastAsia="HelveticaNeueLTStd-Lt"/>
          </w:rPr>
          <w:t>Practice Incentives Program</w:t>
        </w:r>
      </w:hyperlink>
      <w:r w:rsidR="00D94441" w:rsidRPr="00117E99">
        <w:rPr>
          <w:rFonts w:eastAsia="HelveticaNeueLTStd-Lt"/>
        </w:rPr>
        <w:t xml:space="preserve"> page.</w:t>
      </w:r>
    </w:p>
    <w:p w14:paraId="65CF799D" w14:textId="4C6B6207" w:rsidR="004920A2" w:rsidRPr="00117E99" w:rsidRDefault="00464BB1" w:rsidP="00855304">
      <w:pPr>
        <w:rPr>
          <w:rFonts w:eastAsia="HelveticaNeueLTStd-Lt"/>
        </w:rPr>
      </w:pPr>
      <w:r w:rsidRPr="00117E99">
        <w:rPr>
          <w:rStyle w:val="Strong"/>
          <w:rFonts w:eastAsia="HelveticaNeueLTStd-Lt"/>
        </w:rPr>
        <w:t>Pathology and Diagnostic Imaging</w:t>
      </w:r>
      <w:r w:rsidRPr="00117E99">
        <w:rPr>
          <w:rFonts w:eastAsia="HelveticaNeueLTStd-Lt"/>
        </w:rPr>
        <w:t xml:space="preserve"> – Guidance on prohibited practices in relation to pathology and diagnostic imaging can be found in </w:t>
      </w:r>
      <w:hyperlink r:id="rId35" w:history="1">
        <w:r w:rsidRPr="00117E99">
          <w:rPr>
            <w:rStyle w:val="Hyperlink"/>
            <w:rFonts w:eastAsia="HelveticaNeueLTStd-Lt"/>
          </w:rPr>
          <w:t>The Red Book</w:t>
        </w:r>
      </w:hyperlink>
      <w:r w:rsidRPr="00117E99">
        <w:rPr>
          <w:rFonts w:eastAsia="HelveticaNeueLTStd-Lt"/>
        </w:rPr>
        <w:t xml:space="preserve"> on the Department of Health</w:t>
      </w:r>
      <w:r w:rsidR="006904A2" w:rsidRPr="00117E99">
        <w:rPr>
          <w:rFonts w:eastAsia="HelveticaNeueLTStd-Lt"/>
        </w:rPr>
        <w:t xml:space="preserve"> and </w:t>
      </w:r>
      <w:r w:rsidR="002225DC" w:rsidRPr="00117E99">
        <w:rPr>
          <w:rFonts w:eastAsia="HelveticaNeueLTStd-Lt"/>
        </w:rPr>
        <w:t>Aged Care</w:t>
      </w:r>
      <w:r w:rsidRPr="00117E99">
        <w:rPr>
          <w:rFonts w:eastAsia="HelveticaNeueLTStd-Lt"/>
        </w:rPr>
        <w:t xml:space="preserve"> website.</w:t>
      </w:r>
      <w:bookmarkStart w:id="6" w:name="Compliance_contacts"/>
    </w:p>
    <w:p w14:paraId="2AF25055" w14:textId="77777777" w:rsidR="004920A2" w:rsidRPr="00117E99" w:rsidRDefault="00464BB1" w:rsidP="00855304">
      <w:pPr>
        <w:pStyle w:val="Heading2"/>
        <w:rPr>
          <w:rFonts w:eastAsia="HelveticaNeueLTStd-Lt"/>
        </w:rPr>
      </w:pPr>
      <w:r w:rsidRPr="00117E99">
        <w:t>Compliance Contacts</w:t>
      </w:r>
    </w:p>
    <w:p w14:paraId="7106D7E7" w14:textId="693DE90A" w:rsidR="00B554F6" w:rsidRPr="00117E99" w:rsidRDefault="00B554F6" w:rsidP="00117E99">
      <w:r w:rsidRPr="00117E99">
        <w:rPr>
          <w:rFonts w:eastAsia="HelveticaNeueLTStd-Lt"/>
        </w:rPr>
        <w:t xml:space="preserve">Key contact details can be found on the Department of Health and </w:t>
      </w:r>
      <w:r w:rsidR="002225DC" w:rsidRPr="00117E99">
        <w:rPr>
          <w:rFonts w:eastAsia="HelveticaNeueLTStd-Lt"/>
        </w:rPr>
        <w:t>Aged Care</w:t>
      </w:r>
      <w:r w:rsidRPr="00117E99">
        <w:rPr>
          <w:rFonts w:eastAsia="HelveticaNeueLTStd-Lt"/>
        </w:rPr>
        <w:t xml:space="preserve"> website at</w:t>
      </w:r>
      <w:r w:rsidRPr="00117E99">
        <w:t xml:space="preserve"> </w:t>
      </w:r>
      <w:hyperlink r:id="rId36" w:history="1">
        <w:r w:rsidRPr="00855304">
          <w:rPr>
            <w:rStyle w:val="Hyperlink"/>
          </w:rPr>
          <w:t>Medicare Compliance</w:t>
        </w:r>
      </w:hyperlink>
      <w:r w:rsidRPr="00117E99">
        <w:t xml:space="preserve"> </w:t>
      </w:r>
      <w:r w:rsidRPr="00117E99">
        <w:rPr>
          <w:rFonts w:eastAsia="HelveticaNeueLTStd-Lt"/>
        </w:rPr>
        <w:t>These contacts include:</w:t>
      </w:r>
    </w:p>
    <w:p w14:paraId="7D203DA2" w14:textId="77777777" w:rsidR="004920A2" w:rsidRPr="00855304" w:rsidRDefault="00984D40" w:rsidP="00117E99">
      <w:pPr>
        <w:pStyle w:val="ListBullet"/>
        <w:rPr>
          <w:rStyle w:val="Hyperlink"/>
        </w:rPr>
      </w:pPr>
      <w:hyperlink r:id="rId37" w:history="1">
        <w:r w:rsidR="004920A2" w:rsidRPr="00855304">
          <w:rPr>
            <w:rStyle w:val="Hyperlink"/>
          </w:rPr>
          <w:t>Voluntary Acknowledgement of Incorrect Payments</w:t>
        </w:r>
      </w:hyperlink>
    </w:p>
    <w:p w14:paraId="58E95AEC" w14:textId="203C2D89" w:rsidR="004920A2" w:rsidRPr="00855304" w:rsidRDefault="00984D40" w:rsidP="00117E99">
      <w:pPr>
        <w:pStyle w:val="ListBullet"/>
        <w:rPr>
          <w:rStyle w:val="Hyperlink"/>
        </w:rPr>
      </w:pPr>
      <w:hyperlink r:id="rId38" w:history="1">
        <w:r w:rsidR="004920A2" w:rsidRPr="00855304">
          <w:rPr>
            <w:rStyle w:val="Hyperlink"/>
          </w:rPr>
          <w:t>Tip-offs</w:t>
        </w:r>
      </w:hyperlink>
    </w:p>
    <w:p w14:paraId="0B51FF4E" w14:textId="28918E24" w:rsidR="004920A2" w:rsidRPr="00855304" w:rsidRDefault="001609FD" w:rsidP="00117E99">
      <w:pPr>
        <w:pStyle w:val="ListBullet"/>
        <w:rPr>
          <w:rStyle w:val="Hyperlink"/>
        </w:rPr>
      </w:pPr>
      <w:r w:rsidRPr="00855304">
        <w:rPr>
          <w:rStyle w:val="Hyperlink"/>
        </w:rPr>
        <w:fldChar w:fldCharType="begin"/>
      </w:r>
      <w:r w:rsidRPr="00855304">
        <w:rPr>
          <w:rStyle w:val="Hyperlink"/>
        </w:rPr>
        <w:instrText xml:space="preserve"> HYPERLINK "https://www.health.gov.au/contacts/review-of-decision" </w:instrText>
      </w:r>
      <w:r w:rsidRPr="00855304">
        <w:rPr>
          <w:rStyle w:val="Hyperlink"/>
        </w:rPr>
        <w:fldChar w:fldCharType="separate"/>
      </w:r>
      <w:r w:rsidR="004920A2" w:rsidRPr="00855304">
        <w:rPr>
          <w:rStyle w:val="Hyperlink"/>
        </w:rPr>
        <w:t>Review of Decision of a Compliance Audit</w:t>
      </w:r>
    </w:p>
    <w:p w14:paraId="214894B0" w14:textId="564614CD" w:rsidR="00464BB1" w:rsidRPr="00855304" w:rsidRDefault="001609FD" w:rsidP="00117E99">
      <w:pPr>
        <w:pStyle w:val="ListBullet"/>
        <w:rPr>
          <w:rStyle w:val="Hyperlink"/>
        </w:rPr>
      </w:pPr>
      <w:r w:rsidRPr="00855304">
        <w:rPr>
          <w:rStyle w:val="Hyperlink"/>
        </w:rPr>
        <w:fldChar w:fldCharType="end"/>
      </w:r>
      <w:hyperlink r:id="rId39" w:history="1">
        <w:r w:rsidR="004920A2" w:rsidRPr="00855304">
          <w:rPr>
            <w:rStyle w:val="Hyperlink"/>
          </w:rPr>
          <w:t>Pathology Rents</w:t>
        </w:r>
      </w:hyperlink>
      <w:bookmarkEnd w:id="6"/>
    </w:p>
    <w:sectPr w:rsidR="00464BB1" w:rsidRPr="00855304" w:rsidSect="00984D40">
      <w:footerReference w:type="default" r:id="rId40"/>
      <w:headerReference w:type="first" r:id="rId41"/>
      <w:footerReference w:type="first" r:id="rId42"/>
      <w:type w:val="continuous"/>
      <w:pgSz w:w="11906" w:h="16838"/>
      <w:pgMar w:top="1276"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2D957" w14:textId="77777777" w:rsidR="0042030D" w:rsidRDefault="0042030D" w:rsidP="006B56BB">
      <w:r>
        <w:separator/>
      </w:r>
    </w:p>
    <w:p w14:paraId="4458DAE9" w14:textId="77777777" w:rsidR="0042030D" w:rsidRDefault="0042030D"/>
  </w:endnote>
  <w:endnote w:type="continuationSeparator" w:id="0">
    <w:p w14:paraId="7D40ADF4" w14:textId="77777777" w:rsidR="0042030D" w:rsidRDefault="0042030D" w:rsidP="006B56BB">
      <w:r>
        <w:continuationSeparator/>
      </w:r>
    </w:p>
    <w:p w14:paraId="355E6CFE" w14:textId="77777777" w:rsidR="0042030D" w:rsidRDefault="0042030D"/>
  </w:endnote>
  <w:endnote w:type="continuationNotice" w:id="1">
    <w:p w14:paraId="38D25EBF" w14:textId="77777777" w:rsidR="0042030D" w:rsidRDefault="00420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HelveticaNeueLTStd-Lt">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32EC" w14:textId="046B867F" w:rsidR="00B53987" w:rsidRDefault="00976AC9" w:rsidP="00B53987">
    <w:pPr>
      <w:pStyle w:val="Footer"/>
    </w:pPr>
    <w:r>
      <w:t xml:space="preserve">Department of Health and Aged Care – Prescribed Pattern of Services – 30/20 rule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D1EC" w14:textId="77777777" w:rsidR="00B53987" w:rsidRDefault="00AA262B" w:rsidP="00B53987">
    <w:pPr>
      <w:pStyle w:val="Footer"/>
    </w:pPr>
    <w:r>
      <w:t xml:space="preserve">Department of Health and Aged Care </w:t>
    </w:r>
    <w:r w:rsidR="00B53987">
      <w:t xml:space="preserve">– </w:t>
    </w:r>
    <w:r w:rsidR="0032245F">
      <w:t>Prescribed Pattern of Services – 30/20 rule</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E3DAE" w14:textId="77777777" w:rsidR="0042030D" w:rsidRDefault="0042030D" w:rsidP="006B56BB">
      <w:r>
        <w:separator/>
      </w:r>
    </w:p>
    <w:p w14:paraId="47D0FD40" w14:textId="77777777" w:rsidR="0042030D" w:rsidRDefault="0042030D"/>
  </w:footnote>
  <w:footnote w:type="continuationSeparator" w:id="0">
    <w:p w14:paraId="39610492" w14:textId="77777777" w:rsidR="0042030D" w:rsidRDefault="0042030D" w:rsidP="006B56BB">
      <w:r>
        <w:continuationSeparator/>
      </w:r>
    </w:p>
    <w:p w14:paraId="59F91B2C" w14:textId="77777777" w:rsidR="0042030D" w:rsidRDefault="0042030D"/>
  </w:footnote>
  <w:footnote w:type="continuationNotice" w:id="1">
    <w:p w14:paraId="069EAF4B" w14:textId="77777777" w:rsidR="0042030D" w:rsidRDefault="004203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0798" w14:textId="77777777" w:rsidR="00B53987" w:rsidRDefault="00B53987">
    <w:pPr>
      <w:pStyle w:val="Header"/>
    </w:pPr>
    <w:r>
      <w:rPr>
        <w:noProof/>
        <w:lang w:eastAsia="en-AU"/>
      </w:rPr>
      <w:drawing>
        <wp:inline distT="0" distB="0" distL="0" distR="0" wp14:anchorId="62872AA5" wp14:editId="767BDF98">
          <wp:extent cx="5759450" cy="941705"/>
          <wp:effectExtent l="0" t="0" r="6350" b="0"/>
          <wp:docPr id="8" name="Picture 8"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DA38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D6DB8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4045FF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66640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A04918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2EE5B3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8923C0"/>
    <w:multiLevelType w:val="hybridMultilevel"/>
    <w:tmpl w:val="80C0C310"/>
    <w:lvl w:ilvl="0" w:tplc="9AFA1802">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DB244C"/>
    <w:multiLevelType w:val="hybridMultilevel"/>
    <w:tmpl w:val="58AAE0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9E35A91"/>
    <w:multiLevelType w:val="hybridMultilevel"/>
    <w:tmpl w:val="13CE19E0"/>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C674DEA"/>
    <w:multiLevelType w:val="hybridMultilevel"/>
    <w:tmpl w:val="7F740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493C3873"/>
    <w:multiLevelType w:val="hybridMultilevel"/>
    <w:tmpl w:val="B4443D48"/>
    <w:lvl w:ilvl="0" w:tplc="7936B156">
      <w:numFmt w:val="bullet"/>
      <w:lvlText w:val="-"/>
      <w:lvlJc w:val="left"/>
      <w:pPr>
        <w:ind w:left="405" w:hanging="360"/>
      </w:pPr>
      <w:rPr>
        <w:rFonts w:ascii="Calibri" w:eastAsia="Calibri" w:hAnsi="Calibri" w:cs="Calibri"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9" w15:restartNumberingAfterBreak="0">
    <w:nsid w:val="4DBD1F45"/>
    <w:multiLevelType w:val="hybridMultilevel"/>
    <w:tmpl w:val="3356C1C0"/>
    <w:lvl w:ilvl="0" w:tplc="998E7B24">
      <w:start w:val="1"/>
      <w:numFmt w:val="decimal"/>
      <w:lvlText w:val="%1."/>
      <w:lvlJc w:val="left"/>
      <w:pPr>
        <w:ind w:left="720" w:hanging="360"/>
      </w:pPr>
      <w:rPr>
        <w:rFonts w:ascii="Arial" w:eastAsia="Calibri"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4D27C8"/>
    <w:multiLevelType w:val="hybridMultilevel"/>
    <w:tmpl w:val="0F5210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64F569A"/>
    <w:multiLevelType w:val="hybridMultilevel"/>
    <w:tmpl w:val="0CA0A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062884"/>
    <w:multiLevelType w:val="hybridMultilevel"/>
    <w:tmpl w:val="53A090A8"/>
    <w:lvl w:ilvl="0" w:tplc="F4D4029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892BD0"/>
    <w:multiLevelType w:val="hybridMultilevel"/>
    <w:tmpl w:val="1DF6C3CA"/>
    <w:lvl w:ilvl="0" w:tplc="99F6E490">
      <w:start w:val="5"/>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2"/>
  </w:num>
  <w:num w:numId="3">
    <w:abstractNumId w:val="25"/>
  </w:num>
  <w:num w:numId="4">
    <w:abstractNumId w:val="8"/>
  </w:num>
  <w:num w:numId="5">
    <w:abstractNumId w:val="8"/>
    <w:lvlOverride w:ilvl="0">
      <w:startOverride w:val="1"/>
    </w:lvlOverride>
  </w:num>
  <w:num w:numId="6">
    <w:abstractNumId w:val="9"/>
  </w:num>
  <w:num w:numId="7">
    <w:abstractNumId w:val="17"/>
  </w:num>
  <w:num w:numId="8">
    <w:abstractNumId w:val="24"/>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8"/>
  </w:num>
  <w:num w:numId="17">
    <w:abstractNumId w:val="10"/>
  </w:num>
  <w:num w:numId="18">
    <w:abstractNumId w:val="15"/>
  </w:num>
  <w:num w:numId="19">
    <w:abstractNumId w:val="16"/>
  </w:num>
  <w:num w:numId="20">
    <w:abstractNumId w:val="10"/>
  </w:num>
  <w:num w:numId="21">
    <w:abstractNumId w:val="16"/>
  </w:num>
  <w:num w:numId="22">
    <w:abstractNumId w:val="28"/>
  </w:num>
  <w:num w:numId="23">
    <w:abstractNumId w:val="22"/>
  </w:num>
  <w:num w:numId="24">
    <w:abstractNumId w:val="25"/>
  </w:num>
  <w:num w:numId="25">
    <w:abstractNumId w:val="8"/>
  </w:num>
  <w:num w:numId="26">
    <w:abstractNumId w:val="21"/>
  </w:num>
  <w:num w:numId="27">
    <w:abstractNumId w:val="13"/>
  </w:num>
  <w:num w:numId="28">
    <w:abstractNumId w:val="20"/>
  </w:num>
  <w:num w:numId="29">
    <w:abstractNumId w:val="12"/>
  </w:num>
  <w:num w:numId="30">
    <w:abstractNumId w:val="23"/>
  </w:num>
  <w:num w:numId="31">
    <w:abstractNumId w:val="11"/>
  </w:num>
  <w:num w:numId="32">
    <w:abstractNumId w:val="19"/>
  </w:num>
  <w:num w:numId="33">
    <w:abstractNumId w:val="26"/>
  </w:num>
  <w:num w:numId="34">
    <w:abstractNumId w:val="14"/>
  </w:num>
  <w:num w:numId="35">
    <w:abstractNumId w:val="18"/>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09"/>
    <w:rsid w:val="00001185"/>
    <w:rsid w:val="00003743"/>
    <w:rsid w:val="000047B4"/>
    <w:rsid w:val="00005712"/>
    <w:rsid w:val="00007FD8"/>
    <w:rsid w:val="000117F8"/>
    <w:rsid w:val="0001460F"/>
    <w:rsid w:val="00022629"/>
    <w:rsid w:val="00026139"/>
    <w:rsid w:val="00026253"/>
    <w:rsid w:val="00027601"/>
    <w:rsid w:val="00033321"/>
    <w:rsid w:val="000338E5"/>
    <w:rsid w:val="00033ECC"/>
    <w:rsid w:val="0003422F"/>
    <w:rsid w:val="00037551"/>
    <w:rsid w:val="00042D75"/>
    <w:rsid w:val="00043DC0"/>
    <w:rsid w:val="00046FF0"/>
    <w:rsid w:val="00050176"/>
    <w:rsid w:val="00050342"/>
    <w:rsid w:val="00062056"/>
    <w:rsid w:val="00062635"/>
    <w:rsid w:val="00067456"/>
    <w:rsid w:val="00071506"/>
    <w:rsid w:val="0007154F"/>
    <w:rsid w:val="00074325"/>
    <w:rsid w:val="00076D61"/>
    <w:rsid w:val="00080AE1"/>
    <w:rsid w:val="00081AB1"/>
    <w:rsid w:val="00082087"/>
    <w:rsid w:val="000846F8"/>
    <w:rsid w:val="00090316"/>
    <w:rsid w:val="00093981"/>
    <w:rsid w:val="000A19AA"/>
    <w:rsid w:val="000B067A"/>
    <w:rsid w:val="000B1540"/>
    <w:rsid w:val="000B1E53"/>
    <w:rsid w:val="000B33FD"/>
    <w:rsid w:val="000B4ABA"/>
    <w:rsid w:val="000B714A"/>
    <w:rsid w:val="000C4B16"/>
    <w:rsid w:val="000C50C3"/>
    <w:rsid w:val="000C5E14"/>
    <w:rsid w:val="000D21F6"/>
    <w:rsid w:val="000D4500"/>
    <w:rsid w:val="000D7AEA"/>
    <w:rsid w:val="000E2C66"/>
    <w:rsid w:val="000F123C"/>
    <w:rsid w:val="000F2FED"/>
    <w:rsid w:val="00102E47"/>
    <w:rsid w:val="0010616D"/>
    <w:rsid w:val="00106C52"/>
    <w:rsid w:val="00110478"/>
    <w:rsid w:val="0011711B"/>
    <w:rsid w:val="00117E99"/>
    <w:rsid w:val="00117F8A"/>
    <w:rsid w:val="00121B9B"/>
    <w:rsid w:val="00122ADC"/>
    <w:rsid w:val="00130F59"/>
    <w:rsid w:val="00133EC0"/>
    <w:rsid w:val="00135FC9"/>
    <w:rsid w:val="00141CE5"/>
    <w:rsid w:val="00144908"/>
    <w:rsid w:val="00156D96"/>
    <w:rsid w:val="001571C7"/>
    <w:rsid w:val="00160054"/>
    <w:rsid w:val="001609FD"/>
    <w:rsid w:val="00161094"/>
    <w:rsid w:val="0016589F"/>
    <w:rsid w:val="0017665C"/>
    <w:rsid w:val="00177AD2"/>
    <w:rsid w:val="001815A8"/>
    <w:rsid w:val="001840FA"/>
    <w:rsid w:val="00190079"/>
    <w:rsid w:val="0019622E"/>
    <w:rsid w:val="001966A7"/>
    <w:rsid w:val="001A4627"/>
    <w:rsid w:val="001A4979"/>
    <w:rsid w:val="001B15D3"/>
    <w:rsid w:val="001B3443"/>
    <w:rsid w:val="001B6D2C"/>
    <w:rsid w:val="001C0326"/>
    <w:rsid w:val="001C192F"/>
    <w:rsid w:val="001C3C42"/>
    <w:rsid w:val="001D7869"/>
    <w:rsid w:val="001F648E"/>
    <w:rsid w:val="002026CD"/>
    <w:rsid w:val="002033FC"/>
    <w:rsid w:val="002044BB"/>
    <w:rsid w:val="00210B09"/>
    <w:rsid w:val="00210C9E"/>
    <w:rsid w:val="00211840"/>
    <w:rsid w:val="00220E5F"/>
    <w:rsid w:val="002212B5"/>
    <w:rsid w:val="002225DC"/>
    <w:rsid w:val="0022469F"/>
    <w:rsid w:val="00226668"/>
    <w:rsid w:val="00233809"/>
    <w:rsid w:val="002339AA"/>
    <w:rsid w:val="00240046"/>
    <w:rsid w:val="00247325"/>
    <w:rsid w:val="0024797F"/>
    <w:rsid w:val="0025119E"/>
    <w:rsid w:val="00251269"/>
    <w:rsid w:val="002535A5"/>
    <w:rsid w:val="002535C0"/>
    <w:rsid w:val="002579FE"/>
    <w:rsid w:val="0026311C"/>
    <w:rsid w:val="0026668C"/>
    <w:rsid w:val="00266AC1"/>
    <w:rsid w:val="0027178C"/>
    <w:rsid w:val="002719FA"/>
    <w:rsid w:val="00272668"/>
    <w:rsid w:val="0027330B"/>
    <w:rsid w:val="0027430A"/>
    <w:rsid w:val="0027438A"/>
    <w:rsid w:val="00274FF8"/>
    <w:rsid w:val="002803AD"/>
    <w:rsid w:val="00282052"/>
    <w:rsid w:val="00282187"/>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0DE6"/>
    <w:rsid w:val="002F2254"/>
    <w:rsid w:val="002F3AE3"/>
    <w:rsid w:val="0030464B"/>
    <w:rsid w:val="0030786C"/>
    <w:rsid w:val="0032245F"/>
    <w:rsid w:val="003233DE"/>
    <w:rsid w:val="0032466B"/>
    <w:rsid w:val="00327F5B"/>
    <w:rsid w:val="003330EB"/>
    <w:rsid w:val="003413BD"/>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3A8A"/>
    <w:rsid w:val="00404F8B"/>
    <w:rsid w:val="00405256"/>
    <w:rsid w:val="00410031"/>
    <w:rsid w:val="004140B4"/>
    <w:rsid w:val="0041429C"/>
    <w:rsid w:val="00415C81"/>
    <w:rsid w:val="004163F0"/>
    <w:rsid w:val="0042030D"/>
    <w:rsid w:val="00430A52"/>
    <w:rsid w:val="00432378"/>
    <w:rsid w:val="00440D65"/>
    <w:rsid w:val="00441E80"/>
    <w:rsid w:val="004435E6"/>
    <w:rsid w:val="00447E31"/>
    <w:rsid w:val="00453923"/>
    <w:rsid w:val="004539C6"/>
    <w:rsid w:val="00454B9B"/>
    <w:rsid w:val="00454EE5"/>
    <w:rsid w:val="00457858"/>
    <w:rsid w:val="00460B0B"/>
    <w:rsid w:val="00461023"/>
    <w:rsid w:val="00462FAC"/>
    <w:rsid w:val="00464631"/>
    <w:rsid w:val="00464B79"/>
    <w:rsid w:val="00464BB1"/>
    <w:rsid w:val="00467BBF"/>
    <w:rsid w:val="00472DE3"/>
    <w:rsid w:val="0048593C"/>
    <w:rsid w:val="004867E2"/>
    <w:rsid w:val="00491351"/>
    <w:rsid w:val="004920A2"/>
    <w:rsid w:val="004929A9"/>
    <w:rsid w:val="004A3B04"/>
    <w:rsid w:val="004A78D9"/>
    <w:rsid w:val="004B642D"/>
    <w:rsid w:val="004C6BCF"/>
    <w:rsid w:val="004D58BF"/>
    <w:rsid w:val="004E4335"/>
    <w:rsid w:val="004E6E8C"/>
    <w:rsid w:val="004F13EE"/>
    <w:rsid w:val="004F2022"/>
    <w:rsid w:val="004F2C7D"/>
    <w:rsid w:val="004F7C05"/>
    <w:rsid w:val="00501C94"/>
    <w:rsid w:val="00506432"/>
    <w:rsid w:val="00506E82"/>
    <w:rsid w:val="005116CB"/>
    <w:rsid w:val="00512F65"/>
    <w:rsid w:val="0052051D"/>
    <w:rsid w:val="00522BA3"/>
    <w:rsid w:val="00545EE6"/>
    <w:rsid w:val="00552FC8"/>
    <w:rsid w:val="005550E7"/>
    <w:rsid w:val="005564FB"/>
    <w:rsid w:val="005572C7"/>
    <w:rsid w:val="005650ED"/>
    <w:rsid w:val="00575754"/>
    <w:rsid w:val="00581FBA"/>
    <w:rsid w:val="00586DEE"/>
    <w:rsid w:val="00591E20"/>
    <w:rsid w:val="00595408"/>
    <w:rsid w:val="00595494"/>
    <w:rsid w:val="00595E84"/>
    <w:rsid w:val="005A0C59"/>
    <w:rsid w:val="005A48EB"/>
    <w:rsid w:val="005A6CFB"/>
    <w:rsid w:val="005C2AE9"/>
    <w:rsid w:val="005C5AEB"/>
    <w:rsid w:val="005D2211"/>
    <w:rsid w:val="005E0A3F"/>
    <w:rsid w:val="005E6883"/>
    <w:rsid w:val="005E772F"/>
    <w:rsid w:val="005F4ECA"/>
    <w:rsid w:val="005F54B8"/>
    <w:rsid w:val="006024CB"/>
    <w:rsid w:val="006041BE"/>
    <w:rsid w:val="006043C7"/>
    <w:rsid w:val="006048E3"/>
    <w:rsid w:val="00610576"/>
    <w:rsid w:val="00624B52"/>
    <w:rsid w:val="00630794"/>
    <w:rsid w:val="00631DF4"/>
    <w:rsid w:val="00634175"/>
    <w:rsid w:val="006408AC"/>
    <w:rsid w:val="006511B6"/>
    <w:rsid w:val="00657FF8"/>
    <w:rsid w:val="00670D99"/>
    <w:rsid w:val="00670E2B"/>
    <w:rsid w:val="006734BB"/>
    <w:rsid w:val="0067697A"/>
    <w:rsid w:val="006821EB"/>
    <w:rsid w:val="006904A2"/>
    <w:rsid w:val="006A42C2"/>
    <w:rsid w:val="006A6551"/>
    <w:rsid w:val="006B2286"/>
    <w:rsid w:val="006B24E0"/>
    <w:rsid w:val="006B56BB"/>
    <w:rsid w:val="006C77A8"/>
    <w:rsid w:val="006D4098"/>
    <w:rsid w:val="006D7681"/>
    <w:rsid w:val="006D7B2E"/>
    <w:rsid w:val="006E02EA"/>
    <w:rsid w:val="006E0968"/>
    <w:rsid w:val="006E2AF6"/>
    <w:rsid w:val="006E3380"/>
    <w:rsid w:val="00701275"/>
    <w:rsid w:val="00703377"/>
    <w:rsid w:val="00707F56"/>
    <w:rsid w:val="007133FC"/>
    <w:rsid w:val="00713558"/>
    <w:rsid w:val="00720D08"/>
    <w:rsid w:val="007263B9"/>
    <w:rsid w:val="007334F8"/>
    <w:rsid w:val="007339CD"/>
    <w:rsid w:val="007359D8"/>
    <w:rsid w:val="007362D4"/>
    <w:rsid w:val="00746EAC"/>
    <w:rsid w:val="0076372E"/>
    <w:rsid w:val="0076672A"/>
    <w:rsid w:val="00775E45"/>
    <w:rsid w:val="00776E74"/>
    <w:rsid w:val="00785169"/>
    <w:rsid w:val="0078541E"/>
    <w:rsid w:val="007954AB"/>
    <w:rsid w:val="007A14C5"/>
    <w:rsid w:val="007A4A10"/>
    <w:rsid w:val="007B1760"/>
    <w:rsid w:val="007C1FDC"/>
    <w:rsid w:val="007C6CED"/>
    <w:rsid w:val="007C6D9C"/>
    <w:rsid w:val="007C7DDB"/>
    <w:rsid w:val="007D1E09"/>
    <w:rsid w:val="007D2CC7"/>
    <w:rsid w:val="007D673D"/>
    <w:rsid w:val="007D69AB"/>
    <w:rsid w:val="007E0FB8"/>
    <w:rsid w:val="007E4D09"/>
    <w:rsid w:val="007F2220"/>
    <w:rsid w:val="007F4B3E"/>
    <w:rsid w:val="008127AF"/>
    <w:rsid w:val="00812B46"/>
    <w:rsid w:val="0081490C"/>
    <w:rsid w:val="00815700"/>
    <w:rsid w:val="008159D7"/>
    <w:rsid w:val="00821363"/>
    <w:rsid w:val="008264EB"/>
    <w:rsid w:val="00826B8F"/>
    <w:rsid w:val="0083033F"/>
    <w:rsid w:val="00831E8A"/>
    <w:rsid w:val="00835C76"/>
    <w:rsid w:val="008376E2"/>
    <w:rsid w:val="00843049"/>
    <w:rsid w:val="00844BD4"/>
    <w:rsid w:val="00846701"/>
    <w:rsid w:val="0085209B"/>
    <w:rsid w:val="00855304"/>
    <w:rsid w:val="00856B66"/>
    <w:rsid w:val="008570A5"/>
    <w:rsid w:val="008601AC"/>
    <w:rsid w:val="00860635"/>
    <w:rsid w:val="00861A5F"/>
    <w:rsid w:val="008644AD"/>
    <w:rsid w:val="00865735"/>
    <w:rsid w:val="00865DDB"/>
    <w:rsid w:val="00867538"/>
    <w:rsid w:val="0087320F"/>
    <w:rsid w:val="00873D90"/>
    <w:rsid w:val="00873FC8"/>
    <w:rsid w:val="00874451"/>
    <w:rsid w:val="00877D29"/>
    <w:rsid w:val="00882CB4"/>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1673B"/>
    <w:rsid w:val="009208F7"/>
    <w:rsid w:val="00921649"/>
    <w:rsid w:val="00922517"/>
    <w:rsid w:val="00922722"/>
    <w:rsid w:val="009261E6"/>
    <w:rsid w:val="009268E1"/>
    <w:rsid w:val="009271EE"/>
    <w:rsid w:val="009344AE"/>
    <w:rsid w:val="009344DE"/>
    <w:rsid w:val="00945E7F"/>
    <w:rsid w:val="0095263C"/>
    <w:rsid w:val="0095274B"/>
    <w:rsid w:val="009557C1"/>
    <w:rsid w:val="00960D6E"/>
    <w:rsid w:val="00974B59"/>
    <w:rsid w:val="00976AC9"/>
    <w:rsid w:val="0098340B"/>
    <w:rsid w:val="00984D40"/>
    <w:rsid w:val="00986830"/>
    <w:rsid w:val="009924C3"/>
    <w:rsid w:val="00993102"/>
    <w:rsid w:val="009B0421"/>
    <w:rsid w:val="009B1570"/>
    <w:rsid w:val="009B64D8"/>
    <w:rsid w:val="009B65A4"/>
    <w:rsid w:val="009C6F10"/>
    <w:rsid w:val="009D148F"/>
    <w:rsid w:val="009D3D70"/>
    <w:rsid w:val="009D6E31"/>
    <w:rsid w:val="009E6F7E"/>
    <w:rsid w:val="009E7A57"/>
    <w:rsid w:val="009F4803"/>
    <w:rsid w:val="009F4F6A"/>
    <w:rsid w:val="00A13C77"/>
    <w:rsid w:val="00A13EB5"/>
    <w:rsid w:val="00A16E36"/>
    <w:rsid w:val="00A23C83"/>
    <w:rsid w:val="00A24961"/>
    <w:rsid w:val="00A24B10"/>
    <w:rsid w:val="00A277EF"/>
    <w:rsid w:val="00A30E9B"/>
    <w:rsid w:val="00A40D22"/>
    <w:rsid w:val="00A4512D"/>
    <w:rsid w:val="00A50244"/>
    <w:rsid w:val="00A627D7"/>
    <w:rsid w:val="00A656C7"/>
    <w:rsid w:val="00A705AF"/>
    <w:rsid w:val="00A719F6"/>
    <w:rsid w:val="00A72454"/>
    <w:rsid w:val="00A76313"/>
    <w:rsid w:val="00A77696"/>
    <w:rsid w:val="00A80557"/>
    <w:rsid w:val="00A81D33"/>
    <w:rsid w:val="00A8341C"/>
    <w:rsid w:val="00A87DBC"/>
    <w:rsid w:val="00A91E2A"/>
    <w:rsid w:val="00A930AE"/>
    <w:rsid w:val="00A969A0"/>
    <w:rsid w:val="00AA1A95"/>
    <w:rsid w:val="00AA260F"/>
    <w:rsid w:val="00AA262B"/>
    <w:rsid w:val="00AB1EE7"/>
    <w:rsid w:val="00AB4B37"/>
    <w:rsid w:val="00AB5762"/>
    <w:rsid w:val="00AC090F"/>
    <w:rsid w:val="00AC2679"/>
    <w:rsid w:val="00AC4BE4"/>
    <w:rsid w:val="00AC5978"/>
    <w:rsid w:val="00AD05E6"/>
    <w:rsid w:val="00AD0D3F"/>
    <w:rsid w:val="00AE1D7D"/>
    <w:rsid w:val="00AE2A8B"/>
    <w:rsid w:val="00AE3F64"/>
    <w:rsid w:val="00AF7386"/>
    <w:rsid w:val="00AF7934"/>
    <w:rsid w:val="00B00B81"/>
    <w:rsid w:val="00B03CCA"/>
    <w:rsid w:val="00B04580"/>
    <w:rsid w:val="00B04B09"/>
    <w:rsid w:val="00B16A51"/>
    <w:rsid w:val="00B32222"/>
    <w:rsid w:val="00B35880"/>
    <w:rsid w:val="00B3618D"/>
    <w:rsid w:val="00B36233"/>
    <w:rsid w:val="00B42851"/>
    <w:rsid w:val="00B45AC7"/>
    <w:rsid w:val="00B5372F"/>
    <w:rsid w:val="00B53987"/>
    <w:rsid w:val="00B546D4"/>
    <w:rsid w:val="00B554F6"/>
    <w:rsid w:val="00B61129"/>
    <w:rsid w:val="00B6113A"/>
    <w:rsid w:val="00B67E7F"/>
    <w:rsid w:val="00B72E46"/>
    <w:rsid w:val="00B82A29"/>
    <w:rsid w:val="00B839B2"/>
    <w:rsid w:val="00B94252"/>
    <w:rsid w:val="00B9715A"/>
    <w:rsid w:val="00B9720C"/>
    <w:rsid w:val="00BA14BE"/>
    <w:rsid w:val="00BA2732"/>
    <w:rsid w:val="00BA293D"/>
    <w:rsid w:val="00BA49BC"/>
    <w:rsid w:val="00BA56B7"/>
    <w:rsid w:val="00BA7A1E"/>
    <w:rsid w:val="00BB05D4"/>
    <w:rsid w:val="00BB2F6C"/>
    <w:rsid w:val="00BB3875"/>
    <w:rsid w:val="00BB5860"/>
    <w:rsid w:val="00BB6AAD"/>
    <w:rsid w:val="00BC4A19"/>
    <w:rsid w:val="00BC4E6D"/>
    <w:rsid w:val="00BD0617"/>
    <w:rsid w:val="00BD2537"/>
    <w:rsid w:val="00BD2E9B"/>
    <w:rsid w:val="00BD7FB2"/>
    <w:rsid w:val="00BF2BB5"/>
    <w:rsid w:val="00C00930"/>
    <w:rsid w:val="00C060AD"/>
    <w:rsid w:val="00C1093B"/>
    <w:rsid w:val="00C113BF"/>
    <w:rsid w:val="00C2176E"/>
    <w:rsid w:val="00C23430"/>
    <w:rsid w:val="00C27D67"/>
    <w:rsid w:val="00C31653"/>
    <w:rsid w:val="00C36908"/>
    <w:rsid w:val="00C37EE7"/>
    <w:rsid w:val="00C4631F"/>
    <w:rsid w:val="00C47CDE"/>
    <w:rsid w:val="00C47D0F"/>
    <w:rsid w:val="00C50E16"/>
    <w:rsid w:val="00C54B56"/>
    <w:rsid w:val="00C55258"/>
    <w:rsid w:val="00C63A3E"/>
    <w:rsid w:val="00C72CE9"/>
    <w:rsid w:val="00C759A2"/>
    <w:rsid w:val="00C82EEB"/>
    <w:rsid w:val="00C92265"/>
    <w:rsid w:val="00C971DC"/>
    <w:rsid w:val="00CA16B7"/>
    <w:rsid w:val="00CA62AE"/>
    <w:rsid w:val="00CA64A5"/>
    <w:rsid w:val="00CA787E"/>
    <w:rsid w:val="00CB5B1A"/>
    <w:rsid w:val="00CC220B"/>
    <w:rsid w:val="00CC5319"/>
    <w:rsid w:val="00CC5C43"/>
    <w:rsid w:val="00CD02AE"/>
    <w:rsid w:val="00CD2A4F"/>
    <w:rsid w:val="00CE03CA"/>
    <w:rsid w:val="00CE22F1"/>
    <w:rsid w:val="00CE416D"/>
    <w:rsid w:val="00CE50F2"/>
    <w:rsid w:val="00CE6502"/>
    <w:rsid w:val="00CF7D3C"/>
    <w:rsid w:val="00D01F09"/>
    <w:rsid w:val="00D147EB"/>
    <w:rsid w:val="00D34667"/>
    <w:rsid w:val="00D401E1"/>
    <w:rsid w:val="00D408B4"/>
    <w:rsid w:val="00D4177B"/>
    <w:rsid w:val="00D524C8"/>
    <w:rsid w:val="00D52BD9"/>
    <w:rsid w:val="00D56434"/>
    <w:rsid w:val="00D65099"/>
    <w:rsid w:val="00D70E24"/>
    <w:rsid w:val="00D72B61"/>
    <w:rsid w:val="00D94441"/>
    <w:rsid w:val="00DA3D1D"/>
    <w:rsid w:val="00DB6286"/>
    <w:rsid w:val="00DB645F"/>
    <w:rsid w:val="00DB76E9"/>
    <w:rsid w:val="00DC0A67"/>
    <w:rsid w:val="00DC1D5E"/>
    <w:rsid w:val="00DC5220"/>
    <w:rsid w:val="00DD08A5"/>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54ED5"/>
    <w:rsid w:val="00E639B6"/>
    <w:rsid w:val="00E64167"/>
    <w:rsid w:val="00E6434B"/>
    <w:rsid w:val="00E6463D"/>
    <w:rsid w:val="00E72E9B"/>
    <w:rsid w:val="00E850C3"/>
    <w:rsid w:val="00E87DF2"/>
    <w:rsid w:val="00E9462E"/>
    <w:rsid w:val="00EA470E"/>
    <w:rsid w:val="00EA47A7"/>
    <w:rsid w:val="00EA57EB"/>
    <w:rsid w:val="00EB3226"/>
    <w:rsid w:val="00EB5C80"/>
    <w:rsid w:val="00EC213A"/>
    <w:rsid w:val="00EC7744"/>
    <w:rsid w:val="00ED0DAD"/>
    <w:rsid w:val="00ED0F46"/>
    <w:rsid w:val="00ED2373"/>
    <w:rsid w:val="00EE3A86"/>
    <w:rsid w:val="00EE3E8A"/>
    <w:rsid w:val="00EF58B8"/>
    <w:rsid w:val="00EF6ECA"/>
    <w:rsid w:val="00F024E1"/>
    <w:rsid w:val="00F06C10"/>
    <w:rsid w:val="00F1096F"/>
    <w:rsid w:val="00F12589"/>
    <w:rsid w:val="00F12595"/>
    <w:rsid w:val="00F134D9"/>
    <w:rsid w:val="00F1403D"/>
    <w:rsid w:val="00F1463F"/>
    <w:rsid w:val="00F21302"/>
    <w:rsid w:val="00F2372F"/>
    <w:rsid w:val="00F2430D"/>
    <w:rsid w:val="00F30E49"/>
    <w:rsid w:val="00F321DE"/>
    <w:rsid w:val="00F33777"/>
    <w:rsid w:val="00F40648"/>
    <w:rsid w:val="00F47DA2"/>
    <w:rsid w:val="00F519FC"/>
    <w:rsid w:val="00F54109"/>
    <w:rsid w:val="00F6239D"/>
    <w:rsid w:val="00F703FC"/>
    <w:rsid w:val="00F715D2"/>
    <w:rsid w:val="00F7274F"/>
    <w:rsid w:val="00F74E84"/>
    <w:rsid w:val="00F76FA8"/>
    <w:rsid w:val="00F93F08"/>
    <w:rsid w:val="00F94CED"/>
    <w:rsid w:val="00F954C6"/>
    <w:rsid w:val="00FA02BB"/>
    <w:rsid w:val="00FA2CEE"/>
    <w:rsid w:val="00FA318C"/>
    <w:rsid w:val="00FB6F92"/>
    <w:rsid w:val="00FC026E"/>
    <w:rsid w:val="00FC5124"/>
    <w:rsid w:val="00FD43F9"/>
    <w:rsid w:val="00FD4731"/>
    <w:rsid w:val="00FD4DAC"/>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0243EA9"/>
  <w15:docId w15:val="{03F739AC-17E5-4156-8D1E-5608B522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44BD4"/>
    <w:pPr>
      <w:spacing w:before="120" w:after="120"/>
    </w:pPr>
    <w:rPr>
      <w:rFonts w:ascii="Arial" w:hAnsi="Arial"/>
      <w:color w:val="000000" w:themeColor="text1"/>
      <w:sz w:val="22"/>
      <w:szCs w:val="24"/>
      <w:lang w:eastAsia="en-US"/>
    </w:rPr>
  </w:style>
  <w:style w:type="paragraph" w:styleId="Heading1">
    <w:name w:val="heading 1"/>
    <w:next w:val="Normal"/>
    <w:qFormat/>
    <w:rsid w:val="00CA64A5"/>
    <w:pPr>
      <w:keepNext/>
      <w:spacing w:before="120" w:after="120" w:line="276" w:lineRule="auto"/>
      <w:outlineLvl w:val="0"/>
    </w:pPr>
    <w:rPr>
      <w:rFonts w:ascii="Arial" w:hAnsi="Arial" w:cs="Arial"/>
      <w:b/>
      <w:bCs/>
      <w:color w:val="358189" w:themeColor="accent2"/>
      <w:kern w:val="28"/>
      <w:sz w:val="36"/>
      <w:szCs w:val="36"/>
      <w:lang w:eastAsia="en-US"/>
    </w:rPr>
  </w:style>
  <w:style w:type="paragraph" w:styleId="Heading2">
    <w:name w:val="heading 2"/>
    <w:basedOn w:val="Heading1"/>
    <w:next w:val="Normal"/>
    <w:qFormat/>
    <w:rsid w:val="00CA64A5"/>
    <w:pPr>
      <w:outlineLvl w:val="1"/>
    </w:pPr>
    <w:rPr>
      <w:bCs w:val="0"/>
      <w:iCs/>
      <w:color w:val="358189"/>
      <w:sz w:val="28"/>
      <w:szCs w:val="28"/>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117E99"/>
    <w:pPr>
      <w:keepNext/>
      <w:spacing w:before="240" w:after="60"/>
      <w:outlineLvl w:val="3"/>
    </w:pPr>
    <w:rPr>
      <w:rFonts w:ascii="Arial" w:hAnsi="Arial"/>
      <w:b/>
      <w:bCs/>
      <w:color w:val="358189" w:themeColor="accent2"/>
      <w:sz w:val="24"/>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qFormat/>
    <w:rsid w:val="00844BD4"/>
    <w:rPr>
      <w:rFonts w:ascii="Arial" w:hAnsi="Arial"/>
      <w:b/>
      <w:bCs/>
      <w:sz w:val="22"/>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qFormat/>
    <w:rsid w:val="00844BD4"/>
    <w:pPr>
      <w:numPr>
        <w:numId w:val="20"/>
      </w:numPr>
      <w:tabs>
        <w:tab w:val="left" w:pos="340"/>
        <w:tab w:val="left" w:pos="680"/>
      </w:tabs>
      <w:spacing w:before="40" w:after="40"/>
      <w:ind w:left="357" w:hanging="357"/>
    </w:pPr>
    <w:rPr>
      <w:rFonts w:ascii="Arial" w:hAnsi="Arial"/>
      <w:color w:val="000000" w:themeColor="text1"/>
      <w:sz w:val="22"/>
      <w:szCs w:val="24"/>
      <w:lang w:eastAsia="en-US"/>
    </w:rPr>
  </w:style>
  <w:style w:type="paragraph" w:customStyle="1" w:styleId="StyleCalibri">
    <w:name w:val="Style Calibri"/>
    <w:basedOn w:val="Normal"/>
    <w:rsid w:val="00117E99"/>
    <w:pPr>
      <w:spacing w:before="40" w:after="40"/>
    </w:pPr>
    <w:rPr>
      <w:rFonts w:ascii="Calibri" w:hAnsi="Calibri"/>
      <w:color w:val="000000"/>
      <w:szCs w:val="20"/>
    </w:r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character" w:styleId="Hyperlink">
    <w:name w:val="Hyperlink"/>
    <w:basedOn w:val="DefaultParagraphFont"/>
    <w:uiPriority w:val="99"/>
    <w:qFormat/>
    <w:rsid w:val="00844BD4"/>
    <w:rPr>
      <w:rFonts w:ascii="Arial" w:hAnsi="Arial"/>
      <w:color w:val="0000FF" w:themeColor="hyperlink"/>
      <w:sz w:val="22"/>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844BD4"/>
    <w:pPr>
      <w:pBdr>
        <w:top w:val="single" w:sz="6" w:space="20" w:color="358189"/>
        <w:left w:val="single" w:sz="6" w:space="10" w:color="358189"/>
        <w:bottom w:val="single" w:sz="6" w:space="10" w:color="358189"/>
        <w:right w:val="single" w:sz="6" w:space="10" w:color="358189"/>
      </w:pBdr>
      <w:spacing w:before="120" w:after="12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844BD4"/>
    <w:rPr>
      <w:rFonts w:ascii="Arial" w:hAnsi="Arial"/>
      <w:color w:val="000000" w:themeColor="text1"/>
      <w:sz w:val="22"/>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Caption">
    <w:name w:val="caption"/>
    <w:basedOn w:val="Normal"/>
    <w:next w:val="Normal"/>
    <w:unhideWhenUsed/>
    <w:rsid w:val="00A719F6"/>
    <w:pPr>
      <w:spacing w:after="200"/>
    </w:pPr>
    <w:rPr>
      <w:b/>
      <w:bCs/>
      <w:color w:val="3F4A75" w:themeColor="accent1"/>
      <w:sz w:val="18"/>
      <w:szCs w:val="18"/>
    </w:rPr>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Cs w:val="20"/>
    </w:rPr>
  </w:style>
  <w:style w:type="character" w:styleId="UnresolvedMention">
    <w:name w:val="Unresolved Mention"/>
    <w:basedOn w:val="DefaultParagraphFont"/>
    <w:uiPriority w:val="99"/>
    <w:semiHidden/>
    <w:unhideWhenUsed/>
    <w:rsid w:val="00BB05D4"/>
    <w:rPr>
      <w:color w:val="605E5C"/>
      <w:shd w:val="clear" w:color="auto" w:fill="E1DFDD"/>
    </w:rPr>
  </w:style>
  <w:style w:type="character" w:styleId="CommentReference">
    <w:name w:val="annotation reference"/>
    <w:basedOn w:val="DefaultParagraphFont"/>
    <w:semiHidden/>
    <w:unhideWhenUsed/>
    <w:rsid w:val="00F54109"/>
    <w:rPr>
      <w:sz w:val="16"/>
      <w:szCs w:val="16"/>
    </w:rPr>
  </w:style>
  <w:style w:type="paragraph" w:styleId="CommentText">
    <w:name w:val="annotation text"/>
    <w:basedOn w:val="Normal"/>
    <w:link w:val="CommentTextChar"/>
    <w:semiHidden/>
    <w:unhideWhenUsed/>
    <w:rsid w:val="00F54109"/>
    <w:rPr>
      <w:sz w:val="20"/>
      <w:szCs w:val="20"/>
    </w:rPr>
  </w:style>
  <w:style w:type="character" w:customStyle="1" w:styleId="CommentTextChar">
    <w:name w:val="Comment Text Char"/>
    <w:basedOn w:val="DefaultParagraphFont"/>
    <w:link w:val="CommentText"/>
    <w:semiHidden/>
    <w:rsid w:val="00F54109"/>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54109"/>
    <w:rPr>
      <w:b/>
      <w:bCs/>
    </w:rPr>
  </w:style>
  <w:style w:type="character" w:customStyle="1" w:styleId="CommentSubjectChar">
    <w:name w:val="Comment Subject Char"/>
    <w:basedOn w:val="CommentTextChar"/>
    <w:link w:val="CommentSubject"/>
    <w:semiHidden/>
    <w:rsid w:val="00F54109"/>
    <w:rPr>
      <w:rFonts w:ascii="Arial" w:hAnsi="Arial"/>
      <w:b/>
      <w:bCs/>
      <w:color w:val="000000" w:themeColor="text1"/>
      <w:lang w:eastAsia="en-US"/>
    </w:rPr>
  </w:style>
  <w:style w:type="paragraph" w:styleId="Revision">
    <w:name w:val="Revision"/>
    <w:hidden/>
    <w:uiPriority w:val="99"/>
    <w:semiHidden/>
    <w:rsid w:val="007C6CED"/>
    <w:rPr>
      <w:rFonts w:ascii="Arial" w:hAnsi="Arial"/>
      <w:color w:val="000000" w:themeColor="text1"/>
      <w:sz w:val="22"/>
      <w:szCs w:val="24"/>
      <w:lang w:eastAsia="en-US"/>
    </w:rPr>
  </w:style>
  <w:style w:type="character" w:styleId="FollowedHyperlink">
    <w:name w:val="FollowedHyperlink"/>
    <w:basedOn w:val="DefaultParagraphFont"/>
    <w:semiHidden/>
    <w:unhideWhenUsed/>
    <w:rsid w:val="00D4177B"/>
    <w:rPr>
      <w:color w:val="800080" w:themeColor="followedHyperlink"/>
      <w:u w:val="single"/>
    </w:rPr>
  </w:style>
  <w:style w:type="table" w:customStyle="1" w:styleId="TableGrid1">
    <w:name w:val="Table Grid1"/>
    <w:basedOn w:val="TableNormal"/>
    <w:next w:val="TableGrid"/>
    <w:uiPriority w:val="39"/>
    <w:rsid w:val="0046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93321132">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87363325">
      <w:bodyDiv w:val="1"/>
      <w:marLeft w:val="0"/>
      <w:marRight w:val="0"/>
      <w:marTop w:val="0"/>
      <w:marBottom w:val="0"/>
      <w:divBdr>
        <w:top w:val="none" w:sz="0" w:space="0" w:color="auto"/>
        <w:left w:val="none" w:sz="0" w:space="0" w:color="auto"/>
        <w:bottom w:val="none" w:sz="0" w:space="0" w:color="auto"/>
        <w:right w:val="none" w:sz="0" w:space="0" w:color="auto"/>
      </w:divBdr>
    </w:div>
    <w:div w:id="201059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initiatives-and-programs/omps?utm_source=health.gov.au&amp;utm_medium=callout-auto-custom&amp;utm_campaign=digital_transformation" TargetMode="External"/><Relationship Id="rId18" Type="http://schemas.openxmlformats.org/officeDocument/2006/relationships/hyperlink" Target="https://www.health.gov.au/initiatives-and-programs/omps?utm_source=health.gov.au&amp;utm_medium=callout-auto-custom&amp;utm_campaign=digital_transformation" TargetMode="External"/><Relationship Id="rId26" Type="http://schemas.openxmlformats.org/officeDocument/2006/relationships/hyperlink" Target="https://www.health.gov.au/resources/publications/administrative-record-keeping-guidelines-for-health-professionals" TargetMode="External"/><Relationship Id="rId39" Type="http://schemas.openxmlformats.org/officeDocument/2006/relationships/hyperlink" Target="https://www.health.gov.au/topics/pathology/compliance" TargetMode="External"/><Relationship Id="rId3" Type="http://schemas.openxmlformats.org/officeDocument/2006/relationships/customXml" Target="../customXml/item3.xml"/><Relationship Id="rId21" Type="http://schemas.openxmlformats.org/officeDocument/2006/relationships/hyperlink" Target="https://www.psr.gov.au/" TargetMode="External"/><Relationship Id="rId34" Type="http://schemas.openxmlformats.org/officeDocument/2006/relationships/hyperlink" Target="https://www.servicesaustralia.gov.au/practice-incentives-program"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ealth.gov.au/initiatives-and-programs/omps?utm_source=health.gov.au&amp;utm_medium=callout-auto-custom&amp;utm_campaign=digital_transformation" TargetMode="External"/><Relationship Id="rId17" Type="http://schemas.openxmlformats.org/officeDocument/2006/relationships/hyperlink" Target="https://www.health.gov.au/initiatives-and-programs/omps?utm_source=health.gov.au&amp;utm_medium=callout-auto-custom&amp;utm_campaign=digital_transformation" TargetMode="External"/><Relationship Id="rId25" Type="http://schemas.openxmlformats.org/officeDocument/2006/relationships/hyperlink" Target="https://www.health.gov.au/resources/collections/askmbs-advisories" TargetMode="External"/><Relationship Id="rId33" Type="http://schemas.openxmlformats.org/officeDocument/2006/relationships/hyperlink" Target="https://www.health.gov.au/our-work/child-dental-benefits-schedule" TargetMode="External"/><Relationship Id="rId38" Type="http://schemas.openxmlformats.org/officeDocument/2006/relationships/hyperlink" Target="https://www.health.gov.au/topics/medicare/compliance/reporting-incorrect-billing-claiming-or-suspected-fraud" TargetMode="External"/><Relationship Id="rId2" Type="http://schemas.openxmlformats.org/officeDocument/2006/relationships/customXml" Target="../customXml/item2.xml"/><Relationship Id="rId16" Type="http://schemas.openxmlformats.org/officeDocument/2006/relationships/hyperlink" Target="https://www.psr.gov.au" TargetMode="External"/><Relationship Id="rId20" Type="http://schemas.openxmlformats.org/officeDocument/2006/relationships/hyperlink" Target="https://www.legislation.gov.au/Details/C2017C00255" TargetMode="External"/><Relationship Id="rId29" Type="http://schemas.openxmlformats.org/officeDocument/2006/relationships/hyperlink" Target="http://www.medicareaust.com/compliance/Welcome/index.htm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initiatives-and-programs/omps?utm_source=health.gov.au&amp;utm_medium=callout-auto-custom&amp;utm_campaign=digital_transformation" TargetMode="External"/><Relationship Id="rId24" Type="http://schemas.openxmlformats.org/officeDocument/2006/relationships/hyperlink" Target="https://www.legislation.gov.au/Series/F2019L00180" TargetMode="External"/><Relationship Id="rId32" Type="http://schemas.openxmlformats.org/officeDocument/2006/relationships/hyperlink" Target="https://www.pbs.gov.au/pbs/home" TargetMode="External"/><Relationship Id="rId37" Type="http://schemas.openxmlformats.org/officeDocument/2006/relationships/hyperlink" Target="https://www.health.gov.au/health-topics/medicare-compliance/debts-and-penalties/voluntary-acknowledgements"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egislation.gov.au/Series/F2019L00180" TargetMode="External"/><Relationship Id="rId23" Type="http://schemas.openxmlformats.org/officeDocument/2006/relationships/hyperlink" Target="https://www.psr.gov.au/about-the-psr-scheme" TargetMode="External"/><Relationship Id="rId28" Type="http://schemas.openxmlformats.org/officeDocument/2006/relationships/hyperlink" Target="https://www.servicesaustralia.gov.au/organisations/health-professionals/subjects/medicare-information-health-professionals" TargetMode="External"/><Relationship Id="rId36" Type="http://schemas.openxmlformats.org/officeDocument/2006/relationships/hyperlink" Target="https://www.health.gov.au/topics/medicare/compliance" TargetMode="External"/><Relationship Id="rId10" Type="http://schemas.openxmlformats.org/officeDocument/2006/relationships/endnotes" Target="endnotes.xml"/><Relationship Id="rId19" Type="http://schemas.openxmlformats.org/officeDocument/2006/relationships/hyperlink" Target="https://www.legislation.gov.au/Details/F2023C00082" TargetMode="External"/><Relationship Id="rId31" Type="http://schemas.openxmlformats.org/officeDocument/2006/relationships/hyperlink" Target="http://www.mbsonline.gov.au/internet/mbsonline/publishing.nsf/Content/Hom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sr.gov.au/" TargetMode="External"/><Relationship Id="rId22" Type="http://schemas.openxmlformats.org/officeDocument/2006/relationships/hyperlink" Target="https://www.health.gov.au/health-topics/medicare-compliance/how-we-ensure-compliance/practitioner-review" TargetMode="External"/><Relationship Id="rId27" Type="http://schemas.openxmlformats.org/officeDocument/2006/relationships/hyperlink" Target="https://www.health.gov.au/resources/collections/medicare-billing-assurance-toolkit" TargetMode="External"/><Relationship Id="rId30" Type="http://schemas.openxmlformats.org/officeDocument/2006/relationships/hyperlink" Target="http://medicareaust.com/PublicHospitals/index.html" TargetMode="External"/><Relationship Id="rId35" Type="http://schemas.openxmlformats.org/officeDocument/2006/relationships/hyperlink" Target="https://www.health.gov.au/resources/publications/the-red-book"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BA0F854552C1439E0B5A69FC45307D" ma:contentTypeVersion="4" ma:contentTypeDescription="Create a new document." ma:contentTypeScope="" ma:versionID="2c67ecead2d6a557690ab602f71d58ed">
  <xsd:schema xmlns:xsd="http://www.w3.org/2001/XMLSchema" xmlns:xs="http://www.w3.org/2001/XMLSchema" xmlns:p="http://schemas.microsoft.com/office/2006/metadata/properties" xmlns:ns3="826ad85a-3479-4e4f-9f4e-f321c89067be" targetNamespace="http://schemas.microsoft.com/office/2006/metadata/properties" ma:root="true" ma:fieldsID="a4e83db322020b554d833ecd3f93d124" ns3:_="">
    <xsd:import namespace="826ad85a-3479-4e4f-9f4e-f321c89067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ad85a-3479-4e4f-9f4e-f321c8906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700343F4-E44C-4E1D-8D77-B3E41DBCC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ad85a-3479-4e4f-9f4e-f321c8906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826ad85a-3479-4e4f-9f4e-f321c89067be"/>
    <ds:schemaRef ds:uri="http://www.w3.org/XML/1998/namespace"/>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1687</Words>
  <Characters>12719</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Commencement of New Prescribed Pattern of Services – 30/20 telephone rule</vt:lpstr>
    </vt:vector>
  </TitlesOfParts>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Commencement of New Prescribed Pattern of Services – 30/20 telephone rule</dc:title>
  <dc:subject>Digital health</dc:subject>
  <dc:creator>Australian Government Department of Health and Aged Care</dc:creator>
  <cp:keywords>30/20 rule; prescribed pattern of services; digital health</cp:keywords>
  <cp:lastModifiedBy>Department of Health and Aged Care</cp:lastModifiedBy>
  <cp:revision>6</cp:revision>
  <dcterms:created xsi:type="dcterms:W3CDTF">2023-01-19T21:09:00Z</dcterms:created>
  <dcterms:modified xsi:type="dcterms:W3CDTF">2023-01-24T00:02:00Z</dcterms:modified>
</cp:coreProperties>
</file>