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18C9" w14:textId="16D7E318" w:rsidR="005F1827" w:rsidRPr="00B772DC" w:rsidRDefault="00926040" w:rsidP="00926040">
      <w:pPr>
        <w:pStyle w:val="Title"/>
      </w:pPr>
      <w:r w:rsidRPr="00B772DC">
        <w:t>ATAGI</w:t>
      </w:r>
      <w:r w:rsidR="006F0A75" w:rsidRPr="00B772DC">
        <w:t xml:space="preserve"> 202</w:t>
      </w:r>
      <w:r w:rsidR="006F4656" w:rsidRPr="00B772DC">
        <w:t>2</w:t>
      </w:r>
      <w:r w:rsidRPr="00B772DC">
        <w:t xml:space="preserve"> annual statement on immunisation</w:t>
      </w:r>
    </w:p>
    <w:p w14:paraId="784DCA75" w14:textId="21A7AE95" w:rsidR="00926040" w:rsidRPr="00B772DC" w:rsidRDefault="00C47B3F" w:rsidP="00926040">
      <w:pPr>
        <w:pStyle w:val="ReportDate"/>
      </w:pPr>
      <w:r>
        <w:t>December</w:t>
      </w:r>
      <w:r w:rsidR="002A7305">
        <w:t xml:space="preserve"> 2022</w:t>
      </w:r>
    </w:p>
    <w:p w14:paraId="680ECF73" w14:textId="4E0143E1" w:rsidR="00817AA1" w:rsidRDefault="0070564E">
      <w:pPr>
        <w:pStyle w:val="TOC1"/>
        <w:rPr>
          <w:rFonts w:asciiTheme="minorHAnsi" w:eastAsiaTheme="minorEastAsia" w:hAnsiTheme="minorHAnsi" w:cstheme="minorBidi"/>
          <w:b w:val="0"/>
          <w:bCs w:val="0"/>
          <w:color w:val="auto"/>
          <w:szCs w:val="22"/>
        </w:rPr>
      </w:pPr>
      <w:r w:rsidRPr="00B772DC">
        <w:fldChar w:fldCharType="begin"/>
      </w:r>
      <w:r w:rsidRPr="00B772DC">
        <w:instrText xml:space="preserve"> TOC \o "1-2" \h \z \u </w:instrText>
      </w:r>
      <w:r w:rsidRPr="00B772DC">
        <w:fldChar w:fldCharType="separate"/>
      </w:r>
      <w:hyperlink w:anchor="_Toc124411465" w:history="1">
        <w:r w:rsidR="00817AA1" w:rsidRPr="00FE4C8D">
          <w:rPr>
            <w:rStyle w:val="Hyperlink"/>
          </w:rPr>
          <w:t>About ATAGI</w:t>
        </w:r>
        <w:r w:rsidR="00817AA1">
          <w:rPr>
            <w:webHidden/>
          </w:rPr>
          <w:tab/>
        </w:r>
        <w:r w:rsidR="00817AA1">
          <w:rPr>
            <w:webHidden/>
          </w:rPr>
          <w:fldChar w:fldCharType="begin"/>
        </w:r>
        <w:r w:rsidR="00817AA1">
          <w:rPr>
            <w:webHidden/>
          </w:rPr>
          <w:instrText xml:space="preserve"> PAGEREF _Toc124411465 \h </w:instrText>
        </w:r>
        <w:r w:rsidR="00817AA1">
          <w:rPr>
            <w:webHidden/>
          </w:rPr>
        </w:r>
        <w:r w:rsidR="00817AA1">
          <w:rPr>
            <w:webHidden/>
          </w:rPr>
          <w:fldChar w:fldCharType="separate"/>
        </w:r>
        <w:r w:rsidR="00817AA1">
          <w:rPr>
            <w:webHidden/>
          </w:rPr>
          <w:t>2</w:t>
        </w:r>
        <w:r w:rsidR="00817AA1">
          <w:rPr>
            <w:webHidden/>
          </w:rPr>
          <w:fldChar w:fldCharType="end"/>
        </w:r>
      </w:hyperlink>
    </w:p>
    <w:p w14:paraId="1B39670A" w14:textId="35867D4E" w:rsidR="00817AA1" w:rsidRDefault="00561CB4">
      <w:pPr>
        <w:pStyle w:val="TOC1"/>
        <w:rPr>
          <w:rFonts w:asciiTheme="minorHAnsi" w:eastAsiaTheme="minorEastAsia" w:hAnsiTheme="minorHAnsi" w:cstheme="minorBidi"/>
          <w:b w:val="0"/>
          <w:bCs w:val="0"/>
          <w:color w:val="auto"/>
          <w:szCs w:val="22"/>
        </w:rPr>
      </w:pPr>
      <w:hyperlink w:anchor="_Toc124411466" w:history="1">
        <w:r w:rsidR="00817AA1" w:rsidRPr="00FE4C8D">
          <w:rPr>
            <w:rStyle w:val="Hyperlink"/>
          </w:rPr>
          <w:t>Summary</w:t>
        </w:r>
        <w:r w:rsidR="00817AA1">
          <w:rPr>
            <w:webHidden/>
          </w:rPr>
          <w:tab/>
        </w:r>
        <w:r w:rsidR="00817AA1">
          <w:rPr>
            <w:webHidden/>
          </w:rPr>
          <w:fldChar w:fldCharType="begin"/>
        </w:r>
        <w:r w:rsidR="00817AA1">
          <w:rPr>
            <w:webHidden/>
          </w:rPr>
          <w:instrText xml:space="preserve"> PAGEREF _Toc124411466 \h </w:instrText>
        </w:r>
        <w:r w:rsidR="00817AA1">
          <w:rPr>
            <w:webHidden/>
          </w:rPr>
        </w:r>
        <w:r w:rsidR="00817AA1">
          <w:rPr>
            <w:webHidden/>
          </w:rPr>
          <w:fldChar w:fldCharType="separate"/>
        </w:r>
        <w:r w:rsidR="00817AA1">
          <w:rPr>
            <w:webHidden/>
          </w:rPr>
          <w:t>3</w:t>
        </w:r>
        <w:r w:rsidR="00817AA1">
          <w:rPr>
            <w:webHidden/>
          </w:rPr>
          <w:fldChar w:fldCharType="end"/>
        </w:r>
      </w:hyperlink>
    </w:p>
    <w:p w14:paraId="0432B291" w14:textId="09FF5843" w:rsidR="00817AA1" w:rsidRDefault="00561CB4">
      <w:pPr>
        <w:pStyle w:val="TOC2"/>
        <w:rPr>
          <w:rFonts w:asciiTheme="minorHAnsi" w:eastAsiaTheme="minorEastAsia" w:hAnsiTheme="minorHAnsi" w:cstheme="minorBidi"/>
          <w:noProof/>
          <w:color w:val="auto"/>
          <w:szCs w:val="22"/>
        </w:rPr>
      </w:pPr>
      <w:hyperlink w:anchor="_Toc124411467" w:history="1">
        <w:r w:rsidR="00817AA1" w:rsidRPr="00FE4C8D">
          <w:rPr>
            <w:rStyle w:val="Hyperlink"/>
            <w:noProof/>
          </w:rPr>
          <w:t>Key successes in immunisation in 2021</w:t>
        </w:r>
        <w:r w:rsidR="00817AA1">
          <w:rPr>
            <w:noProof/>
            <w:webHidden/>
          </w:rPr>
          <w:tab/>
        </w:r>
        <w:r w:rsidR="00817AA1">
          <w:rPr>
            <w:noProof/>
            <w:webHidden/>
          </w:rPr>
          <w:fldChar w:fldCharType="begin"/>
        </w:r>
        <w:r w:rsidR="00817AA1">
          <w:rPr>
            <w:noProof/>
            <w:webHidden/>
          </w:rPr>
          <w:instrText xml:space="preserve"> PAGEREF _Toc124411467 \h </w:instrText>
        </w:r>
        <w:r w:rsidR="00817AA1">
          <w:rPr>
            <w:noProof/>
            <w:webHidden/>
          </w:rPr>
        </w:r>
        <w:r w:rsidR="00817AA1">
          <w:rPr>
            <w:noProof/>
            <w:webHidden/>
          </w:rPr>
          <w:fldChar w:fldCharType="separate"/>
        </w:r>
        <w:r w:rsidR="00817AA1">
          <w:rPr>
            <w:noProof/>
            <w:webHidden/>
          </w:rPr>
          <w:t>3</w:t>
        </w:r>
        <w:r w:rsidR="00817AA1">
          <w:rPr>
            <w:noProof/>
            <w:webHidden/>
          </w:rPr>
          <w:fldChar w:fldCharType="end"/>
        </w:r>
      </w:hyperlink>
    </w:p>
    <w:p w14:paraId="27F9268A" w14:textId="7D2EEA26" w:rsidR="00817AA1" w:rsidRDefault="00561CB4">
      <w:pPr>
        <w:pStyle w:val="TOC2"/>
        <w:rPr>
          <w:rFonts w:asciiTheme="minorHAnsi" w:eastAsiaTheme="minorEastAsia" w:hAnsiTheme="minorHAnsi" w:cstheme="minorBidi"/>
          <w:noProof/>
          <w:color w:val="auto"/>
          <w:szCs w:val="22"/>
        </w:rPr>
      </w:pPr>
      <w:hyperlink w:anchor="_Toc124411468" w:history="1">
        <w:r w:rsidR="00817AA1" w:rsidRPr="00FE4C8D">
          <w:rPr>
            <w:rStyle w:val="Hyperlink"/>
            <w:noProof/>
          </w:rPr>
          <w:t>Key challenges and priorities for immunisation in Australia in 2022 and beyond</w:t>
        </w:r>
        <w:r w:rsidR="00817AA1">
          <w:rPr>
            <w:noProof/>
            <w:webHidden/>
          </w:rPr>
          <w:tab/>
        </w:r>
        <w:r w:rsidR="00817AA1">
          <w:rPr>
            <w:noProof/>
            <w:webHidden/>
          </w:rPr>
          <w:fldChar w:fldCharType="begin"/>
        </w:r>
        <w:r w:rsidR="00817AA1">
          <w:rPr>
            <w:noProof/>
            <w:webHidden/>
          </w:rPr>
          <w:instrText xml:space="preserve"> PAGEREF _Toc124411468 \h </w:instrText>
        </w:r>
        <w:r w:rsidR="00817AA1">
          <w:rPr>
            <w:noProof/>
            <w:webHidden/>
          </w:rPr>
        </w:r>
        <w:r w:rsidR="00817AA1">
          <w:rPr>
            <w:noProof/>
            <w:webHidden/>
          </w:rPr>
          <w:fldChar w:fldCharType="separate"/>
        </w:r>
        <w:r w:rsidR="00817AA1">
          <w:rPr>
            <w:noProof/>
            <w:webHidden/>
          </w:rPr>
          <w:t>3</w:t>
        </w:r>
        <w:r w:rsidR="00817AA1">
          <w:rPr>
            <w:noProof/>
            <w:webHidden/>
          </w:rPr>
          <w:fldChar w:fldCharType="end"/>
        </w:r>
      </w:hyperlink>
    </w:p>
    <w:p w14:paraId="1C484903" w14:textId="6E9D5B53" w:rsidR="00817AA1" w:rsidRDefault="00561CB4">
      <w:pPr>
        <w:pStyle w:val="TOC1"/>
        <w:rPr>
          <w:rFonts w:asciiTheme="minorHAnsi" w:eastAsiaTheme="minorEastAsia" w:hAnsiTheme="minorHAnsi" w:cstheme="minorBidi"/>
          <w:b w:val="0"/>
          <w:bCs w:val="0"/>
          <w:color w:val="auto"/>
          <w:szCs w:val="22"/>
        </w:rPr>
      </w:pPr>
      <w:hyperlink w:anchor="_Toc124411469" w:history="1">
        <w:r w:rsidR="00817AA1" w:rsidRPr="00FE4C8D">
          <w:rPr>
            <w:rStyle w:val="Hyperlink"/>
          </w:rPr>
          <w:t>Immunisation issues in Australia in 2021</w:t>
        </w:r>
        <w:r w:rsidR="00817AA1">
          <w:rPr>
            <w:webHidden/>
          </w:rPr>
          <w:tab/>
        </w:r>
        <w:r w:rsidR="00817AA1">
          <w:rPr>
            <w:webHidden/>
          </w:rPr>
          <w:fldChar w:fldCharType="begin"/>
        </w:r>
        <w:r w:rsidR="00817AA1">
          <w:rPr>
            <w:webHidden/>
          </w:rPr>
          <w:instrText xml:space="preserve"> PAGEREF _Toc124411469 \h </w:instrText>
        </w:r>
        <w:r w:rsidR="00817AA1">
          <w:rPr>
            <w:webHidden/>
          </w:rPr>
        </w:r>
        <w:r w:rsidR="00817AA1">
          <w:rPr>
            <w:webHidden/>
          </w:rPr>
          <w:fldChar w:fldCharType="separate"/>
        </w:r>
        <w:r w:rsidR="00817AA1">
          <w:rPr>
            <w:webHidden/>
          </w:rPr>
          <w:t>5</w:t>
        </w:r>
        <w:r w:rsidR="00817AA1">
          <w:rPr>
            <w:webHidden/>
          </w:rPr>
          <w:fldChar w:fldCharType="end"/>
        </w:r>
      </w:hyperlink>
    </w:p>
    <w:p w14:paraId="1C25B981" w14:textId="0D2C079A" w:rsidR="00817AA1" w:rsidRDefault="00561CB4">
      <w:pPr>
        <w:pStyle w:val="TOC2"/>
        <w:rPr>
          <w:rFonts w:asciiTheme="minorHAnsi" w:eastAsiaTheme="minorEastAsia" w:hAnsiTheme="minorHAnsi" w:cstheme="minorBidi"/>
          <w:noProof/>
          <w:color w:val="auto"/>
          <w:szCs w:val="22"/>
        </w:rPr>
      </w:pPr>
      <w:hyperlink w:anchor="_Toc124411470" w:history="1">
        <w:r w:rsidR="00817AA1" w:rsidRPr="00FE4C8D">
          <w:rPr>
            <w:rStyle w:val="Hyperlink"/>
            <w:noProof/>
          </w:rPr>
          <w:t>COVID</w:t>
        </w:r>
        <w:r w:rsidR="00817AA1" w:rsidRPr="00FE4C8D">
          <w:rPr>
            <w:rStyle w:val="Hyperlink"/>
            <w:noProof/>
          </w:rPr>
          <w:noBreakHyphen/>
          <w:t>19 vaccination</w:t>
        </w:r>
        <w:r w:rsidR="00817AA1">
          <w:rPr>
            <w:noProof/>
            <w:webHidden/>
          </w:rPr>
          <w:tab/>
        </w:r>
        <w:r w:rsidR="00817AA1">
          <w:rPr>
            <w:noProof/>
            <w:webHidden/>
          </w:rPr>
          <w:fldChar w:fldCharType="begin"/>
        </w:r>
        <w:r w:rsidR="00817AA1">
          <w:rPr>
            <w:noProof/>
            <w:webHidden/>
          </w:rPr>
          <w:instrText xml:space="preserve"> PAGEREF _Toc124411470 \h </w:instrText>
        </w:r>
        <w:r w:rsidR="00817AA1">
          <w:rPr>
            <w:noProof/>
            <w:webHidden/>
          </w:rPr>
        </w:r>
        <w:r w:rsidR="00817AA1">
          <w:rPr>
            <w:noProof/>
            <w:webHidden/>
          </w:rPr>
          <w:fldChar w:fldCharType="separate"/>
        </w:r>
        <w:r w:rsidR="00817AA1">
          <w:rPr>
            <w:noProof/>
            <w:webHidden/>
          </w:rPr>
          <w:t>5</w:t>
        </w:r>
        <w:r w:rsidR="00817AA1">
          <w:rPr>
            <w:noProof/>
            <w:webHidden/>
          </w:rPr>
          <w:fldChar w:fldCharType="end"/>
        </w:r>
      </w:hyperlink>
    </w:p>
    <w:p w14:paraId="6E4A534A" w14:textId="3DDA0DD1" w:rsidR="00817AA1" w:rsidRDefault="00561CB4">
      <w:pPr>
        <w:pStyle w:val="TOC2"/>
        <w:rPr>
          <w:rFonts w:asciiTheme="minorHAnsi" w:eastAsiaTheme="minorEastAsia" w:hAnsiTheme="minorHAnsi" w:cstheme="minorBidi"/>
          <w:noProof/>
          <w:color w:val="auto"/>
          <w:szCs w:val="22"/>
        </w:rPr>
      </w:pPr>
      <w:hyperlink w:anchor="_Toc124411471" w:history="1">
        <w:r w:rsidR="00817AA1" w:rsidRPr="00FE4C8D">
          <w:rPr>
            <w:rStyle w:val="Hyperlink"/>
            <w:noProof/>
          </w:rPr>
          <w:t>Prevention and control of other vaccine-preventable diseases</w:t>
        </w:r>
        <w:r w:rsidR="00817AA1">
          <w:rPr>
            <w:noProof/>
            <w:webHidden/>
          </w:rPr>
          <w:tab/>
        </w:r>
        <w:r w:rsidR="00817AA1">
          <w:rPr>
            <w:noProof/>
            <w:webHidden/>
          </w:rPr>
          <w:fldChar w:fldCharType="begin"/>
        </w:r>
        <w:r w:rsidR="00817AA1">
          <w:rPr>
            <w:noProof/>
            <w:webHidden/>
          </w:rPr>
          <w:instrText xml:space="preserve"> PAGEREF _Toc124411471 \h </w:instrText>
        </w:r>
        <w:r w:rsidR="00817AA1">
          <w:rPr>
            <w:noProof/>
            <w:webHidden/>
          </w:rPr>
        </w:r>
        <w:r w:rsidR="00817AA1">
          <w:rPr>
            <w:noProof/>
            <w:webHidden/>
          </w:rPr>
          <w:fldChar w:fldCharType="separate"/>
        </w:r>
        <w:r w:rsidR="00817AA1">
          <w:rPr>
            <w:noProof/>
            <w:webHidden/>
          </w:rPr>
          <w:t>7</w:t>
        </w:r>
        <w:r w:rsidR="00817AA1">
          <w:rPr>
            <w:noProof/>
            <w:webHidden/>
          </w:rPr>
          <w:fldChar w:fldCharType="end"/>
        </w:r>
      </w:hyperlink>
    </w:p>
    <w:p w14:paraId="346A3E63" w14:textId="40CABF72" w:rsidR="00817AA1" w:rsidRDefault="00561CB4">
      <w:pPr>
        <w:pStyle w:val="TOC2"/>
        <w:rPr>
          <w:rFonts w:asciiTheme="minorHAnsi" w:eastAsiaTheme="minorEastAsia" w:hAnsiTheme="minorHAnsi" w:cstheme="minorBidi"/>
          <w:noProof/>
          <w:color w:val="auto"/>
          <w:szCs w:val="22"/>
        </w:rPr>
      </w:pPr>
      <w:hyperlink w:anchor="_Toc124411472" w:history="1">
        <w:r w:rsidR="00817AA1" w:rsidRPr="00FE4C8D">
          <w:rPr>
            <w:rStyle w:val="Hyperlink"/>
            <w:noProof/>
          </w:rPr>
          <w:t>National immunisation policy and practice</w:t>
        </w:r>
        <w:r w:rsidR="00817AA1">
          <w:rPr>
            <w:noProof/>
            <w:webHidden/>
          </w:rPr>
          <w:tab/>
        </w:r>
        <w:r w:rsidR="00817AA1">
          <w:rPr>
            <w:noProof/>
            <w:webHidden/>
          </w:rPr>
          <w:fldChar w:fldCharType="begin"/>
        </w:r>
        <w:r w:rsidR="00817AA1">
          <w:rPr>
            <w:noProof/>
            <w:webHidden/>
          </w:rPr>
          <w:instrText xml:space="preserve"> PAGEREF _Toc124411472 \h </w:instrText>
        </w:r>
        <w:r w:rsidR="00817AA1">
          <w:rPr>
            <w:noProof/>
            <w:webHidden/>
          </w:rPr>
        </w:r>
        <w:r w:rsidR="00817AA1">
          <w:rPr>
            <w:noProof/>
            <w:webHidden/>
          </w:rPr>
          <w:fldChar w:fldCharType="separate"/>
        </w:r>
        <w:r w:rsidR="00817AA1">
          <w:rPr>
            <w:noProof/>
            <w:webHidden/>
          </w:rPr>
          <w:t>8</w:t>
        </w:r>
        <w:r w:rsidR="00817AA1">
          <w:rPr>
            <w:noProof/>
            <w:webHidden/>
          </w:rPr>
          <w:fldChar w:fldCharType="end"/>
        </w:r>
      </w:hyperlink>
    </w:p>
    <w:p w14:paraId="6AE82338" w14:textId="0304A4BD" w:rsidR="00817AA1" w:rsidRDefault="00561CB4">
      <w:pPr>
        <w:pStyle w:val="TOC2"/>
        <w:rPr>
          <w:rFonts w:asciiTheme="minorHAnsi" w:eastAsiaTheme="minorEastAsia" w:hAnsiTheme="minorHAnsi" w:cstheme="minorBidi"/>
          <w:noProof/>
          <w:color w:val="auto"/>
          <w:szCs w:val="22"/>
        </w:rPr>
      </w:pPr>
      <w:hyperlink w:anchor="_Toc124411473" w:history="1">
        <w:r w:rsidR="00817AA1" w:rsidRPr="00FE4C8D">
          <w:rPr>
            <w:rStyle w:val="Hyperlink"/>
            <w:noProof/>
          </w:rPr>
          <w:t>New vaccines</w:t>
        </w:r>
        <w:r w:rsidR="00817AA1">
          <w:rPr>
            <w:noProof/>
            <w:webHidden/>
          </w:rPr>
          <w:tab/>
        </w:r>
        <w:r w:rsidR="00817AA1">
          <w:rPr>
            <w:noProof/>
            <w:webHidden/>
          </w:rPr>
          <w:fldChar w:fldCharType="begin"/>
        </w:r>
        <w:r w:rsidR="00817AA1">
          <w:rPr>
            <w:noProof/>
            <w:webHidden/>
          </w:rPr>
          <w:instrText xml:space="preserve"> PAGEREF _Toc124411473 \h </w:instrText>
        </w:r>
        <w:r w:rsidR="00817AA1">
          <w:rPr>
            <w:noProof/>
            <w:webHidden/>
          </w:rPr>
        </w:r>
        <w:r w:rsidR="00817AA1">
          <w:rPr>
            <w:noProof/>
            <w:webHidden/>
          </w:rPr>
          <w:fldChar w:fldCharType="separate"/>
        </w:r>
        <w:r w:rsidR="00817AA1">
          <w:rPr>
            <w:noProof/>
            <w:webHidden/>
          </w:rPr>
          <w:t>11</w:t>
        </w:r>
        <w:r w:rsidR="00817AA1">
          <w:rPr>
            <w:noProof/>
            <w:webHidden/>
          </w:rPr>
          <w:fldChar w:fldCharType="end"/>
        </w:r>
      </w:hyperlink>
    </w:p>
    <w:p w14:paraId="669C1194" w14:textId="53829C3D" w:rsidR="00817AA1" w:rsidRDefault="00561CB4">
      <w:pPr>
        <w:pStyle w:val="TOC2"/>
        <w:rPr>
          <w:rFonts w:asciiTheme="minorHAnsi" w:eastAsiaTheme="minorEastAsia" w:hAnsiTheme="minorHAnsi" w:cstheme="minorBidi"/>
          <w:noProof/>
          <w:color w:val="auto"/>
          <w:szCs w:val="22"/>
        </w:rPr>
      </w:pPr>
      <w:hyperlink w:anchor="_Toc124411474" w:history="1">
        <w:r w:rsidR="00817AA1" w:rsidRPr="00FE4C8D">
          <w:rPr>
            <w:rStyle w:val="Hyperlink"/>
            <w:noProof/>
          </w:rPr>
          <w:t>Vaccine safety</w:t>
        </w:r>
        <w:r w:rsidR="00817AA1">
          <w:rPr>
            <w:noProof/>
            <w:webHidden/>
          </w:rPr>
          <w:tab/>
        </w:r>
        <w:r w:rsidR="00817AA1">
          <w:rPr>
            <w:noProof/>
            <w:webHidden/>
          </w:rPr>
          <w:fldChar w:fldCharType="begin"/>
        </w:r>
        <w:r w:rsidR="00817AA1">
          <w:rPr>
            <w:noProof/>
            <w:webHidden/>
          </w:rPr>
          <w:instrText xml:space="preserve"> PAGEREF _Toc124411474 \h </w:instrText>
        </w:r>
        <w:r w:rsidR="00817AA1">
          <w:rPr>
            <w:noProof/>
            <w:webHidden/>
          </w:rPr>
        </w:r>
        <w:r w:rsidR="00817AA1">
          <w:rPr>
            <w:noProof/>
            <w:webHidden/>
          </w:rPr>
          <w:fldChar w:fldCharType="separate"/>
        </w:r>
        <w:r w:rsidR="00817AA1">
          <w:rPr>
            <w:noProof/>
            <w:webHidden/>
          </w:rPr>
          <w:t>11</w:t>
        </w:r>
        <w:r w:rsidR="00817AA1">
          <w:rPr>
            <w:noProof/>
            <w:webHidden/>
          </w:rPr>
          <w:fldChar w:fldCharType="end"/>
        </w:r>
      </w:hyperlink>
    </w:p>
    <w:p w14:paraId="0C5B4CE3" w14:textId="745AA070" w:rsidR="00817AA1" w:rsidRDefault="00561CB4">
      <w:pPr>
        <w:pStyle w:val="TOC1"/>
        <w:rPr>
          <w:rFonts w:asciiTheme="minorHAnsi" w:eastAsiaTheme="minorEastAsia" w:hAnsiTheme="minorHAnsi" w:cstheme="minorBidi"/>
          <w:b w:val="0"/>
          <w:bCs w:val="0"/>
          <w:color w:val="auto"/>
          <w:szCs w:val="22"/>
        </w:rPr>
      </w:pPr>
      <w:hyperlink w:anchor="_Toc124411475" w:history="1">
        <w:r w:rsidR="00817AA1" w:rsidRPr="00FE4C8D">
          <w:rPr>
            <w:rStyle w:val="Hyperlink"/>
          </w:rPr>
          <w:t>Challenges and priorities for immunisation in Australia in 2022 and beyond</w:t>
        </w:r>
        <w:r w:rsidR="00817AA1">
          <w:rPr>
            <w:webHidden/>
          </w:rPr>
          <w:tab/>
        </w:r>
        <w:r w:rsidR="00817AA1">
          <w:rPr>
            <w:webHidden/>
          </w:rPr>
          <w:fldChar w:fldCharType="begin"/>
        </w:r>
        <w:r w:rsidR="00817AA1">
          <w:rPr>
            <w:webHidden/>
          </w:rPr>
          <w:instrText xml:space="preserve"> PAGEREF _Toc124411475 \h </w:instrText>
        </w:r>
        <w:r w:rsidR="00817AA1">
          <w:rPr>
            <w:webHidden/>
          </w:rPr>
        </w:r>
        <w:r w:rsidR="00817AA1">
          <w:rPr>
            <w:webHidden/>
          </w:rPr>
          <w:fldChar w:fldCharType="separate"/>
        </w:r>
        <w:r w:rsidR="00817AA1">
          <w:rPr>
            <w:webHidden/>
          </w:rPr>
          <w:t>13</w:t>
        </w:r>
        <w:r w:rsidR="00817AA1">
          <w:rPr>
            <w:webHidden/>
          </w:rPr>
          <w:fldChar w:fldCharType="end"/>
        </w:r>
      </w:hyperlink>
    </w:p>
    <w:p w14:paraId="25A14615" w14:textId="627BD6A7" w:rsidR="00817AA1" w:rsidRDefault="00561CB4">
      <w:pPr>
        <w:pStyle w:val="TOC2"/>
        <w:rPr>
          <w:rFonts w:asciiTheme="minorHAnsi" w:eastAsiaTheme="minorEastAsia" w:hAnsiTheme="minorHAnsi" w:cstheme="minorBidi"/>
          <w:noProof/>
          <w:color w:val="auto"/>
          <w:szCs w:val="22"/>
        </w:rPr>
      </w:pPr>
      <w:hyperlink w:anchor="_Toc124411476" w:history="1">
        <w:r w:rsidR="00817AA1" w:rsidRPr="00FE4C8D">
          <w:rPr>
            <w:rStyle w:val="Hyperlink"/>
            <w:noProof/>
          </w:rPr>
          <w:t>Key challenges for prevention and control of vaccine-preventable diseases through immunisation</w:t>
        </w:r>
        <w:r w:rsidR="00817AA1">
          <w:rPr>
            <w:noProof/>
            <w:webHidden/>
          </w:rPr>
          <w:tab/>
        </w:r>
        <w:r w:rsidR="00817AA1">
          <w:rPr>
            <w:noProof/>
            <w:webHidden/>
          </w:rPr>
          <w:fldChar w:fldCharType="begin"/>
        </w:r>
        <w:r w:rsidR="00817AA1">
          <w:rPr>
            <w:noProof/>
            <w:webHidden/>
          </w:rPr>
          <w:instrText xml:space="preserve"> PAGEREF _Toc124411476 \h </w:instrText>
        </w:r>
        <w:r w:rsidR="00817AA1">
          <w:rPr>
            <w:noProof/>
            <w:webHidden/>
          </w:rPr>
        </w:r>
        <w:r w:rsidR="00817AA1">
          <w:rPr>
            <w:noProof/>
            <w:webHidden/>
          </w:rPr>
          <w:fldChar w:fldCharType="separate"/>
        </w:r>
        <w:r w:rsidR="00817AA1">
          <w:rPr>
            <w:noProof/>
            <w:webHidden/>
          </w:rPr>
          <w:t>13</w:t>
        </w:r>
        <w:r w:rsidR="00817AA1">
          <w:rPr>
            <w:noProof/>
            <w:webHidden/>
          </w:rPr>
          <w:fldChar w:fldCharType="end"/>
        </w:r>
      </w:hyperlink>
    </w:p>
    <w:p w14:paraId="370A4E26" w14:textId="6A7C2BBC" w:rsidR="00817AA1" w:rsidRDefault="00561CB4">
      <w:pPr>
        <w:pStyle w:val="TOC2"/>
        <w:rPr>
          <w:rFonts w:asciiTheme="minorHAnsi" w:eastAsiaTheme="minorEastAsia" w:hAnsiTheme="minorHAnsi" w:cstheme="minorBidi"/>
          <w:noProof/>
          <w:color w:val="auto"/>
          <w:szCs w:val="22"/>
        </w:rPr>
      </w:pPr>
      <w:hyperlink w:anchor="_Toc124411477" w:history="1">
        <w:r w:rsidR="00817AA1" w:rsidRPr="00FE4C8D">
          <w:rPr>
            <w:rStyle w:val="Hyperlink"/>
            <w:noProof/>
          </w:rPr>
          <w:t>ATAGI’s priority actions for 2022</w:t>
        </w:r>
        <w:r w:rsidR="00817AA1">
          <w:rPr>
            <w:noProof/>
            <w:webHidden/>
          </w:rPr>
          <w:tab/>
        </w:r>
        <w:r w:rsidR="00817AA1">
          <w:rPr>
            <w:noProof/>
            <w:webHidden/>
          </w:rPr>
          <w:fldChar w:fldCharType="begin"/>
        </w:r>
        <w:r w:rsidR="00817AA1">
          <w:rPr>
            <w:noProof/>
            <w:webHidden/>
          </w:rPr>
          <w:instrText xml:space="preserve"> PAGEREF _Toc124411477 \h </w:instrText>
        </w:r>
        <w:r w:rsidR="00817AA1">
          <w:rPr>
            <w:noProof/>
            <w:webHidden/>
          </w:rPr>
        </w:r>
        <w:r w:rsidR="00817AA1">
          <w:rPr>
            <w:noProof/>
            <w:webHidden/>
          </w:rPr>
          <w:fldChar w:fldCharType="separate"/>
        </w:r>
        <w:r w:rsidR="00817AA1">
          <w:rPr>
            <w:noProof/>
            <w:webHidden/>
          </w:rPr>
          <w:t>13</w:t>
        </w:r>
        <w:r w:rsidR="00817AA1">
          <w:rPr>
            <w:noProof/>
            <w:webHidden/>
          </w:rPr>
          <w:fldChar w:fldCharType="end"/>
        </w:r>
      </w:hyperlink>
    </w:p>
    <w:p w14:paraId="4885DF08" w14:textId="2164DC53" w:rsidR="00926040" w:rsidRPr="00B772DC" w:rsidRDefault="0070564E">
      <w:pPr>
        <w:spacing w:after="0"/>
      </w:pPr>
      <w:r w:rsidRPr="00B772DC">
        <w:rPr>
          <w:b/>
          <w:bCs/>
          <w:noProof/>
        </w:rPr>
        <w:fldChar w:fldCharType="end"/>
      </w:r>
      <w:r w:rsidR="00926040" w:rsidRPr="00B772DC">
        <w:br w:type="page"/>
      </w:r>
    </w:p>
    <w:p w14:paraId="3706456F" w14:textId="77777777" w:rsidR="004D5E2A" w:rsidRPr="00B772DC" w:rsidRDefault="004D5E2A" w:rsidP="004D5E2A">
      <w:pPr>
        <w:pStyle w:val="Heading1"/>
      </w:pPr>
      <w:bookmarkStart w:id="0" w:name="_Toc72165377"/>
      <w:bookmarkStart w:id="1" w:name="_Toc124411465"/>
      <w:r w:rsidRPr="00B772DC">
        <w:lastRenderedPageBreak/>
        <w:t>About ATAGI</w:t>
      </w:r>
      <w:bookmarkEnd w:id="0"/>
      <w:bookmarkEnd w:id="1"/>
    </w:p>
    <w:p w14:paraId="06A27C62" w14:textId="007ED0F3" w:rsidR="004D5E2A" w:rsidRPr="00B772DC" w:rsidRDefault="004D5E2A" w:rsidP="004D5E2A">
      <w:r w:rsidRPr="00B772DC">
        <w:t xml:space="preserve">The </w:t>
      </w:r>
      <w:hyperlink r:id="rId11" w:history="1">
        <w:r w:rsidRPr="00B772DC">
          <w:rPr>
            <w:rStyle w:val="Hyperlink"/>
          </w:rPr>
          <w:t>Australian Technical Advisory Group on Immunisation (ATAGI)</w:t>
        </w:r>
      </w:hyperlink>
      <w:r w:rsidRPr="00B772DC">
        <w:t xml:space="preserve"> advises the Minister for Health on the National Immunisation Program</w:t>
      </w:r>
      <w:r w:rsidR="008D3FD5" w:rsidRPr="00B772DC">
        <w:t xml:space="preserve"> </w:t>
      </w:r>
      <w:r w:rsidR="003275FA" w:rsidRPr="00B772DC">
        <w:t xml:space="preserve">(NIP) </w:t>
      </w:r>
      <w:r w:rsidRPr="00B772DC">
        <w:t>and other immunisation issues.</w:t>
      </w:r>
    </w:p>
    <w:p w14:paraId="228A72E7" w14:textId="7D821438" w:rsidR="004D5E2A" w:rsidRPr="00B772DC" w:rsidRDefault="004D5E2A" w:rsidP="004D5E2A">
      <w:r w:rsidRPr="00B772DC">
        <w:t>ATAGI’s vision is to protect the Australian population from vaccine-preventable diseases</w:t>
      </w:r>
      <w:r w:rsidR="00371C6C" w:rsidRPr="00B772DC">
        <w:t xml:space="preserve"> (VPDs)</w:t>
      </w:r>
      <w:r w:rsidRPr="00B772DC">
        <w:t xml:space="preserve">. This is shown in </w:t>
      </w:r>
      <w:hyperlink r:id="rId12" w:history="1">
        <w:r w:rsidRPr="00B772DC">
          <w:rPr>
            <w:rStyle w:val="Hyperlink"/>
          </w:rPr>
          <w:t>ATAGI’s strategic intent</w:t>
        </w:r>
      </w:hyperlink>
      <w:r w:rsidRPr="00B772DC">
        <w:t>.</w:t>
      </w:r>
    </w:p>
    <w:p w14:paraId="3466BD58" w14:textId="54750BCD" w:rsidR="004D5E2A" w:rsidRPr="00B772DC" w:rsidRDefault="004D5E2A" w:rsidP="004D5E2A">
      <w:pPr>
        <w:pStyle w:val="NormalBeforeBullet"/>
      </w:pPr>
      <w:r w:rsidRPr="00B772DC">
        <w:t>ATAGI’s purpose is to provide evidence-based advice to the Minister for Health and other key policymakers on:</w:t>
      </w:r>
    </w:p>
    <w:p w14:paraId="647AA000" w14:textId="77777777" w:rsidR="004D5E2A" w:rsidRPr="00B772DC" w:rsidRDefault="004D5E2A" w:rsidP="004D5E2A">
      <w:pPr>
        <w:pStyle w:val="Bullet"/>
      </w:pPr>
      <w:r w:rsidRPr="00B772DC">
        <w:t>immunisation policies</w:t>
      </w:r>
    </w:p>
    <w:p w14:paraId="4F590155" w14:textId="295296B5" w:rsidR="004D5E2A" w:rsidRPr="00B772DC" w:rsidRDefault="004D5E2A" w:rsidP="004D5E2A">
      <w:pPr>
        <w:pStyle w:val="Bullet"/>
      </w:pPr>
      <w:r w:rsidRPr="00B772DC">
        <w:t>immunisation programs</w:t>
      </w:r>
    </w:p>
    <w:p w14:paraId="2494F1D9" w14:textId="606C726C" w:rsidR="004D5E2A" w:rsidRPr="00B772DC" w:rsidRDefault="004D5E2A" w:rsidP="004D5E2A">
      <w:pPr>
        <w:pStyle w:val="BulletLast"/>
      </w:pPr>
      <w:r w:rsidRPr="00B772DC">
        <w:t>future research priorities.</w:t>
      </w:r>
    </w:p>
    <w:p w14:paraId="010ECEC1" w14:textId="3B6E7CD1" w:rsidR="004D5E2A" w:rsidRPr="00B772DC" w:rsidRDefault="004D5E2A" w:rsidP="004D5E2A">
      <w:pPr>
        <w:pStyle w:val="NormalBeforeBullet"/>
      </w:pPr>
      <w:r w:rsidRPr="00B772DC">
        <w:t>This includes identifying and prioritising gaps in the immunisation landscape to improve:</w:t>
      </w:r>
    </w:p>
    <w:p w14:paraId="301E6914" w14:textId="77777777" w:rsidR="004D5E2A" w:rsidRPr="00B772DC" w:rsidRDefault="004D5E2A" w:rsidP="004D5E2A">
      <w:pPr>
        <w:pStyle w:val="Bullet"/>
      </w:pPr>
      <w:r w:rsidRPr="00B772DC">
        <w:t>the impact of immunisation programs</w:t>
      </w:r>
    </w:p>
    <w:p w14:paraId="19B1E921" w14:textId="77777777" w:rsidR="004D5E2A" w:rsidRPr="00B772DC" w:rsidRDefault="004D5E2A" w:rsidP="004D5E2A">
      <w:pPr>
        <w:pStyle w:val="Bullet"/>
      </w:pPr>
      <w:r w:rsidRPr="00B772DC">
        <w:t>confidence in immunisation programs, as well as the vaccines used in the programs</w:t>
      </w:r>
    </w:p>
    <w:p w14:paraId="59495331" w14:textId="0D239E22" w:rsidR="004D5E2A" w:rsidRPr="00B772DC" w:rsidRDefault="004D5E2A" w:rsidP="004D5E2A">
      <w:pPr>
        <w:pStyle w:val="BulletLast"/>
      </w:pPr>
      <w:r w:rsidRPr="00B772DC">
        <w:t>equity in access to</w:t>
      </w:r>
      <w:r w:rsidR="00CC4AB0" w:rsidRPr="00B772DC">
        <w:t>,</w:t>
      </w:r>
      <w:r w:rsidRPr="00B772DC">
        <w:t xml:space="preserve"> and outcomes of</w:t>
      </w:r>
      <w:r w:rsidR="00CC4AB0" w:rsidRPr="00B772DC">
        <w:t>,</w:t>
      </w:r>
      <w:r w:rsidRPr="00B772DC">
        <w:t xml:space="preserve"> immunisation programs.</w:t>
      </w:r>
    </w:p>
    <w:p w14:paraId="4063B40A" w14:textId="2D60DD18" w:rsidR="000456F1" w:rsidRPr="00B772DC" w:rsidRDefault="004D5E2A" w:rsidP="004D5E2A">
      <w:r w:rsidRPr="00B772DC">
        <w:t xml:space="preserve">ATAGI also develops and publishes the </w:t>
      </w:r>
      <w:hyperlink r:id="rId13" w:history="1">
        <w:r w:rsidRPr="00B772DC">
          <w:rPr>
            <w:rStyle w:val="Hyperlink"/>
          </w:rPr>
          <w:t>Australian Immunisation Handbook</w:t>
        </w:r>
      </w:hyperlink>
      <w:r w:rsidRPr="00B772DC">
        <w:t>.</w:t>
      </w:r>
    </w:p>
    <w:p w14:paraId="5C36AF3A" w14:textId="6C15F998" w:rsidR="0070564E" w:rsidRPr="00B772DC" w:rsidRDefault="00290AF1" w:rsidP="00561CB4">
      <w:pPr>
        <w:pStyle w:val="BoxText"/>
      </w:pPr>
      <w:r w:rsidRPr="00B772DC">
        <w:t xml:space="preserve">The ATAGI 2022 Annual Statement on Immunisation is the second publication in this series. It highlights the key successes, </w:t>
      </w:r>
      <w:proofErr w:type="gramStart"/>
      <w:r w:rsidRPr="00B772DC">
        <w:t>trends</w:t>
      </w:r>
      <w:proofErr w:type="gramEnd"/>
      <w:r w:rsidRPr="00B772DC">
        <w:t xml:space="preserve"> and challenges in the use of vaccines and control of VPDs in Australia in 2021. It also signals ATAGI’s priority actions for addressing key issues for 2022 and beyond.</w:t>
      </w:r>
    </w:p>
    <w:p w14:paraId="76CF12A6" w14:textId="780EA2C1" w:rsidR="0070564E" w:rsidRPr="00857D5C" w:rsidRDefault="0070564E" w:rsidP="00561CB4">
      <w:pPr>
        <w:pStyle w:val="ImprintText"/>
        <w:spacing w:before="2040"/>
        <w:rPr>
          <w:rStyle w:val="Strong"/>
        </w:rPr>
      </w:pPr>
      <w:r w:rsidRPr="00857D5C">
        <w:rPr>
          <w:rStyle w:val="Strong"/>
        </w:rPr>
        <w:t>Copyright</w:t>
      </w:r>
    </w:p>
    <w:p w14:paraId="010B61E5" w14:textId="0FF026C9" w:rsidR="0070564E" w:rsidRPr="00B772DC" w:rsidRDefault="0070564E" w:rsidP="0070564E">
      <w:pPr>
        <w:pStyle w:val="ImprintText"/>
        <w:rPr>
          <w:rFonts w:cs="Adelle Sans"/>
        </w:rPr>
      </w:pPr>
      <w:r w:rsidRPr="00B772DC">
        <w:rPr>
          <w:rFonts w:cs="Adelle Sans"/>
        </w:rPr>
        <w:t>© 2022 Commonwealth of Australia as represented by the Department of Health</w:t>
      </w:r>
      <w:r w:rsidR="00D66A66">
        <w:rPr>
          <w:rFonts w:cs="Adelle Sans"/>
        </w:rPr>
        <w:t xml:space="preserve"> and Aged Care</w:t>
      </w:r>
    </w:p>
    <w:p w14:paraId="2CB73DC6" w14:textId="6B03F230" w:rsidR="0070564E" w:rsidRPr="00B772DC" w:rsidRDefault="0070564E" w:rsidP="0070564E">
      <w:pPr>
        <w:pStyle w:val="ImprintText"/>
        <w:rPr>
          <w:rFonts w:cs="Adelle Sans"/>
        </w:rPr>
      </w:pPr>
      <w:r w:rsidRPr="00B772DC">
        <w:rPr>
          <w:rFonts w:cs="Adelle Sans"/>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CC99586" w14:textId="116F1174" w:rsidR="0070564E" w:rsidRPr="00B772DC" w:rsidRDefault="0070564E" w:rsidP="0070564E">
      <w:pPr>
        <w:pStyle w:val="ImprintText"/>
        <w:numPr>
          <w:ilvl w:val="0"/>
          <w:numId w:val="13"/>
        </w:numPr>
      </w:pPr>
      <w:r w:rsidRPr="00B772DC">
        <w:t>do not use the copy or reproduction for any commercial purpose; and</w:t>
      </w:r>
    </w:p>
    <w:p w14:paraId="5B390D8B" w14:textId="6CFD45E9" w:rsidR="0070564E" w:rsidRPr="00B772DC" w:rsidRDefault="0070564E" w:rsidP="0070564E">
      <w:pPr>
        <w:pStyle w:val="ImprintText"/>
        <w:numPr>
          <w:ilvl w:val="0"/>
          <w:numId w:val="13"/>
        </w:numPr>
      </w:pPr>
      <w:r w:rsidRPr="00B772DC">
        <w:t>retain this copyright notice and all disclaimer notices as part of that copy or reproduction.</w:t>
      </w:r>
    </w:p>
    <w:p w14:paraId="36C97755" w14:textId="4B6FF361" w:rsidR="0070564E" w:rsidRPr="00B772DC" w:rsidRDefault="0070564E" w:rsidP="0070564E">
      <w:pPr>
        <w:pStyle w:val="ImprintText"/>
        <w:rPr>
          <w:rFonts w:cs="Adelle Sans"/>
        </w:rPr>
      </w:pPr>
      <w:r w:rsidRPr="00B772DC">
        <w:rPr>
          <w:rFonts w:cs="Adelle Sans"/>
        </w:rPr>
        <w:t xml:space="preserve">Apart from rights as permitted by the </w:t>
      </w:r>
      <w:r w:rsidRPr="00857D5C">
        <w:rPr>
          <w:rStyle w:val="Emphasis"/>
        </w:rPr>
        <w:t>Copyright Act 1968</w:t>
      </w:r>
      <w:r w:rsidRPr="00B772DC">
        <w:rPr>
          <w:rFonts w:cs="Adelle Sans"/>
          <w:i/>
          <w:iCs/>
        </w:rPr>
        <w:t xml:space="preserve"> </w:t>
      </w:r>
      <w:r w:rsidRPr="00B772DC">
        <w:rPr>
          <w:rFonts w:cs="Adelle Sans"/>
        </w:rPr>
        <w:t>(Cwlth) or allowed by this copyright notice, all other rights are reserved, including (but not limited to) all commercial rights.</w:t>
      </w:r>
    </w:p>
    <w:p w14:paraId="46E494A5" w14:textId="21ED094F" w:rsidR="0070564E" w:rsidRPr="00B772DC" w:rsidRDefault="0070564E" w:rsidP="0070564E">
      <w:pPr>
        <w:pStyle w:val="ImprintText"/>
      </w:pPr>
      <w:r w:rsidRPr="00B772DC">
        <w:rPr>
          <w:rFonts w:cs="Adelle Sans"/>
        </w:rPr>
        <w:t>Requests and inquiries concerning reproduction and other rights to use are to be sent to the Communication Branch, Department of Health</w:t>
      </w:r>
      <w:r w:rsidR="00D66A66">
        <w:rPr>
          <w:rFonts w:cs="Adelle Sans"/>
        </w:rPr>
        <w:t xml:space="preserve"> and Aged Care</w:t>
      </w:r>
      <w:r w:rsidRPr="00B772DC">
        <w:rPr>
          <w:rFonts w:cs="Adelle Sans"/>
        </w:rPr>
        <w:t xml:space="preserve">, GPO Box 9848, Canberra ACT 2601, or via e-mail to </w:t>
      </w:r>
      <w:hyperlink r:id="rId14" w:history="1">
        <w:r w:rsidR="00857D5C" w:rsidRPr="00F27BA8">
          <w:rPr>
            <w:rStyle w:val="Hyperlink"/>
            <w:rFonts w:cs="Adelle Sans"/>
          </w:rPr>
          <w:t>copyright@health.gov.au</w:t>
        </w:r>
      </w:hyperlink>
      <w:r w:rsidR="00857D5C">
        <w:rPr>
          <w:rFonts w:cs="Adelle Sans"/>
        </w:rPr>
        <w:t xml:space="preserve"> </w:t>
      </w:r>
    </w:p>
    <w:p w14:paraId="0B1997A3" w14:textId="6CAAAFD9" w:rsidR="004D5E2A" w:rsidRPr="00B772DC" w:rsidRDefault="004D5E2A" w:rsidP="00D10C9D">
      <w:r w:rsidRPr="00B772DC">
        <w:br w:type="page"/>
      </w:r>
    </w:p>
    <w:p w14:paraId="2C57E93C" w14:textId="220C9636" w:rsidR="00926040" w:rsidRPr="00B772DC" w:rsidRDefault="00926040" w:rsidP="00926040">
      <w:pPr>
        <w:pStyle w:val="Heading1"/>
      </w:pPr>
      <w:bookmarkStart w:id="2" w:name="_Toc72165378"/>
      <w:bookmarkStart w:id="3" w:name="_Toc124411466"/>
      <w:r w:rsidRPr="00B772DC">
        <w:lastRenderedPageBreak/>
        <w:t>Summary</w:t>
      </w:r>
      <w:bookmarkEnd w:id="2"/>
      <w:bookmarkEnd w:id="3"/>
    </w:p>
    <w:p w14:paraId="1CB2BF7B" w14:textId="02C5D642" w:rsidR="009250DA" w:rsidRDefault="00290AF1" w:rsidP="00926040">
      <w:r w:rsidRPr="00B772DC">
        <w:t>In 2021, immunisation issues in Australia were dominated by the COVID</w:t>
      </w:r>
      <w:r w:rsidR="00272EC5" w:rsidRPr="00B772DC">
        <w:noBreakHyphen/>
      </w:r>
      <w:r w:rsidRPr="00B772DC">
        <w:t>19 vaccine roll</w:t>
      </w:r>
      <w:r w:rsidR="00F35FC5" w:rsidRPr="00B772DC">
        <w:t>-</w:t>
      </w:r>
      <w:r w:rsidRPr="00B772DC">
        <w:t xml:space="preserve">out. </w:t>
      </w:r>
      <w:r w:rsidR="0095346D" w:rsidRPr="00B772DC">
        <w:t>COVID</w:t>
      </w:r>
      <w:r w:rsidR="00272EC5" w:rsidRPr="00B772DC">
        <w:noBreakHyphen/>
      </w:r>
      <w:r w:rsidR="0095346D" w:rsidRPr="00B772DC">
        <w:t>19 control measures continued to contribute to lower rates of many vaccine-preventable diseases (VPDs) in Australia.</w:t>
      </w:r>
    </w:p>
    <w:p w14:paraId="1CD66D4F" w14:textId="2A5A1BCD" w:rsidR="00D405A8" w:rsidRPr="00B772DC" w:rsidRDefault="00D405A8" w:rsidP="00D405A8">
      <w:pPr>
        <w:pStyle w:val="Heading2"/>
      </w:pPr>
      <w:bookmarkStart w:id="4" w:name="_Toc72165379"/>
      <w:bookmarkStart w:id="5" w:name="_Toc124411467"/>
      <w:r w:rsidRPr="00B772DC">
        <w:t>Key successes in immunisation in 202</w:t>
      </w:r>
      <w:r w:rsidR="006F4656" w:rsidRPr="00B772DC">
        <w:t>1</w:t>
      </w:r>
      <w:bookmarkEnd w:id="4"/>
      <w:bookmarkEnd w:id="5"/>
    </w:p>
    <w:p w14:paraId="60DF1D55" w14:textId="00217FD6" w:rsidR="00EC4C8B" w:rsidRPr="00B772DC" w:rsidRDefault="006F4656" w:rsidP="00BA15CB">
      <w:pPr>
        <w:pStyle w:val="Bullet"/>
      </w:pPr>
      <w:r w:rsidRPr="00B772DC">
        <w:t>Australia’s COVID</w:t>
      </w:r>
      <w:r w:rsidR="00272EC5" w:rsidRPr="00B772DC">
        <w:noBreakHyphen/>
      </w:r>
      <w:r w:rsidRPr="00B772DC">
        <w:t xml:space="preserve">19 </w:t>
      </w:r>
      <w:r w:rsidR="00371C6C" w:rsidRPr="00B772DC">
        <w:t>immunisation</w:t>
      </w:r>
      <w:r w:rsidR="00DB2870" w:rsidRPr="00B772DC">
        <w:t xml:space="preserve"> </w:t>
      </w:r>
      <w:r w:rsidRPr="00B772DC">
        <w:t>program</w:t>
      </w:r>
      <w:r w:rsidR="00DB2870" w:rsidRPr="00B772DC">
        <w:t xml:space="preserve"> started in February</w:t>
      </w:r>
      <w:r w:rsidR="00AB14AB" w:rsidRPr="00B772DC">
        <w:t xml:space="preserve"> 2021</w:t>
      </w:r>
      <w:r w:rsidR="00DB2870" w:rsidRPr="00B772DC">
        <w:t>.</w:t>
      </w:r>
      <w:r w:rsidR="00A041E0" w:rsidRPr="00B772DC">
        <w:t xml:space="preserve"> </w:t>
      </w:r>
      <w:r w:rsidR="00DB2870" w:rsidRPr="00B772DC">
        <w:t>M</w:t>
      </w:r>
      <w:r w:rsidR="00C93875" w:rsidRPr="00B772DC">
        <w:t xml:space="preserve">ultiple </w:t>
      </w:r>
      <w:r w:rsidR="008F4F0C" w:rsidRPr="00B772DC">
        <w:t xml:space="preserve">safe and effective vaccines </w:t>
      </w:r>
      <w:r w:rsidR="00874CB4" w:rsidRPr="00B772DC">
        <w:t xml:space="preserve">for adults and adolescents </w:t>
      </w:r>
      <w:r w:rsidR="00DB2870" w:rsidRPr="00B772DC">
        <w:t xml:space="preserve">were </w:t>
      </w:r>
      <w:r w:rsidR="00874CB4" w:rsidRPr="00B772DC">
        <w:t xml:space="preserve">delivered by </w:t>
      </w:r>
      <w:r w:rsidR="008F4F0C" w:rsidRPr="00B772DC">
        <w:t>a range of immunisation providers in different settings</w:t>
      </w:r>
      <w:r w:rsidR="00C93875" w:rsidRPr="00B772DC">
        <w:t>.</w:t>
      </w:r>
      <w:r w:rsidR="008F4F0C" w:rsidRPr="00B772DC">
        <w:t xml:space="preserve"> </w:t>
      </w:r>
      <w:r w:rsidR="00DB2870" w:rsidRPr="00B772DC">
        <w:t>More than 42.7</w:t>
      </w:r>
      <w:r w:rsidR="00272EC5" w:rsidRPr="00B772DC">
        <w:t> </w:t>
      </w:r>
      <w:r w:rsidR="00DB2870" w:rsidRPr="00B772DC">
        <w:t>million doses of COVID</w:t>
      </w:r>
      <w:r w:rsidR="00272EC5" w:rsidRPr="00B772DC">
        <w:noBreakHyphen/>
      </w:r>
      <w:r w:rsidR="00DB2870" w:rsidRPr="00B772DC">
        <w:t>19 vaccine were administered across Australia in 2021.</w:t>
      </w:r>
    </w:p>
    <w:p w14:paraId="0D96C72C" w14:textId="2031F3FC" w:rsidR="008F4F0C" w:rsidRPr="00B772DC" w:rsidRDefault="00DB2870" w:rsidP="00BA15CB">
      <w:pPr>
        <w:pStyle w:val="Bullet"/>
      </w:pPr>
      <w:r w:rsidRPr="00B772DC">
        <w:t>ATAGI and other groups responded rapidly to emerging evidence on COVID</w:t>
      </w:r>
      <w:r w:rsidR="00272EC5" w:rsidRPr="00B772DC">
        <w:noBreakHyphen/>
      </w:r>
      <w:r w:rsidRPr="00B772DC">
        <w:t>19 vaccine safety and effectiveness</w:t>
      </w:r>
      <w:r w:rsidR="000750BD" w:rsidRPr="00B772DC">
        <w:t xml:space="preserve">. Recommendations were revised in line with the latest </w:t>
      </w:r>
      <w:r w:rsidR="00673785" w:rsidRPr="00B772DC">
        <w:t xml:space="preserve">local and international </w:t>
      </w:r>
      <w:r w:rsidR="000750BD" w:rsidRPr="00B772DC">
        <w:t>evidence to ensure the ongoing safe and effective use of these vaccines</w:t>
      </w:r>
      <w:r w:rsidR="00673785" w:rsidRPr="00B772DC">
        <w:t xml:space="preserve"> in Australia</w:t>
      </w:r>
      <w:r w:rsidR="000750BD" w:rsidRPr="00B772DC">
        <w:t>.</w:t>
      </w:r>
    </w:p>
    <w:p w14:paraId="4798F806" w14:textId="02C7946A" w:rsidR="00FB3AEF" w:rsidRPr="00B772DC" w:rsidRDefault="00FB3AEF" w:rsidP="00BA15CB">
      <w:pPr>
        <w:pStyle w:val="Bullet"/>
      </w:pPr>
      <w:r w:rsidRPr="00B772DC">
        <w:t xml:space="preserve">First Nations communities </w:t>
      </w:r>
      <w:r w:rsidR="005306FB" w:rsidRPr="00B772DC">
        <w:t>respond</w:t>
      </w:r>
      <w:r w:rsidRPr="00B772DC">
        <w:t xml:space="preserve">ed </w:t>
      </w:r>
      <w:r w:rsidR="005306FB" w:rsidRPr="00B772DC">
        <w:t>quickly</w:t>
      </w:r>
      <w:r w:rsidRPr="00B772DC">
        <w:t xml:space="preserve"> and effective</w:t>
      </w:r>
      <w:r w:rsidR="005306FB" w:rsidRPr="00B772DC">
        <w:t>ly</w:t>
      </w:r>
      <w:r w:rsidRPr="00B772DC">
        <w:t xml:space="preserve"> to </w:t>
      </w:r>
      <w:r w:rsidR="005306FB" w:rsidRPr="00B772DC">
        <w:t xml:space="preserve">the </w:t>
      </w:r>
      <w:r w:rsidRPr="00B772DC">
        <w:t>COVID</w:t>
      </w:r>
      <w:r w:rsidR="00272EC5" w:rsidRPr="00B772DC">
        <w:noBreakHyphen/>
      </w:r>
      <w:r w:rsidRPr="00B772DC">
        <w:t>19</w:t>
      </w:r>
      <w:r w:rsidR="005306FB" w:rsidRPr="00B772DC">
        <w:t xml:space="preserve"> pandemic</w:t>
      </w:r>
      <w:r w:rsidRPr="00B772DC">
        <w:t xml:space="preserve">. First Nations health leaders and </w:t>
      </w:r>
      <w:proofErr w:type="gramStart"/>
      <w:r w:rsidRPr="00B772DC">
        <w:t>community controlled</w:t>
      </w:r>
      <w:proofErr w:type="gramEnd"/>
      <w:r w:rsidRPr="00B772DC">
        <w:t xml:space="preserve"> health organisations worked </w:t>
      </w:r>
      <w:r w:rsidR="00F64B2F" w:rsidRPr="00B772DC">
        <w:t xml:space="preserve">in partnership with government and nongovernment organisations to implement culturally appropriate measures on disease prevention, health promotion and health risk communication. </w:t>
      </w:r>
      <w:r w:rsidR="00CA2E46" w:rsidRPr="00B772DC">
        <w:t xml:space="preserve">This helped </w:t>
      </w:r>
      <w:r w:rsidR="005306FB" w:rsidRPr="00B772DC">
        <w:t xml:space="preserve">First Nations communities </w:t>
      </w:r>
      <w:r w:rsidR="00CA2E46" w:rsidRPr="00B772DC">
        <w:t>avoid severe illness and death from COVID</w:t>
      </w:r>
      <w:r w:rsidR="00272EC5" w:rsidRPr="00B772DC">
        <w:noBreakHyphen/>
      </w:r>
      <w:r w:rsidR="00CA2E46" w:rsidRPr="00B772DC">
        <w:t>19.</w:t>
      </w:r>
    </w:p>
    <w:p w14:paraId="457E13D6" w14:textId="624EA90F" w:rsidR="00862550" w:rsidRPr="00B772DC" w:rsidRDefault="000750BD" w:rsidP="00660E46">
      <w:pPr>
        <w:pStyle w:val="Bullet"/>
      </w:pPr>
      <w:r w:rsidRPr="00B772DC">
        <w:t>The rates of many</w:t>
      </w:r>
      <w:r w:rsidR="003A509D" w:rsidRPr="00B772DC">
        <w:t xml:space="preserve"> </w:t>
      </w:r>
      <w:r w:rsidR="009250DA" w:rsidRPr="00B772DC">
        <w:t xml:space="preserve">VPDs </w:t>
      </w:r>
      <w:r w:rsidR="000A17E7" w:rsidRPr="00B772DC">
        <w:t xml:space="preserve">were much lower than </w:t>
      </w:r>
      <w:r w:rsidR="003A509D" w:rsidRPr="00B772DC">
        <w:t>in pre-COVID</w:t>
      </w:r>
      <w:r w:rsidR="00272EC5" w:rsidRPr="00B772DC">
        <w:noBreakHyphen/>
      </w:r>
      <w:r w:rsidR="003A509D" w:rsidRPr="00B772DC">
        <w:t>19 pandemic years</w:t>
      </w:r>
      <w:r w:rsidR="000A17E7" w:rsidRPr="00B772DC">
        <w:t>. This included</w:t>
      </w:r>
      <w:r w:rsidR="009250DA" w:rsidRPr="00B772DC">
        <w:t xml:space="preserve"> </w:t>
      </w:r>
      <w:r w:rsidR="009553A6" w:rsidRPr="00B772DC">
        <w:t xml:space="preserve">influenza, </w:t>
      </w:r>
      <w:r w:rsidR="009250DA" w:rsidRPr="00B772DC">
        <w:t xml:space="preserve">measles, meningococcal </w:t>
      </w:r>
      <w:proofErr w:type="gramStart"/>
      <w:r w:rsidR="009250DA" w:rsidRPr="00B772DC">
        <w:t>disease</w:t>
      </w:r>
      <w:proofErr w:type="gramEnd"/>
      <w:r w:rsidR="009250DA" w:rsidRPr="00B772DC">
        <w:t xml:space="preserve"> and pertussis.</w:t>
      </w:r>
      <w:r w:rsidR="00D24DC7" w:rsidRPr="00B772DC">
        <w:t xml:space="preserve"> Control measures for COVID</w:t>
      </w:r>
      <w:r w:rsidR="00272EC5" w:rsidRPr="00B772DC">
        <w:noBreakHyphen/>
      </w:r>
      <w:r w:rsidR="00D24DC7" w:rsidRPr="00B772DC">
        <w:t xml:space="preserve">19 (such as border closures, physical </w:t>
      </w:r>
      <w:proofErr w:type="gramStart"/>
      <w:r w:rsidR="00D24DC7" w:rsidRPr="00B772DC">
        <w:t>distancing</w:t>
      </w:r>
      <w:proofErr w:type="gramEnd"/>
      <w:r w:rsidR="00D24DC7" w:rsidRPr="00B772DC">
        <w:t xml:space="preserve"> and hand hygiene) have likely contributed to this</w:t>
      </w:r>
      <w:r w:rsidR="00632007" w:rsidRPr="00B772DC">
        <w:t>.</w:t>
      </w:r>
    </w:p>
    <w:p w14:paraId="75E2A183" w14:textId="3D95599C" w:rsidR="00FF05FE" w:rsidRPr="00B772DC" w:rsidRDefault="00673785" w:rsidP="00660E46">
      <w:pPr>
        <w:pStyle w:val="Bullet"/>
      </w:pPr>
      <w:r w:rsidRPr="00B772DC">
        <w:t>COVID</w:t>
      </w:r>
      <w:r w:rsidR="00272EC5" w:rsidRPr="00B772DC">
        <w:noBreakHyphen/>
      </w:r>
      <w:r w:rsidRPr="00B772DC">
        <w:t xml:space="preserve">19 did not have a </w:t>
      </w:r>
      <w:r w:rsidR="00713881" w:rsidRPr="00B772DC">
        <w:t xml:space="preserve">major </w:t>
      </w:r>
      <w:r w:rsidRPr="00B772DC">
        <w:t xml:space="preserve">impact on the National Immunisation Program (NIP). Immunisation </w:t>
      </w:r>
      <w:r w:rsidR="007B1533" w:rsidRPr="00B772DC">
        <w:t xml:space="preserve">uptake </w:t>
      </w:r>
      <w:r w:rsidRPr="00B772DC">
        <w:t>in young children remained high</w:t>
      </w:r>
      <w:r w:rsidR="00713881" w:rsidRPr="00B772DC">
        <w:t>,</w:t>
      </w:r>
      <w:r w:rsidRPr="00B772DC">
        <w:t xml:space="preserve"> even during COVID</w:t>
      </w:r>
      <w:r w:rsidR="00272EC5" w:rsidRPr="00B772DC">
        <w:noBreakHyphen/>
      </w:r>
      <w:r w:rsidRPr="00B772DC">
        <w:t>19 restrictions.</w:t>
      </w:r>
    </w:p>
    <w:p w14:paraId="194BEAFD" w14:textId="58B6EFA9" w:rsidR="00673785" w:rsidRPr="00B772DC" w:rsidRDefault="00673785" w:rsidP="007B30F7">
      <w:pPr>
        <w:pStyle w:val="BulletLast"/>
      </w:pPr>
      <w:r w:rsidRPr="00B772DC">
        <w:t>Australia’s</w:t>
      </w:r>
      <w:r w:rsidR="000E00DA" w:rsidRPr="00B772DC">
        <w:t xml:space="preserve"> </w:t>
      </w:r>
      <w:r w:rsidR="002D45E9" w:rsidRPr="00B772DC">
        <w:t xml:space="preserve">vaccination data systems were strengthened. </w:t>
      </w:r>
      <w:r w:rsidRPr="00B772DC">
        <w:t>Mandatory reporting</w:t>
      </w:r>
      <w:r w:rsidR="000E00DA" w:rsidRPr="00B772DC">
        <w:t xml:space="preserve"> to the Australian Immunisation Register (AIR) was introduced in 2021 for all NIP vaccines, influenza vaccines and COVID</w:t>
      </w:r>
      <w:r w:rsidR="00272EC5" w:rsidRPr="00B772DC">
        <w:noBreakHyphen/>
      </w:r>
      <w:r w:rsidR="000E00DA" w:rsidRPr="00B772DC">
        <w:t>19 vaccines.</w:t>
      </w:r>
    </w:p>
    <w:p w14:paraId="2C359557" w14:textId="4E38E89F" w:rsidR="00D405A8" w:rsidRPr="00B772DC" w:rsidRDefault="00D405A8" w:rsidP="00D405A8">
      <w:pPr>
        <w:pStyle w:val="Heading2"/>
      </w:pPr>
      <w:bookmarkStart w:id="6" w:name="_Toc72165380"/>
      <w:bookmarkStart w:id="7" w:name="_Toc124411468"/>
      <w:r w:rsidRPr="00B772DC">
        <w:t>Key challenges and priorities for immunisation in Australia in 202</w:t>
      </w:r>
      <w:r w:rsidR="001E2FF9" w:rsidRPr="00B772DC">
        <w:t>2</w:t>
      </w:r>
      <w:r w:rsidRPr="00B772DC">
        <w:t xml:space="preserve"> and beyond</w:t>
      </w:r>
      <w:bookmarkEnd w:id="6"/>
      <w:bookmarkEnd w:id="7"/>
    </w:p>
    <w:p w14:paraId="5804857F" w14:textId="7D1510A4" w:rsidR="00803601" w:rsidRPr="00B772DC" w:rsidRDefault="00803601" w:rsidP="00803601">
      <w:pPr>
        <w:pStyle w:val="Heading3"/>
      </w:pPr>
      <w:r w:rsidRPr="00B772DC">
        <w:t>For COVID</w:t>
      </w:r>
      <w:r w:rsidR="00272EC5" w:rsidRPr="00B772DC">
        <w:noBreakHyphen/>
      </w:r>
      <w:r w:rsidRPr="00B772DC">
        <w:t>19</w:t>
      </w:r>
    </w:p>
    <w:p w14:paraId="3F1684BD" w14:textId="2B3E810D" w:rsidR="002610ED" w:rsidRPr="00B772DC" w:rsidRDefault="002610ED" w:rsidP="00061435">
      <w:pPr>
        <w:pStyle w:val="Bullet"/>
      </w:pPr>
      <w:r w:rsidRPr="00B772DC">
        <w:t>Maintaining community confidence in the national COVID</w:t>
      </w:r>
      <w:r w:rsidR="00272EC5" w:rsidRPr="00B772DC">
        <w:noBreakHyphen/>
      </w:r>
      <w:r w:rsidRPr="00B772DC">
        <w:t>19 immunisation program</w:t>
      </w:r>
      <w:r w:rsidR="00660E46" w:rsidRPr="00B772DC">
        <w:t>, including among Fir</w:t>
      </w:r>
      <w:r w:rsidR="0017074B" w:rsidRPr="00B772DC">
        <w:t>s</w:t>
      </w:r>
      <w:r w:rsidR="00660E46" w:rsidRPr="00B772DC">
        <w:t>t Nations communities</w:t>
      </w:r>
      <w:r w:rsidRPr="00B772DC">
        <w:t>.</w:t>
      </w:r>
    </w:p>
    <w:p w14:paraId="575B9524" w14:textId="17E9A764" w:rsidR="001A1E7C" w:rsidRPr="00B772DC" w:rsidRDefault="001A1E7C" w:rsidP="00061435">
      <w:pPr>
        <w:pStyle w:val="Bullet"/>
      </w:pPr>
      <w:r w:rsidRPr="00B772DC">
        <w:t xml:space="preserve">Monitoring safety and effectiveness </w:t>
      </w:r>
      <w:r w:rsidR="00633D4F" w:rsidRPr="00B772DC">
        <w:t>of COVID</w:t>
      </w:r>
      <w:r w:rsidR="00272EC5" w:rsidRPr="00B772DC">
        <w:noBreakHyphen/>
      </w:r>
      <w:r w:rsidR="00633D4F" w:rsidRPr="00B772DC">
        <w:t>19 vaccines</w:t>
      </w:r>
      <w:r w:rsidRPr="00B772DC">
        <w:t xml:space="preserve">, </w:t>
      </w:r>
      <w:r w:rsidR="009A0E2C" w:rsidRPr="00B772DC">
        <w:t>including</w:t>
      </w:r>
      <w:r w:rsidRPr="00B772DC">
        <w:t xml:space="preserve"> booster doses</w:t>
      </w:r>
      <w:r w:rsidR="008C6415" w:rsidRPr="00B772DC">
        <w:t>,</w:t>
      </w:r>
      <w:r w:rsidRPr="00B772DC">
        <w:t xml:space="preserve"> </w:t>
      </w:r>
      <w:r w:rsidR="00F4199A" w:rsidRPr="00B772DC">
        <w:t>use</w:t>
      </w:r>
      <w:r w:rsidRPr="00B772DC">
        <w:t xml:space="preserve"> </w:t>
      </w:r>
      <w:r w:rsidR="00633D4F" w:rsidRPr="00B772DC">
        <w:t>in children</w:t>
      </w:r>
      <w:r w:rsidR="008C6415" w:rsidRPr="00B772DC">
        <w:t xml:space="preserve"> and effectiveness against new variants of concern</w:t>
      </w:r>
      <w:r w:rsidR="007B3975" w:rsidRPr="00B772DC">
        <w:t>.</w:t>
      </w:r>
    </w:p>
    <w:p w14:paraId="5F81D313" w14:textId="79C76EBB" w:rsidR="001A1E7C" w:rsidRPr="00B772DC" w:rsidRDefault="008C6415" w:rsidP="00371C6C">
      <w:pPr>
        <w:pStyle w:val="BulletLast"/>
      </w:pPr>
      <w:r w:rsidRPr="00B772DC">
        <w:t>E</w:t>
      </w:r>
      <w:r w:rsidR="001A1E7C" w:rsidRPr="00B772DC">
        <w:t>valuating the COVI</w:t>
      </w:r>
      <w:r w:rsidR="000431D8" w:rsidRPr="00B772DC">
        <w:t>D</w:t>
      </w:r>
      <w:r w:rsidR="00272EC5" w:rsidRPr="00B772DC">
        <w:noBreakHyphen/>
      </w:r>
      <w:r w:rsidR="001A1E7C" w:rsidRPr="00B772DC">
        <w:t>19 immunisation program.</w:t>
      </w:r>
    </w:p>
    <w:p w14:paraId="30F0051B" w14:textId="77777777" w:rsidR="00803601" w:rsidRPr="00B772DC" w:rsidRDefault="00803601" w:rsidP="00803601">
      <w:pPr>
        <w:pStyle w:val="Heading3"/>
      </w:pPr>
      <w:r w:rsidRPr="00B772DC">
        <w:t>For other vaccine-preventable diseases</w:t>
      </w:r>
    </w:p>
    <w:p w14:paraId="6C4858D4" w14:textId="72F0001B" w:rsidR="00803601" w:rsidRPr="00B772DC" w:rsidRDefault="00803601" w:rsidP="00061435">
      <w:pPr>
        <w:pStyle w:val="Bullet"/>
      </w:pPr>
      <w:r w:rsidRPr="00B772DC">
        <w:t>Maintaining community confidence in the NIP</w:t>
      </w:r>
      <w:r w:rsidR="00633D4F" w:rsidRPr="00B772DC">
        <w:t xml:space="preserve"> and maintaining high coverage of routine vaccinations to protect against VPDs</w:t>
      </w:r>
      <w:r w:rsidR="004E508B" w:rsidRPr="00B772DC">
        <w:t xml:space="preserve"> – including influenza –</w:t>
      </w:r>
      <w:r w:rsidR="002610ED" w:rsidRPr="00B772DC">
        <w:t xml:space="preserve"> both during and after the COVID</w:t>
      </w:r>
      <w:r w:rsidR="00272EC5" w:rsidRPr="00B772DC">
        <w:noBreakHyphen/>
      </w:r>
      <w:r w:rsidR="002610ED" w:rsidRPr="00B772DC">
        <w:t>19 pandemic</w:t>
      </w:r>
      <w:r w:rsidRPr="00B772DC">
        <w:t>.</w:t>
      </w:r>
    </w:p>
    <w:p w14:paraId="5B288504" w14:textId="357A3A47" w:rsidR="00007BDA" w:rsidRPr="00B772DC" w:rsidRDefault="00007BDA" w:rsidP="00061435">
      <w:pPr>
        <w:pStyle w:val="Bullet"/>
      </w:pPr>
      <w:r w:rsidRPr="00B772DC">
        <w:t>Maintaining successful control or elimination of some VPDs</w:t>
      </w:r>
      <w:r w:rsidR="005E6084" w:rsidRPr="00B772DC">
        <w:t>,</w:t>
      </w:r>
      <w:r w:rsidRPr="00B772DC">
        <w:t xml:space="preserve"> </w:t>
      </w:r>
      <w:r w:rsidR="005E6084" w:rsidRPr="00B772DC">
        <w:t>especially</w:t>
      </w:r>
      <w:r w:rsidR="00E11AD7" w:rsidRPr="00B772DC">
        <w:t xml:space="preserve"> as </w:t>
      </w:r>
      <w:r w:rsidRPr="00B772DC">
        <w:t>international travel restrictions are lifted</w:t>
      </w:r>
      <w:r w:rsidR="00D24DC7" w:rsidRPr="00B772DC">
        <w:t>.</w:t>
      </w:r>
    </w:p>
    <w:p w14:paraId="17060CE9" w14:textId="5B393F83" w:rsidR="004E508B" w:rsidRPr="00B772DC" w:rsidRDefault="00A6439A" w:rsidP="00061435">
      <w:pPr>
        <w:pStyle w:val="Bullet"/>
      </w:pPr>
      <w:r w:rsidRPr="00B772DC">
        <w:lastRenderedPageBreak/>
        <w:t>E</w:t>
      </w:r>
      <w:r w:rsidR="00A7729C" w:rsidRPr="00B772DC">
        <w:t xml:space="preserve">nsuring </w:t>
      </w:r>
      <w:r w:rsidR="00432B4D" w:rsidRPr="00B772DC">
        <w:t xml:space="preserve">the </w:t>
      </w:r>
      <w:r w:rsidR="00380F00" w:rsidRPr="00B772DC">
        <w:t xml:space="preserve">safe use of </w:t>
      </w:r>
      <w:r w:rsidR="004E508B" w:rsidRPr="00B772DC">
        <w:t xml:space="preserve">all </w:t>
      </w:r>
      <w:r w:rsidR="00A7729C" w:rsidRPr="00B772DC">
        <w:t>vaccine</w:t>
      </w:r>
      <w:r w:rsidR="00380F00" w:rsidRPr="00B772DC">
        <w:t>s</w:t>
      </w:r>
      <w:r w:rsidR="00A7729C" w:rsidRPr="00B772DC">
        <w:t xml:space="preserve">, </w:t>
      </w:r>
      <w:r w:rsidR="00061435" w:rsidRPr="00B772DC">
        <w:t>especially</w:t>
      </w:r>
      <w:r w:rsidR="00A7729C" w:rsidRPr="00B772DC">
        <w:t xml:space="preserve"> live vaccines such as Zostavax</w:t>
      </w:r>
      <w:r w:rsidR="00E226C7" w:rsidRPr="00B772DC">
        <w:t xml:space="preserve"> (shingles vaccine)</w:t>
      </w:r>
      <w:r w:rsidR="00D24DC7" w:rsidRPr="00B772DC">
        <w:t>.</w:t>
      </w:r>
    </w:p>
    <w:p w14:paraId="76D0F1AD" w14:textId="5820FC4C" w:rsidR="00A7729C" w:rsidRPr="00B772DC" w:rsidRDefault="00A6439A" w:rsidP="00371C6C">
      <w:pPr>
        <w:pStyle w:val="BulletLast"/>
      </w:pPr>
      <w:r w:rsidRPr="00B772DC">
        <w:t>E</w:t>
      </w:r>
      <w:r w:rsidR="00A7729C" w:rsidRPr="00B772DC">
        <w:t xml:space="preserve">nsuring equitable access to NIP-funded vaccines for </w:t>
      </w:r>
      <w:r w:rsidR="00633D4F" w:rsidRPr="00B772DC">
        <w:t xml:space="preserve">First Nations communities and </w:t>
      </w:r>
      <w:r w:rsidR="00A7729C" w:rsidRPr="00B772DC">
        <w:t xml:space="preserve">people at </w:t>
      </w:r>
      <w:r w:rsidR="00DC5BD4" w:rsidRPr="00B772DC">
        <w:t xml:space="preserve">increased </w:t>
      </w:r>
      <w:r w:rsidR="00A7729C" w:rsidRPr="00B772DC">
        <w:t>risk of disease</w:t>
      </w:r>
      <w:r w:rsidR="003154B3" w:rsidRPr="00B772DC">
        <w:t>.</w:t>
      </w:r>
    </w:p>
    <w:p w14:paraId="4866AF03" w14:textId="6FAA114D" w:rsidR="00862550" w:rsidRDefault="00862550" w:rsidP="007200AD">
      <w:pPr>
        <w:pStyle w:val="Heading1"/>
        <w:ind w:left="0" w:firstLine="0"/>
      </w:pPr>
      <w:bookmarkStart w:id="8" w:name="_Toc72165381"/>
      <w:bookmarkStart w:id="9" w:name="_Toc124411469"/>
      <w:r w:rsidRPr="00B772DC">
        <w:lastRenderedPageBreak/>
        <w:t xml:space="preserve">Immunisation issues in </w:t>
      </w:r>
      <w:r w:rsidR="007A3DD3" w:rsidRPr="00B772DC">
        <w:t xml:space="preserve">Australia in </w:t>
      </w:r>
      <w:r w:rsidRPr="00B772DC">
        <w:t>202</w:t>
      </w:r>
      <w:r w:rsidR="006F4656" w:rsidRPr="00B772DC">
        <w:t>1</w:t>
      </w:r>
      <w:bookmarkEnd w:id="8"/>
      <w:bookmarkEnd w:id="9"/>
    </w:p>
    <w:p w14:paraId="544083AE" w14:textId="04AB79FF" w:rsidR="004C4E55" w:rsidRPr="00B772DC" w:rsidRDefault="004C4E55" w:rsidP="004C4E55">
      <w:pPr>
        <w:pStyle w:val="Heading2"/>
      </w:pPr>
      <w:bookmarkStart w:id="10" w:name="_Toc124411470"/>
      <w:r w:rsidRPr="00B772DC">
        <w:t>COVID</w:t>
      </w:r>
      <w:r w:rsidR="009C123E" w:rsidRPr="00B772DC">
        <w:noBreakHyphen/>
      </w:r>
      <w:r w:rsidRPr="00B772DC">
        <w:t>19 vaccination</w:t>
      </w:r>
      <w:bookmarkEnd w:id="10"/>
      <w:r w:rsidRPr="00B772DC">
        <w:t xml:space="preserve"> </w:t>
      </w:r>
    </w:p>
    <w:p w14:paraId="27F87F0D" w14:textId="4173D8AB" w:rsidR="004C4E55" w:rsidRPr="00B772DC" w:rsidRDefault="004C4E55" w:rsidP="004C4E55">
      <w:pPr>
        <w:pStyle w:val="NormalBeforeBullet"/>
      </w:pPr>
      <w:r w:rsidRPr="00B772DC">
        <w:t>During 2021, ATAGI developed:</w:t>
      </w:r>
    </w:p>
    <w:p w14:paraId="032EDF88" w14:textId="7E3BD613" w:rsidR="004C4E55" w:rsidRPr="00B772DC" w:rsidRDefault="00561CB4" w:rsidP="00BA15CB">
      <w:pPr>
        <w:pStyle w:val="Bullet"/>
      </w:pPr>
      <w:hyperlink r:id="rId15" w:history="1">
        <w:r w:rsidR="004C4E55" w:rsidRPr="00B772DC">
          <w:rPr>
            <w:rStyle w:val="Hyperlink"/>
          </w:rPr>
          <w:t>clinical guidance for COVID</w:t>
        </w:r>
        <w:r w:rsidR="00272EC5" w:rsidRPr="00B772DC">
          <w:rPr>
            <w:rStyle w:val="Hyperlink"/>
          </w:rPr>
          <w:noBreakHyphen/>
        </w:r>
        <w:r w:rsidR="004C4E55" w:rsidRPr="00B772DC">
          <w:rPr>
            <w:rStyle w:val="Hyperlink"/>
          </w:rPr>
          <w:t>19 vaccine providers</w:t>
        </w:r>
      </w:hyperlink>
    </w:p>
    <w:p w14:paraId="384214A9" w14:textId="77777777" w:rsidR="004C4E55" w:rsidRPr="00B772DC" w:rsidRDefault="00561CB4" w:rsidP="00BA15CB">
      <w:pPr>
        <w:pStyle w:val="Bullet"/>
      </w:pPr>
      <w:hyperlink r:id="rId16" w:history="1">
        <w:r w:rsidR="004C4E55" w:rsidRPr="00B772DC">
          <w:rPr>
            <w:rStyle w:val="Hyperlink"/>
          </w:rPr>
          <w:t>resources for immunisation providers</w:t>
        </w:r>
      </w:hyperlink>
    </w:p>
    <w:p w14:paraId="5A1F7056" w14:textId="77777777" w:rsidR="004C4E55" w:rsidRPr="00B772DC" w:rsidRDefault="00561CB4" w:rsidP="00371C6C">
      <w:pPr>
        <w:pStyle w:val="BulletLast"/>
      </w:pPr>
      <w:hyperlink r:id="rId17" w:history="1">
        <w:r w:rsidR="004C4E55" w:rsidRPr="00B772DC">
          <w:rPr>
            <w:rStyle w:val="Hyperlink"/>
          </w:rPr>
          <w:t>resources for consumers</w:t>
        </w:r>
      </w:hyperlink>
      <w:r w:rsidR="004C4E55" w:rsidRPr="00B772DC">
        <w:t>.</w:t>
      </w:r>
    </w:p>
    <w:p w14:paraId="32B5C722" w14:textId="67504D76" w:rsidR="002D3601" w:rsidRPr="00B772DC" w:rsidRDefault="002D3601" w:rsidP="00371C6C">
      <w:pPr>
        <w:rPr>
          <w:rFonts w:eastAsia="Arial"/>
        </w:rPr>
      </w:pPr>
      <w:r w:rsidRPr="00B772DC">
        <w:rPr>
          <w:rFonts w:eastAsia="Arial"/>
        </w:rPr>
        <w:t xml:space="preserve">These resources were frequently updated as more vaccines were registered in more age groups, and as new evidence on vaccine handling, efficacy, </w:t>
      </w:r>
      <w:proofErr w:type="gramStart"/>
      <w:r w:rsidRPr="00B772DC">
        <w:rPr>
          <w:rFonts w:eastAsia="Arial"/>
        </w:rPr>
        <w:t>effectiveness</w:t>
      </w:r>
      <w:proofErr w:type="gramEnd"/>
      <w:r w:rsidRPr="00B772DC">
        <w:rPr>
          <w:rFonts w:eastAsia="Arial"/>
        </w:rPr>
        <w:t xml:space="preserve"> and safety became available.</w:t>
      </w:r>
    </w:p>
    <w:p w14:paraId="5C803E92" w14:textId="5637E7F6" w:rsidR="002D3601" w:rsidRPr="00B772DC" w:rsidRDefault="0086297D" w:rsidP="0086297D">
      <w:pPr>
        <w:pStyle w:val="NormalBeforeBullet"/>
      </w:pPr>
      <w:r w:rsidRPr="00B772DC">
        <w:t>C</w:t>
      </w:r>
      <w:r w:rsidR="008A0FAB" w:rsidRPr="00B772DC">
        <w:t>ulturally appropriate resources for the national COVID</w:t>
      </w:r>
      <w:r w:rsidR="00272EC5" w:rsidRPr="00B772DC">
        <w:noBreakHyphen/>
      </w:r>
      <w:r w:rsidR="008A0FAB" w:rsidRPr="00B772DC">
        <w:t>19 vaccination program</w:t>
      </w:r>
      <w:r w:rsidRPr="00B772DC">
        <w:t xml:space="preserve"> were also developed for</w:t>
      </w:r>
      <w:r w:rsidR="008A0FAB" w:rsidRPr="00B772DC">
        <w:t>:</w:t>
      </w:r>
    </w:p>
    <w:p w14:paraId="0D966AA4" w14:textId="2CE1AB1C" w:rsidR="008A0FAB" w:rsidRPr="00B772DC" w:rsidRDefault="00561CB4" w:rsidP="00BA15CB">
      <w:pPr>
        <w:pStyle w:val="Bullet"/>
      </w:pPr>
      <w:hyperlink r:id="rId18" w:history="1">
        <w:r w:rsidR="0086297D" w:rsidRPr="00B772DC">
          <w:rPr>
            <w:rStyle w:val="Hyperlink"/>
          </w:rPr>
          <w:t>First Nations communities</w:t>
        </w:r>
      </w:hyperlink>
    </w:p>
    <w:p w14:paraId="1048CA3B" w14:textId="4AD4F370" w:rsidR="002D3601" w:rsidRPr="00B772DC" w:rsidRDefault="00561CB4" w:rsidP="00371C6C">
      <w:pPr>
        <w:pStyle w:val="BulletLast"/>
      </w:pPr>
      <w:hyperlink r:id="rId19" w:history="1">
        <w:r w:rsidR="0086297D" w:rsidRPr="00B772DC">
          <w:rPr>
            <w:rStyle w:val="Hyperlink"/>
          </w:rPr>
          <w:t>culturally and linguistically diverse communities</w:t>
        </w:r>
      </w:hyperlink>
      <w:r w:rsidR="00CA2653" w:rsidRPr="00B772DC">
        <w:t>.</w:t>
      </w:r>
    </w:p>
    <w:p w14:paraId="4F074297" w14:textId="3D695F7C" w:rsidR="004C4E55" w:rsidRPr="00B772DC" w:rsidRDefault="004C4E55" w:rsidP="004C4E55">
      <w:pPr>
        <w:pStyle w:val="Heading3"/>
        <w:rPr>
          <w:rFonts w:eastAsia="Arial"/>
        </w:rPr>
      </w:pPr>
      <w:r w:rsidRPr="00B772DC">
        <w:rPr>
          <w:rFonts w:eastAsia="Arial"/>
        </w:rPr>
        <w:t>New COVID</w:t>
      </w:r>
      <w:r w:rsidR="00272EC5" w:rsidRPr="00B772DC">
        <w:rPr>
          <w:rFonts w:eastAsia="Arial"/>
        </w:rPr>
        <w:noBreakHyphen/>
      </w:r>
      <w:r w:rsidRPr="00B772DC">
        <w:rPr>
          <w:rFonts w:eastAsia="Arial"/>
        </w:rPr>
        <w:t>19 vaccines in 2021</w:t>
      </w:r>
    </w:p>
    <w:p w14:paraId="64928BC6" w14:textId="4E2F7925" w:rsidR="004C4E55" w:rsidRDefault="004C4E55" w:rsidP="004C4E55">
      <w:pPr>
        <w:rPr>
          <w:rFonts w:eastAsia="Arial"/>
        </w:rPr>
      </w:pPr>
      <w:r w:rsidRPr="00B772DC">
        <w:rPr>
          <w:rFonts w:eastAsia="Arial"/>
        </w:rPr>
        <w:t xml:space="preserve">The </w:t>
      </w:r>
      <w:r w:rsidR="00810361" w:rsidRPr="00B772DC">
        <w:rPr>
          <w:rFonts w:eastAsia="Arial"/>
        </w:rPr>
        <w:t>Therapeutic Goods Administration (</w:t>
      </w:r>
      <w:r w:rsidRPr="00B772DC">
        <w:rPr>
          <w:rFonts w:eastAsia="Arial"/>
        </w:rPr>
        <w:t>TGA</w:t>
      </w:r>
      <w:r w:rsidR="00810361" w:rsidRPr="00B772DC">
        <w:rPr>
          <w:rFonts w:eastAsia="Arial"/>
        </w:rPr>
        <w:t>)</w:t>
      </w:r>
      <w:r w:rsidRPr="00B772DC">
        <w:rPr>
          <w:rFonts w:eastAsia="Arial"/>
        </w:rPr>
        <w:t xml:space="preserve"> </w:t>
      </w:r>
      <w:hyperlink r:id="rId20" w:history="1">
        <w:r w:rsidRPr="00B772DC">
          <w:rPr>
            <w:rStyle w:val="Hyperlink"/>
            <w:rFonts w:eastAsia="Arial"/>
          </w:rPr>
          <w:t>provisionally registered</w:t>
        </w:r>
      </w:hyperlink>
      <w:r w:rsidRPr="00B772DC">
        <w:rPr>
          <w:rFonts w:eastAsia="Arial"/>
        </w:rPr>
        <w:t xml:space="preserve"> these COVID</w:t>
      </w:r>
      <w:r w:rsidR="00272EC5" w:rsidRPr="00B772DC">
        <w:rPr>
          <w:rFonts w:eastAsia="Arial"/>
        </w:rPr>
        <w:noBreakHyphen/>
      </w:r>
      <w:r w:rsidRPr="00B772DC">
        <w:rPr>
          <w:rFonts w:eastAsia="Arial"/>
        </w:rPr>
        <w:t>19 vaccines for use in Australia in 2021</w:t>
      </w:r>
      <w:r w:rsidR="008A122A" w:rsidRPr="00B772DC">
        <w:rPr>
          <w:rFonts w:eastAsia="Arial"/>
        </w:rPr>
        <w:t>.</w:t>
      </w:r>
    </w:p>
    <w:tbl>
      <w:tblPr>
        <w:tblStyle w:val="TableGrid"/>
        <w:tblpPr w:leftFromText="180" w:rightFromText="180" w:vertAnchor="text" w:horzAnchor="margin" w:tblpY="95"/>
        <w:tblW w:w="5000" w:type="pct"/>
        <w:tblLook w:val="04A0" w:firstRow="1" w:lastRow="0" w:firstColumn="1" w:lastColumn="0" w:noHBand="0" w:noVBand="1"/>
        <w:tblCaption w:val="COVID-19 vaccines registered in 2021"/>
        <w:tblDescription w:val="The table describes the 4 brands of COVID-19 vaccines provisionally registered in Australia in 2021, what type of vaccine they are, what age group they can be used in, and the date they were registered. "/>
      </w:tblPr>
      <w:tblGrid>
        <w:gridCol w:w="1838"/>
        <w:gridCol w:w="2270"/>
        <w:gridCol w:w="2510"/>
        <w:gridCol w:w="2398"/>
      </w:tblGrid>
      <w:tr w:rsidR="00764ED2" w:rsidRPr="00F56707" w14:paraId="0D59053E" w14:textId="77777777" w:rsidTr="00764ED2">
        <w:trPr>
          <w:trHeight w:val="670"/>
          <w:tblHeader/>
        </w:trPr>
        <w:tc>
          <w:tcPr>
            <w:tcW w:w="1019" w:type="pct"/>
          </w:tcPr>
          <w:p w14:paraId="061F8737" w14:textId="77777777" w:rsidR="00764ED2" w:rsidRPr="00F56707" w:rsidRDefault="00764ED2" w:rsidP="00764ED2">
            <w:pPr>
              <w:pStyle w:val="TableHeading"/>
            </w:pPr>
            <w:r w:rsidRPr="00F56707">
              <w:t>Vaccine name</w:t>
            </w:r>
          </w:p>
        </w:tc>
        <w:tc>
          <w:tcPr>
            <w:tcW w:w="1259" w:type="pct"/>
          </w:tcPr>
          <w:p w14:paraId="0292FB1D" w14:textId="77777777" w:rsidR="00764ED2" w:rsidRPr="00F56707" w:rsidRDefault="00764ED2" w:rsidP="00764ED2">
            <w:pPr>
              <w:pStyle w:val="TableHeading"/>
            </w:pPr>
            <w:r w:rsidRPr="00F56707">
              <w:t>Description</w:t>
            </w:r>
          </w:p>
        </w:tc>
        <w:tc>
          <w:tcPr>
            <w:tcW w:w="1392" w:type="pct"/>
          </w:tcPr>
          <w:p w14:paraId="5BB82881" w14:textId="77777777" w:rsidR="00764ED2" w:rsidRPr="00F56707" w:rsidDel="00631940" w:rsidRDefault="00764ED2" w:rsidP="00764ED2">
            <w:pPr>
              <w:pStyle w:val="TableHeading"/>
            </w:pPr>
            <w:r w:rsidRPr="00F56707">
              <w:t>For use in ages</w:t>
            </w:r>
          </w:p>
        </w:tc>
        <w:tc>
          <w:tcPr>
            <w:tcW w:w="1330" w:type="pct"/>
          </w:tcPr>
          <w:p w14:paraId="42F6B3B5" w14:textId="77777777" w:rsidR="00764ED2" w:rsidRPr="00F56707" w:rsidRDefault="00764ED2" w:rsidP="00764ED2">
            <w:pPr>
              <w:pStyle w:val="TableHeading"/>
            </w:pPr>
            <w:r w:rsidRPr="00F56707">
              <w:t>Date of registration</w:t>
            </w:r>
          </w:p>
        </w:tc>
      </w:tr>
      <w:tr w:rsidR="00764ED2" w:rsidRPr="00F56707" w14:paraId="1D4555ED" w14:textId="77777777" w:rsidTr="00764ED2">
        <w:trPr>
          <w:trHeight w:val="670"/>
          <w:tblHeader/>
        </w:trPr>
        <w:tc>
          <w:tcPr>
            <w:tcW w:w="1019" w:type="pct"/>
            <w:vMerge w:val="restart"/>
          </w:tcPr>
          <w:p w14:paraId="2B2AD0E0" w14:textId="77777777" w:rsidR="00764ED2" w:rsidRPr="00F56707" w:rsidRDefault="00764ED2" w:rsidP="00764ED2">
            <w:pPr>
              <w:pStyle w:val="TableText"/>
            </w:pPr>
            <w:r w:rsidRPr="00F56707">
              <w:t>Comirnaty (Pfizer)</w:t>
            </w:r>
          </w:p>
        </w:tc>
        <w:tc>
          <w:tcPr>
            <w:tcW w:w="1259" w:type="pct"/>
          </w:tcPr>
          <w:p w14:paraId="249BE171" w14:textId="77777777" w:rsidR="00764ED2" w:rsidRPr="00F56707" w:rsidRDefault="00764ED2" w:rsidP="00764ED2">
            <w:pPr>
              <w:pStyle w:val="TableText"/>
            </w:pPr>
            <w:r w:rsidRPr="00F56707">
              <w:t>mRNA-based vaccine</w:t>
            </w:r>
          </w:p>
        </w:tc>
        <w:tc>
          <w:tcPr>
            <w:tcW w:w="1392" w:type="pct"/>
          </w:tcPr>
          <w:p w14:paraId="0B246B25" w14:textId="77777777" w:rsidR="00764ED2" w:rsidRPr="00F56707" w:rsidRDefault="00764ED2" w:rsidP="00764ED2">
            <w:pPr>
              <w:pStyle w:val="TableText"/>
            </w:pPr>
            <w:r w:rsidRPr="00F56707">
              <w:t>≥16 years</w:t>
            </w:r>
          </w:p>
        </w:tc>
        <w:tc>
          <w:tcPr>
            <w:tcW w:w="1330" w:type="pct"/>
          </w:tcPr>
          <w:p w14:paraId="0F2F1BAC" w14:textId="77777777" w:rsidR="00764ED2" w:rsidRPr="00F56707" w:rsidRDefault="00764ED2" w:rsidP="00764ED2">
            <w:pPr>
              <w:pStyle w:val="TableText"/>
            </w:pPr>
            <w:r w:rsidRPr="00F56707">
              <w:t>25 January 2021</w:t>
            </w:r>
          </w:p>
        </w:tc>
      </w:tr>
      <w:tr w:rsidR="00764ED2" w:rsidRPr="00F56707" w14:paraId="52645F8F" w14:textId="77777777" w:rsidTr="00764ED2">
        <w:trPr>
          <w:trHeight w:val="670"/>
          <w:tblHeader/>
        </w:trPr>
        <w:tc>
          <w:tcPr>
            <w:tcW w:w="1019" w:type="pct"/>
            <w:vMerge/>
          </w:tcPr>
          <w:p w14:paraId="07FE20AB" w14:textId="77777777" w:rsidR="00764ED2" w:rsidRPr="00F56707" w:rsidRDefault="00764ED2" w:rsidP="00764ED2">
            <w:pPr>
              <w:pStyle w:val="TableText"/>
            </w:pPr>
          </w:p>
        </w:tc>
        <w:tc>
          <w:tcPr>
            <w:tcW w:w="1259" w:type="pct"/>
          </w:tcPr>
          <w:p w14:paraId="3B38031C" w14:textId="77777777" w:rsidR="00764ED2" w:rsidRPr="00F56707" w:rsidRDefault="00764ED2" w:rsidP="00764ED2">
            <w:pPr>
              <w:pStyle w:val="TableText"/>
            </w:pPr>
            <w:r w:rsidRPr="00F56707">
              <w:t>mRNA-based vaccine</w:t>
            </w:r>
          </w:p>
        </w:tc>
        <w:tc>
          <w:tcPr>
            <w:tcW w:w="1392" w:type="pct"/>
          </w:tcPr>
          <w:p w14:paraId="6EDC0B7B" w14:textId="77777777" w:rsidR="00764ED2" w:rsidRPr="00F56707" w:rsidRDefault="00764ED2" w:rsidP="00764ED2">
            <w:pPr>
              <w:pStyle w:val="TableText"/>
            </w:pPr>
            <w:r w:rsidRPr="00F56707">
              <w:t>≥12 years</w:t>
            </w:r>
          </w:p>
        </w:tc>
        <w:tc>
          <w:tcPr>
            <w:tcW w:w="1330" w:type="pct"/>
          </w:tcPr>
          <w:p w14:paraId="0AB16460" w14:textId="77777777" w:rsidR="00764ED2" w:rsidRPr="00F56707" w:rsidRDefault="00764ED2" w:rsidP="00764ED2">
            <w:pPr>
              <w:pStyle w:val="TableText"/>
            </w:pPr>
            <w:r w:rsidRPr="00F56707">
              <w:t>22 July 2021</w:t>
            </w:r>
          </w:p>
        </w:tc>
      </w:tr>
      <w:tr w:rsidR="00764ED2" w:rsidRPr="00F56707" w14:paraId="3A5949B0" w14:textId="77777777" w:rsidTr="00764ED2">
        <w:trPr>
          <w:trHeight w:val="670"/>
          <w:tblHeader/>
        </w:trPr>
        <w:tc>
          <w:tcPr>
            <w:tcW w:w="1019" w:type="pct"/>
            <w:vMerge/>
          </w:tcPr>
          <w:p w14:paraId="6FB2E2FD" w14:textId="77777777" w:rsidR="00764ED2" w:rsidRPr="00F56707" w:rsidRDefault="00764ED2" w:rsidP="00764ED2">
            <w:pPr>
              <w:pStyle w:val="TableText"/>
            </w:pPr>
          </w:p>
        </w:tc>
        <w:tc>
          <w:tcPr>
            <w:tcW w:w="1259" w:type="pct"/>
          </w:tcPr>
          <w:p w14:paraId="3CBAEF48" w14:textId="77777777" w:rsidR="00764ED2" w:rsidRPr="00F56707" w:rsidRDefault="00764ED2" w:rsidP="00764ED2">
            <w:pPr>
              <w:pStyle w:val="TableText"/>
            </w:pPr>
            <w:r w:rsidRPr="00F56707">
              <w:t>mRNA-based vaccine booster dose</w:t>
            </w:r>
          </w:p>
        </w:tc>
        <w:tc>
          <w:tcPr>
            <w:tcW w:w="1392" w:type="pct"/>
          </w:tcPr>
          <w:p w14:paraId="6A7A823B" w14:textId="77777777" w:rsidR="00764ED2" w:rsidRPr="00F56707" w:rsidRDefault="00764ED2" w:rsidP="00764ED2">
            <w:pPr>
              <w:pStyle w:val="TableText"/>
            </w:pPr>
            <w:r w:rsidRPr="00F56707">
              <w:t>≥18 years</w:t>
            </w:r>
          </w:p>
        </w:tc>
        <w:tc>
          <w:tcPr>
            <w:tcW w:w="1330" w:type="pct"/>
          </w:tcPr>
          <w:p w14:paraId="78E312E8" w14:textId="77777777" w:rsidR="00764ED2" w:rsidRPr="00F56707" w:rsidRDefault="00764ED2" w:rsidP="00764ED2">
            <w:pPr>
              <w:pStyle w:val="TableText"/>
            </w:pPr>
            <w:r w:rsidRPr="00F56707">
              <w:t>26 October 2021</w:t>
            </w:r>
          </w:p>
        </w:tc>
      </w:tr>
      <w:tr w:rsidR="00764ED2" w:rsidRPr="00F56707" w14:paraId="3907AB08" w14:textId="77777777" w:rsidTr="00764ED2">
        <w:trPr>
          <w:trHeight w:val="670"/>
          <w:tblHeader/>
        </w:trPr>
        <w:tc>
          <w:tcPr>
            <w:tcW w:w="1019" w:type="pct"/>
            <w:vMerge/>
          </w:tcPr>
          <w:p w14:paraId="0E6CC513" w14:textId="77777777" w:rsidR="00764ED2" w:rsidRPr="00F56707" w:rsidRDefault="00764ED2" w:rsidP="00764ED2">
            <w:pPr>
              <w:pStyle w:val="TableText"/>
            </w:pPr>
          </w:p>
        </w:tc>
        <w:tc>
          <w:tcPr>
            <w:tcW w:w="1259" w:type="pct"/>
          </w:tcPr>
          <w:p w14:paraId="7DD11F19" w14:textId="77777777" w:rsidR="00764ED2" w:rsidRPr="00F56707" w:rsidRDefault="00764ED2" w:rsidP="00764ED2">
            <w:pPr>
              <w:pStyle w:val="TableText"/>
            </w:pPr>
            <w:r w:rsidRPr="00F56707">
              <w:t>mRNA-based vaccine paediatric formulation</w:t>
            </w:r>
          </w:p>
        </w:tc>
        <w:tc>
          <w:tcPr>
            <w:tcW w:w="1392" w:type="pct"/>
          </w:tcPr>
          <w:p w14:paraId="5AA300EF" w14:textId="77777777" w:rsidR="00764ED2" w:rsidRPr="00F56707" w:rsidRDefault="00764ED2" w:rsidP="00764ED2">
            <w:pPr>
              <w:pStyle w:val="TableText"/>
            </w:pPr>
            <w:r w:rsidRPr="00F56707">
              <w:t>≥5 to ≤11 years</w:t>
            </w:r>
          </w:p>
        </w:tc>
        <w:tc>
          <w:tcPr>
            <w:tcW w:w="1330" w:type="pct"/>
          </w:tcPr>
          <w:p w14:paraId="3A67BE98" w14:textId="77777777" w:rsidR="00764ED2" w:rsidRPr="00F56707" w:rsidRDefault="00764ED2" w:rsidP="00764ED2">
            <w:pPr>
              <w:pStyle w:val="TableText"/>
            </w:pPr>
            <w:r>
              <w:t>3</w:t>
            </w:r>
            <w:r w:rsidRPr="00F56707">
              <w:t> December 2021</w:t>
            </w:r>
          </w:p>
        </w:tc>
      </w:tr>
      <w:tr w:rsidR="00764ED2" w:rsidRPr="00F56707" w14:paraId="7D0B4FB7" w14:textId="77777777" w:rsidTr="00764ED2">
        <w:trPr>
          <w:trHeight w:val="670"/>
          <w:tblHeader/>
        </w:trPr>
        <w:tc>
          <w:tcPr>
            <w:tcW w:w="1019" w:type="pct"/>
          </w:tcPr>
          <w:p w14:paraId="76391544" w14:textId="77777777" w:rsidR="00764ED2" w:rsidRPr="00F56707" w:rsidRDefault="00764ED2" w:rsidP="00764ED2">
            <w:pPr>
              <w:pStyle w:val="TableText"/>
            </w:pPr>
            <w:proofErr w:type="spellStart"/>
            <w:r w:rsidRPr="00F56707">
              <w:t>Vaxzevria</w:t>
            </w:r>
            <w:proofErr w:type="spellEnd"/>
            <w:r w:rsidRPr="00F56707">
              <w:t xml:space="preserve"> (AstraZeneca) </w:t>
            </w:r>
          </w:p>
        </w:tc>
        <w:tc>
          <w:tcPr>
            <w:tcW w:w="1259" w:type="pct"/>
          </w:tcPr>
          <w:p w14:paraId="06F1B6DC" w14:textId="77777777" w:rsidR="00764ED2" w:rsidRPr="00F56707" w:rsidRDefault="00764ED2" w:rsidP="00764ED2">
            <w:pPr>
              <w:pStyle w:val="TableText"/>
            </w:pPr>
            <w:r w:rsidRPr="00F56707">
              <w:t>Viral vector vaccine</w:t>
            </w:r>
          </w:p>
        </w:tc>
        <w:tc>
          <w:tcPr>
            <w:tcW w:w="1392" w:type="pct"/>
          </w:tcPr>
          <w:p w14:paraId="0200D1CB" w14:textId="77777777" w:rsidR="00764ED2" w:rsidRPr="00F56707" w:rsidRDefault="00764ED2" w:rsidP="00764ED2">
            <w:pPr>
              <w:pStyle w:val="TableText"/>
            </w:pPr>
            <w:r w:rsidRPr="00F56707">
              <w:t>≥18 years</w:t>
            </w:r>
          </w:p>
        </w:tc>
        <w:tc>
          <w:tcPr>
            <w:tcW w:w="1330" w:type="pct"/>
          </w:tcPr>
          <w:p w14:paraId="747D113D" w14:textId="77777777" w:rsidR="00764ED2" w:rsidRPr="00F56707" w:rsidRDefault="00764ED2" w:rsidP="00764ED2">
            <w:pPr>
              <w:pStyle w:val="TableText"/>
            </w:pPr>
            <w:r w:rsidRPr="00F56707">
              <w:t>15 February 2021</w:t>
            </w:r>
          </w:p>
        </w:tc>
      </w:tr>
      <w:tr w:rsidR="00764ED2" w:rsidRPr="00F56707" w14:paraId="18372A64" w14:textId="77777777" w:rsidTr="00764ED2">
        <w:trPr>
          <w:trHeight w:val="670"/>
          <w:tblHeader/>
        </w:trPr>
        <w:tc>
          <w:tcPr>
            <w:tcW w:w="1019" w:type="pct"/>
            <w:vMerge w:val="restart"/>
          </w:tcPr>
          <w:p w14:paraId="35FE084E" w14:textId="77777777" w:rsidR="00764ED2" w:rsidRPr="00F56707" w:rsidRDefault="00764ED2" w:rsidP="00764ED2">
            <w:pPr>
              <w:pStyle w:val="TableText"/>
            </w:pPr>
            <w:r w:rsidRPr="00F56707">
              <w:t>Spikevax (Moderna)</w:t>
            </w:r>
          </w:p>
        </w:tc>
        <w:tc>
          <w:tcPr>
            <w:tcW w:w="1259" w:type="pct"/>
          </w:tcPr>
          <w:p w14:paraId="6D9176AB" w14:textId="77777777" w:rsidR="00764ED2" w:rsidRPr="00F56707" w:rsidRDefault="00764ED2" w:rsidP="00764ED2">
            <w:pPr>
              <w:pStyle w:val="TableText"/>
            </w:pPr>
            <w:r w:rsidRPr="00F56707">
              <w:t>mRNA-based vaccine</w:t>
            </w:r>
          </w:p>
        </w:tc>
        <w:tc>
          <w:tcPr>
            <w:tcW w:w="1392" w:type="pct"/>
          </w:tcPr>
          <w:p w14:paraId="00827244" w14:textId="77777777" w:rsidR="00764ED2" w:rsidRPr="00F56707" w:rsidRDefault="00764ED2" w:rsidP="00764ED2">
            <w:pPr>
              <w:pStyle w:val="TableText"/>
            </w:pPr>
            <w:r w:rsidRPr="00F56707">
              <w:t>≥18 years</w:t>
            </w:r>
          </w:p>
        </w:tc>
        <w:tc>
          <w:tcPr>
            <w:tcW w:w="1330" w:type="pct"/>
          </w:tcPr>
          <w:p w14:paraId="27663CCC" w14:textId="77777777" w:rsidR="00764ED2" w:rsidRPr="00F56707" w:rsidRDefault="00764ED2" w:rsidP="00764ED2">
            <w:pPr>
              <w:pStyle w:val="TableText"/>
            </w:pPr>
            <w:r w:rsidRPr="00F56707">
              <w:t>9 August 2021</w:t>
            </w:r>
          </w:p>
        </w:tc>
      </w:tr>
      <w:tr w:rsidR="00764ED2" w:rsidRPr="00F56707" w14:paraId="58DF0A02" w14:textId="77777777" w:rsidTr="00764ED2">
        <w:trPr>
          <w:trHeight w:val="670"/>
          <w:tblHeader/>
        </w:trPr>
        <w:tc>
          <w:tcPr>
            <w:tcW w:w="1019" w:type="pct"/>
            <w:vMerge/>
          </w:tcPr>
          <w:p w14:paraId="1761F9DD" w14:textId="77777777" w:rsidR="00764ED2" w:rsidRPr="00F56707" w:rsidRDefault="00764ED2" w:rsidP="00764ED2">
            <w:pPr>
              <w:pStyle w:val="TableText"/>
            </w:pPr>
          </w:p>
        </w:tc>
        <w:tc>
          <w:tcPr>
            <w:tcW w:w="1259" w:type="pct"/>
          </w:tcPr>
          <w:p w14:paraId="24BB3F9B" w14:textId="77777777" w:rsidR="00764ED2" w:rsidRPr="00F56707" w:rsidRDefault="00764ED2" w:rsidP="00764ED2">
            <w:pPr>
              <w:pStyle w:val="TableText"/>
            </w:pPr>
            <w:r w:rsidRPr="00F56707">
              <w:t>mRNA-based vaccine</w:t>
            </w:r>
          </w:p>
        </w:tc>
        <w:tc>
          <w:tcPr>
            <w:tcW w:w="1392" w:type="pct"/>
          </w:tcPr>
          <w:p w14:paraId="3E83F4DD" w14:textId="77777777" w:rsidR="00764ED2" w:rsidRPr="00F56707" w:rsidRDefault="00764ED2" w:rsidP="00764ED2">
            <w:pPr>
              <w:pStyle w:val="TableText"/>
            </w:pPr>
            <w:r w:rsidRPr="00F56707">
              <w:t>≥12 years</w:t>
            </w:r>
          </w:p>
        </w:tc>
        <w:tc>
          <w:tcPr>
            <w:tcW w:w="1330" w:type="pct"/>
          </w:tcPr>
          <w:p w14:paraId="6755926B" w14:textId="77777777" w:rsidR="00764ED2" w:rsidRPr="00F56707" w:rsidRDefault="00764ED2" w:rsidP="00764ED2">
            <w:pPr>
              <w:pStyle w:val="TableText"/>
            </w:pPr>
            <w:r w:rsidRPr="00F56707">
              <w:t>3 September 2021</w:t>
            </w:r>
          </w:p>
        </w:tc>
      </w:tr>
      <w:tr w:rsidR="00764ED2" w:rsidRPr="00F56707" w14:paraId="0776F1EB" w14:textId="77777777" w:rsidTr="00764ED2">
        <w:trPr>
          <w:trHeight w:val="670"/>
          <w:tblHeader/>
        </w:trPr>
        <w:tc>
          <w:tcPr>
            <w:tcW w:w="1019" w:type="pct"/>
            <w:vMerge/>
          </w:tcPr>
          <w:p w14:paraId="7F8FC138" w14:textId="77777777" w:rsidR="00764ED2" w:rsidRPr="00F56707" w:rsidRDefault="00764ED2" w:rsidP="00764ED2">
            <w:pPr>
              <w:pStyle w:val="TableText"/>
            </w:pPr>
          </w:p>
        </w:tc>
        <w:tc>
          <w:tcPr>
            <w:tcW w:w="1259" w:type="pct"/>
          </w:tcPr>
          <w:p w14:paraId="48F48105" w14:textId="77777777" w:rsidR="00764ED2" w:rsidRPr="00F56707" w:rsidRDefault="00764ED2" w:rsidP="00764ED2">
            <w:pPr>
              <w:pStyle w:val="TableText"/>
            </w:pPr>
            <w:r w:rsidRPr="00F56707">
              <w:t>mRNA-based vaccine booster dose</w:t>
            </w:r>
          </w:p>
        </w:tc>
        <w:tc>
          <w:tcPr>
            <w:tcW w:w="1392" w:type="pct"/>
          </w:tcPr>
          <w:p w14:paraId="67068A6F" w14:textId="77777777" w:rsidR="00764ED2" w:rsidRPr="00F56707" w:rsidRDefault="00764ED2" w:rsidP="00764ED2">
            <w:pPr>
              <w:pStyle w:val="TableText"/>
            </w:pPr>
            <w:r w:rsidRPr="00F56707">
              <w:t>≥1</w:t>
            </w:r>
            <w:r>
              <w:t>8</w:t>
            </w:r>
            <w:r w:rsidRPr="00F56707">
              <w:t xml:space="preserve"> years</w:t>
            </w:r>
          </w:p>
        </w:tc>
        <w:tc>
          <w:tcPr>
            <w:tcW w:w="1330" w:type="pct"/>
          </w:tcPr>
          <w:p w14:paraId="00F9BA91" w14:textId="77777777" w:rsidR="00764ED2" w:rsidRPr="00F56707" w:rsidRDefault="00764ED2" w:rsidP="00764ED2">
            <w:pPr>
              <w:pStyle w:val="TableText"/>
            </w:pPr>
            <w:r>
              <w:t>7</w:t>
            </w:r>
            <w:r w:rsidRPr="00F56707">
              <w:t> December 2021</w:t>
            </w:r>
          </w:p>
        </w:tc>
      </w:tr>
      <w:tr w:rsidR="00764ED2" w:rsidRPr="00F56707" w14:paraId="4FEBCAFF" w14:textId="77777777" w:rsidTr="00764ED2">
        <w:trPr>
          <w:trHeight w:val="670"/>
          <w:tblHeader/>
        </w:trPr>
        <w:tc>
          <w:tcPr>
            <w:tcW w:w="1019" w:type="pct"/>
          </w:tcPr>
          <w:p w14:paraId="792B8269" w14:textId="77777777" w:rsidR="00764ED2" w:rsidRPr="00F56707" w:rsidRDefault="00764ED2" w:rsidP="00764ED2">
            <w:pPr>
              <w:pStyle w:val="TableText"/>
            </w:pPr>
            <w:r w:rsidRPr="00F56707">
              <w:t>Janssen COVID</w:t>
            </w:r>
            <w:r w:rsidRPr="00F56707">
              <w:noBreakHyphen/>
              <w:t>19 Vaccine</w:t>
            </w:r>
          </w:p>
        </w:tc>
        <w:tc>
          <w:tcPr>
            <w:tcW w:w="1259" w:type="pct"/>
          </w:tcPr>
          <w:p w14:paraId="1536EAC6" w14:textId="77777777" w:rsidR="00764ED2" w:rsidRPr="00F56707" w:rsidRDefault="00764ED2" w:rsidP="00764ED2">
            <w:pPr>
              <w:pStyle w:val="TableText"/>
            </w:pPr>
            <w:r w:rsidRPr="00F56707">
              <w:t>Viral vector vaccine</w:t>
            </w:r>
          </w:p>
        </w:tc>
        <w:tc>
          <w:tcPr>
            <w:tcW w:w="1392" w:type="pct"/>
          </w:tcPr>
          <w:p w14:paraId="76D96A18" w14:textId="77777777" w:rsidR="00764ED2" w:rsidRPr="00F56707" w:rsidRDefault="00764ED2" w:rsidP="00764ED2">
            <w:pPr>
              <w:pStyle w:val="TableText"/>
            </w:pPr>
            <w:r w:rsidRPr="00F56707">
              <w:t>≥18 years</w:t>
            </w:r>
          </w:p>
        </w:tc>
        <w:tc>
          <w:tcPr>
            <w:tcW w:w="1330" w:type="pct"/>
          </w:tcPr>
          <w:p w14:paraId="0DC81574" w14:textId="77777777" w:rsidR="00764ED2" w:rsidRPr="00F56707" w:rsidRDefault="00764ED2" w:rsidP="00764ED2">
            <w:pPr>
              <w:pStyle w:val="TableText"/>
            </w:pPr>
            <w:r w:rsidRPr="00F56707">
              <w:t>25 June 2021 (registered but not used in Australia)</w:t>
            </w:r>
          </w:p>
        </w:tc>
      </w:tr>
    </w:tbl>
    <w:p w14:paraId="0E474E4C" w14:textId="77777777" w:rsidR="00764ED2" w:rsidRPr="00B772DC" w:rsidRDefault="00764ED2" w:rsidP="004C4E55">
      <w:pPr>
        <w:rPr>
          <w:rFonts w:eastAsia="Arial"/>
        </w:rPr>
      </w:pPr>
    </w:p>
    <w:p w14:paraId="209219C0" w14:textId="34CE45BD" w:rsidR="003F16E5" w:rsidRPr="00B772DC" w:rsidRDefault="00D818EC" w:rsidP="004C4E55">
      <w:pPr>
        <w:rPr>
          <w:rFonts w:eastAsia="Arial"/>
        </w:rPr>
      </w:pPr>
      <w:r w:rsidRPr="00B772DC">
        <w:rPr>
          <w:rFonts w:eastAsia="Arial"/>
        </w:rPr>
        <w:lastRenderedPageBreak/>
        <w:t>T</w:t>
      </w:r>
      <w:r w:rsidR="003F16E5" w:rsidRPr="00B772DC">
        <w:rPr>
          <w:rFonts w:eastAsia="Arial"/>
        </w:rPr>
        <w:t xml:space="preserve">hese vaccines were </w:t>
      </w:r>
      <w:r w:rsidRPr="00B772DC">
        <w:rPr>
          <w:rFonts w:eastAsia="Arial"/>
        </w:rPr>
        <w:t xml:space="preserve">rigorously evaluated for safety and effectiveness before they were </w:t>
      </w:r>
      <w:r w:rsidR="003F16E5" w:rsidRPr="00B772DC">
        <w:rPr>
          <w:rFonts w:eastAsia="Arial"/>
        </w:rPr>
        <w:t xml:space="preserve">provisionally registered and provided to Australians for free </w:t>
      </w:r>
      <w:r w:rsidRPr="00B772DC">
        <w:rPr>
          <w:rFonts w:eastAsia="Arial"/>
        </w:rPr>
        <w:t>through the NIP</w:t>
      </w:r>
      <w:r w:rsidR="003F16E5" w:rsidRPr="00B772DC">
        <w:rPr>
          <w:rFonts w:eastAsia="Arial"/>
        </w:rPr>
        <w:t xml:space="preserve">. This process was different to the </w:t>
      </w:r>
      <w:hyperlink r:id="rId21" w:history="1">
        <w:r w:rsidR="003F16E5" w:rsidRPr="00B772DC">
          <w:rPr>
            <w:rStyle w:val="Hyperlink"/>
            <w:rFonts w:eastAsia="Arial"/>
          </w:rPr>
          <w:t>usual process for listing vaccines on the NIP</w:t>
        </w:r>
      </w:hyperlink>
      <w:r w:rsidR="003F16E5" w:rsidRPr="00B772DC">
        <w:rPr>
          <w:rFonts w:eastAsia="Arial"/>
        </w:rPr>
        <w:t>.</w:t>
      </w:r>
    </w:p>
    <w:p w14:paraId="321BEEAD" w14:textId="4CED942B" w:rsidR="004C4E55" w:rsidRPr="00B772DC" w:rsidRDefault="004C4E55" w:rsidP="004C4E55">
      <w:pPr>
        <w:rPr>
          <w:rFonts w:eastAsia="Arial"/>
        </w:rPr>
      </w:pPr>
      <w:r w:rsidRPr="00B772DC">
        <w:rPr>
          <w:rFonts w:eastAsia="Arial"/>
        </w:rPr>
        <w:t xml:space="preserve">Other </w:t>
      </w:r>
      <w:r w:rsidR="00F607B2">
        <w:rPr>
          <w:rFonts w:eastAsia="Arial"/>
        </w:rPr>
        <w:t xml:space="preserve">countries may use other </w:t>
      </w:r>
      <w:r w:rsidRPr="00B772DC">
        <w:rPr>
          <w:rFonts w:eastAsia="Arial"/>
        </w:rPr>
        <w:t>COVID</w:t>
      </w:r>
      <w:r w:rsidR="00272EC5" w:rsidRPr="00B772DC">
        <w:rPr>
          <w:rFonts w:eastAsia="Arial"/>
        </w:rPr>
        <w:noBreakHyphen/>
      </w:r>
      <w:r w:rsidRPr="00B772DC">
        <w:rPr>
          <w:rFonts w:eastAsia="Arial"/>
        </w:rPr>
        <w:t xml:space="preserve">19 vaccines. Some of these </w:t>
      </w:r>
      <w:r w:rsidR="00D818EC" w:rsidRPr="00B772DC">
        <w:rPr>
          <w:rFonts w:eastAsia="Arial"/>
        </w:rPr>
        <w:t xml:space="preserve">vaccines </w:t>
      </w:r>
      <w:r w:rsidRPr="00B772DC">
        <w:rPr>
          <w:rFonts w:eastAsia="Arial"/>
        </w:rPr>
        <w:t xml:space="preserve">are </w:t>
      </w:r>
      <w:hyperlink r:id="rId22" w:history="1">
        <w:r w:rsidRPr="00B772DC">
          <w:rPr>
            <w:rStyle w:val="Hyperlink"/>
            <w:rFonts w:eastAsia="Arial"/>
          </w:rPr>
          <w:t>recognised by the TGA for the purpose of travel to Australia</w:t>
        </w:r>
      </w:hyperlink>
      <w:r w:rsidRPr="00B772DC">
        <w:rPr>
          <w:rFonts w:eastAsia="Arial"/>
        </w:rPr>
        <w:t>.</w:t>
      </w:r>
      <w:r w:rsidR="00F607B2">
        <w:rPr>
          <w:rFonts w:eastAsia="Arial"/>
        </w:rPr>
        <w:t xml:space="preserve"> However, from 6 July 2022, travellers no longer need to provide a proof of COVID-19 vaccinat</w:t>
      </w:r>
      <w:r w:rsidR="00764ED2">
        <w:rPr>
          <w:rFonts w:eastAsia="Arial"/>
        </w:rPr>
        <w:t>ion</w:t>
      </w:r>
      <w:r w:rsidR="00F607B2">
        <w:rPr>
          <w:rFonts w:eastAsia="Arial"/>
        </w:rPr>
        <w:t xml:space="preserve"> to travel to and from Australia.</w:t>
      </w:r>
    </w:p>
    <w:p w14:paraId="74A03677" w14:textId="5B66268B" w:rsidR="004C4E55" w:rsidRPr="00B772DC" w:rsidRDefault="004C4E55" w:rsidP="004C4E55">
      <w:pPr>
        <w:pStyle w:val="Heading3"/>
        <w:rPr>
          <w:rFonts w:eastAsia="Arial"/>
        </w:rPr>
      </w:pPr>
      <w:r w:rsidRPr="00B772DC">
        <w:rPr>
          <w:rFonts w:eastAsia="Arial"/>
        </w:rPr>
        <w:t>COVID</w:t>
      </w:r>
      <w:r w:rsidR="001113BA" w:rsidRPr="00B772DC">
        <w:rPr>
          <w:rFonts w:eastAsia="Arial"/>
        </w:rPr>
        <w:noBreakHyphen/>
      </w:r>
      <w:r w:rsidRPr="00B772DC">
        <w:rPr>
          <w:rFonts w:eastAsia="Arial"/>
        </w:rPr>
        <w:t>19 vaccine safety</w:t>
      </w:r>
    </w:p>
    <w:p w14:paraId="41566858" w14:textId="6156D6B6" w:rsidR="004C4E55" w:rsidRPr="00B772DC" w:rsidRDefault="004C4E55" w:rsidP="004C4E55">
      <w:pPr>
        <w:rPr>
          <w:rFonts w:eastAsia="Arial"/>
        </w:rPr>
      </w:pPr>
      <w:r w:rsidRPr="00B772DC">
        <w:rPr>
          <w:rFonts w:eastAsia="Arial"/>
        </w:rPr>
        <w:t xml:space="preserve">The TGA has overall responsibility for </w:t>
      </w:r>
      <w:r w:rsidR="00F607B2">
        <w:rPr>
          <w:rFonts w:eastAsia="Arial"/>
        </w:rPr>
        <w:t>the</w:t>
      </w:r>
      <w:r w:rsidRPr="00B772DC">
        <w:rPr>
          <w:rFonts w:eastAsia="Arial"/>
        </w:rPr>
        <w:t xml:space="preserve"> safety </w:t>
      </w:r>
      <w:r w:rsidR="00F607B2">
        <w:rPr>
          <w:rFonts w:eastAsia="Arial"/>
        </w:rPr>
        <w:t>of vaccines on the Australian Register of Therapeutic Goods (ARTG)</w:t>
      </w:r>
      <w:r w:rsidR="00764ED2">
        <w:rPr>
          <w:rFonts w:eastAsia="Arial"/>
        </w:rPr>
        <w:t xml:space="preserve">, including </w:t>
      </w:r>
      <w:r w:rsidR="00F607B2">
        <w:rPr>
          <w:rFonts w:eastAsia="Arial"/>
        </w:rPr>
        <w:t>COVID-19 vaccines</w:t>
      </w:r>
      <w:r w:rsidRPr="00B772DC">
        <w:rPr>
          <w:rFonts w:eastAsia="Arial"/>
        </w:rPr>
        <w:t>. ATAGI also closely monitors COVID</w:t>
      </w:r>
      <w:r w:rsidR="00272EC5" w:rsidRPr="00B772DC">
        <w:rPr>
          <w:rFonts w:eastAsia="Arial"/>
        </w:rPr>
        <w:noBreakHyphen/>
      </w:r>
      <w:r w:rsidRPr="00B772DC">
        <w:rPr>
          <w:rFonts w:eastAsia="Arial"/>
        </w:rPr>
        <w:t xml:space="preserve">19 vaccine safety issues, and carefully assesses the benefits against </w:t>
      </w:r>
      <w:r w:rsidR="00810361" w:rsidRPr="00B772DC">
        <w:rPr>
          <w:rFonts w:eastAsia="Arial"/>
        </w:rPr>
        <w:t xml:space="preserve">the </w:t>
      </w:r>
      <w:r w:rsidRPr="00B772DC">
        <w:rPr>
          <w:rFonts w:eastAsia="Arial"/>
        </w:rPr>
        <w:t>potential risks</w:t>
      </w:r>
      <w:r w:rsidR="00F607B2">
        <w:rPr>
          <w:rFonts w:eastAsia="Arial"/>
        </w:rPr>
        <w:t>, from a program perspective</w:t>
      </w:r>
      <w:r w:rsidRPr="00B772DC">
        <w:rPr>
          <w:rFonts w:eastAsia="Arial"/>
        </w:rPr>
        <w:t>.</w:t>
      </w:r>
    </w:p>
    <w:p w14:paraId="2AEDCE36" w14:textId="0E904D80" w:rsidR="004C4E55" w:rsidRPr="00B772DC" w:rsidRDefault="00764ED2" w:rsidP="004C4E55">
      <w:r>
        <w:t xml:space="preserve">Before </w:t>
      </w:r>
      <w:r w:rsidR="00F607B2">
        <w:t>the roll-out of COVID-19 vaccines in Australia, t</w:t>
      </w:r>
      <w:r w:rsidR="004C4E55" w:rsidRPr="00B772DC">
        <w:t>he TGA made enhancements to</w:t>
      </w:r>
      <w:r w:rsidR="00F607B2">
        <w:t xml:space="preserve"> Australia’s well-established</w:t>
      </w:r>
      <w:r w:rsidR="004C4E55" w:rsidRPr="00B772DC">
        <w:t xml:space="preserve"> </w:t>
      </w:r>
      <w:hyperlink r:id="rId23" w:history="1">
        <w:r w:rsidR="004C4E55" w:rsidRPr="00B772DC">
          <w:rPr>
            <w:rStyle w:val="Hyperlink"/>
            <w:rFonts w:asciiTheme="minorHAnsi" w:hAnsiTheme="minorHAnsi" w:cstheme="minorHAnsi"/>
          </w:rPr>
          <w:t>vaccine safety monitoring</w:t>
        </w:r>
      </w:hyperlink>
      <w:r w:rsidR="00F607B2">
        <w:rPr>
          <w:rStyle w:val="Hyperlink"/>
          <w:rFonts w:asciiTheme="minorHAnsi" w:hAnsiTheme="minorHAnsi" w:cstheme="minorHAnsi"/>
        </w:rPr>
        <w:t xml:space="preserve"> process</w:t>
      </w:r>
      <w:r w:rsidR="00C37A76">
        <w:rPr>
          <w:rStyle w:val="Hyperlink"/>
          <w:rFonts w:asciiTheme="minorHAnsi" w:hAnsiTheme="minorHAnsi" w:cstheme="minorHAnsi"/>
        </w:rPr>
        <w:t>.</w:t>
      </w:r>
      <w:r w:rsidR="004C4E55" w:rsidRPr="00B772DC">
        <w:t xml:space="preserve"> </w:t>
      </w:r>
      <w:r w:rsidR="00C37A76">
        <w:t>These are</w:t>
      </w:r>
      <w:r w:rsidR="00CA7CB9" w:rsidRPr="00B772DC">
        <w:t xml:space="preserve"> </w:t>
      </w:r>
      <w:r w:rsidR="004C4E55" w:rsidRPr="00B772DC">
        <w:t>described in the</w:t>
      </w:r>
      <w:r w:rsidR="007C3CE5">
        <w:t xml:space="preserve"> TGA’s</w:t>
      </w:r>
      <w:r w:rsidR="004C4E55" w:rsidRPr="00B772DC">
        <w:t xml:space="preserve"> </w:t>
      </w:r>
      <w:hyperlink r:id="rId24" w:history="1">
        <w:r w:rsidR="008A122A" w:rsidRPr="00B772DC">
          <w:rPr>
            <w:rStyle w:val="Hyperlink"/>
          </w:rPr>
          <w:t>COVID</w:t>
        </w:r>
        <w:r w:rsidR="006E50C6" w:rsidRPr="00B772DC">
          <w:rPr>
            <w:rStyle w:val="Hyperlink"/>
          </w:rPr>
          <w:noBreakHyphen/>
        </w:r>
        <w:r w:rsidR="008A122A" w:rsidRPr="00B772DC">
          <w:rPr>
            <w:rStyle w:val="Hyperlink"/>
          </w:rPr>
          <w:t>19 vaccine safety monitoring plan</w:t>
        </w:r>
      </w:hyperlink>
      <w:r w:rsidR="004C4E55" w:rsidRPr="00B772DC">
        <w:rPr>
          <w:szCs w:val="22"/>
        </w:rPr>
        <w:t>.</w:t>
      </w:r>
      <w:r w:rsidR="00C37A76">
        <w:rPr>
          <w:szCs w:val="22"/>
        </w:rPr>
        <w:t xml:space="preserve"> </w:t>
      </w:r>
    </w:p>
    <w:p w14:paraId="000CCA15" w14:textId="69E3D32D" w:rsidR="004C4E55" w:rsidRPr="00B772DC" w:rsidRDefault="00810361" w:rsidP="004C4E55">
      <w:r w:rsidRPr="00B772DC">
        <w:t>The</w:t>
      </w:r>
      <w:r w:rsidR="004C4E55" w:rsidRPr="00B772DC">
        <w:t xml:space="preserve"> </w:t>
      </w:r>
      <w:r w:rsidR="00C37A76">
        <w:t>TGA published updates on its safety monitoring process throughout 2021</w:t>
      </w:r>
      <w:r w:rsidR="004C4E55" w:rsidRPr="00B772DC">
        <w:t xml:space="preserve"> in </w:t>
      </w:r>
      <w:hyperlink r:id="rId25" w:history="1">
        <w:r w:rsidRPr="00B772DC">
          <w:rPr>
            <w:rStyle w:val="Hyperlink"/>
          </w:rPr>
          <w:t>COVID</w:t>
        </w:r>
        <w:r w:rsidR="00272EC5" w:rsidRPr="00B772DC">
          <w:rPr>
            <w:rStyle w:val="Hyperlink"/>
          </w:rPr>
          <w:noBreakHyphen/>
        </w:r>
        <w:r w:rsidRPr="00B772DC">
          <w:rPr>
            <w:rStyle w:val="Hyperlink"/>
          </w:rPr>
          <w:t>19 vaccine weekly safety reports</w:t>
        </w:r>
      </w:hyperlink>
      <w:r w:rsidR="004C4E55" w:rsidRPr="00B772DC">
        <w:t>.</w:t>
      </w:r>
      <w:r w:rsidR="00C37A76">
        <w:t xml:space="preserve"> </w:t>
      </w:r>
      <w:r w:rsidR="00C37A76" w:rsidRPr="00B772DC">
        <w:t xml:space="preserve">The TGA </w:t>
      </w:r>
      <w:r w:rsidR="00C37A76">
        <w:t xml:space="preserve">also </w:t>
      </w:r>
      <w:r w:rsidR="00C37A76" w:rsidRPr="00B772DC">
        <w:t>met with state and territory vaccine safety teams weekly throughout 2021</w:t>
      </w:r>
      <w:r w:rsidR="00C37A76">
        <w:t xml:space="preserve">, </w:t>
      </w:r>
      <w:r w:rsidR="00C37A76" w:rsidRPr="00965066">
        <w:t>as well as chairing the International Coalition of Medicines Regulatory Authorities (ICMRA) COVID-19 Vaccine Pharmacovigilance Network every fortnight, to ensure close national and international collaboration on emerging vaccine safety issues.</w:t>
      </w:r>
    </w:p>
    <w:p w14:paraId="7AF62C60" w14:textId="65767752" w:rsidR="00D7363A" w:rsidRPr="00B772DC" w:rsidRDefault="00D7363A" w:rsidP="004C4E55">
      <w:pPr>
        <w:rPr>
          <w:rFonts w:eastAsia="Arial"/>
        </w:rPr>
      </w:pPr>
      <w:r w:rsidRPr="00B772DC">
        <w:rPr>
          <w:iCs/>
        </w:rPr>
        <w:t xml:space="preserve">A special subgroup of the </w:t>
      </w:r>
      <w:hyperlink r:id="rId26" w:history="1">
        <w:r w:rsidRPr="00B772DC">
          <w:rPr>
            <w:rStyle w:val="Hyperlink"/>
            <w:iCs/>
          </w:rPr>
          <w:t>ATAGI COVID</w:t>
        </w:r>
        <w:r w:rsidR="00272EC5" w:rsidRPr="00B772DC">
          <w:rPr>
            <w:rStyle w:val="Hyperlink"/>
            <w:iCs/>
          </w:rPr>
          <w:noBreakHyphen/>
        </w:r>
        <w:r w:rsidRPr="00B772DC">
          <w:rPr>
            <w:rStyle w:val="Hyperlink"/>
            <w:iCs/>
          </w:rPr>
          <w:t>19 Working Group</w:t>
        </w:r>
      </w:hyperlink>
      <w:r w:rsidRPr="00B772DC">
        <w:rPr>
          <w:iCs/>
        </w:rPr>
        <w:t xml:space="preserve"> met regularly throughout 2021 to discuss vaccine safety </w:t>
      </w:r>
      <w:r w:rsidR="006D3227" w:rsidRPr="00B772DC">
        <w:rPr>
          <w:iCs/>
        </w:rPr>
        <w:t>issues</w:t>
      </w:r>
      <w:r w:rsidRPr="00B772DC">
        <w:rPr>
          <w:iCs/>
        </w:rPr>
        <w:t>.</w:t>
      </w:r>
      <w:r w:rsidR="008C5570" w:rsidRPr="00B772DC">
        <w:rPr>
          <w:iCs/>
        </w:rPr>
        <w:t xml:space="preserve"> </w:t>
      </w:r>
      <w:r w:rsidR="0086297D" w:rsidRPr="00B772DC">
        <w:rPr>
          <w:iCs/>
        </w:rPr>
        <w:t xml:space="preserve">From May 2021, </w:t>
      </w:r>
      <w:r w:rsidR="008C5570" w:rsidRPr="00B772DC">
        <w:rPr>
          <w:iCs/>
        </w:rPr>
        <w:t xml:space="preserve">ATAGI met </w:t>
      </w:r>
      <w:r w:rsidR="0086297D" w:rsidRPr="00B772DC">
        <w:rPr>
          <w:iCs/>
        </w:rPr>
        <w:t xml:space="preserve">every week </w:t>
      </w:r>
      <w:r w:rsidR="008C5570" w:rsidRPr="00B772DC">
        <w:rPr>
          <w:iCs/>
        </w:rPr>
        <w:t xml:space="preserve">to monitor vaccine safety and </w:t>
      </w:r>
      <w:r w:rsidR="00EA6F21" w:rsidRPr="00B772DC">
        <w:rPr>
          <w:iCs/>
        </w:rPr>
        <w:t>provide advice in response to new information</w:t>
      </w:r>
      <w:r w:rsidR="008C5570" w:rsidRPr="00B772DC">
        <w:rPr>
          <w:iCs/>
        </w:rPr>
        <w:t>.</w:t>
      </w:r>
    </w:p>
    <w:p w14:paraId="05B140A7" w14:textId="77777777" w:rsidR="004C4E55" w:rsidRPr="00B772DC" w:rsidRDefault="004C4E55" w:rsidP="004C4E55">
      <w:pPr>
        <w:pStyle w:val="Heading4"/>
        <w:rPr>
          <w:rFonts w:eastAsia="Arial"/>
        </w:rPr>
      </w:pPr>
      <w:r w:rsidRPr="00B772DC">
        <w:rPr>
          <w:rFonts w:eastAsia="Arial"/>
        </w:rPr>
        <w:t>Overall adverse events</w:t>
      </w:r>
    </w:p>
    <w:p w14:paraId="271E8DA4" w14:textId="2681BF27" w:rsidR="004C4E55" w:rsidRPr="00B772DC" w:rsidRDefault="00023B4D" w:rsidP="004C4E55">
      <w:pPr>
        <w:pStyle w:val="NormalBeforeBullet"/>
      </w:pPr>
      <w:r w:rsidRPr="00B772DC">
        <w:t>In 2021, a</w:t>
      </w:r>
      <w:r w:rsidR="00810361" w:rsidRPr="00B772DC">
        <w:t xml:space="preserve">lmost </w:t>
      </w:r>
      <w:r w:rsidR="004C4E55" w:rsidRPr="00B772DC">
        <w:t>5</w:t>
      </w:r>
      <w:r w:rsidRPr="00B772DC">
        <w:t> </w:t>
      </w:r>
      <w:r w:rsidR="004C4E55" w:rsidRPr="00B772DC">
        <w:t xml:space="preserve">million people participated in the </w:t>
      </w:r>
      <w:hyperlink r:id="rId27" w:history="1">
        <w:proofErr w:type="spellStart"/>
        <w:r w:rsidR="004C4E55" w:rsidRPr="00B772DC">
          <w:rPr>
            <w:rStyle w:val="Hyperlink"/>
          </w:rPr>
          <w:t>AusVaxSafety</w:t>
        </w:r>
        <w:proofErr w:type="spellEnd"/>
        <w:r w:rsidR="004C4E55" w:rsidRPr="00B772DC">
          <w:rPr>
            <w:rStyle w:val="Hyperlink"/>
          </w:rPr>
          <w:t xml:space="preserve"> vaccine safety survey</w:t>
        </w:r>
      </w:hyperlink>
      <w:r w:rsidR="004C4E55" w:rsidRPr="00B772DC">
        <w:t xml:space="preserve"> after their COVID</w:t>
      </w:r>
      <w:r w:rsidR="00272EC5" w:rsidRPr="00B772DC">
        <w:noBreakHyphen/>
      </w:r>
      <w:r w:rsidR="004C4E55" w:rsidRPr="00B772DC">
        <w:t>19 vaccinations. Of these people:</w:t>
      </w:r>
    </w:p>
    <w:p w14:paraId="5A2C8AB1" w14:textId="23DF74D4" w:rsidR="004C4E55" w:rsidRPr="00B772DC" w:rsidRDefault="004C4E55" w:rsidP="00BA15CB">
      <w:pPr>
        <w:pStyle w:val="Bullet"/>
      </w:pPr>
      <w:r w:rsidRPr="00B772DC">
        <w:t>5</w:t>
      </w:r>
      <w:r w:rsidR="00810361" w:rsidRPr="00B772DC">
        <w:t>5.8</w:t>
      </w:r>
      <w:r w:rsidRPr="00B772DC">
        <w:t>% reported no adverse events</w:t>
      </w:r>
    </w:p>
    <w:p w14:paraId="79D19864" w14:textId="635C6FD0" w:rsidR="004C4E55" w:rsidRPr="00B772DC" w:rsidRDefault="004C4E55" w:rsidP="00BA15CB">
      <w:pPr>
        <w:pStyle w:val="Bullet"/>
      </w:pPr>
      <w:r w:rsidRPr="00B772DC">
        <w:t>4</w:t>
      </w:r>
      <w:r w:rsidR="00810361" w:rsidRPr="00B772DC">
        <w:t>4.2</w:t>
      </w:r>
      <w:r w:rsidRPr="00B772DC">
        <w:t xml:space="preserve">% reported </w:t>
      </w:r>
      <w:r w:rsidR="00DE6126" w:rsidRPr="00B772DC">
        <w:t xml:space="preserve">at least one </w:t>
      </w:r>
      <w:r w:rsidRPr="00B772DC">
        <w:t>adverse event</w:t>
      </w:r>
    </w:p>
    <w:p w14:paraId="78D02A56" w14:textId="3808EDA6" w:rsidR="004C4E55" w:rsidRPr="00B772DC" w:rsidRDefault="00810361" w:rsidP="00371C6C">
      <w:pPr>
        <w:pStyle w:val="BulletLast"/>
      </w:pPr>
      <w:r w:rsidRPr="00B772DC">
        <w:t>1.0</w:t>
      </w:r>
      <w:r w:rsidR="004C4E55" w:rsidRPr="00B772DC">
        <w:t>% reported visiting a doctor or emergency department.</w:t>
      </w:r>
    </w:p>
    <w:p w14:paraId="64F528BD" w14:textId="77777777" w:rsidR="004C4E55" w:rsidRPr="00B772DC" w:rsidRDefault="004C4E55" w:rsidP="004C4E55">
      <w:pPr>
        <w:pStyle w:val="Heading4"/>
        <w:rPr>
          <w:rFonts w:eastAsia="Arial"/>
        </w:rPr>
      </w:pPr>
      <w:r w:rsidRPr="00B772DC">
        <w:rPr>
          <w:rFonts w:eastAsia="Arial"/>
        </w:rPr>
        <w:t>Specific adverse events</w:t>
      </w:r>
    </w:p>
    <w:p w14:paraId="2C28D279" w14:textId="36D0977E" w:rsidR="004C4E55" w:rsidRPr="00B772DC" w:rsidRDefault="004C4E55" w:rsidP="004C4E55">
      <w:pPr>
        <w:rPr>
          <w:rFonts w:eastAsia="Arial"/>
        </w:rPr>
      </w:pPr>
      <w:r w:rsidRPr="00B772DC">
        <w:rPr>
          <w:rFonts w:eastAsia="Arial"/>
        </w:rPr>
        <w:t xml:space="preserve">Thrombosis with thrombocytopenia syndrome (TTS) is a very rare but serious adverse event following the AstraZeneca vaccine. In 2021, ATAGI developed and updated recommendations on vaccine brand preferences for different age groups as more evidence on TTS became available. ATAGI worked with </w:t>
      </w:r>
      <w:r w:rsidRPr="00B772DC">
        <w:rPr>
          <w:rFonts w:cs="Calibri"/>
          <w:szCs w:val="22"/>
        </w:rPr>
        <w:t xml:space="preserve">the </w:t>
      </w:r>
      <w:r w:rsidR="008D388B" w:rsidRPr="00B772DC">
        <w:rPr>
          <w:rFonts w:cs="Calibri"/>
          <w:szCs w:val="22"/>
        </w:rPr>
        <w:t>Thrombosis and Haemostasis Society of Australia and New Zealand</w:t>
      </w:r>
      <w:r w:rsidRPr="00B772DC">
        <w:rPr>
          <w:rFonts w:eastAsia="Arial"/>
        </w:rPr>
        <w:t xml:space="preserve"> to develop </w:t>
      </w:r>
      <w:hyperlink r:id="rId28" w:history="1">
        <w:r w:rsidRPr="00B772DC">
          <w:rPr>
            <w:rStyle w:val="Hyperlink"/>
            <w:rFonts w:eastAsia="Arial"/>
          </w:rPr>
          <w:t xml:space="preserve">strategies to minimise </w:t>
        </w:r>
        <w:r w:rsidR="00EA6F21" w:rsidRPr="00B772DC">
          <w:rPr>
            <w:rStyle w:val="Hyperlink"/>
            <w:rFonts w:eastAsia="Arial"/>
          </w:rPr>
          <w:t>risks</w:t>
        </w:r>
        <w:r w:rsidRPr="00B772DC">
          <w:rPr>
            <w:rStyle w:val="Hyperlink"/>
            <w:rFonts w:eastAsia="Arial"/>
          </w:rPr>
          <w:t xml:space="preserve"> from TTS</w:t>
        </w:r>
      </w:hyperlink>
      <w:r w:rsidRPr="00B772DC">
        <w:rPr>
          <w:rFonts w:eastAsia="Arial"/>
        </w:rPr>
        <w:t>.</w:t>
      </w:r>
    </w:p>
    <w:p w14:paraId="5519CE16" w14:textId="571E206A" w:rsidR="004C4E55" w:rsidRDefault="004C4E55" w:rsidP="004C4E55">
      <w:pPr>
        <w:rPr>
          <w:rFonts w:eastAsia="Arial"/>
        </w:rPr>
      </w:pPr>
      <w:r w:rsidRPr="00B772DC">
        <w:rPr>
          <w:rFonts w:eastAsia="Arial"/>
        </w:rPr>
        <w:t xml:space="preserve">Myocarditis and pericarditis are adverse events of special interest </w:t>
      </w:r>
      <w:r w:rsidR="00471DB9" w:rsidRPr="00B772DC">
        <w:rPr>
          <w:rFonts w:eastAsia="Arial"/>
        </w:rPr>
        <w:t xml:space="preserve">initially noted </w:t>
      </w:r>
      <w:r w:rsidRPr="00B772DC">
        <w:rPr>
          <w:rFonts w:eastAsia="Arial"/>
        </w:rPr>
        <w:t>following mRNA COVID</w:t>
      </w:r>
      <w:r w:rsidR="00272EC5" w:rsidRPr="00B772DC">
        <w:rPr>
          <w:rFonts w:eastAsia="Arial"/>
        </w:rPr>
        <w:noBreakHyphen/>
      </w:r>
      <w:r w:rsidRPr="00B772DC">
        <w:rPr>
          <w:rFonts w:eastAsia="Arial"/>
        </w:rPr>
        <w:t xml:space="preserve">19 vaccines (Pfizer or Moderna). ATAGI developed </w:t>
      </w:r>
      <w:hyperlink r:id="rId29" w:history="1">
        <w:r w:rsidRPr="00B772DC">
          <w:rPr>
            <w:rStyle w:val="Hyperlink"/>
          </w:rPr>
          <w:t>clinical guidance</w:t>
        </w:r>
      </w:hyperlink>
      <w:r w:rsidRPr="00B772DC">
        <w:t xml:space="preserve"> </w:t>
      </w:r>
      <w:r w:rsidRPr="00B772DC">
        <w:rPr>
          <w:rFonts w:eastAsia="Arial"/>
        </w:rPr>
        <w:t>in collaboration with subject matter experts, and continues to monitor the rates of these adverse events.</w:t>
      </w:r>
    </w:p>
    <w:p w14:paraId="39CE5DB2" w14:textId="1F8D7444" w:rsidR="007C3CE5" w:rsidRDefault="007C3CE5" w:rsidP="007C3CE5">
      <w:pPr>
        <w:pStyle w:val="Heading3"/>
        <w:rPr>
          <w:rFonts w:eastAsia="Arial"/>
        </w:rPr>
      </w:pPr>
      <w:r>
        <w:rPr>
          <w:rFonts w:eastAsia="Arial"/>
        </w:rPr>
        <w:lastRenderedPageBreak/>
        <w:t>Timeline</w:t>
      </w:r>
    </w:p>
    <w:tbl>
      <w:tblPr>
        <w:tblStyle w:val="TableGrid"/>
        <w:tblW w:w="0" w:type="auto"/>
        <w:tblLook w:val="04A0" w:firstRow="1" w:lastRow="0" w:firstColumn="1" w:lastColumn="0" w:noHBand="0" w:noVBand="1"/>
        <w:tblCaption w:val="Timeline of ATAGI COVID-19 activities in 2021"/>
      </w:tblPr>
      <w:tblGrid>
        <w:gridCol w:w="1696"/>
        <w:gridCol w:w="7320"/>
      </w:tblGrid>
      <w:tr w:rsidR="00764ED2" w:rsidRPr="00CD30B3" w14:paraId="0648DEE1" w14:textId="77777777" w:rsidTr="008F4FAD">
        <w:trPr>
          <w:tblHeader/>
        </w:trPr>
        <w:tc>
          <w:tcPr>
            <w:tcW w:w="1696" w:type="dxa"/>
          </w:tcPr>
          <w:p w14:paraId="0B672343" w14:textId="77777777" w:rsidR="00764ED2" w:rsidRPr="00CD30B3" w:rsidRDefault="00764ED2" w:rsidP="008F4FAD">
            <w:pPr>
              <w:pStyle w:val="TableHeading"/>
            </w:pPr>
            <w:r w:rsidRPr="00CD30B3">
              <w:t>Month</w:t>
            </w:r>
          </w:p>
        </w:tc>
        <w:tc>
          <w:tcPr>
            <w:tcW w:w="7320" w:type="dxa"/>
          </w:tcPr>
          <w:p w14:paraId="0EC06755" w14:textId="77777777" w:rsidR="00764ED2" w:rsidRPr="00CD30B3" w:rsidRDefault="00764ED2" w:rsidP="008F4FAD">
            <w:pPr>
              <w:pStyle w:val="TableHeading"/>
            </w:pPr>
            <w:r w:rsidRPr="00CD30B3">
              <w:t>Action</w:t>
            </w:r>
          </w:p>
        </w:tc>
      </w:tr>
      <w:tr w:rsidR="00764ED2" w14:paraId="0BFC55E9" w14:textId="77777777" w:rsidTr="008F4FAD">
        <w:tc>
          <w:tcPr>
            <w:tcW w:w="1696" w:type="dxa"/>
          </w:tcPr>
          <w:p w14:paraId="349B1DA7" w14:textId="77777777" w:rsidR="00764ED2" w:rsidRDefault="00764ED2" w:rsidP="008F4FAD">
            <w:pPr>
              <w:pStyle w:val="TableHeading"/>
            </w:pPr>
            <w:r>
              <w:t>January</w:t>
            </w:r>
          </w:p>
        </w:tc>
        <w:tc>
          <w:tcPr>
            <w:tcW w:w="7320" w:type="dxa"/>
          </w:tcPr>
          <w:p w14:paraId="3DCD672F" w14:textId="77777777" w:rsidR="00764ED2" w:rsidRPr="00287801" w:rsidRDefault="00561CB4" w:rsidP="008F4FAD">
            <w:pPr>
              <w:pStyle w:val="TableText"/>
              <w:rPr>
                <w:rFonts w:cs="Calibri"/>
                <w:szCs w:val="22"/>
              </w:rPr>
            </w:pPr>
            <w:hyperlink r:id="rId30" w:anchor="statements" w:history="1">
              <w:r w:rsidR="00764ED2">
                <w:rPr>
                  <w:rStyle w:val="Hyperlink"/>
                </w:rPr>
                <w:t>ATAGI met frequently</w:t>
              </w:r>
            </w:hyperlink>
            <w:r w:rsidR="00764ED2">
              <w:t xml:space="preserve"> throughout 2021 to monitor and advise on COVID-19 vaccine safety, </w:t>
            </w:r>
            <w:proofErr w:type="gramStart"/>
            <w:r w:rsidR="00764ED2">
              <w:t>effectiveness</w:t>
            </w:r>
            <w:proofErr w:type="gramEnd"/>
            <w:r w:rsidR="00764ED2">
              <w:t xml:space="preserve"> and program implementation.</w:t>
            </w:r>
          </w:p>
        </w:tc>
      </w:tr>
      <w:tr w:rsidR="00764ED2" w14:paraId="1BA2B128" w14:textId="77777777" w:rsidTr="008F4FAD">
        <w:tc>
          <w:tcPr>
            <w:tcW w:w="1696" w:type="dxa"/>
          </w:tcPr>
          <w:p w14:paraId="6A788B55" w14:textId="77777777" w:rsidR="00764ED2" w:rsidRDefault="00764ED2" w:rsidP="008F4FAD">
            <w:pPr>
              <w:pStyle w:val="TableHeading"/>
            </w:pPr>
            <w:r>
              <w:t>February</w:t>
            </w:r>
          </w:p>
        </w:tc>
        <w:tc>
          <w:tcPr>
            <w:tcW w:w="7320" w:type="dxa"/>
          </w:tcPr>
          <w:p w14:paraId="2D8624DB" w14:textId="77777777" w:rsidR="00764ED2" w:rsidRPr="008A122A" w:rsidRDefault="00764ED2" w:rsidP="008F4FAD">
            <w:pPr>
              <w:pStyle w:val="TableText"/>
            </w:pPr>
            <w:r>
              <w:t xml:space="preserve">Australia’s national COVID-19 vaccination program started, guided by the </w:t>
            </w:r>
            <w:hyperlink r:id="rId31" w:history="1">
              <w:r w:rsidRPr="006D38B5">
                <w:rPr>
                  <w:rStyle w:val="Hyperlink"/>
                </w:rPr>
                <w:t>Australian COVID</w:t>
              </w:r>
              <w:r w:rsidRPr="006D38B5">
                <w:rPr>
                  <w:rStyle w:val="Hyperlink"/>
                </w:rPr>
                <w:noBreakHyphen/>
                <w:t>19 Vaccination Policy</w:t>
              </w:r>
            </w:hyperlink>
            <w:r>
              <w:rPr>
                <w:rStyle w:val="Hyperlink"/>
              </w:rPr>
              <w:t xml:space="preserve"> </w:t>
            </w:r>
            <w:r w:rsidRPr="00525BD6">
              <w:t>and</w:t>
            </w:r>
            <w:r>
              <w:t xml:space="preserve"> </w:t>
            </w:r>
            <w:r w:rsidRPr="008A122A">
              <w:t xml:space="preserve">the </w:t>
            </w:r>
            <w:hyperlink r:id="rId32" w:history="1">
              <w:r w:rsidRPr="008A122A">
                <w:rPr>
                  <w:rStyle w:val="Hyperlink"/>
                </w:rPr>
                <w:t>COVID-19 vaccine national roll-out strategy</w:t>
              </w:r>
            </w:hyperlink>
            <w:r w:rsidRPr="00570387">
              <w:t>.</w:t>
            </w:r>
          </w:p>
          <w:p w14:paraId="0E40AB65" w14:textId="77777777" w:rsidR="00764ED2" w:rsidRDefault="00764ED2" w:rsidP="008F4FAD">
            <w:pPr>
              <w:pStyle w:val="TableText"/>
            </w:pPr>
            <w:r w:rsidRPr="00525BD6">
              <w:t>The first doses of COVID-19 vaccines were made available for frontline health care workers, quarantine and border workers, and aged care and disability care residents and workers</w:t>
            </w:r>
            <w:r>
              <w:t>.</w:t>
            </w:r>
          </w:p>
          <w:p w14:paraId="61FC0041" w14:textId="77777777" w:rsidR="00764ED2" w:rsidRDefault="00764ED2" w:rsidP="008F4FAD">
            <w:pPr>
              <w:pStyle w:val="TableText"/>
            </w:pPr>
            <w:r>
              <w:t>As more vaccines were supplied to Australia, the program expanded to include more groups of people.</w:t>
            </w:r>
          </w:p>
        </w:tc>
      </w:tr>
      <w:tr w:rsidR="00764ED2" w14:paraId="1688466B" w14:textId="77777777" w:rsidTr="008F4FAD">
        <w:trPr>
          <w:trHeight w:val="938"/>
        </w:trPr>
        <w:tc>
          <w:tcPr>
            <w:tcW w:w="1696" w:type="dxa"/>
          </w:tcPr>
          <w:p w14:paraId="4B730274" w14:textId="77777777" w:rsidR="00764ED2" w:rsidRDefault="00764ED2" w:rsidP="008F4FAD">
            <w:pPr>
              <w:pStyle w:val="TableHeading"/>
            </w:pPr>
            <w:r>
              <w:t>April</w:t>
            </w:r>
          </w:p>
        </w:tc>
        <w:tc>
          <w:tcPr>
            <w:tcW w:w="7320" w:type="dxa"/>
          </w:tcPr>
          <w:p w14:paraId="1631FB74" w14:textId="77777777" w:rsidR="00764ED2" w:rsidRDefault="00764ED2" w:rsidP="008F4FAD">
            <w:pPr>
              <w:pStyle w:val="TableText"/>
            </w:pPr>
            <w:r>
              <w:t xml:space="preserve">ATAGI closely monitored the risk of blood clots and low platelet count after AstraZeneca vaccine, and recommended that </w:t>
            </w:r>
            <w:hyperlink r:id="rId33" w:history="1">
              <w:r w:rsidRPr="000E6773">
                <w:rPr>
                  <w:rStyle w:val="Hyperlink"/>
                </w:rPr>
                <w:t>Pfizer is preferred over AstraZeneca in people aged under 50 years</w:t>
              </w:r>
            </w:hyperlink>
            <w:r w:rsidRPr="00570387">
              <w:t>.</w:t>
            </w:r>
          </w:p>
        </w:tc>
      </w:tr>
      <w:tr w:rsidR="00764ED2" w14:paraId="01D3878E" w14:textId="77777777" w:rsidTr="008F4FAD">
        <w:tc>
          <w:tcPr>
            <w:tcW w:w="1696" w:type="dxa"/>
          </w:tcPr>
          <w:p w14:paraId="05022FF8" w14:textId="77777777" w:rsidR="00764ED2" w:rsidRDefault="00764ED2" w:rsidP="008F4FAD">
            <w:pPr>
              <w:pStyle w:val="TableHeading"/>
            </w:pPr>
            <w:r>
              <w:t>June</w:t>
            </w:r>
          </w:p>
        </w:tc>
        <w:tc>
          <w:tcPr>
            <w:tcW w:w="7320" w:type="dxa"/>
          </w:tcPr>
          <w:p w14:paraId="3FF7004E" w14:textId="77777777" w:rsidR="00764ED2" w:rsidRDefault="00764ED2" w:rsidP="008F4FAD">
            <w:pPr>
              <w:pStyle w:val="TableText"/>
            </w:pPr>
            <w:r>
              <w:t xml:space="preserve">ATAGI continued to monitor the risk of blood clots and low platelet count after AstraZeneca vaccine, and recommended that </w:t>
            </w:r>
            <w:hyperlink r:id="rId34" w:history="1">
              <w:r w:rsidRPr="000E6773">
                <w:rPr>
                  <w:rStyle w:val="Hyperlink"/>
                </w:rPr>
                <w:t>Pfizer is preferred over AstraZeneca in people aged under 60 years</w:t>
              </w:r>
            </w:hyperlink>
            <w:r>
              <w:t>, based on an individual risk-benefit assessment (including considering the impact of the Delta variant).</w:t>
            </w:r>
          </w:p>
        </w:tc>
      </w:tr>
      <w:tr w:rsidR="00764ED2" w14:paraId="2EEA3663" w14:textId="77777777" w:rsidTr="008F4FAD">
        <w:tc>
          <w:tcPr>
            <w:tcW w:w="1696" w:type="dxa"/>
          </w:tcPr>
          <w:p w14:paraId="2B04168C" w14:textId="77777777" w:rsidR="00764ED2" w:rsidRDefault="00764ED2" w:rsidP="008F4FAD">
            <w:pPr>
              <w:pStyle w:val="TableHeading"/>
            </w:pPr>
            <w:r>
              <w:t>August</w:t>
            </w:r>
          </w:p>
        </w:tc>
        <w:tc>
          <w:tcPr>
            <w:tcW w:w="7320" w:type="dxa"/>
          </w:tcPr>
          <w:p w14:paraId="56E1C909" w14:textId="77777777" w:rsidR="00764ED2" w:rsidRDefault="00764ED2" w:rsidP="008F4FAD">
            <w:pPr>
              <w:pStyle w:val="TableText"/>
            </w:pPr>
            <w:r>
              <w:t xml:space="preserve">ATAGI recommended that </w:t>
            </w:r>
            <w:hyperlink r:id="rId35" w:history="1">
              <w:r>
                <w:rPr>
                  <w:rStyle w:val="Hyperlink"/>
                </w:rPr>
                <w:t>all Australians aged 12 years and over</w:t>
              </w:r>
            </w:hyperlink>
            <w:r>
              <w:t xml:space="preserve"> should have a COVID-19 vaccine.</w:t>
            </w:r>
          </w:p>
        </w:tc>
      </w:tr>
      <w:tr w:rsidR="00764ED2" w14:paraId="432C0812" w14:textId="77777777" w:rsidTr="008F4FAD">
        <w:tc>
          <w:tcPr>
            <w:tcW w:w="1696" w:type="dxa"/>
          </w:tcPr>
          <w:p w14:paraId="6A353ED1" w14:textId="77777777" w:rsidR="00764ED2" w:rsidRDefault="00764ED2" w:rsidP="008F4FAD">
            <w:pPr>
              <w:pStyle w:val="TableHeading"/>
            </w:pPr>
            <w:r>
              <w:t>October</w:t>
            </w:r>
          </w:p>
        </w:tc>
        <w:tc>
          <w:tcPr>
            <w:tcW w:w="7320" w:type="dxa"/>
          </w:tcPr>
          <w:p w14:paraId="17B7C360" w14:textId="77777777" w:rsidR="00764ED2" w:rsidRDefault="00764ED2" w:rsidP="008F4FAD">
            <w:pPr>
              <w:pStyle w:val="TableText"/>
              <w:rPr>
                <w:rStyle w:val="Hyperlink"/>
              </w:rPr>
            </w:pPr>
            <w:r>
              <w:t xml:space="preserve">ATAGI recommended a </w:t>
            </w:r>
            <w:hyperlink r:id="rId36" w:history="1">
              <w:r w:rsidRPr="000E6773">
                <w:rPr>
                  <w:rStyle w:val="Hyperlink"/>
                </w:rPr>
                <w:t>third primary dose for people who are severely immunocompromised</w:t>
              </w:r>
            </w:hyperlink>
            <w:r w:rsidRPr="00570387">
              <w:t>.</w:t>
            </w:r>
          </w:p>
          <w:p w14:paraId="7FCEFF7B" w14:textId="77777777" w:rsidR="00764ED2" w:rsidRDefault="00764ED2" w:rsidP="008F4FAD">
            <w:pPr>
              <w:pStyle w:val="TableText"/>
            </w:pPr>
            <w:r>
              <w:t xml:space="preserve">ATAGI recommended a </w:t>
            </w:r>
            <w:hyperlink r:id="rId37" w:history="1">
              <w:r w:rsidRPr="000E6773">
                <w:rPr>
                  <w:rStyle w:val="Hyperlink"/>
                </w:rPr>
                <w:t>booster dose for all people aged 18 and over</w:t>
              </w:r>
            </w:hyperlink>
            <w:r w:rsidRPr="00570387">
              <w:t>.</w:t>
            </w:r>
          </w:p>
        </w:tc>
      </w:tr>
      <w:tr w:rsidR="00764ED2" w14:paraId="460EE279" w14:textId="77777777" w:rsidTr="008F4FAD">
        <w:trPr>
          <w:trHeight w:val="686"/>
        </w:trPr>
        <w:tc>
          <w:tcPr>
            <w:tcW w:w="1696" w:type="dxa"/>
          </w:tcPr>
          <w:p w14:paraId="0B3E7415" w14:textId="77777777" w:rsidR="00764ED2" w:rsidRDefault="00764ED2" w:rsidP="008F4FAD">
            <w:pPr>
              <w:pStyle w:val="TableHeading"/>
            </w:pPr>
            <w:r>
              <w:t>December</w:t>
            </w:r>
          </w:p>
        </w:tc>
        <w:tc>
          <w:tcPr>
            <w:tcW w:w="7320" w:type="dxa"/>
          </w:tcPr>
          <w:p w14:paraId="75F7FF6D" w14:textId="77777777" w:rsidR="00764ED2" w:rsidRDefault="00764ED2" w:rsidP="008F4FAD">
            <w:pPr>
              <w:pStyle w:val="TableText"/>
            </w:pPr>
            <w:r>
              <w:t xml:space="preserve">ATAGI recommended that </w:t>
            </w:r>
            <w:hyperlink r:id="rId38" w:history="1">
              <w:r>
                <w:rPr>
                  <w:rStyle w:val="Hyperlink"/>
                </w:rPr>
                <w:t>all Australians aged 5 years and over</w:t>
              </w:r>
            </w:hyperlink>
            <w:r>
              <w:t xml:space="preserve"> should have a COVID-19 vaccine.</w:t>
            </w:r>
          </w:p>
        </w:tc>
      </w:tr>
    </w:tbl>
    <w:p w14:paraId="441308C2" w14:textId="77777777" w:rsidR="00764ED2" w:rsidRDefault="00764ED2" w:rsidP="00764ED2">
      <w:pPr>
        <w:pStyle w:val="NormalBeforeBullet"/>
      </w:pPr>
    </w:p>
    <w:p w14:paraId="2943DB49" w14:textId="77777777" w:rsidR="00764ED2" w:rsidRPr="003D2FD3" w:rsidRDefault="00764ED2" w:rsidP="00764ED2">
      <w:pPr>
        <w:pStyle w:val="NormalBeforeBullet"/>
      </w:pPr>
      <w:r w:rsidRPr="003D2FD3">
        <w:t>By the end of December 2021:</w:t>
      </w:r>
    </w:p>
    <w:p w14:paraId="2B404D12" w14:textId="77777777" w:rsidR="00764ED2" w:rsidRDefault="00764ED2" w:rsidP="00764ED2">
      <w:pPr>
        <w:pStyle w:val="Bullet"/>
      </w:pPr>
      <w:r>
        <w:t>more than 42.7 million doses of COVID-19 vaccines had been administered across Australia</w:t>
      </w:r>
    </w:p>
    <w:p w14:paraId="5CD9854D" w14:textId="77777777" w:rsidR="00764ED2" w:rsidRDefault="00764ED2" w:rsidP="00764ED2">
      <w:pPr>
        <w:pStyle w:val="Bullet"/>
      </w:pPr>
      <w:r>
        <w:t xml:space="preserve">more than 19 million people had received at least one dose (94.4% of people over the age of 16 years) </w:t>
      </w:r>
    </w:p>
    <w:p w14:paraId="1FDBCC0B" w14:textId="77777777" w:rsidR="00764ED2" w:rsidRPr="00B772DC" w:rsidRDefault="00764ED2" w:rsidP="00764ED2">
      <w:pPr>
        <w:pStyle w:val="BulletLast"/>
      </w:pPr>
      <w:r>
        <w:t>more than 18 million people had received 2 doses (91.4% of people over the age of 16 years).</w:t>
      </w:r>
    </w:p>
    <w:p w14:paraId="3CE2B4E9" w14:textId="6C1D3CAB" w:rsidR="00D405A8" w:rsidRPr="00B772DC" w:rsidRDefault="00D405A8" w:rsidP="00D405A8">
      <w:pPr>
        <w:pStyle w:val="Heading2"/>
      </w:pPr>
      <w:bookmarkStart w:id="11" w:name="_Toc72165382"/>
      <w:bookmarkStart w:id="12" w:name="_Toc124411471"/>
      <w:bookmarkStart w:id="13" w:name="_Hlk88045565"/>
      <w:r w:rsidRPr="00B772DC">
        <w:t xml:space="preserve">Prevention and control of </w:t>
      </w:r>
      <w:r w:rsidR="008D388B" w:rsidRPr="00B772DC">
        <w:t xml:space="preserve">other </w:t>
      </w:r>
      <w:r w:rsidRPr="00B772DC">
        <w:t>vaccine-preventable diseases</w:t>
      </w:r>
      <w:bookmarkEnd w:id="11"/>
      <w:bookmarkEnd w:id="12"/>
    </w:p>
    <w:bookmarkEnd w:id="13"/>
    <w:p w14:paraId="7DB3A926" w14:textId="5A8EFBC1" w:rsidR="00926040" w:rsidRPr="00B772DC" w:rsidRDefault="009E6D29" w:rsidP="00926040">
      <w:pPr>
        <w:rPr>
          <w:rFonts w:cs="Calibri"/>
        </w:rPr>
      </w:pPr>
      <w:r w:rsidRPr="00B772DC">
        <w:t>Rates</w:t>
      </w:r>
      <w:r w:rsidR="00653EFD" w:rsidRPr="00B772DC">
        <w:t xml:space="preserve"> of </w:t>
      </w:r>
      <w:proofErr w:type="gramStart"/>
      <w:r w:rsidR="0011050B" w:rsidRPr="00B772DC">
        <w:t>a nu</w:t>
      </w:r>
      <w:r w:rsidR="001E2FF9" w:rsidRPr="00B772DC">
        <w:t>m</w:t>
      </w:r>
      <w:r w:rsidR="0011050B" w:rsidRPr="00B772DC">
        <w:t>ber of</w:t>
      </w:r>
      <w:proofErr w:type="gramEnd"/>
      <w:r w:rsidR="0011050B" w:rsidRPr="00B772DC">
        <w:t xml:space="preserve"> </w:t>
      </w:r>
      <w:r w:rsidR="00653EFD" w:rsidRPr="00B772DC">
        <w:t xml:space="preserve">VPDs </w:t>
      </w:r>
      <w:r w:rsidRPr="00B772DC">
        <w:t>were</w:t>
      </w:r>
      <w:r w:rsidR="00653EFD" w:rsidRPr="00B772DC">
        <w:t xml:space="preserve"> lower in 202</w:t>
      </w:r>
      <w:r w:rsidR="00840BF6" w:rsidRPr="00B772DC">
        <w:t>1</w:t>
      </w:r>
      <w:r w:rsidR="00C64C82" w:rsidRPr="00B772DC">
        <w:rPr>
          <w:rFonts w:cs="Calibri"/>
        </w:rPr>
        <w:t xml:space="preserve"> </w:t>
      </w:r>
      <w:r w:rsidR="0011050B" w:rsidRPr="00B772DC">
        <w:rPr>
          <w:rFonts w:cs="Calibri"/>
        </w:rPr>
        <w:t>compared with pre-COVID</w:t>
      </w:r>
      <w:r w:rsidR="00272EC5" w:rsidRPr="00B772DC">
        <w:rPr>
          <w:rFonts w:cs="Calibri"/>
        </w:rPr>
        <w:noBreakHyphen/>
      </w:r>
      <w:r w:rsidR="0011050B" w:rsidRPr="00B772DC">
        <w:rPr>
          <w:rFonts w:cs="Calibri"/>
        </w:rPr>
        <w:t>19 pandemic years</w:t>
      </w:r>
      <w:r w:rsidR="00C64C82" w:rsidRPr="00B772DC">
        <w:rPr>
          <w:rFonts w:cs="Calibri"/>
        </w:rPr>
        <w:t xml:space="preserve">. </w:t>
      </w:r>
      <w:r w:rsidR="00C64C82" w:rsidRPr="00B772DC">
        <w:t>M</w:t>
      </w:r>
      <w:r w:rsidR="00653EFD" w:rsidRPr="00B772DC">
        <w:rPr>
          <w:rFonts w:cs="Calibri"/>
        </w:rPr>
        <w:t xml:space="preserve">easures for </w:t>
      </w:r>
      <w:r w:rsidR="00C030D5" w:rsidRPr="00B772DC">
        <w:rPr>
          <w:rFonts w:cs="Calibri"/>
        </w:rPr>
        <w:t xml:space="preserve">preventing the spread of </w:t>
      </w:r>
      <w:r w:rsidR="008F12C1" w:rsidRPr="00B772DC">
        <w:rPr>
          <w:rFonts w:cs="Calibri"/>
        </w:rPr>
        <w:t>COVID</w:t>
      </w:r>
      <w:r w:rsidR="008F12C1" w:rsidRPr="00B772DC">
        <w:rPr>
          <w:rFonts w:cs="Calibri"/>
        </w:rPr>
        <w:noBreakHyphen/>
        <w:t>19</w:t>
      </w:r>
      <w:r w:rsidR="00653EFD" w:rsidRPr="00B772DC">
        <w:rPr>
          <w:rFonts w:cs="Calibri"/>
        </w:rPr>
        <w:t xml:space="preserve"> </w:t>
      </w:r>
      <w:r w:rsidR="00FA3570" w:rsidRPr="00B772DC">
        <w:rPr>
          <w:rFonts w:cs="Calibri"/>
        </w:rPr>
        <w:t>(</w:t>
      </w:r>
      <w:r w:rsidR="00653EFD" w:rsidRPr="00B772DC">
        <w:rPr>
          <w:rFonts w:cs="Calibri"/>
        </w:rPr>
        <w:t xml:space="preserve">such as border closures, physical </w:t>
      </w:r>
      <w:proofErr w:type="gramStart"/>
      <w:r w:rsidR="00653EFD" w:rsidRPr="00B772DC">
        <w:rPr>
          <w:rFonts w:cs="Calibri"/>
        </w:rPr>
        <w:t>distancing</w:t>
      </w:r>
      <w:proofErr w:type="gramEnd"/>
      <w:r w:rsidR="00653EFD" w:rsidRPr="00B772DC">
        <w:rPr>
          <w:rFonts w:cs="Calibri"/>
        </w:rPr>
        <w:t xml:space="preserve"> and hand hygiene</w:t>
      </w:r>
      <w:r w:rsidR="00FA3570" w:rsidRPr="00B772DC">
        <w:rPr>
          <w:rFonts w:cs="Calibri"/>
        </w:rPr>
        <w:t xml:space="preserve">) have likely contributed to </w:t>
      </w:r>
      <w:r w:rsidRPr="00B772DC">
        <w:rPr>
          <w:rFonts w:cs="Calibri"/>
        </w:rPr>
        <w:t>this</w:t>
      </w:r>
      <w:r w:rsidR="00653EFD" w:rsidRPr="00B772DC">
        <w:rPr>
          <w:rFonts w:cs="Calibri"/>
        </w:rPr>
        <w:t>.</w:t>
      </w:r>
      <w:r w:rsidR="0005016F" w:rsidRPr="00B772DC">
        <w:rPr>
          <w:rFonts w:cs="Calibri"/>
        </w:rPr>
        <w:t xml:space="preserve"> Disruption to usual health care systems </w:t>
      </w:r>
      <w:r w:rsidR="007B39D6" w:rsidRPr="00B772DC">
        <w:rPr>
          <w:rFonts w:cs="Calibri"/>
        </w:rPr>
        <w:t>and</w:t>
      </w:r>
      <w:r w:rsidR="0075181B" w:rsidRPr="00B772DC">
        <w:rPr>
          <w:rFonts w:cs="Calibri"/>
        </w:rPr>
        <w:t xml:space="preserve"> practices </w:t>
      </w:r>
      <w:r w:rsidR="0005016F" w:rsidRPr="00B772DC">
        <w:rPr>
          <w:rFonts w:cs="Calibri"/>
        </w:rPr>
        <w:t xml:space="preserve">may have also contributed to </w:t>
      </w:r>
      <w:r w:rsidR="007E7937" w:rsidRPr="00B772DC">
        <w:rPr>
          <w:rFonts w:cs="Calibri"/>
        </w:rPr>
        <w:t>lower</w:t>
      </w:r>
      <w:r w:rsidR="0005016F" w:rsidRPr="00B772DC">
        <w:rPr>
          <w:rFonts w:cs="Calibri"/>
        </w:rPr>
        <w:t xml:space="preserve"> VPD </w:t>
      </w:r>
      <w:r w:rsidR="0011050B" w:rsidRPr="00B772DC">
        <w:rPr>
          <w:rFonts w:cs="Calibri"/>
        </w:rPr>
        <w:t xml:space="preserve">identification and </w:t>
      </w:r>
      <w:r w:rsidR="0005016F" w:rsidRPr="00B772DC">
        <w:rPr>
          <w:rFonts w:cs="Calibri"/>
        </w:rPr>
        <w:t>notifications.</w:t>
      </w:r>
    </w:p>
    <w:p w14:paraId="2DFDAA1A" w14:textId="4A98D67F" w:rsidR="00653EFD" w:rsidRPr="00B772DC" w:rsidRDefault="00653EFD" w:rsidP="00862550">
      <w:pPr>
        <w:pStyle w:val="Heading3"/>
        <w:rPr>
          <w:rFonts w:cs="Calibri"/>
          <w:szCs w:val="22"/>
        </w:rPr>
      </w:pPr>
      <w:r w:rsidRPr="00B772DC">
        <w:rPr>
          <w:rFonts w:cs="Calibri"/>
        </w:rPr>
        <w:t>Influenza</w:t>
      </w:r>
    </w:p>
    <w:p w14:paraId="36DF250E" w14:textId="36971AF9" w:rsidR="00A93394" w:rsidRPr="00B772DC" w:rsidRDefault="00762029" w:rsidP="00BA15CB">
      <w:pPr>
        <w:pStyle w:val="Bullet"/>
      </w:pPr>
      <w:r w:rsidRPr="00B772DC">
        <w:t>Influenza was</w:t>
      </w:r>
      <w:r w:rsidR="00E46144" w:rsidRPr="00B772DC">
        <w:t xml:space="preserve"> extremely</w:t>
      </w:r>
      <w:r w:rsidRPr="00B772DC">
        <w:t xml:space="preserve"> uncommon in 2021. </w:t>
      </w:r>
      <w:r w:rsidR="00A93394" w:rsidRPr="00B772DC">
        <w:t>N</w:t>
      </w:r>
      <w:r w:rsidR="00A93394" w:rsidRPr="00B772DC">
        <w:rPr>
          <w:szCs w:val="22"/>
        </w:rPr>
        <w:t xml:space="preserve">otification rates were </w:t>
      </w:r>
      <w:r w:rsidR="00A93394" w:rsidRPr="00B772DC">
        <w:rPr>
          <w:bCs/>
          <w:szCs w:val="22"/>
        </w:rPr>
        <w:t>97% lower than the same period in 2020</w:t>
      </w:r>
      <w:r w:rsidR="00CF33B7" w:rsidRPr="00B772DC">
        <w:rPr>
          <w:bCs/>
          <w:szCs w:val="22"/>
        </w:rPr>
        <w:t>,</w:t>
      </w:r>
      <w:r w:rsidR="00A93394" w:rsidRPr="00B772DC">
        <w:rPr>
          <w:bCs/>
          <w:szCs w:val="22"/>
        </w:rPr>
        <w:t xml:space="preserve"> and </w:t>
      </w:r>
      <w:r w:rsidR="00B02A5E" w:rsidRPr="00B772DC">
        <w:rPr>
          <w:bCs/>
          <w:szCs w:val="22"/>
        </w:rPr>
        <w:t>99</w:t>
      </w:r>
      <w:r w:rsidR="00A93394" w:rsidRPr="00B772DC">
        <w:rPr>
          <w:bCs/>
          <w:szCs w:val="22"/>
        </w:rPr>
        <w:t>% lower than the 5</w:t>
      </w:r>
      <w:r w:rsidR="00272EC5" w:rsidRPr="00B772DC">
        <w:rPr>
          <w:bCs/>
          <w:szCs w:val="22"/>
        </w:rPr>
        <w:noBreakHyphen/>
      </w:r>
      <w:r w:rsidR="00A93394" w:rsidRPr="00B772DC">
        <w:rPr>
          <w:bCs/>
          <w:szCs w:val="22"/>
        </w:rPr>
        <w:t>year mean for the same period.</w:t>
      </w:r>
      <w:r w:rsidR="00A93394" w:rsidRPr="00B772DC">
        <w:t xml:space="preserve"> There was no notable increase in cases during the usual peak winter season.</w:t>
      </w:r>
    </w:p>
    <w:p w14:paraId="0809CD8A" w14:textId="5E865A49" w:rsidR="00762029" w:rsidRPr="00B772DC" w:rsidRDefault="00A93394" w:rsidP="00BA15CB">
      <w:pPr>
        <w:pStyle w:val="Bullet"/>
      </w:pPr>
      <w:r w:rsidRPr="00B772DC">
        <w:lastRenderedPageBreak/>
        <w:t>Low notifications</w:t>
      </w:r>
      <w:r w:rsidR="00762029" w:rsidRPr="00B772DC">
        <w:t xml:space="preserve"> made it difficult to assess the effectiveness of influenza vaccines</w:t>
      </w:r>
      <w:r w:rsidR="00BF4EC4" w:rsidRPr="00B772DC">
        <w:t>. Th</w:t>
      </w:r>
      <w:r w:rsidR="000352AD" w:rsidRPr="00B772DC">
        <w:t>is</w:t>
      </w:r>
      <w:r w:rsidR="00E46144" w:rsidRPr="00B772DC">
        <w:t xml:space="preserve"> will be closely monitored as international bo</w:t>
      </w:r>
      <w:r w:rsidR="000352AD" w:rsidRPr="00B772DC">
        <w:t>r</w:t>
      </w:r>
      <w:r w:rsidR="00E46144" w:rsidRPr="00B772DC">
        <w:t>ders open</w:t>
      </w:r>
      <w:r w:rsidR="000352AD" w:rsidRPr="00B772DC">
        <w:t>.</w:t>
      </w:r>
    </w:p>
    <w:p w14:paraId="50A67239" w14:textId="455F7D98" w:rsidR="00D405A8" w:rsidRPr="00B772DC" w:rsidRDefault="00D405A8" w:rsidP="00371C6C">
      <w:pPr>
        <w:pStyle w:val="BulletLast"/>
      </w:pPr>
      <w:r w:rsidRPr="00B772DC">
        <w:t xml:space="preserve">More details are in the </w:t>
      </w:r>
      <w:hyperlink r:id="rId39" w:anchor="current" w:history="1">
        <w:r w:rsidRPr="00B772DC">
          <w:rPr>
            <w:rStyle w:val="Hyperlink"/>
            <w:rFonts w:cs="Calibri"/>
            <w:szCs w:val="22"/>
          </w:rPr>
          <w:t>national 202</w:t>
        </w:r>
        <w:r w:rsidR="00AF4F8F" w:rsidRPr="00B772DC">
          <w:rPr>
            <w:rStyle w:val="Hyperlink"/>
            <w:rFonts w:cs="Calibri"/>
            <w:szCs w:val="22"/>
          </w:rPr>
          <w:t>1</w:t>
        </w:r>
        <w:r w:rsidRPr="00B772DC">
          <w:rPr>
            <w:rStyle w:val="Hyperlink"/>
            <w:rFonts w:cs="Calibri"/>
            <w:szCs w:val="22"/>
          </w:rPr>
          <w:t xml:space="preserve"> influenza season summary</w:t>
        </w:r>
      </w:hyperlink>
      <w:r w:rsidR="008D388B" w:rsidRPr="00B772DC">
        <w:t>.</w:t>
      </w:r>
    </w:p>
    <w:p w14:paraId="75B150DD" w14:textId="15B67E6B" w:rsidR="00FA3570" w:rsidRPr="00B772DC" w:rsidRDefault="00FA3570" w:rsidP="00862550">
      <w:pPr>
        <w:pStyle w:val="Heading3"/>
        <w:rPr>
          <w:rFonts w:cs="Calibri"/>
          <w:szCs w:val="22"/>
        </w:rPr>
      </w:pPr>
      <w:r w:rsidRPr="00B772DC">
        <w:rPr>
          <w:rFonts w:cs="Calibri"/>
          <w:szCs w:val="22"/>
        </w:rPr>
        <w:t>Measles</w:t>
      </w:r>
    </w:p>
    <w:p w14:paraId="03A550E3" w14:textId="374EC683" w:rsidR="00D405A8" w:rsidRPr="00B772DC" w:rsidRDefault="00A93394" w:rsidP="00BA15CB">
      <w:pPr>
        <w:pStyle w:val="Bullet"/>
      </w:pPr>
      <w:r w:rsidRPr="00B772DC">
        <w:t xml:space="preserve">No cases of measles have been </w:t>
      </w:r>
      <w:r w:rsidR="00A94905" w:rsidRPr="00B772DC">
        <w:t>notified since March 2020.</w:t>
      </w:r>
    </w:p>
    <w:p w14:paraId="76304344" w14:textId="7D390B83" w:rsidR="004D270B" w:rsidRPr="00B772DC" w:rsidRDefault="00BF46A8" w:rsidP="00BF46A8">
      <w:pPr>
        <w:pStyle w:val="Bullet"/>
      </w:pPr>
      <w:r w:rsidRPr="00BF46A8">
        <w:t>Measles has been eliminated in Australia. This means that cases of measles in Australia have been either acquired overseas or linked to overseas travel, and there is no ongoing transmission. Elimination is the result of high vaccination coverage leading to high levels of immunity in the community, as well as our well-performing surveillance and response systems</w:t>
      </w:r>
      <w:r w:rsidR="00D405A8" w:rsidRPr="00B772DC">
        <w:t>.</w:t>
      </w:r>
    </w:p>
    <w:p w14:paraId="1C271B63" w14:textId="530F8701" w:rsidR="00D405A8" w:rsidRPr="00B772DC" w:rsidRDefault="00D405A8" w:rsidP="00371C6C">
      <w:pPr>
        <w:pStyle w:val="BulletLast"/>
      </w:pPr>
      <w:r w:rsidRPr="00B772DC">
        <w:t xml:space="preserve">The decrease in cases is the result of </w:t>
      </w:r>
      <w:r w:rsidR="00603733" w:rsidRPr="00B772DC">
        <w:t xml:space="preserve">international </w:t>
      </w:r>
      <w:r w:rsidRPr="00B772DC">
        <w:t xml:space="preserve">border </w:t>
      </w:r>
      <w:r w:rsidR="00603733" w:rsidRPr="00B772DC">
        <w:t>restrictions</w:t>
      </w:r>
      <w:r w:rsidRPr="00B772DC">
        <w:t xml:space="preserve"> from March 2020</w:t>
      </w:r>
      <w:r w:rsidR="00D24DC7" w:rsidRPr="00B772DC">
        <w:t>.</w:t>
      </w:r>
      <w:r w:rsidR="004D270B" w:rsidRPr="00B772DC">
        <w:t xml:space="preserve"> As international borders open, </w:t>
      </w:r>
      <w:r w:rsidR="004A03F2" w:rsidRPr="00B772DC">
        <w:t xml:space="preserve">there is potential for measles cases to be brought </w:t>
      </w:r>
      <w:proofErr w:type="gramStart"/>
      <w:r w:rsidR="004A03F2" w:rsidRPr="00B772DC">
        <w:t>in to</w:t>
      </w:r>
      <w:proofErr w:type="gramEnd"/>
      <w:r w:rsidR="004A03F2" w:rsidRPr="00B772DC">
        <w:t xml:space="preserve"> Australia.</w:t>
      </w:r>
    </w:p>
    <w:p w14:paraId="4FC111C6" w14:textId="151C8B31" w:rsidR="009E4445" w:rsidRPr="00B772DC" w:rsidRDefault="009E4445" w:rsidP="00862550">
      <w:pPr>
        <w:pStyle w:val="Heading3"/>
        <w:rPr>
          <w:rFonts w:cs="Calibri"/>
          <w:szCs w:val="22"/>
        </w:rPr>
      </w:pPr>
      <w:r w:rsidRPr="00B772DC">
        <w:rPr>
          <w:rFonts w:cs="Calibri"/>
          <w:szCs w:val="22"/>
        </w:rPr>
        <w:t>Meningococcal disease</w:t>
      </w:r>
    </w:p>
    <w:p w14:paraId="08D2E961" w14:textId="6A8F2D73" w:rsidR="00D405A8" w:rsidRPr="00B772DC" w:rsidRDefault="00A3518C" w:rsidP="00BA15CB">
      <w:pPr>
        <w:pStyle w:val="Bullet"/>
      </w:pPr>
      <w:r w:rsidRPr="00B772DC">
        <w:t>76</w:t>
      </w:r>
      <w:r w:rsidR="00DC3FD9" w:rsidRPr="00B772DC">
        <w:t xml:space="preserve"> </w:t>
      </w:r>
      <w:r w:rsidR="00D405A8" w:rsidRPr="00B772DC">
        <w:t xml:space="preserve">notifications of invasive meningococcal disease </w:t>
      </w:r>
      <w:r w:rsidR="004A03F2" w:rsidRPr="00B772DC">
        <w:t>were</w:t>
      </w:r>
      <w:r w:rsidR="004650E8" w:rsidRPr="00B772DC">
        <w:t xml:space="preserve"> reported </w:t>
      </w:r>
      <w:r w:rsidR="00352039" w:rsidRPr="00B772DC">
        <w:t xml:space="preserve">in </w:t>
      </w:r>
      <w:r w:rsidR="00F73C0C" w:rsidRPr="00B772DC">
        <w:t>2021</w:t>
      </w:r>
      <w:r w:rsidR="004A03F2" w:rsidRPr="00B772DC">
        <w:t xml:space="preserve"> –</w:t>
      </w:r>
      <w:r w:rsidR="007A39FF" w:rsidRPr="00B772DC">
        <w:t xml:space="preserve"> this was </w:t>
      </w:r>
      <w:r w:rsidRPr="00B772DC">
        <w:t>16</w:t>
      </w:r>
      <w:r w:rsidR="00DC3FD9" w:rsidRPr="00B772DC">
        <w:t xml:space="preserve">% </w:t>
      </w:r>
      <w:r w:rsidR="00D405A8" w:rsidRPr="00B772DC">
        <w:t xml:space="preserve">lower </w:t>
      </w:r>
      <w:r w:rsidR="004A03F2" w:rsidRPr="00B772DC">
        <w:t>than</w:t>
      </w:r>
      <w:r w:rsidR="00DC3FD9" w:rsidRPr="00B772DC">
        <w:t xml:space="preserve"> the same </w:t>
      </w:r>
      <w:r w:rsidR="00E40769" w:rsidRPr="00B772DC">
        <w:t>period in</w:t>
      </w:r>
      <w:r w:rsidR="00D405A8" w:rsidRPr="00B772DC">
        <w:t xml:space="preserve"> 20</w:t>
      </w:r>
      <w:r w:rsidR="00F73C0C" w:rsidRPr="00B772DC">
        <w:t>20</w:t>
      </w:r>
      <w:r w:rsidR="007A39FF" w:rsidRPr="00B772DC">
        <w:t>,</w:t>
      </w:r>
      <w:r w:rsidR="00D405A8" w:rsidRPr="00B772DC">
        <w:t xml:space="preserve"> and </w:t>
      </w:r>
      <w:r w:rsidRPr="00B772DC">
        <w:t>69</w:t>
      </w:r>
      <w:r w:rsidR="00DC3FD9" w:rsidRPr="00B772DC">
        <w:t xml:space="preserve">% </w:t>
      </w:r>
      <w:r w:rsidR="00D405A8" w:rsidRPr="00B772DC">
        <w:t>lower than the 5</w:t>
      </w:r>
      <w:r w:rsidR="00272EC5" w:rsidRPr="00B772DC">
        <w:noBreakHyphen/>
      </w:r>
      <w:r w:rsidR="00D405A8" w:rsidRPr="00B772DC">
        <w:t>year mean</w:t>
      </w:r>
      <w:r w:rsidR="00D24DC7" w:rsidRPr="00B772DC">
        <w:t>.</w:t>
      </w:r>
    </w:p>
    <w:p w14:paraId="7450993F" w14:textId="22079E20" w:rsidR="00A674B9" w:rsidRPr="00B772DC" w:rsidRDefault="00A94905" w:rsidP="00537371">
      <w:pPr>
        <w:pStyle w:val="BulletLast"/>
        <w:rPr>
          <w:i/>
        </w:rPr>
      </w:pPr>
      <w:r w:rsidRPr="00B772DC">
        <w:t xml:space="preserve">Of the </w:t>
      </w:r>
      <w:r w:rsidR="00B02A5E" w:rsidRPr="00B772DC">
        <w:t>61</w:t>
      </w:r>
      <w:r w:rsidRPr="00B772DC">
        <w:t xml:space="preserve"> cases where serogroup information was available, the most common serogroup in 2021 was serogroup B (</w:t>
      </w:r>
      <w:r w:rsidR="00B02A5E" w:rsidRPr="00B772DC">
        <w:t>3</w:t>
      </w:r>
      <w:r w:rsidRPr="00B772DC">
        <w:t>5 cases)</w:t>
      </w:r>
      <w:r w:rsidR="007A39FF" w:rsidRPr="00B772DC">
        <w:t>,</w:t>
      </w:r>
      <w:r w:rsidRPr="00B772DC">
        <w:t xml:space="preserve"> followed by serogroup W </w:t>
      </w:r>
      <w:r w:rsidR="00352039" w:rsidRPr="00B772DC">
        <w:t xml:space="preserve">(14 cases) </w:t>
      </w:r>
      <w:r w:rsidRPr="00B772DC">
        <w:t xml:space="preserve">and </w:t>
      </w:r>
      <w:r w:rsidR="00352039" w:rsidRPr="00B772DC">
        <w:t xml:space="preserve">serogroup </w:t>
      </w:r>
      <w:r w:rsidRPr="00B772DC">
        <w:t>Y (</w:t>
      </w:r>
      <w:r w:rsidR="00B02A5E" w:rsidRPr="00B772DC">
        <w:t>12</w:t>
      </w:r>
      <w:r w:rsidRPr="00B772DC">
        <w:t xml:space="preserve"> cases). </w:t>
      </w:r>
      <w:r w:rsidR="00C030D5" w:rsidRPr="00B772DC">
        <w:t>Serogroup B and serogroups A,</w:t>
      </w:r>
      <w:r w:rsidR="00352039" w:rsidRPr="00B772DC">
        <w:t xml:space="preserve"> </w:t>
      </w:r>
      <w:r w:rsidR="00C030D5" w:rsidRPr="00B772DC">
        <w:t>C,</w:t>
      </w:r>
      <w:r w:rsidR="00352039" w:rsidRPr="00B772DC">
        <w:t xml:space="preserve"> </w:t>
      </w:r>
      <w:r w:rsidR="00C030D5" w:rsidRPr="00B772DC">
        <w:t>W and Y are preventable by different vaccines.</w:t>
      </w:r>
    </w:p>
    <w:p w14:paraId="17B96582" w14:textId="474E68DA" w:rsidR="009E4445" w:rsidRPr="00B772DC" w:rsidRDefault="009E4445" w:rsidP="00862550">
      <w:pPr>
        <w:pStyle w:val="Heading3"/>
      </w:pPr>
      <w:r w:rsidRPr="00B772DC">
        <w:t>Pertussis</w:t>
      </w:r>
    </w:p>
    <w:p w14:paraId="0229538C" w14:textId="65ACB45E" w:rsidR="00D405A8" w:rsidRPr="00B772DC" w:rsidRDefault="006D2E9F" w:rsidP="00537371">
      <w:pPr>
        <w:pStyle w:val="BulletLast"/>
      </w:pPr>
      <w:r w:rsidRPr="00B772DC">
        <w:t xml:space="preserve">Pertussis notifications were </w:t>
      </w:r>
      <w:r w:rsidR="00B02A5E" w:rsidRPr="00B772DC">
        <w:t>84</w:t>
      </w:r>
      <w:r w:rsidRPr="00B772DC">
        <w:t xml:space="preserve">% lower </w:t>
      </w:r>
      <w:r w:rsidR="00D405A8" w:rsidRPr="00B772DC">
        <w:t>in 202</w:t>
      </w:r>
      <w:r w:rsidR="00E5757C" w:rsidRPr="00B772DC">
        <w:t>1</w:t>
      </w:r>
      <w:r w:rsidR="00D405A8" w:rsidRPr="00B772DC">
        <w:t xml:space="preserve"> compared with </w:t>
      </w:r>
      <w:r w:rsidR="006D2265" w:rsidRPr="00B772DC">
        <w:t xml:space="preserve">the same period in </w:t>
      </w:r>
      <w:r w:rsidR="00D405A8" w:rsidRPr="00B772DC">
        <w:t>20</w:t>
      </w:r>
      <w:r w:rsidR="00E5757C" w:rsidRPr="00B772DC">
        <w:t>20</w:t>
      </w:r>
      <w:r w:rsidR="006D2265" w:rsidRPr="00B772DC">
        <w:t>,</w:t>
      </w:r>
      <w:r w:rsidR="00E5757C" w:rsidRPr="00B772DC">
        <w:t xml:space="preserve"> </w:t>
      </w:r>
      <w:r w:rsidR="00E5757C" w:rsidRPr="00B772DC">
        <w:rPr>
          <w:rFonts w:cs="Arial"/>
        </w:rPr>
        <w:t>and 9</w:t>
      </w:r>
      <w:r w:rsidR="006D2265" w:rsidRPr="00B772DC">
        <w:rPr>
          <w:rFonts w:cs="Arial"/>
        </w:rPr>
        <w:t>5</w:t>
      </w:r>
      <w:r w:rsidR="00E5757C" w:rsidRPr="00B772DC">
        <w:rPr>
          <w:rFonts w:cs="Arial"/>
        </w:rPr>
        <w:t xml:space="preserve">% </w:t>
      </w:r>
      <w:r w:rsidRPr="00B772DC">
        <w:rPr>
          <w:rFonts w:cs="Arial"/>
        </w:rPr>
        <w:t>lower than</w:t>
      </w:r>
      <w:r w:rsidR="00E5757C" w:rsidRPr="00B772DC">
        <w:rPr>
          <w:rFonts w:cs="Arial"/>
        </w:rPr>
        <w:t xml:space="preserve"> the 5</w:t>
      </w:r>
      <w:r w:rsidR="00272EC5" w:rsidRPr="00B772DC">
        <w:rPr>
          <w:rFonts w:cs="Arial"/>
        </w:rPr>
        <w:noBreakHyphen/>
      </w:r>
      <w:r w:rsidR="00E5757C" w:rsidRPr="00B772DC">
        <w:rPr>
          <w:rFonts w:cs="Arial"/>
        </w:rPr>
        <w:t>year mean</w:t>
      </w:r>
      <w:r w:rsidR="007844E4" w:rsidRPr="00B772DC">
        <w:rPr>
          <w:rFonts w:cs="Arial"/>
        </w:rPr>
        <w:t>.</w:t>
      </w:r>
    </w:p>
    <w:p w14:paraId="6864D3AC" w14:textId="3697D0F3" w:rsidR="00E5757C" w:rsidRPr="00B772DC" w:rsidRDefault="00E5757C" w:rsidP="00E5757C">
      <w:pPr>
        <w:pStyle w:val="Heading3"/>
      </w:pPr>
      <w:bookmarkStart w:id="14" w:name="_Hlk88045571"/>
      <w:bookmarkStart w:id="15" w:name="_Toc72165383"/>
      <w:r w:rsidRPr="00B772DC">
        <w:t>Pneumococcal disease</w:t>
      </w:r>
    </w:p>
    <w:bookmarkEnd w:id="14"/>
    <w:p w14:paraId="0D8C0ADF" w14:textId="7492A04E" w:rsidR="00E5757C" w:rsidRPr="00B772DC" w:rsidRDefault="006D2E9F" w:rsidP="00BA15CB">
      <w:pPr>
        <w:pStyle w:val="Bullet"/>
      </w:pPr>
      <w:r w:rsidRPr="00B772DC">
        <w:t>N</w:t>
      </w:r>
      <w:r w:rsidR="00E5757C" w:rsidRPr="00B772DC">
        <w:t>otifications of invasive pneumococcal disease</w:t>
      </w:r>
      <w:r w:rsidR="003E056E" w:rsidRPr="00B772DC">
        <w:t xml:space="preserve"> </w:t>
      </w:r>
      <w:r w:rsidRPr="00B772DC">
        <w:t>were 2</w:t>
      </w:r>
      <w:r w:rsidR="00B02A5E" w:rsidRPr="00B772DC">
        <w:t>1</w:t>
      </w:r>
      <w:r w:rsidRPr="00B772DC">
        <w:t xml:space="preserve">% </w:t>
      </w:r>
      <w:r w:rsidR="00D33BA4" w:rsidRPr="00B772DC">
        <w:t>higher</w:t>
      </w:r>
      <w:r w:rsidRPr="00B772DC">
        <w:t xml:space="preserve"> </w:t>
      </w:r>
      <w:r w:rsidR="007A39FF" w:rsidRPr="00B772DC">
        <w:t>than</w:t>
      </w:r>
      <w:r w:rsidR="00E5757C" w:rsidRPr="00B772DC">
        <w:t xml:space="preserve"> </w:t>
      </w:r>
      <w:r w:rsidR="006D2265" w:rsidRPr="00B772DC">
        <w:t xml:space="preserve">the same period in </w:t>
      </w:r>
      <w:r w:rsidR="00E5757C" w:rsidRPr="00B772DC">
        <w:t>2020</w:t>
      </w:r>
      <w:r w:rsidR="006D2265" w:rsidRPr="00B772DC">
        <w:t>,</w:t>
      </w:r>
      <w:r w:rsidR="00E5757C" w:rsidRPr="00B772DC">
        <w:t xml:space="preserve"> </w:t>
      </w:r>
      <w:r w:rsidR="00D33BA4" w:rsidRPr="00B772DC">
        <w:t>but</w:t>
      </w:r>
      <w:r w:rsidR="00E5757C" w:rsidRPr="00B772DC">
        <w:t xml:space="preserve"> 2</w:t>
      </w:r>
      <w:r w:rsidR="00B02A5E" w:rsidRPr="00B772DC">
        <w:t>5</w:t>
      </w:r>
      <w:r w:rsidR="00E5757C" w:rsidRPr="00B772DC">
        <w:t xml:space="preserve">% lower </w:t>
      </w:r>
      <w:r w:rsidRPr="00B772DC">
        <w:t>than</w:t>
      </w:r>
      <w:r w:rsidR="006D2265" w:rsidRPr="00B772DC">
        <w:t xml:space="preserve"> </w:t>
      </w:r>
      <w:r w:rsidR="00E5757C" w:rsidRPr="00B772DC">
        <w:t>the 5</w:t>
      </w:r>
      <w:r w:rsidR="00272EC5" w:rsidRPr="00B772DC">
        <w:noBreakHyphen/>
      </w:r>
      <w:r w:rsidR="00E5757C" w:rsidRPr="00B772DC">
        <w:t>year mean.</w:t>
      </w:r>
    </w:p>
    <w:p w14:paraId="3AB0A937" w14:textId="0CEF8BE1" w:rsidR="00F76AC8" w:rsidRPr="00B772DC" w:rsidRDefault="006D2E9F" w:rsidP="00BA15CB">
      <w:pPr>
        <w:pStyle w:val="Bullet"/>
      </w:pPr>
      <w:r w:rsidRPr="00B772DC">
        <w:t>Most cases were in</w:t>
      </w:r>
      <w:r w:rsidR="006D2265" w:rsidRPr="00B772DC">
        <w:t xml:space="preserve"> children under </w:t>
      </w:r>
      <w:r w:rsidRPr="00B772DC">
        <w:t>5 </w:t>
      </w:r>
      <w:r w:rsidR="006D2265" w:rsidRPr="00B772DC">
        <w:t>years of age and adults aged 65</w:t>
      </w:r>
      <w:r w:rsidR="004A426A" w:rsidRPr="00B772DC">
        <w:t> </w:t>
      </w:r>
      <w:r w:rsidR="006D2265" w:rsidRPr="00B772DC">
        <w:t>years and older.</w:t>
      </w:r>
    </w:p>
    <w:p w14:paraId="055AE4ED" w14:textId="41FDCC89" w:rsidR="002D3F49" w:rsidRPr="00B772DC" w:rsidRDefault="002E5502" w:rsidP="00537371">
      <w:pPr>
        <w:pStyle w:val="BulletLast"/>
      </w:pPr>
      <w:r w:rsidRPr="00B772DC">
        <w:t xml:space="preserve">Serotype information was available for 80% of notified cases. The </w:t>
      </w:r>
      <w:r w:rsidR="007A39FF" w:rsidRPr="00B772DC">
        <w:t xml:space="preserve">2 </w:t>
      </w:r>
      <w:r w:rsidRPr="00B772DC">
        <w:t xml:space="preserve">most frequently reported serotypes were serotype 3 (10.3%) and serotype 19F (7.4%). These serotypes are </w:t>
      </w:r>
      <w:r w:rsidR="005253A1" w:rsidRPr="00B772DC">
        <w:t>covered by</w:t>
      </w:r>
      <w:r w:rsidRPr="00B772DC">
        <w:t xml:space="preserve"> the </w:t>
      </w:r>
      <w:r w:rsidR="005253A1" w:rsidRPr="00B772DC">
        <w:t xml:space="preserve">available </w:t>
      </w:r>
      <w:r w:rsidRPr="00B772DC">
        <w:t>pneumococcal vaccines</w:t>
      </w:r>
      <w:r w:rsidR="008909C3" w:rsidRPr="00B772DC">
        <w:t>. Some of these cases were vaccine failures</w:t>
      </w:r>
      <w:r w:rsidR="005253A1" w:rsidRPr="00B772DC">
        <w:t>, and this issue will continue to be</w:t>
      </w:r>
      <w:r w:rsidR="008909C3" w:rsidRPr="00B772DC">
        <w:t xml:space="preserve"> monitored</w:t>
      </w:r>
      <w:r w:rsidRPr="00B772DC">
        <w:t>.</w:t>
      </w:r>
    </w:p>
    <w:p w14:paraId="6D7CE68C" w14:textId="38AD5C97" w:rsidR="00D405A8" w:rsidRPr="00B772DC" w:rsidRDefault="00D405A8" w:rsidP="00D405A8">
      <w:pPr>
        <w:pStyle w:val="Heading2"/>
      </w:pPr>
      <w:bookmarkStart w:id="16" w:name="_Toc124411472"/>
      <w:r w:rsidRPr="00B772DC">
        <w:t>National immunisation policy and practice</w:t>
      </w:r>
      <w:bookmarkEnd w:id="15"/>
      <w:bookmarkEnd w:id="16"/>
    </w:p>
    <w:p w14:paraId="5373A6BF" w14:textId="61491707" w:rsidR="00B96A42" w:rsidRPr="00B772DC" w:rsidRDefault="002C1D39" w:rsidP="00344809">
      <w:pPr>
        <w:pStyle w:val="Heading3"/>
        <w:rPr>
          <w:color w:val="auto"/>
        </w:rPr>
      </w:pPr>
      <w:r w:rsidRPr="00B772DC">
        <w:rPr>
          <w:color w:val="auto"/>
        </w:rPr>
        <w:t>H</w:t>
      </w:r>
      <w:r w:rsidR="005F4792" w:rsidRPr="00B772DC">
        <w:rPr>
          <w:color w:val="auto"/>
        </w:rPr>
        <w:t>uman papillomavirus</w:t>
      </w:r>
      <w:r w:rsidRPr="00B772DC">
        <w:rPr>
          <w:color w:val="auto"/>
        </w:rPr>
        <w:t xml:space="preserve"> vaccination program</w:t>
      </w:r>
    </w:p>
    <w:p w14:paraId="6F0352B7" w14:textId="4EC49462" w:rsidR="00D33BA4" w:rsidRPr="00B772DC" w:rsidRDefault="00D33BA4" w:rsidP="00D33BA4">
      <w:r w:rsidRPr="00B772DC">
        <w:t>Australia has been a world leader in research and evaluation of</w:t>
      </w:r>
      <w:r w:rsidR="00706D7B" w:rsidRPr="00B772DC">
        <w:t xml:space="preserve"> </w:t>
      </w:r>
      <w:r w:rsidR="00FB12C4" w:rsidRPr="00B772DC">
        <w:t xml:space="preserve">the </w:t>
      </w:r>
      <w:r w:rsidR="003275FA" w:rsidRPr="00B772DC">
        <w:t>human papillomavirus (</w:t>
      </w:r>
      <w:r w:rsidR="00706D7B" w:rsidRPr="00B772DC">
        <w:t>HPV</w:t>
      </w:r>
      <w:r w:rsidR="003275FA" w:rsidRPr="00B772DC">
        <w:t>)</w:t>
      </w:r>
      <w:r w:rsidR="00706D7B" w:rsidRPr="00B772DC">
        <w:t xml:space="preserve"> vaccine. This vaccine is given to adolescents th</w:t>
      </w:r>
      <w:r w:rsidR="005253A1" w:rsidRPr="00B772DC">
        <w:t>r</w:t>
      </w:r>
      <w:r w:rsidR="00706D7B" w:rsidRPr="00B772DC">
        <w:t>ough the NIP to prevent cervical cancer and some other cancers.</w:t>
      </w:r>
    </w:p>
    <w:p w14:paraId="4C3D3F7E" w14:textId="2ED32168" w:rsidR="00706D7B" w:rsidRPr="00B772DC" w:rsidRDefault="00706D7B" w:rsidP="00706D7B">
      <w:pPr>
        <w:pStyle w:val="NormalBeforeBullet"/>
      </w:pPr>
      <w:r w:rsidRPr="00B772DC">
        <w:t xml:space="preserve">An evaluation of the </w:t>
      </w:r>
      <w:hyperlink r:id="rId40" w:history="1">
        <w:r w:rsidRPr="00B772DC">
          <w:rPr>
            <w:rStyle w:val="Hyperlink"/>
          </w:rPr>
          <w:t>impact of the national HPV vaccination program</w:t>
        </w:r>
      </w:hyperlink>
      <w:r w:rsidRPr="00B772DC">
        <w:t xml:space="preserve"> </w:t>
      </w:r>
      <w:r w:rsidR="00D50CA4" w:rsidRPr="00B772DC">
        <w:t xml:space="preserve">in 2021 </w:t>
      </w:r>
      <w:r w:rsidRPr="00B772DC">
        <w:t>found that:</w:t>
      </w:r>
    </w:p>
    <w:p w14:paraId="35C82BDC" w14:textId="5A745BAE" w:rsidR="00706D7B" w:rsidRPr="00B772DC" w:rsidRDefault="00706D7B" w:rsidP="00BA15CB">
      <w:pPr>
        <w:pStyle w:val="Bullet"/>
      </w:pPr>
      <w:r w:rsidRPr="00B772DC">
        <w:t>vaccination coverage is high</w:t>
      </w:r>
    </w:p>
    <w:p w14:paraId="44E7E26B" w14:textId="037F58BB" w:rsidR="00380B30" w:rsidRPr="00B772DC" w:rsidRDefault="00380B30" w:rsidP="00BA15CB">
      <w:pPr>
        <w:pStyle w:val="Bullet"/>
      </w:pPr>
      <w:r w:rsidRPr="00B772DC">
        <w:t>adverse events are mainly mild and transient</w:t>
      </w:r>
      <w:r w:rsidR="00057BA7" w:rsidRPr="00B772DC">
        <w:t xml:space="preserve"> (temporary)</w:t>
      </w:r>
    </w:p>
    <w:p w14:paraId="3CEE039E" w14:textId="331B3B1C" w:rsidR="00706D7B" w:rsidRPr="00B772DC" w:rsidRDefault="00057BA7" w:rsidP="00537371">
      <w:pPr>
        <w:pStyle w:val="BulletLast"/>
      </w:pPr>
      <w:r w:rsidRPr="00B772DC">
        <w:lastRenderedPageBreak/>
        <w:t xml:space="preserve">the burden of HPV-related disease </w:t>
      </w:r>
      <w:r w:rsidR="00706D7B" w:rsidRPr="00B772DC">
        <w:t>has substantial</w:t>
      </w:r>
      <w:r w:rsidRPr="00B772DC">
        <w:t>ly</w:t>
      </w:r>
      <w:r w:rsidR="00706D7B" w:rsidRPr="00B772DC">
        <w:t xml:space="preserve"> reduc</w:t>
      </w:r>
      <w:r w:rsidRPr="00B772DC">
        <w:t>ed</w:t>
      </w:r>
      <w:r w:rsidR="00706D7B" w:rsidRPr="00B772DC">
        <w:t xml:space="preserve"> since the vaccine was introduced in Australia in 2007</w:t>
      </w:r>
      <w:r w:rsidR="00380B30" w:rsidRPr="00B772DC">
        <w:t>.</w:t>
      </w:r>
    </w:p>
    <w:p w14:paraId="0CE17860" w14:textId="048BF337" w:rsidR="00706D7B" w:rsidRPr="00B772DC" w:rsidRDefault="00AB5906" w:rsidP="0035202E">
      <w:r w:rsidRPr="00B772DC">
        <w:rPr>
          <w:rFonts w:cs="Calibri"/>
          <w:szCs w:val="22"/>
        </w:rPr>
        <w:t>For First Nations adolescents, t</w:t>
      </w:r>
      <w:r w:rsidR="00706D7B" w:rsidRPr="00B772DC">
        <w:rPr>
          <w:rFonts w:cs="Calibri"/>
          <w:szCs w:val="22"/>
        </w:rPr>
        <w:t xml:space="preserve">he </w:t>
      </w:r>
      <w:hyperlink r:id="rId41" w:history="1">
        <w:r w:rsidR="00706D7B" w:rsidRPr="00B772DC">
          <w:rPr>
            <w:rStyle w:val="Hyperlink"/>
            <w:rFonts w:cs="Calibri"/>
            <w:szCs w:val="22"/>
          </w:rPr>
          <w:t>2021 Cervical Cancer Elimination Progress Report</w:t>
        </w:r>
      </w:hyperlink>
      <w:r w:rsidR="00706D7B" w:rsidRPr="00B772DC">
        <w:rPr>
          <w:rFonts w:cs="Calibri"/>
          <w:szCs w:val="22"/>
        </w:rPr>
        <w:t xml:space="preserve"> </w:t>
      </w:r>
      <w:r w:rsidRPr="00B772DC">
        <w:rPr>
          <w:rFonts w:cs="Calibri"/>
          <w:szCs w:val="22"/>
        </w:rPr>
        <w:t xml:space="preserve">found that 84% of adolescents had their first dose of HPV vaccine, but only 68.5% </w:t>
      </w:r>
      <w:r w:rsidR="00471DB9" w:rsidRPr="00B772DC">
        <w:rPr>
          <w:rFonts w:cs="Calibri"/>
          <w:szCs w:val="22"/>
        </w:rPr>
        <w:t xml:space="preserve">had </w:t>
      </w:r>
      <w:r w:rsidRPr="00B772DC">
        <w:rPr>
          <w:rFonts w:cs="Calibri"/>
          <w:szCs w:val="22"/>
        </w:rPr>
        <w:t>completed the 2</w:t>
      </w:r>
      <w:r w:rsidR="00272EC5" w:rsidRPr="00B772DC">
        <w:rPr>
          <w:rFonts w:cs="Calibri"/>
          <w:szCs w:val="22"/>
        </w:rPr>
        <w:noBreakHyphen/>
      </w:r>
      <w:r w:rsidRPr="00B772DC">
        <w:rPr>
          <w:rFonts w:cs="Calibri"/>
          <w:szCs w:val="22"/>
        </w:rPr>
        <w:t xml:space="preserve">dose course. To help improve the completion rate, </w:t>
      </w:r>
      <w:hyperlink r:id="rId42" w:history="1">
        <w:r w:rsidR="00D6312D" w:rsidRPr="00B772DC">
          <w:rPr>
            <w:rStyle w:val="Hyperlink"/>
            <w:rFonts w:cs="Calibri"/>
            <w:szCs w:val="22"/>
          </w:rPr>
          <w:t xml:space="preserve">culturally appropriate </w:t>
        </w:r>
        <w:r w:rsidRPr="00B772DC">
          <w:rPr>
            <w:rStyle w:val="Hyperlink"/>
            <w:rFonts w:cs="Calibri"/>
            <w:szCs w:val="22"/>
          </w:rPr>
          <w:t>resources</w:t>
        </w:r>
      </w:hyperlink>
      <w:r w:rsidR="00B329C9" w:rsidRPr="00B772DC">
        <w:rPr>
          <w:rFonts w:cs="Calibri"/>
          <w:szCs w:val="22"/>
        </w:rPr>
        <w:t xml:space="preserve"> </w:t>
      </w:r>
      <w:r w:rsidR="00156B95" w:rsidRPr="00B772DC">
        <w:rPr>
          <w:rFonts w:cs="Calibri"/>
          <w:szCs w:val="22"/>
        </w:rPr>
        <w:t xml:space="preserve">were developed in partnership with First Nations communities. </w:t>
      </w:r>
      <w:r w:rsidR="0035202E" w:rsidRPr="00B772DC">
        <w:rPr>
          <w:rFonts w:cs="Calibri"/>
          <w:szCs w:val="22"/>
        </w:rPr>
        <w:t xml:space="preserve">Projects such as </w:t>
      </w:r>
      <w:hyperlink r:id="rId43" w:history="1">
        <w:r w:rsidR="003B288E" w:rsidRPr="00B772DC">
          <w:rPr>
            <w:rStyle w:val="Hyperlink"/>
            <w:rFonts w:cs="Calibri"/>
            <w:szCs w:val="22"/>
          </w:rPr>
          <w:t>Yarning about HPV Vaccination</w:t>
        </w:r>
      </w:hyperlink>
      <w:r w:rsidR="0035202E" w:rsidRPr="00B772DC">
        <w:rPr>
          <w:rFonts w:cs="Calibri"/>
          <w:szCs w:val="22"/>
        </w:rPr>
        <w:t xml:space="preserve"> and </w:t>
      </w:r>
      <w:hyperlink r:id="rId44" w:history="1">
        <w:r w:rsidR="00965CCC" w:rsidRPr="00B772DC">
          <w:rPr>
            <w:rStyle w:val="Hyperlink"/>
            <w:rFonts w:cs="Calibri"/>
            <w:szCs w:val="22"/>
          </w:rPr>
          <w:t>cross-cultural responses to the HPV vaccine</w:t>
        </w:r>
      </w:hyperlink>
      <w:r w:rsidR="0035202E" w:rsidRPr="00B772DC">
        <w:rPr>
          <w:rFonts w:cs="Calibri"/>
          <w:szCs w:val="22"/>
        </w:rPr>
        <w:t xml:space="preserve"> continue to inform a culturally appropriate approach. N</w:t>
      </w:r>
      <w:r w:rsidR="00380B30" w:rsidRPr="00B772DC">
        <w:rPr>
          <w:rFonts w:cs="Calibri"/>
          <w:szCs w:val="22"/>
        </w:rPr>
        <w:t xml:space="preserve">ew relationships with cultural leadership in First Nations communities will help to ensure ongoing engagement, </w:t>
      </w:r>
      <w:proofErr w:type="gramStart"/>
      <w:r w:rsidR="00380B30" w:rsidRPr="00B772DC">
        <w:rPr>
          <w:rFonts w:cs="Calibri"/>
          <w:szCs w:val="22"/>
        </w:rPr>
        <w:t>access</w:t>
      </w:r>
      <w:proofErr w:type="gramEnd"/>
      <w:r w:rsidR="00380B30" w:rsidRPr="00B772DC">
        <w:rPr>
          <w:rFonts w:cs="Calibri"/>
          <w:szCs w:val="22"/>
        </w:rPr>
        <w:t xml:space="preserve"> and follow-up for HPV vaccination.</w:t>
      </w:r>
    </w:p>
    <w:p w14:paraId="26354A71" w14:textId="47B04DD4" w:rsidR="009A5060" w:rsidRPr="00B772DC" w:rsidRDefault="009A0E2C" w:rsidP="009868F3">
      <w:pPr>
        <w:pStyle w:val="Heading3"/>
        <w:rPr>
          <w:color w:val="auto"/>
        </w:rPr>
      </w:pPr>
      <w:r w:rsidRPr="00B772DC">
        <w:rPr>
          <w:color w:val="auto"/>
        </w:rPr>
        <w:t>Meningococcal</w:t>
      </w:r>
      <w:r w:rsidR="009A5060" w:rsidRPr="00B772DC">
        <w:rPr>
          <w:color w:val="auto"/>
        </w:rPr>
        <w:t xml:space="preserve"> B </w:t>
      </w:r>
      <w:r w:rsidR="004A4C3D" w:rsidRPr="00B772DC">
        <w:rPr>
          <w:color w:val="auto"/>
        </w:rPr>
        <w:t xml:space="preserve">vaccination </w:t>
      </w:r>
      <w:r w:rsidR="009A5060" w:rsidRPr="00B772DC">
        <w:rPr>
          <w:color w:val="auto"/>
        </w:rPr>
        <w:t xml:space="preserve">program </w:t>
      </w:r>
    </w:p>
    <w:p w14:paraId="7B4E02C7" w14:textId="39EFC59B" w:rsidR="00213F00" w:rsidRPr="00B772DC" w:rsidRDefault="00213F00" w:rsidP="00213F00">
      <w:r w:rsidRPr="00B772DC">
        <w:t xml:space="preserve">A study on the </w:t>
      </w:r>
      <w:hyperlink r:id="rId45" w:history="1">
        <w:r w:rsidR="005F2785">
          <w:rPr>
            <w:rStyle w:val="Hyperlink"/>
          </w:rPr>
          <w:t>use of meningococcal B vaccination</w:t>
        </w:r>
      </w:hyperlink>
      <w:r w:rsidRPr="00B772DC">
        <w:t xml:space="preserve"> in </w:t>
      </w:r>
      <w:r w:rsidR="0057571C">
        <w:t xml:space="preserve">adolescents </w:t>
      </w:r>
      <w:r w:rsidRPr="00B772DC">
        <w:t xml:space="preserve">was published in 2021. </w:t>
      </w:r>
      <w:r w:rsidR="0057571C">
        <w:t>A</w:t>
      </w:r>
      <w:r w:rsidRPr="00B772DC">
        <w:t xml:space="preserve"> state-funded </w:t>
      </w:r>
      <w:r w:rsidR="0057571C">
        <w:t xml:space="preserve">vaccine </w:t>
      </w:r>
      <w:r w:rsidRPr="00B772DC">
        <w:t xml:space="preserve">program </w:t>
      </w:r>
      <w:r w:rsidR="0057571C">
        <w:t xml:space="preserve">in South Australia commenced in infants and young children in 2018 and </w:t>
      </w:r>
      <w:r w:rsidR="00E87CCB">
        <w:t>was</w:t>
      </w:r>
      <w:r w:rsidR="0057571C">
        <w:t xml:space="preserve"> extended to adolescents in 2019. </w:t>
      </w:r>
    </w:p>
    <w:p w14:paraId="5A8CE806" w14:textId="383BF0A9" w:rsidR="004A4C3D" w:rsidRPr="00B772DC" w:rsidRDefault="004A4C3D" w:rsidP="00213F00">
      <w:r w:rsidRPr="00B772DC">
        <w:t xml:space="preserve">The South Australian </w:t>
      </w:r>
      <w:r w:rsidR="00897805" w:rsidRPr="00B772DC">
        <w:t xml:space="preserve">program </w:t>
      </w:r>
      <w:r w:rsidRPr="00B772DC">
        <w:t>contributed to informing the introduction of meningococcal B vaccination for</w:t>
      </w:r>
      <w:r w:rsidR="006E50C6" w:rsidRPr="00B772DC">
        <w:t xml:space="preserve"> </w:t>
      </w:r>
      <w:r w:rsidRPr="00B772DC">
        <w:t>people at increased risk of invasive meningococcal disease and First Nations infants under the NIP in 2020.</w:t>
      </w:r>
    </w:p>
    <w:p w14:paraId="2799C54A" w14:textId="17AD39CE" w:rsidR="00926040" w:rsidRPr="00B772DC" w:rsidRDefault="00980628" w:rsidP="00FE3217">
      <w:pPr>
        <w:pStyle w:val="Heading3"/>
        <w:rPr>
          <w:color w:val="auto"/>
        </w:rPr>
      </w:pPr>
      <w:r w:rsidRPr="00B772DC">
        <w:rPr>
          <w:color w:val="auto"/>
        </w:rPr>
        <w:t>C</w:t>
      </w:r>
      <w:r w:rsidR="009F67E4" w:rsidRPr="00B772DC">
        <w:rPr>
          <w:color w:val="auto"/>
        </w:rPr>
        <w:t xml:space="preserve">hanges to the </w:t>
      </w:r>
      <w:r w:rsidR="00926040" w:rsidRPr="00B772DC">
        <w:rPr>
          <w:color w:val="auto"/>
        </w:rPr>
        <w:t>National Immunisation Program</w:t>
      </w:r>
    </w:p>
    <w:p w14:paraId="48C846D8" w14:textId="6E8C469A" w:rsidR="009868F3" w:rsidRPr="00B772DC" w:rsidRDefault="00DD7FD5" w:rsidP="00213F00">
      <w:pPr>
        <w:rPr>
          <w:rFonts w:cs="Calibri"/>
          <w:szCs w:val="22"/>
        </w:rPr>
      </w:pPr>
      <w:r w:rsidRPr="00B772DC">
        <w:t xml:space="preserve">There were no changes to the </w:t>
      </w:r>
      <w:r w:rsidR="003275FA" w:rsidRPr="00B772DC">
        <w:t>NIP</w:t>
      </w:r>
      <w:r w:rsidRPr="00B772DC">
        <w:t xml:space="preserve"> in 2021.</w:t>
      </w:r>
    </w:p>
    <w:p w14:paraId="177612CF" w14:textId="3E7C9A6F" w:rsidR="009868F3" w:rsidRPr="00B772DC" w:rsidRDefault="009868F3" w:rsidP="00213F00">
      <w:pPr>
        <w:rPr>
          <w:rFonts w:cs="Calibri"/>
          <w:szCs w:val="22"/>
        </w:rPr>
      </w:pPr>
      <w:r w:rsidRPr="00B772DC">
        <w:rPr>
          <w:rFonts w:cs="Calibri"/>
          <w:szCs w:val="22"/>
        </w:rPr>
        <w:t xml:space="preserve">The </w:t>
      </w:r>
      <w:hyperlink r:id="rId46" w:history="1">
        <w:r w:rsidR="00AF51FA" w:rsidRPr="00B772DC">
          <w:rPr>
            <w:rStyle w:val="Hyperlink"/>
          </w:rPr>
          <w:t>s</w:t>
        </w:r>
        <w:r w:rsidRPr="00B772DC">
          <w:rPr>
            <w:rStyle w:val="Hyperlink"/>
          </w:rPr>
          <w:t>hingles vaccination</w:t>
        </w:r>
        <w:r w:rsidR="007517FB" w:rsidRPr="00B772DC">
          <w:rPr>
            <w:rStyle w:val="Hyperlink"/>
          </w:rPr>
          <w:t xml:space="preserve"> catch-up program</w:t>
        </w:r>
        <w:r w:rsidRPr="00B772DC">
          <w:rPr>
            <w:rStyle w:val="Hyperlink"/>
          </w:rPr>
          <w:t xml:space="preserve"> </w:t>
        </w:r>
        <w:r w:rsidR="00AF51FA" w:rsidRPr="00B772DC">
          <w:rPr>
            <w:rStyle w:val="Hyperlink"/>
          </w:rPr>
          <w:t>was extended</w:t>
        </w:r>
      </w:hyperlink>
      <w:r w:rsidR="00AF51FA" w:rsidRPr="00B772DC">
        <w:t xml:space="preserve"> for a further 2 years. P</w:t>
      </w:r>
      <w:r w:rsidRPr="00B772DC">
        <w:t>eople aged 71</w:t>
      </w:r>
      <w:r w:rsidR="00AF51FA" w:rsidRPr="00B772DC">
        <w:t>–</w:t>
      </w:r>
      <w:r w:rsidR="00E87CCB">
        <w:t>‍</w:t>
      </w:r>
      <w:r w:rsidRPr="00B772DC">
        <w:t>79</w:t>
      </w:r>
      <w:r w:rsidR="004A426A" w:rsidRPr="00B772DC">
        <w:t> </w:t>
      </w:r>
      <w:r w:rsidRPr="00B772DC">
        <w:t xml:space="preserve">years </w:t>
      </w:r>
      <w:r w:rsidR="00AF51FA" w:rsidRPr="00B772DC">
        <w:t>can receive the Zostavax vaccine under the NIP</w:t>
      </w:r>
      <w:r w:rsidRPr="00B772DC">
        <w:t xml:space="preserve"> </w:t>
      </w:r>
      <w:r w:rsidR="00AF51FA" w:rsidRPr="00B772DC">
        <w:t>until</w:t>
      </w:r>
      <w:r w:rsidRPr="00B772DC">
        <w:t xml:space="preserve"> </w:t>
      </w:r>
      <w:r w:rsidR="004A426A" w:rsidRPr="00B772DC">
        <w:t>31 </w:t>
      </w:r>
      <w:r w:rsidRPr="00B772DC">
        <w:t>October 2023.</w:t>
      </w:r>
    </w:p>
    <w:p w14:paraId="75164E2A" w14:textId="6AB0813D" w:rsidR="00717700" w:rsidRPr="00B772DC" w:rsidRDefault="009F67E4" w:rsidP="004738C9">
      <w:pPr>
        <w:pStyle w:val="Heading3"/>
      </w:pPr>
      <w:r w:rsidRPr="00B772DC">
        <w:t>I</w:t>
      </w:r>
      <w:r w:rsidR="00926040" w:rsidRPr="00B772DC">
        <w:t>mmunisation coverage</w:t>
      </w:r>
    </w:p>
    <w:p w14:paraId="152A5A0D" w14:textId="09E3AA43" w:rsidR="0067027F" w:rsidRPr="00B772DC" w:rsidRDefault="0067027F" w:rsidP="00862550">
      <w:pPr>
        <w:pStyle w:val="Heading4"/>
      </w:pPr>
      <w:r w:rsidRPr="00B772DC">
        <w:t>Influenza</w:t>
      </w:r>
      <w:r w:rsidR="005663FF" w:rsidRPr="00B772DC">
        <w:t xml:space="preserve"> vaccines</w:t>
      </w:r>
    </w:p>
    <w:p w14:paraId="62DCF4EF" w14:textId="0B8BF955" w:rsidR="0057793D" w:rsidRPr="00B772DC" w:rsidRDefault="00FC4B9C" w:rsidP="004A4C3D">
      <w:r w:rsidRPr="00B772DC">
        <w:t>T</w:t>
      </w:r>
      <w:r w:rsidR="004166DB" w:rsidRPr="00B772DC">
        <w:t xml:space="preserve">he </w:t>
      </w:r>
      <w:r w:rsidR="00625F55" w:rsidRPr="00B772DC">
        <w:t xml:space="preserve">number of influenza vaccine doses </w:t>
      </w:r>
      <w:r w:rsidR="00254A31" w:rsidRPr="00B772DC">
        <w:t xml:space="preserve">received </w:t>
      </w:r>
      <w:r w:rsidR="00625F55" w:rsidRPr="00B772DC">
        <w:t xml:space="preserve">in 2021 </w:t>
      </w:r>
      <w:r w:rsidR="002C58B0" w:rsidRPr="00B772DC">
        <w:t xml:space="preserve">was notably </w:t>
      </w:r>
      <w:r w:rsidR="0001055E" w:rsidRPr="00B772DC">
        <w:t>lower than in</w:t>
      </w:r>
      <w:r w:rsidR="002C58B0" w:rsidRPr="00B772DC">
        <w:t xml:space="preserve"> 2020. In </w:t>
      </w:r>
      <w:r w:rsidR="0001055E" w:rsidRPr="00B772DC">
        <w:t>children aged 6</w:t>
      </w:r>
      <w:r w:rsidR="004A426A" w:rsidRPr="00B772DC">
        <w:t> </w:t>
      </w:r>
      <w:r w:rsidR="0001055E" w:rsidRPr="00B772DC">
        <w:t xml:space="preserve">months to </w:t>
      </w:r>
      <w:r w:rsidR="006D22DA" w:rsidRPr="00B772DC">
        <w:t>under 5</w:t>
      </w:r>
      <w:r w:rsidR="004A426A" w:rsidRPr="00B772DC">
        <w:t> </w:t>
      </w:r>
      <w:r w:rsidR="0001055E" w:rsidRPr="00B772DC">
        <w:t>years, vaccin</w:t>
      </w:r>
      <w:r w:rsidR="007B0922" w:rsidRPr="00B772DC">
        <w:t>ation</w:t>
      </w:r>
      <w:r w:rsidR="0001055E" w:rsidRPr="00B772DC">
        <w:t xml:space="preserve"> coverage decreased in all states and territories by up to 20%, including in First Nations children. </w:t>
      </w:r>
      <w:r w:rsidR="006D22DA" w:rsidRPr="00B772DC">
        <w:t xml:space="preserve">All children in this age group can receive </w:t>
      </w:r>
      <w:r w:rsidR="00BE4962" w:rsidRPr="00B772DC">
        <w:t xml:space="preserve">free </w:t>
      </w:r>
      <w:r w:rsidR="00B33541" w:rsidRPr="00B772DC">
        <w:t xml:space="preserve">influenza </w:t>
      </w:r>
      <w:r w:rsidR="006D22DA" w:rsidRPr="00B772DC">
        <w:t>vaccine</w:t>
      </w:r>
      <w:r w:rsidR="00B33541" w:rsidRPr="00B772DC">
        <w:t>s</w:t>
      </w:r>
      <w:r w:rsidR="006D22DA" w:rsidRPr="00B772DC">
        <w:t xml:space="preserve"> under the NIP</w:t>
      </w:r>
      <w:r w:rsidR="00BE4962" w:rsidRPr="00B772DC">
        <w:t>.</w:t>
      </w:r>
    </w:p>
    <w:p w14:paraId="4F99E961" w14:textId="757FD4DC" w:rsidR="006D22DA" w:rsidRPr="00B772DC" w:rsidRDefault="00BE4962" w:rsidP="004A4C3D">
      <w:pPr>
        <w:rPr>
          <w:bCs/>
          <w:iCs/>
        </w:rPr>
      </w:pPr>
      <w:r w:rsidRPr="00B772DC">
        <w:rPr>
          <w:bCs/>
          <w:iCs/>
        </w:rPr>
        <w:t>U</w:t>
      </w:r>
      <w:r w:rsidR="00D54D45" w:rsidRPr="00B772DC">
        <w:rPr>
          <w:bCs/>
          <w:iCs/>
        </w:rPr>
        <w:t>ptake of influenza vaccine</w:t>
      </w:r>
      <w:r w:rsidR="00897805" w:rsidRPr="00B772DC">
        <w:rPr>
          <w:bCs/>
          <w:iCs/>
        </w:rPr>
        <w:t>s</w:t>
      </w:r>
      <w:r w:rsidR="00D54D45" w:rsidRPr="00B772DC">
        <w:rPr>
          <w:bCs/>
          <w:iCs/>
        </w:rPr>
        <w:t xml:space="preserve"> in 2021 </w:t>
      </w:r>
      <w:r w:rsidR="009B3DF9" w:rsidRPr="00B772DC">
        <w:rPr>
          <w:bCs/>
          <w:iCs/>
        </w:rPr>
        <w:t xml:space="preserve">was also lower in several other age groups </w:t>
      </w:r>
      <w:r w:rsidR="00D54D45" w:rsidRPr="00B772DC">
        <w:rPr>
          <w:bCs/>
          <w:iCs/>
        </w:rPr>
        <w:t>compared with 2020</w:t>
      </w:r>
      <w:r w:rsidR="009B3DF9" w:rsidRPr="00B772DC">
        <w:rPr>
          <w:bCs/>
          <w:iCs/>
        </w:rPr>
        <w:t>.</w:t>
      </w:r>
      <w:r w:rsidR="00D54D45" w:rsidRPr="00B772DC">
        <w:rPr>
          <w:bCs/>
          <w:iCs/>
        </w:rPr>
        <w:t xml:space="preserve"> </w:t>
      </w:r>
      <w:r w:rsidR="009B3DF9" w:rsidRPr="00B772DC">
        <w:rPr>
          <w:bCs/>
          <w:iCs/>
        </w:rPr>
        <w:t>This included</w:t>
      </w:r>
      <w:r w:rsidR="00D54D45" w:rsidRPr="00B772DC">
        <w:rPr>
          <w:bCs/>
          <w:iCs/>
        </w:rPr>
        <w:t xml:space="preserve"> </w:t>
      </w:r>
      <w:r w:rsidR="00537371" w:rsidRPr="00B772DC">
        <w:rPr>
          <w:bCs/>
          <w:iCs/>
        </w:rPr>
        <w:t xml:space="preserve">First Nations </w:t>
      </w:r>
      <w:r w:rsidR="00B33541" w:rsidRPr="00B772DC">
        <w:rPr>
          <w:bCs/>
          <w:iCs/>
        </w:rPr>
        <w:t xml:space="preserve">people aged </w:t>
      </w:r>
      <w:r w:rsidR="00D54D45" w:rsidRPr="00B772DC">
        <w:rPr>
          <w:bCs/>
          <w:iCs/>
        </w:rPr>
        <w:t>5–14</w:t>
      </w:r>
      <w:r w:rsidR="00B33541" w:rsidRPr="00B772DC">
        <w:rPr>
          <w:bCs/>
          <w:iCs/>
        </w:rPr>
        <w:t> </w:t>
      </w:r>
      <w:r w:rsidR="00D54D45" w:rsidRPr="00B772DC">
        <w:rPr>
          <w:bCs/>
          <w:iCs/>
        </w:rPr>
        <w:t>years (17% lower) and 15–49</w:t>
      </w:r>
      <w:r w:rsidR="00B33541" w:rsidRPr="00B772DC">
        <w:rPr>
          <w:bCs/>
          <w:iCs/>
        </w:rPr>
        <w:t> </w:t>
      </w:r>
      <w:r w:rsidR="00D54D45" w:rsidRPr="00B772DC">
        <w:rPr>
          <w:bCs/>
          <w:iCs/>
        </w:rPr>
        <w:t xml:space="preserve">years </w:t>
      </w:r>
      <w:r w:rsidR="009B3DF9" w:rsidRPr="00B772DC">
        <w:rPr>
          <w:bCs/>
          <w:iCs/>
        </w:rPr>
        <w:t>(</w:t>
      </w:r>
      <w:r w:rsidR="00D54D45" w:rsidRPr="00B772DC">
        <w:rPr>
          <w:bCs/>
          <w:iCs/>
        </w:rPr>
        <w:t>10% lower)</w:t>
      </w:r>
      <w:r w:rsidR="001F1905" w:rsidRPr="00B772DC">
        <w:rPr>
          <w:bCs/>
          <w:iCs/>
        </w:rPr>
        <w:t xml:space="preserve"> –</w:t>
      </w:r>
      <w:r w:rsidR="00B33541" w:rsidRPr="00B772DC">
        <w:rPr>
          <w:bCs/>
          <w:iCs/>
        </w:rPr>
        <w:t xml:space="preserve"> </w:t>
      </w:r>
      <w:r w:rsidR="001F1905" w:rsidRPr="00B772DC">
        <w:rPr>
          <w:bCs/>
          <w:iCs/>
        </w:rPr>
        <w:t xml:space="preserve">all of </w:t>
      </w:r>
      <w:r w:rsidR="00D54D45" w:rsidRPr="00B772DC">
        <w:rPr>
          <w:bCs/>
          <w:iCs/>
        </w:rPr>
        <w:t>who</w:t>
      </w:r>
      <w:r w:rsidR="001F1905" w:rsidRPr="00B772DC">
        <w:rPr>
          <w:bCs/>
          <w:iCs/>
        </w:rPr>
        <w:t>m</w:t>
      </w:r>
      <w:r w:rsidR="00D54D45" w:rsidRPr="00B772DC">
        <w:rPr>
          <w:bCs/>
          <w:iCs/>
        </w:rPr>
        <w:t xml:space="preserve"> can receive funded </w:t>
      </w:r>
      <w:r w:rsidR="001F1905" w:rsidRPr="00B772DC">
        <w:rPr>
          <w:bCs/>
          <w:iCs/>
        </w:rPr>
        <w:t xml:space="preserve">influenza </w:t>
      </w:r>
      <w:r w:rsidR="00D54D45" w:rsidRPr="00B772DC">
        <w:rPr>
          <w:bCs/>
          <w:iCs/>
        </w:rPr>
        <w:t>vaccine</w:t>
      </w:r>
      <w:r w:rsidR="00B33541" w:rsidRPr="00B772DC">
        <w:rPr>
          <w:bCs/>
          <w:iCs/>
        </w:rPr>
        <w:t>s</w:t>
      </w:r>
      <w:r w:rsidR="00D54D45" w:rsidRPr="00B772DC">
        <w:rPr>
          <w:bCs/>
          <w:iCs/>
        </w:rPr>
        <w:t xml:space="preserve"> under the NIP</w:t>
      </w:r>
      <w:r w:rsidR="001F1905" w:rsidRPr="00B772DC">
        <w:rPr>
          <w:bCs/>
          <w:iCs/>
        </w:rPr>
        <w:t xml:space="preserve"> –</w:t>
      </w:r>
      <w:r w:rsidR="00D54D45" w:rsidRPr="00B772DC">
        <w:rPr>
          <w:bCs/>
          <w:iCs/>
        </w:rPr>
        <w:t xml:space="preserve"> </w:t>
      </w:r>
      <w:r w:rsidR="009B3DF9" w:rsidRPr="00B772DC">
        <w:rPr>
          <w:bCs/>
          <w:iCs/>
        </w:rPr>
        <w:t>as well as</w:t>
      </w:r>
      <w:r w:rsidR="00D54D45" w:rsidRPr="00B772DC">
        <w:rPr>
          <w:bCs/>
          <w:iCs/>
        </w:rPr>
        <w:t xml:space="preserve"> other children aged 5–14</w:t>
      </w:r>
      <w:r w:rsidR="00B33541" w:rsidRPr="00B772DC">
        <w:rPr>
          <w:bCs/>
          <w:iCs/>
        </w:rPr>
        <w:t> </w:t>
      </w:r>
      <w:r w:rsidR="00D54D45" w:rsidRPr="00B772DC">
        <w:rPr>
          <w:bCs/>
          <w:iCs/>
        </w:rPr>
        <w:t>years (13% lower).</w:t>
      </w:r>
    </w:p>
    <w:p w14:paraId="5E7F6A0F" w14:textId="060ED3D7" w:rsidR="00D15E81" w:rsidRPr="00B772DC" w:rsidRDefault="007B0922" w:rsidP="007F5144">
      <w:pPr>
        <w:rPr>
          <w:bCs/>
          <w:iCs/>
        </w:rPr>
      </w:pPr>
      <w:r w:rsidRPr="00B772DC">
        <w:rPr>
          <w:rStyle w:val="Hyperlink"/>
          <w:bCs/>
          <w:iCs/>
          <w:color w:val="000000"/>
          <w:u w:val="none"/>
        </w:rPr>
        <w:t>A</w:t>
      </w:r>
      <w:r w:rsidR="00FC4B9C" w:rsidRPr="00B772DC">
        <w:rPr>
          <w:rStyle w:val="Hyperlink"/>
          <w:bCs/>
          <w:iCs/>
          <w:color w:val="000000"/>
          <w:u w:val="none"/>
        </w:rPr>
        <w:t xml:space="preserve">s international borders open, </w:t>
      </w:r>
      <w:hyperlink r:id="rId47" w:history="1">
        <w:r w:rsidR="001F1905" w:rsidRPr="00B772DC">
          <w:rPr>
            <w:rStyle w:val="Hyperlink"/>
            <w:bCs/>
            <w:iCs/>
          </w:rPr>
          <w:t>influenza may start to spread in Australia</w:t>
        </w:r>
      </w:hyperlink>
      <w:r w:rsidR="00FC4B9C" w:rsidRPr="00B772DC">
        <w:rPr>
          <w:rStyle w:val="Hyperlink"/>
          <w:bCs/>
          <w:iCs/>
          <w:color w:val="000000"/>
          <w:u w:val="none"/>
        </w:rPr>
        <w:t xml:space="preserve">. </w:t>
      </w:r>
      <w:r w:rsidR="007F5144" w:rsidRPr="00B772DC">
        <w:rPr>
          <w:bCs/>
          <w:iCs/>
        </w:rPr>
        <w:t>Children under 5 years of age are especially vulnerable because they may never have been exposed to influenza and may not have received a vaccine.</w:t>
      </w:r>
      <w:r w:rsidR="00242039" w:rsidRPr="00B772DC">
        <w:rPr>
          <w:bCs/>
          <w:iCs/>
        </w:rPr>
        <w:t xml:space="preserve"> Immunisation services may see increased demand for influenza vaccines, particularly in </w:t>
      </w:r>
      <w:r w:rsidR="001E5530" w:rsidRPr="00B772DC">
        <w:rPr>
          <w:bCs/>
          <w:iCs/>
        </w:rPr>
        <w:t xml:space="preserve">young </w:t>
      </w:r>
      <w:r w:rsidR="00242039" w:rsidRPr="00B772DC">
        <w:rPr>
          <w:bCs/>
          <w:iCs/>
        </w:rPr>
        <w:t>children</w:t>
      </w:r>
      <w:r w:rsidR="001E5530" w:rsidRPr="00B772DC">
        <w:rPr>
          <w:bCs/>
          <w:iCs/>
        </w:rPr>
        <w:t xml:space="preserve">. This is </w:t>
      </w:r>
      <w:r w:rsidR="00350C4B" w:rsidRPr="00B772DC">
        <w:rPr>
          <w:bCs/>
          <w:iCs/>
        </w:rPr>
        <w:t>because</w:t>
      </w:r>
      <w:r w:rsidR="00242039" w:rsidRPr="00B772DC">
        <w:rPr>
          <w:bCs/>
          <w:iCs/>
        </w:rPr>
        <w:t xml:space="preserve"> </w:t>
      </w:r>
      <w:r w:rsidR="001E5530" w:rsidRPr="00B772DC">
        <w:rPr>
          <w:bCs/>
          <w:iCs/>
        </w:rPr>
        <w:t xml:space="preserve">children aged 6 months to under 5 years are strongly recommended to receive </w:t>
      </w:r>
      <w:r w:rsidR="00471DB9" w:rsidRPr="00B772DC">
        <w:rPr>
          <w:bCs/>
          <w:iCs/>
        </w:rPr>
        <w:t xml:space="preserve">the fully funded NIP </w:t>
      </w:r>
      <w:r w:rsidR="001E5530" w:rsidRPr="00B772DC">
        <w:rPr>
          <w:bCs/>
          <w:iCs/>
        </w:rPr>
        <w:t xml:space="preserve">annual influenza vaccine, and children aged under 9 years </w:t>
      </w:r>
      <w:r w:rsidR="00471DB9" w:rsidRPr="00B772DC">
        <w:rPr>
          <w:bCs/>
          <w:iCs/>
        </w:rPr>
        <w:t xml:space="preserve">continue to require </w:t>
      </w:r>
      <w:r w:rsidR="00242039" w:rsidRPr="00B772DC">
        <w:rPr>
          <w:bCs/>
          <w:iCs/>
        </w:rPr>
        <w:t xml:space="preserve">2 doses in their first influenza </w:t>
      </w:r>
      <w:r w:rsidR="00537371" w:rsidRPr="00B772DC">
        <w:rPr>
          <w:bCs/>
          <w:iCs/>
        </w:rPr>
        <w:t xml:space="preserve">vaccination </w:t>
      </w:r>
      <w:r w:rsidR="00242039" w:rsidRPr="00B772DC">
        <w:rPr>
          <w:bCs/>
          <w:iCs/>
        </w:rPr>
        <w:t>season.</w:t>
      </w:r>
    </w:p>
    <w:p w14:paraId="5A0CD344" w14:textId="52593582" w:rsidR="009F19E5" w:rsidRPr="00B772DC" w:rsidRDefault="009F19E5" w:rsidP="0070564E">
      <w:pPr>
        <w:pStyle w:val="Heading4"/>
      </w:pPr>
      <w:r w:rsidRPr="00B772DC">
        <w:lastRenderedPageBreak/>
        <w:t>Childhood vaccines</w:t>
      </w:r>
    </w:p>
    <w:p w14:paraId="7225850A" w14:textId="01E18ED7" w:rsidR="003353AC" w:rsidRPr="00B772DC" w:rsidRDefault="003353AC" w:rsidP="00CB11B4">
      <w:pPr>
        <w:pStyle w:val="NormalBeforeBullet"/>
      </w:pPr>
      <w:r w:rsidRPr="00B772DC">
        <w:t>COVID</w:t>
      </w:r>
      <w:r w:rsidR="006317ED" w:rsidRPr="00B772DC">
        <w:noBreakHyphen/>
      </w:r>
      <w:r w:rsidRPr="00B772DC">
        <w:t xml:space="preserve">19 response measures (such as physical distancing and </w:t>
      </w:r>
      <w:r w:rsidR="00CC50DA" w:rsidRPr="00B772DC">
        <w:t xml:space="preserve">travel </w:t>
      </w:r>
      <w:r w:rsidRPr="00B772DC">
        <w:t>restrictions) did not have a significant impact on vaccine uptake in young children</w:t>
      </w:r>
      <w:r w:rsidR="00D5735C" w:rsidRPr="00B772DC">
        <w:t xml:space="preserve"> in 2021</w:t>
      </w:r>
      <w:r w:rsidRPr="00B772DC">
        <w:t>:</w:t>
      </w:r>
    </w:p>
    <w:p w14:paraId="444AAEA2" w14:textId="08857F4E" w:rsidR="001A6E4D" w:rsidRPr="00B772DC" w:rsidRDefault="00C81B02" w:rsidP="00CB11B4">
      <w:pPr>
        <w:pStyle w:val="Bullet"/>
      </w:pPr>
      <w:r w:rsidRPr="00B772DC">
        <w:t>92</w:t>
      </w:r>
      <w:r w:rsidR="003353AC" w:rsidRPr="00B772DC">
        <w:t>.3</w:t>
      </w:r>
      <w:r w:rsidR="007828EB" w:rsidRPr="00B772DC">
        <w:t>%</w:t>
      </w:r>
      <w:r w:rsidR="001A6E4D" w:rsidRPr="00B772DC">
        <w:t xml:space="preserve"> </w:t>
      </w:r>
      <w:r w:rsidR="00CC50DA" w:rsidRPr="00B772DC">
        <w:t>of children</w:t>
      </w:r>
      <w:r w:rsidR="00730560" w:rsidRPr="00B772DC">
        <w:t xml:space="preserve"> received their second dose of diphtheria-tetanus-acellular pertussis (</w:t>
      </w:r>
      <w:proofErr w:type="spellStart"/>
      <w:r w:rsidR="00730560" w:rsidRPr="00B772DC">
        <w:t>DTPa</w:t>
      </w:r>
      <w:proofErr w:type="spellEnd"/>
      <w:r w:rsidR="00730560" w:rsidRPr="00B772DC">
        <w:t>) vaccine within 2</w:t>
      </w:r>
      <w:r w:rsidR="00350C4B" w:rsidRPr="00B772DC">
        <w:t> </w:t>
      </w:r>
      <w:r w:rsidR="00730560" w:rsidRPr="00B772DC">
        <w:t>months of reaching 4</w:t>
      </w:r>
      <w:r w:rsidR="00350C4B" w:rsidRPr="00B772DC">
        <w:t> </w:t>
      </w:r>
      <w:r w:rsidR="00730560" w:rsidRPr="00B772DC">
        <w:t xml:space="preserve">months of age </w:t>
      </w:r>
      <w:r w:rsidR="001A6E4D" w:rsidRPr="00B772DC">
        <w:t xml:space="preserve">in 2021, compared </w:t>
      </w:r>
      <w:r w:rsidR="00730560" w:rsidRPr="00B772DC">
        <w:t xml:space="preserve">with </w:t>
      </w:r>
      <w:r w:rsidRPr="00B772DC">
        <w:t>9</w:t>
      </w:r>
      <w:r w:rsidR="003353AC" w:rsidRPr="00B772DC">
        <w:t>3.6%</w:t>
      </w:r>
      <w:r w:rsidR="001A6E4D" w:rsidRPr="00B772DC">
        <w:t xml:space="preserve"> in 2020 and </w:t>
      </w:r>
      <w:r w:rsidR="003353AC" w:rsidRPr="00B772DC">
        <w:t xml:space="preserve">93.7% </w:t>
      </w:r>
      <w:r w:rsidR="001A6E4D" w:rsidRPr="00B772DC">
        <w:t>in 2019.</w:t>
      </w:r>
    </w:p>
    <w:p w14:paraId="2D6DDD7E" w14:textId="08E87ABF" w:rsidR="001A6E4D" w:rsidRPr="00B772DC" w:rsidRDefault="00C81B02" w:rsidP="00537371">
      <w:pPr>
        <w:pStyle w:val="BulletLast"/>
      </w:pPr>
      <w:r w:rsidRPr="00B772DC">
        <w:t>8</w:t>
      </w:r>
      <w:r w:rsidR="00BC12BE" w:rsidRPr="00B772DC">
        <w:t>7.6</w:t>
      </w:r>
      <w:r w:rsidR="007828EB" w:rsidRPr="00B772DC">
        <w:t>%</w:t>
      </w:r>
      <w:r w:rsidR="001A6E4D" w:rsidRPr="00B772DC">
        <w:t xml:space="preserve"> </w:t>
      </w:r>
      <w:r w:rsidR="00730560" w:rsidRPr="00B772DC">
        <w:t>of children received their first dose of measles-mumps-rubella (MMR) vaccine within 2</w:t>
      </w:r>
      <w:r w:rsidR="00350C4B" w:rsidRPr="00B772DC">
        <w:t> </w:t>
      </w:r>
      <w:r w:rsidR="00730560" w:rsidRPr="00B772DC">
        <w:t>months of reaching 12</w:t>
      </w:r>
      <w:r w:rsidR="00350C4B" w:rsidRPr="00B772DC">
        <w:t> </w:t>
      </w:r>
      <w:r w:rsidR="00730560" w:rsidRPr="00B772DC">
        <w:t xml:space="preserve">months of age </w:t>
      </w:r>
      <w:r w:rsidR="001A6E4D" w:rsidRPr="00B772DC">
        <w:t xml:space="preserve">in 2021, </w:t>
      </w:r>
      <w:r w:rsidR="00730560" w:rsidRPr="00B772DC">
        <w:t xml:space="preserve">compared with </w:t>
      </w:r>
      <w:r w:rsidR="00BC12BE" w:rsidRPr="00B772DC">
        <w:t xml:space="preserve">88.1% in </w:t>
      </w:r>
      <w:r w:rsidRPr="00B772DC">
        <w:t xml:space="preserve">2020 and </w:t>
      </w:r>
      <w:r w:rsidR="00BC12BE" w:rsidRPr="00B772DC">
        <w:t xml:space="preserve">88.7% </w:t>
      </w:r>
      <w:r w:rsidRPr="00B772DC">
        <w:t>in 2019</w:t>
      </w:r>
      <w:r w:rsidR="009B3DF9" w:rsidRPr="00B772DC">
        <w:t>.</w:t>
      </w:r>
    </w:p>
    <w:p w14:paraId="1F365342" w14:textId="70B3B74A" w:rsidR="001A6E4D" w:rsidRPr="00B772DC" w:rsidRDefault="001A6E4D" w:rsidP="00CB11B4">
      <w:r w:rsidRPr="00B772DC">
        <w:t xml:space="preserve">Maintaining high uptake of childhood </w:t>
      </w:r>
      <w:r w:rsidR="00177DF1" w:rsidRPr="00B772DC">
        <w:t>vaccination</w:t>
      </w:r>
      <w:r w:rsidRPr="00B772DC">
        <w:t xml:space="preserve"> is important </w:t>
      </w:r>
      <w:r w:rsidR="009B3DF9" w:rsidRPr="00B772DC">
        <w:t>because there is likely to</w:t>
      </w:r>
      <w:r w:rsidRPr="00B772DC">
        <w:t xml:space="preserve"> be an increase in </w:t>
      </w:r>
      <w:r w:rsidR="009B3DF9" w:rsidRPr="00B772DC">
        <w:t>VPDs</w:t>
      </w:r>
      <w:r w:rsidRPr="00B772DC">
        <w:t xml:space="preserve"> such as measles with the easing of international border restrictions.</w:t>
      </w:r>
    </w:p>
    <w:p w14:paraId="79A80458" w14:textId="09FB036B" w:rsidR="00AE25F7" w:rsidRPr="00B772DC" w:rsidRDefault="00580ED5" w:rsidP="0070564E">
      <w:pPr>
        <w:pStyle w:val="Heading4"/>
      </w:pPr>
      <w:r w:rsidRPr="00B772DC">
        <w:t>Adolescent vaccines</w:t>
      </w:r>
      <w:r w:rsidR="00022701" w:rsidRPr="00B772DC">
        <w:t xml:space="preserve"> (mainly delivered through school </w:t>
      </w:r>
      <w:r w:rsidR="00537371" w:rsidRPr="00B772DC">
        <w:t>immunisation</w:t>
      </w:r>
      <w:r w:rsidR="00022701" w:rsidRPr="00B772DC">
        <w:t xml:space="preserve"> program</w:t>
      </w:r>
      <w:r w:rsidR="009B3DF9" w:rsidRPr="00B772DC">
        <w:t>s</w:t>
      </w:r>
      <w:r w:rsidR="00022701" w:rsidRPr="00B772DC">
        <w:t>)</w:t>
      </w:r>
    </w:p>
    <w:p w14:paraId="3179CB52" w14:textId="67E45F62" w:rsidR="00A23300" w:rsidRPr="00B772DC" w:rsidRDefault="00730560" w:rsidP="008F744E">
      <w:pPr>
        <w:pStyle w:val="NormalBeforeBullet"/>
      </w:pPr>
      <w:r w:rsidRPr="00B772DC">
        <w:t>School-based immunisation programs were disrupted in 2021 due to COVID</w:t>
      </w:r>
      <w:r w:rsidR="006317ED" w:rsidRPr="00B772DC">
        <w:noBreakHyphen/>
      </w:r>
      <w:r w:rsidRPr="00B772DC">
        <w:t>19. As a result, vaccination uptake was lower in 2021 than in previous years:</w:t>
      </w:r>
    </w:p>
    <w:p w14:paraId="4226D358" w14:textId="4200ED60" w:rsidR="00730560" w:rsidRPr="00B772DC" w:rsidRDefault="00730560" w:rsidP="008F744E">
      <w:pPr>
        <w:pStyle w:val="Bullet"/>
      </w:pPr>
      <w:r w:rsidRPr="00B772DC">
        <w:t>HPV vaccine</w:t>
      </w:r>
      <w:r w:rsidR="006377EE" w:rsidRPr="00B772DC">
        <w:t xml:space="preserve"> –</w:t>
      </w:r>
      <w:r w:rsidRPr="00B772DC">
        <w:t xml:space="preserve"> 58% of adolescents completed the 2</w:t>
      </w:r>
      <w:r w:rsidR="006317ED" w:rsidRPr="00B772DC">
        <w:noBreakHyphen/>
      </w:r>
      <w:r w:rsidRPr="00B772DC">
        <w:t>dose course within the same year in 2021, compared with 73% in 2020 and 85% in 2019.</w:t>
      </w:r>
      <w:r w:rsidR="006377EE" w:rsidRPr="00B772DC">
        <w:t xml:space="preserve"> For those who had their first dose in 2020 but not their second dose, </w:t>
      </w:r>
      <w:r w:rsidR="00317094" w:rsidRPr="00B772DC">
        <w:t>64</w:t>
      </w:r>
      <w:r w:rsidR="006377EE" w:rsidRPr="00B772DC">
        <w:t>% went on to complete the course in 2021 through catch-up vaccination</w:t>
      </w:r>
      <w:r w:rsidR="0047490E" w:rsidRPr="00B772DC">
        <w:t xml:space="preserve">, resulting in an overall completion rate </w:t>
      </w:r>
      <w:r w:rsidR="00AC23DB" w:rsidRPr="00B772DC">
        <w:t xml:space="preserve">of 90% </w:t>
      </w:r>
      <w:r w:rsidR="0047490E" w:rsidRPr="00B772DC">
        <w:t>for the 2020 cohort over 2</w:t>
      </w:r>
      <w:r w:rsidR="00AC23DB" w:rsidRPr="00B772DC">
        <w:t> </w:t>
      </w:r>
      <w:r w:rsidR="0047490E" w:rsidRPr="00B772DC">
        <w:t>years</w:t>
      </w:r>
      <w:r w:rsidR="006377EE" w:rsidRPr="00B772DC">
        <w:t xml:space="preserve">. </w:t>
      </w:r>
      <w:r w:rsidR="008D3FD5" w:rsidRPr="00B772DC">
        <w:t xml:space="preserve">This </w:t>
      </w:r>
      <w:r w:rsidR="0056740A" w:rsidRPr="00B772DC">
        <w:t xml:space="preserve">shows </w:t>
      </w:r>
      <w:r w:rsidR="008D3FD5" w:rsidRPr="00B772DC">
        <w:t xml:space="preserve">the success of catch-up vaccination in </w:t>
      </w:r>
      <w:r w:rsidR="00AC23DB" w:rsidRPr="00B772DC">
        <w:t>2021</w:t>
      </w:r>
      <w:r w:rsidR="008D3FD5" w:rsidRPr="00B772DC">
        <w:t xml:space="preserve">, despite disruptions to school programs. </w:t>
      </w:r>
      <w:r w:rsidR="006377EE" w:rsidRPr="00B772DC">
        <w:t>It is expected that a similar or higher proportion of adolescents who received their first dose in 2021 will finish their course in 2022.</w:t>
      </w:r>
    </w:p>
    <w:p w14:paraId="48A2DD92" w14:textId="43A3E5E7" w:rsidR="006377EE" w:rsidRPr="00B772DC" w:rsidRDefault="006377EE" w:rsidP="008F744E">
      <w:pPr>
        <w:pStyle w:val="Bullet"/>
      </w:pPr>
      <w:proofErr w:type="spellStart"/>
      <w:r w:rsidRPr="00B772DC">
        <w:t>dTpa</w:t>
      </w:r>
      <w:proofErr w:type="spellEnd"/>
      <w:r w:rsidRPr="00B772DC">
        <w:t xml:space="preserve"> vaccine – </w:t>
      </w:r>
      <w:r w:rsidR="008F744E" w:rsidRPr="00B772DC">
        <w:t>273,054 booster doses were administered to adolescents in 2021, which was 4% lower than in 2020 and 15% lower than in 2019.</w:t>
      </w:r>
    </w:p>
    <w:p w14:paraId="01B7B559" w14:textId="1D5D19C9" w:rsidR="008F744E" w:rsidRPr="00B772DC" w:rsidRDefault="00BA1EEF" w:rsidP="00537371">
      <w:pPr>
        <w:pStyle w:val="BulletLast"/>
      </w:pPr>
      <w:r w:rsidRPr="00B772DC">
        <w:t>M</w:t>
      </w:r>
      <w:r w:rsidR="008F744E" w:rsidRPr="00B772DC">
        <w:t>eningococcal ACWY vaccine – 226,862 doses were administered to adolescents during 2021, which was 7% lower than in 2020 and 9% lower than in 2019.</w:t>
      </w:r>
    </w:p>
    <w:p w14:paraId="12D63739" w14:textId="1651DEB5" w:rsidR="002753ED" w:rsidRPr="00B772DC" w:rsidRDefault="002753ED" w:rsidP="0070564E">
      <w:pPr>
        <w:pStyle w:val="Heading4"/>
      </w:pPr>
      <w:r w:rsidRPr="00B772DC">
        <w:t xml:space="preserve">Zoster (herpes zoster) </w:t>
      </w:r>
      <w:r w:rsidR="005663FF" w:rsidRPr="00B772DC">
        <w:t>vaccine</w:t>
      </w:r>
    </w:p>
    <w:p w14:paraId="27ABD618" w14:textId="47DA8F16" w:rsidR="002A4AB1" w:rsidRPr="00B772DC" w:rsidRDefault="005663FF" w:rsidP="004960E2">
      <w:r w:rsidRPr="00B772DC">
        <w:t xml:space="preserve">Older Australians are eligible to receive the Zostavax vaccine on the NIP </w:t>
      </w:r>
      <w:r w:rsidR="00EC03D6" w:rsidRPr="00B772DC">
        <w:t>at 70</w:t>
      </w:r>
      <w:r w:rsidR="0056740A" w:rsidRPr="00B772DC">
        <w:t> </w:t>
      </w:r>
      <w:r w:rsidR="00EC03D6" w:rsidRPr="00B772DC">
        <w:t>years of age</w:t>
      </w:r>
      <w:r w:rsidRPr="00B772DC">
        <w:t xml:space="preserve">. In 2021, 30.5% of adults had the vaccine before their 71st birthday, which was </w:t>
      </w:r>
      <w:proofErr w:type="gramStart"/>
      <w:r w:rsidRPr="00B772DC">
        <w:t>similar to</w:t>
      </w:r>
      <w:proofErr w:type="gramEnd"/>
      <w:r w:rsidRPr="00B772DC">
        <w:t xml:space="preserve"> previous years (</w:t>
      </w:r>
      <w:r w:rsidR="00061435" w:rsidRPr="00B772DC">
        <w:t>30.9% in 2020 and 31.6% in 2019).</w:t>
      </w:r>
    </w:p>
    <w:p w14:paraId="14E135B9" w14:textId="227EBFE6" w:rsidR="005F1CE3" w:rsidRPr="00B772DC" w:rsidRDefault="006753AE" w:rsidP="004960E2">
      <w:r w:rsidRPr="00B772DC">
        <w:t xml:space="preserve">Mandatory reporting to the AIR </w:t>
      </w:r>
      <w:r w:rsidR="005663FF" w:rsidRPr="00B772DC">
        <w:t xml:space="preserve">for all NIP vaccines </w:t>
      </w:r>
      <w:r w:rsidRPr="00B772DC">
        <w:t xml:space="preserve">started </w:t>
      </w:r>
      <w:r w:rsidR="004960E2" w:rsidRPr="00B772DC">
        <w:t xml:space="preserve">on </w:t>
      </w:r>
      <w:r w:rsidRPr="00B772DC">
        <w:t>1</w:t>
      </w:r>
      <w:r w:rsidR="006F3FB3" w:rsidRPr="00B772DC">
        <w:t> </w:t>
      </w:r>
      <w:r w:rsidRPr="00B772DC">
        <w:t>July 2021. Z</w:t>
      </w:r>
      <w:r w:rsidR="00671B16" w:rsidRPr="00B772DC">
        <w:t xml:space="preserve">oster vaccine coverage </w:t>
      </w:r>
      <w:r w:rsidRPr="00B772DC">
        <w:t xml:space="preserve">may be affected by under-reporting </w:t>
      </w:r>
      <w:r w:rsidR="004960E2" w:rsidRPr="00B772DC">
        <w:t>before</w:t>
      </w:r>
      <w:r w:rsidRPr="00B772DC">
        <w:t xml:space="preserve"> that time</w:t>
      </w:r>
      <w:r w:rsidR="00671B16" w:rsidRPr="00B772DC">
        <w:t xml:space="preserve">. </w:t>
      </w:r>
      <w:r w:rsidR="005663FF" w:rsidRPr="00B772DC">
        <w:t>T</w:t>
      </w:r>
      <w:r w:rsidR="00CB7C78" w:rsidRPr="00B772DC">
        <w:t xml:space="preserve">he impact of </w:t>
      </w:r>
      <w:r w:rsidRPr="00B772DC">
        <w:t xml:space="preserve">mandatory reporting to the AIR </w:t>
      </w:r>
      <w:r w:rsidR="005663FF" w:rsidRPr="00B772DC">
        <w:t xml:space="preserve">on zoster vaccine coverage </w:t>
      </w:r>
      <w:r w:rsidRPr="00B772DC">
        <w:t xml:space="preserve">will </w:t>
      </w:r>
      <w:r w:rsidR="005663FF" w:rsidRPr="00B772DC">
        <w:t xml:space="preserve">continue to </w:t>
      </w:r>
      <w:r w:rsidRPr="00B772DC">
        <w:t>be monitored</w:t>
      </w:r>
      <w:r w:rsidR="0056740A" w:rsidRPr="00B772DC">
        <w:t>.</w:t>
      </w:r>
    </w:p>
    <w:p w14:paraId="59ED539F" w14:textId="03EEC7C8" w:rsidR="00926040" w:rsidRPr="00B772DC" w:rsidRDefault="00926040" w:rsidP="00862550">
      <w:pPr>
        <w:pStyle w:val="Heading3"/>
      </w:pPr>
      <w:bookmarkStart w:id="17" w:name="_Hlk59111517"/>
      <w:r w:rsidRPr="00B772DC">
        <w:t>Important changes to the Australian Immunisation Handbook</w:t>
      </w:r>
      <w:bookmarkEnd w:id="17"/>
    </w:p>
    <w:p w14:paraId="5F5B5032" w14:textId="56073BC5" w:rsidR="00CF5375" w:rsidRPr="00B772DC" w:rsidRDefault="00330D78" w:rsidP="004A4C3D">
      <w:pPr>
        <w:rPr>
          <w:rFonts w:cs="Calibri"/>
          <w:szCs w:val="22"/>
        </w:rPr>
      </w:pPr>
      <w:r w:rsidRPr="00B772DC">
        <w:t>A second zoster vaccine (</w:t>
      </w:r>
      <w:r w:rsidR="009A0E2C" w:rsidRPr="00B772DC">
        <w:t>Shingrix</w:t>
      </w:r>
      <w:r w:rsidRPr="00B772DC">
        <w:t>)</w:t>
      </w:r>
      <w:r w:rsidR="007447B2" w:rsidRPr="00B772DC">
        <w:t xml:space="preserve"> became available in Australia in June 2021.</w:t>
      </w:r>
      <w:r w:rsidR="00992D58" w:rsidRPr="00B772DC">
        <w:rPr>
          <w:rFonts w:cs="Calibri"/>
          <w:szCs w:val="22"/>
        </w:rPr>
        <w:t xml:space="preserve"> </w:t>
      </w:r>
      <w:r w:rsidRPr="00B772DC">
        <w:rPr>
          <w:rFonts w:cs="Calibri"/>
          <w:szCs w:val="22"/>
        </w:rPr>
        <w:t xml:space="preserve">Shingrix has different characteristics to the live </w:t>
      </w:r>
      <w:r w:rsidR="00471DB9" w:rsidRPr="00B772DC">
        <w:rPr>
          <w:rFonts w:cs="Calibri"/>
          <w:szCs w:val="22"/>
        </w:rPr>
        <w:t xml:space="preserve">attenuated </w:t>
      </w:r>
      <w:r w:rsidRPr="00B772DC">
        <w:rPr>
          <w:rFonts w:cs="Calibri"/>
          <w:szCs w:val="22"/>
        </w:rPr>
        <w:t>zoster vaccine (Zostavax)</w:t>
      </w:r>
      <w:r w:rsidR="00B772DC" w:rsidRPr="00B772DC">
        <w:rPr>
          <w:rFonts w:cs="Calibri"/>
          <w:szCs w:val="22"/>
        </w:rPr>
        <w:t xml:space="preserve"> available on the NIP</w:t>
      </w:r>
      <w:r w:rsidRPr="00B772DC">
        <w:rPr>
          <w:rFonts w:cs="Calibri"/>
          <w:szCs w:val="22"/>
        </w:rPr>
        <w:t xml:space="preserve">. </w:t>
      </w:r>
      <w:r w:rsidR="00CF5375" w:rsidRPr="00B772DC">
        <w:rPr>
          <w:color w:val="auto"/>
        </w:rPr>
        <w:t>ATAGI developed a</w:t>
      </w:r>
      <w:hyperlink r:id="rId48" w:history="1">
        <w:r w:rsidR="00757BDE" w:rsidRPr="00B772DC">
          <w:rPr>
            <w:rStyle w:val="Hyperlink"/>
            <w:iCs/>
          </w:rPr>
          <w:t xml:space="preserve"> Statement on the clinical use of zoster vaccines in older adults in Australia</w:t>
        </w:r>
      </w:hyperlink>
      <w:r w:rsidR="00CF5375" w:rsidRPr="00B772DC">
        <w:rPr>
          <w:color w:val="auto"/>
        </w:rPr>
        <w:t xml:space="preserve"> to </w:t>
      </w:r>
      <w:r w:rsidR="007447B2" w:rsidRPr="00B772DC">
        <w:rPr>
          <w:color w:val="auto"/>
        </w:rPr>
        <w:t xml:space="preserve">provide clinical guidance while the </w:t>
      </w:r>
      <w:hyperlink r:id="rId49" w:history="1">
        <w:r w:rsidR="004300B9" w:rsidRPr="00B772DC">
          <w:rPr>
            <w:rStyle w:val="Hyperlink"/>
          </w:rPr>
          <w:t>Handbook</w:t>
        </w:r>
      </w:hyperlink>
      <w:r w:rsidR="004300B9" w:rsidRPr="00B772DC">
        <w:t xml:space="preserve"> </w:t>
      </w:r>
      <w:r w:rsidR="00CF5375" w:rsidRPr="00B772DC">
        <w:rPr>
          <w:color w:val="auto"/>
        </w:rPr>
        <w:t>is being updated</w:t>
      </w:r>
      <w:r w:rsidR="007447B2" w:rsidRPr="00B772DC">
        <w:rPr>
          <w:color w:val="auto"/>
        </w:rPr>
        <w:t>.</w:t>
      </w:r>
    </w:p>
    <w:p w14:paraId="5953EA68" w14:textId="17405CF7" w:rsidR="00290257" w:rsidRPr="00B772DC" w:rsidRDefault="00DD6A7B" w:rsidP="004A4C3D">
      <w:pPr>
        <w:rPr>
          <w:rFonts w:cs="Calibri"/>
          <w:i/>
          <w:iCs/>
          <w:color w:val="auto"/>
          <w:szCs w:val="22"/>
        </w:rPr>
      </w:pPr>
      <w:r w:rsidRPr="00B772DC">
        <w:t xml:space="preserve">The </w:t>
      </w:r>
      <w:hyperlink r:id="rId50" w:history="1">
        <w:r w:rsidR="00290257" w:rsidRPr="00B772DC">
          <w:rPr>
            <w:rStyle w:val="Hyperlink"/>
          </w:rPr>
          <w:t>Rabies and other lyssaviruses chapter</w:t>
        </w:r>
      </w:hyperlink>
      <w:hyperlink r:id="rId51" w:history="1"/>
      <w:r w:rsidR="00290257" w:rsidRPr="00B772DC">
        <w:t xml:space="preserve"> was updated </w:t>
      </w:r>
      <w:r w:rsidR="00330D78" w:rsidRPr="00B772DC">
        <w:t>with</w:t>
      </w:r>
      <w:r w:rsidR="00290257" w:rsidRPr="00B772DC">
        <w:t xml:space="preserve"> new recommendations for pre</w:t>
      </w:r>
      <w:r w:rsidR="00330D78" w:rsidRPr="00B772DC">
        <w:t>-exposure</w:t>
      </w:r>
      <w:r w:rsidR="00290257" w:rsidRPr="00B772DC">
        <w:t xml:space="preserve"> and post</w:t>
      </w:r>
      <w:r w:rsidR="00330D78" w:rsidRPr="00B772DC">
        <w:t>-</w:t>
      </w:r>
      <w:r w:rsidR="00290257" w:rsidRPr="00B772DC">
        <w:t>exposure prophylaxis.</w:t>
      </w:r>
    </w:p>
    <w:p w14:paraId="3427C429" w14:textId="06CF4798" w:rsidR="00926040" w:rsidRPr="00B772DC" w:rsidRDefault="00926040" w:rsidP="001A6409">
      <w:pPr>
        <w:pStyle w:val="Heading3"/>
      </w:pPr>
      <w:r w:rsidRPr="00B772DC">
        <w:lastRenderedPageBreak/>
        <w:t xml:space="preserve">Mandatory reporting to the </w:t>
      </w:r>
      <w:r w:rsidR="00244E9B" w:rsidRPr="00B772DC">
        <w:t>Australian Immunisation Register</w:t>
      </w:r>
    </w:p>
    <w:p w14:paraId="53DD5410" w14:textId="0F5B5A8C" w:rsidR="009E513A" w:rsidRPr="00B772DC" w:rsidRDefault="00637321" w:rsidP="00926040">
      <w:r w:rsidRPr="00B772DC">
        <w:t xml:space="preserve">In February 2021, the </w:t>
      </w:r>
      <w:hyperlink r:id="rId52" w:history="1">
        <w:r w:rsidRPr="00B772DC">
          <w:rPr>
            <w:rStyle w:val="HyperlinkItalics"/>
          </w:rPr>
          <w:t>Australian Immunisation Register Amendment (Reporting) Act 2021</w:t>
        </w:r>
      </w:hyperlink>
      <w:r w:rsidRPr="00B772DC">
        <w:t xml:space="preserve"> came into force. This Act makes it mandatory for all immunisation providers to report all administered doses of vaccines to the AIR.</w:t>
      </w:r>
    </w:p>
    <w:p w14:paraId="3EAD7936" w14:textId="5F338089" w:rsidR="00330D78" w:rsidRPr="00B772DC" w:rsidRDefault="00330D78" w:rsidP="00D7363A">
      <w:r w:rsidRPr="00B772DC">
        <w:t xml:space="preserve">Mandatory reporting helps to ensure that everyone has a complete record of the vaccines they have </w:t>
      </w:r>
      <w:r w:rsidR="003126D6" w:rsidRPr="00B772DC">
        <w:t xml:space="preserve">received </w:t>
      </w:r>
      <w:r w:rsidRPr="00B772DC">
        <w:t xml:space="preserve">throughout their life. This is important to inform individual vaccination decisions, as well as </w:t>
      </w:r>
      <w:r w:rsidR="004A4C3D" w:rsidRPr="00B772DC">
        <w:t xml:space="preserve">to </w:t>
      </w:r>
      <w:r w:rsidR="006B0D82" w:rsidRPr="00B772DC">
        <w:t>enabl</w:t>
      </w:r>
      <w:r w:rsidR="004A4C3D" w:rsidRPr="00B772DC">
        <w:t>e</w:t>
      </w:r>
      <w:r w:rsidR="002C0A50" w:rsidRPr="00B772DC">
        <w:t xml:space="preserve"> </w:t>
      </w:r>
      <w:r w:rsidR="00A03AEE" w:rsidRPr="00B772DC">
        <w:t xml:space="preserve">national </w:t>
      </w:r>
      <w:r w:rsidR="002C0A50" w:rsidRPr="00B772DC">
        <w:t xml:space="preserve">monitoring of </w:t>
      </w:r>
      <w:r w:rsidR="00DA2048">
        <w:t xml:space="preserve">vaccination </w:t>
      </w:r>
      <w:r w:rsidR="002C0A50" w:rsidRPr="00B772DC">
        <w:t>coverage</w:t>
      </w:r>
      <w:r w:rsidR="00DA2048">
        <w:t>,</w:t>
      </w:r>
      <w:r w:rsidR="002C0A50" w:rsidRPr="00B772DC">
        <w:t xml:space="preserve"> administration </w:t>
      </w:r>
      <w:r w:rsidR="00DA2048">
        <w:t>and vaccine safety</w:t>
      </w:r>
      <w:r w:rsidR="00DA2048" w:rsidRPr="00B772DC">
        <w:t xml:space="preserve"> </w:t>
      </w:r>
      <w:r w:rsidR="006B0D82" w:rsidRPr="00B772DC">
        <w:t xml:space="preserve">that is </w:t>
      </w:r>
      <w:r w:rsidR="002C0A50" w:rsidRPr="00B772DC">
        <w:t>based on a complete and reliable dataset</w:t>
      </w:r>
      <w:r w:rsidRPr="00B772DC">
        <w:t>.</w:t>
      </w:r>
    </w:p>
    <w:p w14:paraId="5F12FBA6" w14:textId="6DC5D90E" w:rsidR="00D405A8" w:rsidRPr="00DE14C5" w:rsidRDefault="00D405A8" w:rsidP="00DE14C5">
      <w:pPr>
        <w:pStyle w:val="Heading2"/>
      </w:pPr>
      <w:bookmarkStart w:id="18" w:name="_Toc72165384"/>
      <w:bookmarkStart w:id="19" w:name="_Toc124411473"/>
      <w:bookmarkStart w:id="20" w:name="_Hlk88045550"/>
      <w:r w:rsidRPr="00B772DC">
        <w:t>New vaccines</w:t>
      </w:r>
      <w:bookmarkEnd w:id="18"/>
      <w:bookmarkEnd w:id="19"/>
    </w:p>
    <w:tbl>
      <w:tblPr>
        <w:tblStyle w:val="TableGrid"/>
        <w:tblpPr w:leftFromText="180" w:rightFromText="180" w:vertAnchor="text" w:horzAnchor="margin" w:tblpY="581"/>
        <w:tblW w:w="5000" w:type="pct"/>
        <w:tblLook w:val="04A0" w:firstRow="1" w:lastRow="0" w:firstColumn="1" w:lastColumn="0" w:noHBand="0" w:noVBand="1"/>
        <w:tblCaption w:val="Table showing new vaccine registered in 2021"/>
      </w:tblPr>
      <w:tblGrid>
        <w:gridCol w:w="2193"/>
        <w:gridCol w:w="2854"/>
        <w:gridCol w:w="1874"/>
        <w:gridCol w:w="2095"/>
      </w:tblGrid>
      <w:tr w:rsidR="00A8663E" w:rsidRPr="00B772DC" w14:paraId="7CAD6251" w14:textId="77777777" w:rsidTr="00A8663E">
        <w:trPr>
          <w:tblHeader/>
        </w:trPr>
        <w:tc>
          <w:tcPr>
            <w:tcW w:w="1216" w:type="pct"/>
          </w:tcPr>
          <w:bookmarkEnd w:id="20"/>
          <w:p w14:paraId="5DC8D1B6" w14:textId="77777777" w:rsidR="00A8663E" w:rsidRPr="00B772DC" w:rsidRDefault="00A8663E" w:rsidP="00A8663E">
            <w:pPr>
              <w:pStyle w:val="TableHeading"/>
              <w:rPr>
                <w:sz w:val="22"/>
                <w:szCs w:val="22"/>
              </w:rPr>
            </w:pPr>
            <w:r w:rsidRPr="00B772DC">
              <w:rPr>
                <w:sz w:val="22"/>
                <w:szCs w:val="22"/>
              </w:rPr>
              <w:t>Vaccine brand name</w:t>
            </w:r>
          </w:p>
        </w:tc>
        <w:tc>
          <w:tcPr>
            <w:tcW w:w="1583" w:type="pct"/>
          </w:tcPr>
          <w:p w14:paraId="7C2229CD" w14:textId="77777777" w:rsidR="00A8663E" w:rsidRPr="00B772DC" w:rsidRDefault="00A8663E" w:rsidP="00A8663E">
            <w:pPr>
              <w:pStyle w:val="TableHeading"/>
              <w:rPr>
                <w:sz w:val="22"/>
                <w:szCs w:val="22"/>
              </w:rPr>
            </w:pPr>
            <w:r w:rsidRPr="00B772DC">
              <w:rPr>
                <w:sz w:val="22"/>
                <w:szCs w:val="22"/>
              </w:rPr>
              <w:t>Description</w:t>
            </w:r>
          </w:p>
        </w:tc>
        <w:tc>
          <w:tcPr>
            <w:tcW w:w="1039" w:type="pct"/>
          </w:tcPr>
          <w:p w14:paraId="45AA92E3" w14:textId="77777777" w:rsidR="00A8663E" w:rsidRPr="00B772DC" w:rsidRDefault="00A8663E" w:rsidP="00A8663E">
            <w:pPr>
              <w:pStyle w:val="TableHeading"/>
              <w:rPr>
                <w:sz w:val="22"/>
                <w:szCs w:val="22"/>
              </w:rPr>
            </w:pPr>
            <w:r w:rsidRPr="00B772DC">
              <w:rPr>
                <w:sz w:val="22"/>
                <w:szCs w:val="22"/>
              </w:rPr>
              <w:t>Protects against</w:t>
            </w:r>
          </w:p>
        </w:tc>
        <w:tc>
          <w:tcPr>
            <w:tcW w:w="1162" w:type="pct"/>
          </w:tcPr>
          <w:p w14:paraId="3BD1DA38" w14:textId="788795A2" w:rsidR="00A8663E" w:rsidRPr="00B772DC" w:rsidRDefault="00A8663E" w:rsidP="00A8663E">
            <w:pPr>
              <w:pStyle w:val="TableHeading"/>
              <w:rPr>
                <w:sz w:val="22"/>
                <w:szCs w:val="22"/>
              </w:rPr>
            </w:pPr>
            <w:r w:rsidRPr="00B772DC">
              <w:rPr>
                <w:sz w:val="22"/>
                <w:szCs w:val="22"/>
              </w:rPr>
              <w:t>For use in ages</w:t>
            </w:r>
          </w:p>
        </w:tc>
      </w:tr>
      <w:tr w:rsidR="00A8663E" w:rsidRPr="00B772DC" w14:paraId="08A74B08" w14:textId="77777777" w:rsidTr="00A8663E">
        <w:tc>
          <w:tcPr>
            <w:tcW w:w="1216" w:type="pct"/>
          </w:tcPr>
          <w:p w14:paraId="22A1C4AC" w14:textId="77777777" w:rsidR="00A8663E" w:rsidRPr="00B772DC" w:rsidDel="00FE46E3" w:rsidRDefault="00A8663E" w:rsidP="00A8663E">
            <w:pPr>
              <w:pStyle w:val="TableText"/>
              <w:rPr>
                <w:sz w:val="22"/>
                <w:szCs w:val="22"/>
              </w:rPr>
            </w:pPr>
            <w:proofErr w:type="spellStart"/>
            <w:r w:rsidRPr="00B772DC">
              <w:rPr>
                <w:sz w:val="22"/>
                <w:szCs w:val="22"/>
              </w:rPr>
              <w:t>Flublok</w:t>
            </w:r>
            <w:proofErr w:type="spellEnd"/>
            <w:r w:rsidRPr="00B772DC">
              <w:rPr>
                <w:sz w:val="22"/>
                <w:szCs w:val="22"/>
              </w:rPr>
              <w:t xml:space="preserve"> Quadrivalent</w:t>
            </w:r>
          </w:p>
        </w:tc>
        <w:tc>
          <w:tcPr>
            <w:tcW w:w="1583" w:type="pct"/>
          </w:tcPr>
          <w:p w14:paraId="3302CF14" w14:textId="77777777" w:rsidR="00A8663E" w:rsidRPr="00B772DC" w:rsidRDefault="00A8663E" w:rsidP="00A8663E">
            <w:pPr>
              <w:pStyle w:val="TableText"/>
              <w:rPr>
                <w:sz w:val="22"/>
                <w:szCs w:val="22"/>
              </w:rPr>
            </w:pPr>
            <w:r w:rsidRPr="00B772DC">
              <w:rPr>
                <w:sz w:val="22"/>
                <w:szCs w:val="22"/>
              </w:rPr>
              <w:t>Quadrivalent recombinant influenza vaccine</w:t>
            </w:r>
          </w:p>
        </w:tc>
        <w:tc>
          <w:tcPr>
            <w:tcW w:w="1039" w:type="pct"/>
          </w:tcPr>
          <w:p w14:paraId="0DCF0EE1" w14:textId="77777777" w:rsidR="00A8663E" w:rsidRPr="00B772DC" w:rsidRDefault="00A8663E" w:rsidP="00A8663E">
            <w:pPr>
              <w:pStyle w:val="TableText"/>
              <w:rPr>
                <w:sz w:val="22"/>
                <w:szCs w:val="22"/>
              </w:rPr>
            </w:pPr>
            <w:r w:rsidRPr="00B772DC">
              <w:rPr>
                <w:sz w:val="22"/>
                <w:szCs w:val="22"/>
              </w:rPr>
              <w:t>Influenza</w:t>
            </w:r>
          </w:p>
        </w:tc>
        <w:tc>
          <w:tcPr>
            <w:tcW w:w="1162" w:type="pct"/>
          </w:tcPr>
          <w:p w14:paraId="5B7A94B2" w14:textId="77777777" w:rsidR="00A8663E" w:rsidRPr="00B772DC" w:rsidRDefault="00A8663E" w:rsidP="00A8663E">
            <w:pPr>
              <w:pStyle w:val="TableText"/>
              <w:rPr>
                <w:sz w:val="22"/>
                <w:szCs w:val="22"/>
              </w:rPr>
            </w:pPr>
            <w:r w:rsidRPr="00B772DC">
              <w:rPr>
                <w:sz w:val="22"/>
                <w:szCs w:val="22"/>
              </w:rPr>
              <w:t>≥18 years</w:t>
            </w:r>
          </w:p>
        </w:tc>
      </w:tr>
    </w:tbl>
    <w:p w14:paraId="6E60FA6C" w14:textId="714ED67E" w:rsidR="00A8663E" w:rsidRPr="00B772DC" w:rsidRDefault="001044BA" w:rsidP="00A8663E">
      <w:pPr>
        <w:rPr>
          <w:szCs w:val="22"/>
        </w:rPr>
      </w:pPr>
      <w:r w:rsidRPr="00B772DC">
        <w:rPr>
          <w:szCs w:val="22"/>
        </w:rPr>
        <w:t>One n</w:t>
      </w:r>
      <w:r w:rsidR="00926040" w:rsidRPr="00B772DC">
        <w:rPr>
          <w:szCs w:val="22"/>
        </w:rPr>
        <w:t xml:space="preserve">ew vaccine </w:t>
      </w:r>
      <w:r w:rsidR="003F16E5" w:rsidRPr="00B772DC">
        <w:rPr>
          <w:szCs w:val="22"/>
        </w:rPr>
        <w:t>(other than COVID</w:t>
      </w:r>
      <w:r w:rsidR="006317ED" w:rsidRPr="00B772DC">
        <w:rPr>
          <w:szCs w:val="22"/>
        </w:rPr>
        <w:noBreakHyphen/>
      </w:r>
      <w:r w:rsidR="003F16E5" w:rsidRPr="00B772DC">
        <w:rPr>
          <w:szCs w:val="22"/>
        </w:rPr>
        <w:t xml:space="preserve">19 vaccines) </w:t>
      </w:r>
      <w:r w:rsidR="0086604A" w:rsidRPr="00B772DC">
        <w:rPr>
          <w:szCs w:val="22"/>
        </w:rPr>
        <w:t>w</w:t>
      </w:r>
      <w:r w:rsidRPr="00B772DC">
        <w:rPr>
          <w:szCs w:val="22"/>
        </w:rPr>
        <w:t>as</w:t>
      </w:r>
      <w:r w:rsidR="0086604A" w:rsidRPr="00B772DC">
        <w:rPr>
          <w:szCs w:val="22"/>
        </w:rPr>
        <w:t xml:space="preserve"> </w:t>
      </w:r>
      <w:r w:rsidR="00926040" w:rsidRPr="00B772DC">
        <w:rPr>
          <w:szCs w:val="22"/>
        </w:rPr>
        <w:t xml:space="preserve">registered with </w:t>
      </w:r>
      <w:r w:rsidR="00757BDE" w:rsidRPr="00B772DC">
        <w:rPr>
          <w:szCs w:val="22"/>
        </w:rPr>
        <w:t>the</w:t>
      </w:r>
      <w:r w:rsidR="00926040" w:rsidRPr="00B772DC">
        <w:rPr>
          <w:szCs w:val="22"/>
        </w:rPr>
        <w:t xml:space="preserve"> TGA in </w:t>
      </w:r>
      <w:r w:rsidR="0086604A" w:rsidRPr="00B772DC">
        <w:rPr>
          <w:szCs w:val="22"/>
        </w:rPr>
        <w:t>202</w:t>
      </w:r>
      <w:r w:rsidR="00A4266D" w:rsidRPr="00B772DC">
        <w:rPr>
          <w:szCs w:val="22"/>
        </w:rPr>
        <w:t>1</w:t>
      </w:r>
      <w:r w:rsidR="00926040" w:rsidRPr="00B772DC">
        <w:rPr>
          <w:szCs w:val="22"/>
        </w:rPr>
        <w:t>.</w:t>
      </w:r>
    </w:p>
    <w:p w14:paraId="3D4A5CB8" w14:textId="4C99A98F" w:rsidR="002630D8" w:rsidRPr="00B772DC" w:rsidRDefault="002630D8" w:rsidP="00857D5C">
      <w:pPr>
        <w:pStyle w:val="TFIHolderSpace"/>
      </w:pPr>
    </w:p>
    <w:p w14:paraId="0B276612" w14:textId="6B763E95" w:rsidR="00103D47" w:rsidRPr="00B772DC" w:rsidRDefault="009F67E4" w:rsidP="00A8663E">
      <w:pPr>
        <w:rPr>
          <w:szCs w:val="22"/>
        </w:rPr>
      </w:pPr>
      <w:r w:rsidRPr="00B772DC">
        <w:rPr>
          <w:szCs w:val="22"/>
        </w:rPr>
        <w:t>ATAGI monitors new vaccines for their potential to be included on the NIP. Vaccines recommended for the NIP need to show benefits for the Australian population or high-risk groups</w:t>
      </w:r>
      <w:r w:rsidR="00807E98" w:rsidRPr="00B772DC">
        <w:rPr>
          <w:szCs w:val="22"/>
        </w:rPr>
        <w:t>.</w:t>
      </w:r>
      <w:r w:rsidRPr="00B772DC">
        <w:rPr>
          <w:szCs w:val="22"/>
        </w:rPr>
        <w:t xml:space="preserve"> </w:t>
      </w:r>
      <w:r w:rsidR="00807E98" w:rsidRPr="00B772DC">
        <w:rPr>
          <w:szCs w:val="22"/>
        </w:rPr>
        <w:t>They also</w:t>
      </w:r>
      <w:r w:rsidRPr="00B772DC">
        <w:rPr>
          <w:szCs w:val="22"/>
        </w:rPr>
        <w:t xml:space="preserve"> need to be cost-effective</w:t>
      </w:r>
      <w:r w:rsidR="00532D3F" w:rsidRPr="00B772DC">
        <w:rPr>
          <w:szCs w:val="22"/>
        </w:rPr>
        <w:t>.</w:t>
      </w:r>
    </w:p>
    <w:p w14:paraId="35C8C12E" w14:textId="5A24E3DF" w:rsidR="00D405A8" w:rsidRPr="00B772DC" w:rsidRDefault="00D405A8" w:rsidP="00D405A8">
      <w:pPr>
        <w:pStyle w:val="Heading2"/>
      </w:pPr>
      <w:bookmarkStart w:id="21" w:name="_Toc72165385"/>
      <w:bookmarkStart w:id="22" w:name="_Toc124411474"/>
      <w:r w:rsidRPr="00B772DC">
        <w:t>Vaccine safety</w:t>
      </w:r>
      <w:bookmarkEnd w:id="21"/>
      <w:bookmarkEnd w:id="22"/>
    </w:p>
    <w:p w14:paraId="57032CD2" w14:textId="3A144E3C" w:rsidR="00716B93" w:rsidRPr="00B772DC" w:rsidRDefault="00D24DC7" w:rsidP="00716B93">
      <w:pPr>
        <w:pStyle w:val="NormalBeforeBullet"/>
      </w:pPr>
      <w:r w:rsidRPr="00B772DC">
        <w:t>The TGA has overall responsibility for</w:t>
      </w:r>
      <w:r w:rsidR="00103D47" w:rsidRPr="00B772DC">
        <w:t xml:space="preserve"> </w:t>
      </w:r>
      <w:r w:rsidR="00926040" w:rsidRPr="00B772DC">
        <w:t>vaccine safety surveillance</w:t>
      </w:r>
      <w:r w:rsidRPr="00B772DC">
        <w:t xml:space="preserve"> in Australia.</w:t>
      </w:r>
      <w:r w:rsidR="00716B93" w:rsidRPr="00B772DC">
        <w:t xml:space="preserve"> </w:t>
      </w:r>
      <w:r w:rsidRPr="00B772DC">
        <w:t xml:space="preserve">Vaccine safety surveillance is conducted </w:t>
      </w:r>
      <w:r w:rsidR="00716B93" w:rsidRPr="00B772DC">
        <w:t>in 2 ways</w:t>
      </w:r>
      <w:r w:rsidR="00C37A76">
        <w:t xml:space="preserve"> by states and territories</w:t>
      </w:r>
      <w:r w:rsidR="00027AD9">
        <w:t xml:space="preserve"> in collaboration with the TGA</w:t>
      </w:r>
      <w:r w:rsidR="00716B93" w:rsidRPr="00B772DC">
        <w:t>:</w:t>
      </w:r>
    </w:p>
    <w:p w14:paraId="4FBB4807" w14:textId="6FF54E75" w:rsidR="00716B93" w:rsidRPr="00B772DC" w:rsidRDefault="00E11AD7" w:rsidP="00716B93">
      <w:pPr>
        <w:pStyle w:val="Bullet"/>
      </w:pPr>
      <w:r w:rsidRPr="00B772DC">
        <w:t>Spontaneous (p</w:t>
      </w:r>
      <w:r w:rsidR="00716B93" w:rsidRPr="00B772DC">
        <w:t>assive</w:t>
      </w:r>
      <w:r w:rsidRPr="00B772DC">
        <w:t>)</w:t>
      </w:r>
      <w:r w:rsidR="00716B93" w:rsidRPr="00B772DC">
        <w:t xml:space="preserve"> surveillance</w:t>
      </w:r>
      <w:r w:rsidR="00D24DC7" w:rsidRPr="00B772DC">
        <w:t xml:space="preserve"> is</w:t>
      </w:r>
      <w:r w:rsidR="00716B93" w:rsidRPr="00B772DC">
        <w:t xml:space="preserve"> where </w:t>
      </w:r>
      <w:r w:rsidR="00D405A1" w:rsidRPr="00B772DC">
        <w:t xml:space="preserve">people who have been vaccinated </w:t>
      </w:r>
      <w:r w:rsidR="00D24DC7" w:rsidRPr="00B772DC">
        <w:t xml:space="preserve">and/or their carers </w:t>
      </w:r>
      <w:r w:rsidR="00033998" w:rsidRPr="00B772DC">
        <w:t xml:space="preserve">can </w:t>
      </w:r>
      <w:hyperlink r:id="rId53" w:history="1">
        <w:r w:rsidR="00033998" w:rsidRPr="00B772DC">
          <w:rPr>
            <w:rStyle w:val="Hyperlink"/>
          </w:rPr>
          <w:t>report any vaccine side effects</w:t>
        </w:r>
      </w:hyperlink>
      <w:r w:rsidR="00716B93" w:rsidRPr="00B772DC">
        <w:t xml:space="preserve"> they have experienced</w:t>
      </w:r>
      <w:r w:rsidR="00033998" w:rsidRPr="00B772DC">
        <w:t>.</w:t>
      </w:r>
      <w:r w:rsidR="00D405A1" w:rsidRPr="00B772DC">
        <w:t xml:space="preserve"> </w:t>
      </w:r>
      <w:r w:rsidR="00D24DC7" w:rsidRPr="00B772DC">
        <w:t xml:space="preserve">Reports </w:t>
      </w:r>
      <w:r w:rsidR="00E11E56" w:rsidRPr="00B772DC">
        <w:t xml:space="preserve">are usually made to the </w:t>
      </w:r>
      <w:r w:rsidR="00E40769" w:rsidRPr="00B772DC">
        <w:t>jurisdictional</w:t>
      </w:r>
      <w:r w:rsidR="00E11E56" w:rsidRPr="00B772DC">
        <w:t xml:space="preserve"> vaccine safety </w:t>
      </w:r>
      <w:proofErr w:type="gramStart"/>
      <w:r w:rsidR="00E11E56" w:rsidRPr="00B772DC">
        <w:t>services, but</w:t>
      </w:r>
      <w:proofErr w:type="gramEnd"/>
      <w:r w:rsidR="00E11E56" w:rsidRPr="00B772DC">
        <w:t xml:space="preserve"> can also </w:t>
      </w:r>
      <w:r w:rsidR="00D24DC7" w:rsidRPr="00B772DC">
        <w:t>be made</w:t>
      </w:r>
      <w:r w:rsidR="00033998" w:rsidRPr="00B772DC">
        <w:t xml:space="preserve"> </w:t>
      </w:r>
      <w:r w:rsidR="00D405A1" w:rsidRPr="00B772DC">
        <w:t xml:space="preserve">directly </w:t>
      </w:r>
      <w:r w:rsidR="00033998" w:rsidRPr="00B772DC">
        <w:t>to the TGA</w:t>
      </w:r>
      <w:r w:rsidR="004C4E55" w:rsidRPr="00B772DC">
        <w:t xml:space="preserve"> or</w:t>
      </w:r>
      <w:r w:rsidR="00033998" w:rsidRPr="00B772DC">
        <w:t xml:space="preserve"> </w:t>
      </w:r>
      <w:r w:rsidR="00D405A1" w:rsidRPr="00B772DC">
        <w:t xml:space="preserve">through </w:t>
      </w:r>
      <w:r w:rsidR="00D24DC7" w:rsidRPr="00B772DC">
        <w:t>a</w:t>
      </w:r>
      <w:r w:rsidR="00D405A1" w:rsidRPr="00B772DC">
        <w:t xml:space="preserve"> health</w:t>
      </w:r>
      <w:r w:rsidR="00033998" w:rsidRPr="00B772DC">
        <w:t xml:space="preserve"> </w:t>
      </w:r>
      <w:r w:rsidR="00D405A1" w:rsidRPr="00B772DC">
        <w:t>care provider</w:t>
      </w:r>
      <w:r w:rsidR="00033998" w:rsidRPr="00B772DC">
        <w:t>.</w:t>
      </w:r>
    </w:p>
    <w:p w14:paraId="14317C9E" w14:textId="31E16D5D" w:rsidR="00716B93" w:rsidRPr="00B772DC" w:rsidRDefault="00D24DC7" w:rsidP="00537371">
      <w:pPr>
        <w:pStyle w:val="BulletLast"/>
      </w:pPr>
      <w:r w:rsidRPr="00B772DC">
        <w:t>A</w:t>
      </w:r>
      <w:r w:rsidR="00716B93" w:rsidRPr="00B772DC">
        <w:t>ctive surveillance</w:t>
      </w:r>
      <w:r w:rsidRPr="00B772DC">
        <w:t xml:space="preserve"> is</w:t>
      </w:r>
      <w:r w:rsidR="00716B93" w:rsidRPr="00B772DC">
        <w:t xml:space="preserve"> where </w:t>
      </w:r>
      <w:r w:rsidR="00D405A1" w:rsidRPr="00B772DC">
        <w:t>people who have been vaccinated</w:t>
      </w:r>
      <w:r w:rsidR="006B20B6" w:rsidRPr="00B772DC">
        <w:t xml:space="preserve"> </w:t>
      </w:r>
      <w:r w:rsidRPr="00B772DC">
        <w:t xml:space="preserve">and/or their </w:t>
      </w:r>
      <w:proofErr w:type="spellStart"/>
      <w:r w:rsidRPr="00B772DC">
        <w:t>carers</w:t>
      </w:r>
      <w:proofErr w:type="spellEnd"/>
      <w:r w:rsidRPr="00B772DC">
        <w:t xml:space="preserve"> </w:t>
      </w:r>
      <w:r w:rsidR="006B20B6" w:rsidRPr="00B772DC">
        <w:t>are contacted</w:t>
      </w:r>
      <w:r w:rsidR="00716B93" w:rsidRPr="00B772DC">
        <w:t xml:space="preserve"> </w:t>
      </w:r>
      <w:r w:rsidRPr="00B772DC">
        <w:t>directly and asked</w:t>
      </w:r>
      <w:r w:rsidR="00716B93" w:rsidRPr="00B772DC">
        <w:t xml:space="preserve"> if they have experienced any vaccine </w:t>
      </w:r>
      <w:r w:rsidR="006B20B6" w:rsidRPr="00B772DC">
        <w:t>side effects</w:t>
      </w:r>
      <w:r w:rsidR="00716B93" w:rsidRPr="00B772DC">
        <w:t>.</w:t>
      </w:r>
      <w:r w:rsidR="006B20B6" w:rsidRPr="00B772DC">
        <w:t xml:space="preserve"> </w:t>
      </w:r>
      <w:r w:rsidRPr="00B772DC">
        <w:t>The current</w:t>
      </w:r>
      <w:r w:rsidR="006B20B6" w:rsidRPr="00B772DC">
        <w:t xml:space="preserve"> active </w:t>
      </w:r>
      <w:r w:rsidR="00D10C9D" w:rsidRPr="00B772DC">
        <w:t xml:space="preserve">vaccine safety </w:t>
      </w:r>
      <w:r w:rsidR="006B20B6" w:rsidRPr="00B772DC">
        <w:t xml:space="preserve">surveillance is </w:t>
      </w:r>
      <w:r w:rsidR="00D10C9D" w:rsidRPr="00B772DC">
        <w:t xml:space="preserve">known as </w:t>
      </w:r>
      <w:r w:rsidR="006B20B6" w:rsidRPr="00B772DC">
        <w:t xml:space="preserve">the </w:t>
      </w:r>
      <w:hyperlink r:id="rId54" w:history="1">
        <w:proofErr w:type="spellStart"/>
        <w:r w:rsidR="006B20B6" w:rsidRPr="00B772DC">
          <w:rPr>
            <w:rStyle w:val="Hyperlink"/>
          </w:rPr>
          <w:t>AusVaxSafety</w:t>
        </w:r>
        <w:proofErr w:type="spellEnd"/>
        <w:r w:rsidR="006B20B6" w:rsidRPr="00B772DC">
          <w:rPr>
            <w:rStyle w:val="Hyperlink"/>
          </w:rPr>
          <w:t xml:space="preserve"> system</w:t>
        </w:r>
      </w:hyperlink>
      <w:r w:rsidR="007E7937" w:rsidRPr="00B772DC">
        <w:t>.</w:t>
      </w:r>
    </w:p>
    <w:p w14:paraId="616334B5" w14:textId="55D6F7F0" w:rsidR="00926040" w:rsidRPr="00B772DC" w:rsidRDefault="004A7E84" w:rsidP="00926040">
      <w:pPr>
        <w:rPr>
          <w:iCs/>
        </w:rPr>
      </w:pPr>
      <w:r w:rsidRPr="00B772DC">
        <w:t>A</w:t>
      </w:r>
      <w:r w:rsidR="00E11AD7" w:rsidRPr="00B772DC">
        <w:t xml:space="preserve">ctive and passive </w:t>
      </w:r>
      <w:r w:rsidRPr="00B772DC">
        <w:t xml:space="preserve">vaccine safety </w:t>
      </w:r>
      <w:r w:rsidR="00E11AD7" w:rsidRPr="00B772DC">
        <w:t xml:space="preserve">surveillance </w:t>
      </w:r>
      <w:r w:rsidR="009A0E2C" w:rsidRPr="00B772DC">
        <w:t>activities</w:t>
      </w:r>
      <w:r w:rsidR="00E11AD7" w:rsidRPr="00B772DC">
        <w:t xml:space="preserve"> </w:t>
      </w:r>
      <w:r w:rsidRPr="00B772DC">
        <w:t xml:space="preserve">are now integrated </w:t>
      </w:r>
      <w:r w:rsidR="00E11AD7" w:rsidRPr="00B772DC">
        <w:t xml:space="preserve">in most </w:t>
      </w:r>
      <w:r w:rsidRPr="00B772DC">
        <w:t>states and territories.</w:t>
      </w:r>
      <w:r w:rsidR="00E11AD7" w:rsidRPr="00B772DC">
        <w:t xml:space="preserve"> </w:t>
      </w:r>
      <w:r w:rsidRPr="00B772DC">
        <w:t>A</w:t>
      </w:r>
      <w:r w:rsidR="00E11AD7" w:rsidRPr="00B772DC">
        <w:t xml:space="preserve">ll </w:t>
      </w:r>
      <w:r w:rsidRPr="00B772DC">
        <w:t xml:space="preserve">reports of </w:t>
      </w:r>
      <w:r w:rsidR="00E11AD7" w:rsidRPr="00B772DC">
        <w:t xml:space="preserve">serious </w:t>
      </w:r>
      <w:r w:rsidRPr="00B772DC">
        <w:t>adverse events following immunisation are</w:t>
      </w:r>
      <w:r w:rsidR="00E11AD7" w:rsidRPr="00B772DC">
        <w:t xml:space="preserve"> </w:t>
      </w:r>
      <w:r w:rsidR="009A0E2C" w:rsidRPr="00B772DC">
        <w:t>forwarded</w:t>
      </w:r>
      <w:r w:rsidR="00E11AD7" w:rsidRPr="00B772DC">
        <w:t xml:space="preserve"> to the TGA.</w:t>
      </w:r>
      <w:r w:rsidR="00926040" w:rsidRPr="00B772DC">
        <w:rPr>
          <w:iCs/>
        </w:rPr>
        <w:t>ATAGI continue</w:t>
      </w:r>
      <w:r w:rsidR="00D10C9D" w:rsidRPr="00B772DC">
        <w:rPr>
          <w:iCs/>
        </w:rPr>
        <w:t>s</w:t>
      </w:r>
      <w:r w:rsidR="00926040" w:rsidRPr="00B772DC">
        <w:rPr>
          <w:iCs/>
        </w:rPr>
        <w:t xml:space="preserve"> to work closely with the TGA to advise </w:t>
      </w:r>
      <w:r w:rsidR="009F67E4" w:rsidRPr="00B772DC">
        <w:rPr>
          <w:iCs/>
        </w:rPr>
        <w:t xml:space="preserve">on </w:t>
      </w:r>
      <w:r w:rsidR="00926040" w:rsidRPr="00B772DC">
        <w:rPr>
          <w:iCs/>
        </w:rPr>
        <w:t xml:space="preserve">and promote the safe use of all vaccines, including </w:t>
      </w:r>
      <w:r w:rsidR="008F12C1" w:rsidRPr="00B772DC">
        <w:rPr>
          <w:iCs/>
        </w:rPr>
        <w:t>COVID</w:t>
      </w:r>
      <w:r w:rsidR="008F12C1" w:rsidRPr="00B772DC">
        <w:rPr>
          <w:iCs/>
        </w:rPr>
        <w:noBreakHyphen/>
        <w:t>19</w:t>
      </w:r>
      <w:r w:rsidR="00926040" w:rsidRPr="00B772DC">
        <w:rPr>
          <w:iCs/>
        </w:rPr>
        <w:t xml:space="preserve"> vaccines</w:t>
      </w:r>
      <w:r w:rsidRPr="00B772DC">
        <w:rPr>
          <w:iCs/>
        </w:rPr>
        <w:t>.</w:t>
      </w:r>
    </w:p>
    <w:p w14:paraId="35E9F186" w14:textId="77777777" w:rsidR="00926040" w:rsidRPr="00B772DC" w:rsidRDefault="00926040" w:rsidP="00862550">
      <w:pPr>
        <w:pStyle w:val="Heading3"/>
      </w:pPr>
      <w:r w:rsidRPr="00B772DC">
        <w:t>Safe use of Zostavax</w:t>
      </w:r>
    </w:p>
    <w:p w14:paraId="50489E4E" w14:textId="71F2A4DC" w:rsidR="00F73AC6" w:rsidRPr="00B772DC" w:rsidRDefault="00D4234C" w:rsidP="004A7E84">
      <w:r w:rsidRPr="00B772DC">
        <w:t>Zostavax is a vaccine that protects</w:t>
      </w:r>
      <w:r w:rsidRPr="00B772DC" w:rsidDel="00D4234C">
        <w:t xml:space="preserve"> </w:t>
      </w:r>
      <w:r w:rsidR="00F479BC" w:rsidRPr="00B772DC">
        <w:t xml:space="preserve">older Australians from </w:t>
      </w:r>
      <w:r w:rsidRPr="00B772DC">
        <w:t>shingles (</w:t>
      </w:r>
      <w:r w:rsidR="00F479BC" w:rsidRPr="00B772DC">
        <w:t>herpes zoster</w:t>
      </w:r>
      <w:r w:rsidRPr="00B772DC">
        <w:t>)</w:t>
      </w:r>
      <w:r w:rsidR="00F479BC" w:rsidRPr="00B772DC">
        <w:t xml:space="preserve"> and its complications. </w:t>
      </w:r>
      <w:r w:rsidR="004A7E84" w:rsidRPr="00B772DC">
        <w:t>Zostavax has been associated with serious adverse events</w:t>
      </w:r>
      <w:r w:rsidR="00B26255" w:rsidRPr="00B772DC">
        <w:t xml:space="preserve">, leading to several </w:t>
      </w:r>
      <w:hyperlink r:id="rId55" w:anchor=":~:text=The%20TGA%20has%20published%20safety,of%20registration%20imposed%20in%20by" w:history="1">
        <w:r w:rsidR="00B26255" w:rsidRPr="00B772DC">
          <w:rPr>
            <w:rStyle w:val="Hyperlink"/>
          </w:rPr>
          <w:t>TGA safety advisories</w:t>
        </w:r>
      </w:hyperlink>
      <w:r w:rsidR="00B26255" w:rsidRPr="00B772DC">
        <w:t xml:space="preserve">, a </w:t>
      </w:r>
      <w:hyperlink r:id="rId56" w:history="1">
        <w:r w:rsidR="00B26255" w:rsidRPr="00B772DC">
          <w:rPr>
            <w:rStyle w:val="Hyperlink"/>
          </w:rPr>
          <w:t>safety alert from the Chief Medical Officer</w:t>
        </w:r>
      </w:hyperlink>
      <w:r w:rsidR="00B26255" w:rsidRPr="00B772DC">
        <w:t xml:space="preserve"> and </w:t>
      </w:r>
      <w:hyperlink r:id="rId57" w:history="1">
        <w:r w:rsidR="00B26255" w:rsidRPr="00B772DC">
          <w:rPr>
            <w:rStyle w:val="Hyperlink"/>
          </w:rPr>
          <w:t>updates to the Handbook</w:t>
        </w:r>
      </w:hyperlink>
      <w:r w:rsidR="00B26255" w:rsidRPr="00B772DC">
        <w:t>.</w:t>
      </w:r>
    </w:p>
    <w:p w14:paraId="29646FA0" w14:textId="5394000F" w:rsidR="00F73AC6" w:rsidRPr="00B772DC" w:rsidRDefault="00B26255" w:rsidP="004A7E84">
      <w:r w:rsidRPr="00B772DC">
        <w:t>In</w:t>
      </w:r>
      <w:r w:rsidR="00C97901" w:rsidRPr="00B772DC">
        <w:t xml:space="preserve"> June 2021, the TGA required</w:t>
      </w:r>
      <w:r w:rsidR="00F73AC6" w:rsidRPr="00B772DC">
        <w:t xml:space="preserve"> </w:t>
      </w:r>
      <w:hyperlink r:id="rId58" w:history="1">
        <w:r w:rsidR="00F73AC6" w:rsidRPr="00B772DC">
          <w:rPr>
            <w:rStyle w:val="Hyperlink"/>
          </w:rPr>
          <w:t>new safety measures</w:t>
        </w:r>
      </w:hyperlink>
      <w:r w:rsidR="00C97901" w:rsidRPr="00B772DC">
        <w:t xml:space="preserve"> </w:t>
      </w:r>
      <w:r w:rsidRPr="00B772DC">
        <w:t xml:space="preserve">for Zostavax </w:t>
      </w:r>
      <w:r w:rsidR="00C97901" w:rsidRPr="00B772DC">
        <w:t xml:space="preserve">to address the </w:t>
      </w:r>
      <w:r w:rsidR="00C6565A" w:rsidRPr="00B772DC">
        <w:t xml:space="preserve">very rare but </w:t>
      </w:r>
      <w:r w:rsidR="00B772DC" w:rsidRPr="00B772DC">
        <w:t>serious</w:t>
      </w:r>
      <w:r w:rsidR="00C6565A" w:rsidRPr="00B772DC">
        <w:t xml:space="preserve"> </w:t>
      </w:r>
      <w:r w:rsidR="00C97901" w:rsidRPr="00B772DC">
        <w:t xml:space="preserve">risk of fatal </w:t>
      </w:r>
      <w:r w:rsidR="000E1071" w:rsidRPr="00B772DC">
        <w:t>infection caused by th</w:t>
      </w:r>
      <w:r w:rsidR="0071545D" w:rsidRPr="00B772DC">
        <w:t>is live</w:t>
      </w:r>
      <w:r w:rsidR="000E1071" w:rsidRPr="00B772DC">
        <w:t xml:space="preserve"> vaccine (called </w:t>
      </w:r>
      <w:r w:rsidR="00C97901" w:rsidRPr="00B772DC">
        <w:t>disseminated vaccine strain varicella-zoster virus infection</w:t>
      </w:r>
      <w:r w:rsidR="000E1071" w:rsidRPr="00B772DC">
        <w:t>)</w:t>
      </w:r>
      <w:r w:rsidR="00C6565A" w:rsidRPr="00B772DC">
        <w:t xml:space="preserve"> in people with weakened immune system</w:t>
      </w:r>
      <w:r w:rsidR="00B772DC" w:rsidRPr="00B772DC">
        <w:t>s</w:t>
      </w:r>
      <w:r w:rsidR="00C6565A" w:rsidRPr="00B772DC">
        <w:t xml:space="preserve"> (immunocompromise)</w:t>
      </w:r>
      <w:r w:rsidR="00130F88" w:rsidRPr="00B772DC">
        <w:t>.</w:t>
      </w:r>
      <w:r w:rsidR="00F73AC6" w:rsidRPr="00B772DC">
        <w:t xml:space="preserve"> </w:t>
      </w:r>
      <w:r w:rsidR="00CF5F6D" w:rsidRPr="00B772DC">
        <w:t>ATAGI continued to assess options to ensure the safe use of this vaccine throughout 2021.</w:t>
      </w:r>
    </w:p>
    <w:p w14:paraId="349EC823" w14:textId="77777777" w:rsidR="00926040" w:rsidRPr="00B772DC" w:rsidRDefault="00926040" w:rsidP="00862550">
      <w:pPr>
        <w:pStyle w:val="Heading3"/>
      </w:pPr>
      <w:r w:rsidRPr="00B772DC">
        <w:lastRenderedPageBreak/>
        <w:t>Influenza vaccines</w:t>
      </w:r>
    </w:p>
    <w:p w14:paraId="4A70A594" w14:textId="7E5FC691" w:rsidR="00926040" w:rsidRPr="00BC6053" w:rsidRDefault="00561CB4" w:rsidP="00BC6053">
      <w:hyperlink r:id="rId59" w:history="1">
        <w:proofErr w:type="spellStart"/>
        <w:r w:rsidR="00926040" w:rsidRPr="00B772DC">
          <w:rPr>
            <w:rStyle w:val="Hyperlink"/>
            <w:iCs/>
          </w:rPr>
          <w:t>AusVaxSafety</w:t>
        </w:r>
        <w:proofErr w:type="spellEnd"/>
        <w:r w:rsidR="00926040" w:rsidRPr="00B772DC">
          <w:rPr>
            <w:rStyle w:val="Hyperlink"/>
            <w:iCs/>
          </w:rPr>
          <w:t xml:space="preserve"> data</w:t>
        </w:r>
      </w:hyperlink>
      <w:r w:rsidR="00B7618E" w:rsidRPr="00B772DC">
        <w:rPr>
          <w:rStyle w:val="Hyperlink"/>
          <w:iCs/>
        </w:rPr>
        <w:t xml:space="preserve"> </w:t>
      </w:r>
      <w:r w:rsidR="002B4A8C" w:rsidRPr="00B772DC">
        <w:rPr>
          <w:iCs/>
        </w:rPr>
        <w:t xml:space="preserve">show </w:t>
      </w:r>
      <w:r w:rsidR="00926040" w:rsidRPr="00B772DC">
        <w:rPr>
          <w:iCs/>
        </w:rPr>
        <w:t>that 202</w:t>
      </w:r>
      <w:r w:rsidR="00B7618E" w:rsidRPr="00B772DC">
        <w:rPr>
          <w:iCs/>
        </w:rPr>
        <w:t>1</w:t>
      </w:r>
      <w:r w:rsidR="00926040" w:rsidRPr="00B772DC">
        <w:rPr>
          <w:iCs/>
        </w:rPr>
        <w:t xml:space="preserve"> seasonal influenza vaccines </w:t>
      </w:r>
      <w:r w:rsidR="009F67E4" w:rsidRPr="00B772DC">
        <w:rPr>
          <w:iCs/>
        </w:rPr>
        <w:t>were very safe</w:t>
      </w:r>
      <w:r w:rsidR="00926040" w:rsidRPr="00B772DC">
        <w:rPr>
          <w:iCs/>
        </w:rPr>
        <w:t>.</w:t>
      </w:r>
      <w:r w:rsidR="00D10C9D" w:rsidRPr="00B772DC">
        <w:rPr>
          <w:iCs/>
        </w:rPr>
        <w:t xml:space="preserve"> The safety survey in 202</w:t>
      </w:r>
      <w:r w:rsidR="00B7618E" w:rsidRPr="00B772DC">
        <w:rPr>
          <w:iCs/>
        </w:rPr>
        <w:t>1</w:t>
      </w:r>
      <w:r w:rsidR="00D10C9D" w:rsidRPr="00B772DC">
        <w:rPr>
          <w:iCs/>
        </w:rPr>
        <w:t xml:space="preserve"> had</w:t>
      </w:r>
      <w:r w:rsidR="00926040" w:rsidRPr="00B772DC">
        <w:rPr>
          <w:i/>
        </w:rPr>
        <w:t xml:space="preserve"> </w:t>
      </w:r>
      <w:r w:rsidR="00926040" w:rsidRPr="00B772DC">
        <w:rPr>
          <w:iCs/>
        </w:rPr>
        <w:t>2</w:t>
      </w:r>
      <w:r w:rsidR="00B7618E" w:rsidRPr="00B772DC">
        <w:rPr>
          <w:iCs/>
        </w:rPr>
        <w:t>30</w:t>
      </w:r>
      <w:r w:rsidR="001749B8" w:rsidRPr="00B772DC">
        <w:rPr>
          <w:iCs/>
        </w:rPr>
        <w:t>,</w:t>
      </w:r>
      <w:r w:rsidR="00926040" w:rsidRPr="00B772DC">
        <w:rPr>
          <w:iCs/>
        </w:rPr>
        <w:t>5</w:t>
      </w:r>
      <w:r w:rsidR="00B7618E" w:rsidRPr="00B772DC">
        <w:rPr>
          <w:iCs/>
        </w:rPr>
        <w:t>77</w:t>
      </w:r>
      <w:r w:rsidR="00926040" w:rsidRPr="00B772DC">
        <w:rPr>
          <w:iCs/>
        </w:rPr>
        <w:t xml:space="preserve"> </w:t>
      </w:r>
      <w:r w:rsidR="00D10C9D" w:rsidRPr="00B772DC">
        <w:rPr>
          <w:iCs/>
        </w:rPr>
        <w:t>participants, with</w:t>
      </w:r>
      <w:r w:rsidR="00926040" w:rsidRPr="00B772DC">
        <w:rPr>
          <w:iCs/>
        </w:rPr>
        <w:t xml:space="preserve"> 9</w:t>
      </w:r>
      <w:r w:rsidR="00B7618E" w:rsidRPr="00B772DC">
        <w:rPr>
          <w:iCs/>
        </w:rPr>
        <w:t>3</w:t>
      </w:r>
      <w:r w:rsidR="00926040" w:rsidRPr="00B772DC">
        <w:rPr>
          <w:iCs/>
        </w:rPr>
        <w:t>.</w:t>
      </w:r>
      <w:r w:rsidR="00B7618E" w:rsidRPr="00B772DC">
        <w:rPr>
          <w:iCs/>
        </w:rPr>
        <w:t>4</w:t>
      </w:r>
      <w:r w:rsidR="00926040" w:rsidRPr="00B772DC">
        <w:rPr>
          <w:iCs/>
        </w:rPr>
        <w:t>% report</w:t>
      </w:r>
      <w:r w:rsidR="00D10C9D" w:rsidRPr="00B772DC">
        <w:rPr>
          <w:iCs/>
        </w:rPr>
        <w:t>ing</w:t>
      </w:r>
      <w:r w:rsidR="00926040" w:rsidRPr="00B772DC">
        <w:rPr>
          <w:iCs/>
        </w:rPr>
        <w:t xml:space="preserve"> no adverse event</w:t>
      </w:r>
      <w:r w:rsidR="0079570A" w:rsidRPr="00B772DC">
        <w:rPr>
          <w:iCs/>
        </w:rPr>
        <w:t>s</w:t>
      </w:r>
      <w:r w:rsidR="00926040" w:rsidRPr="00B772DC">
        <w:rPr>
          <w:iCs/>
        </w:rPr>
        <w:t>.</w:t>
      </w:r>
    </w:p>
    <w:p w14:paraId="366C9D94" w14:textId="64CCF7C9" w:rsidR="00862550" w:rsidRPr="00B772DC" w:rsidRDefault="00862550" w:rsidP="00862550">
      <w:pPr>
        <w:pStyle w:val="Heading1"/>
      </w:pPr>
      <w:bookmarkStart w:id="23" w:name="_Toc72165386"/>
      <w:bookmarkStart w:id="24" w:name="_Toc124411475"/>
      <w:r w:rsidRPr="00B772DC">
        <w:lastRenderedPageBreak/>
        <w:t xml:space="preserve">Challenges and </w:t>
      </w:r>
      <w:r w:rsidR="0005016F" w:rsidRPr="00B772DC">
        <w:t>priorities for immunisation</w:t>
      </w:r>
      <w:r w:rsidRPr="00B772DC">
        <w:t xml:space="preserve"> </w:t>
      </w:r>
      <w:r w:rsidR="0005016F" w:rsidRPr="00B772DC">
        <w:t xml:space="preserve">in Australia in </w:t>
      </w:r>
      <w:r w:rsidRPr="00B772DC">
        <w:t>202</w:t>
      </w:r>
      <w:r w:rsidR="008F4F0C" w:rsidRPr="00B772DC">
        <w:t>2</w:t>
      </w:r>
      <w:r w:rsidRPr="00B772DC">
        <w:t xml:space="preserve"> and beyond</w:t>
      </w:r>
      <w:bookmarkEnd w:id="23"/>
      <w:bookmarkEnd w:id="24"/>
    </w:p>
    <w:p w14:paraId="25087542" w14:textId="5446D088" w:rsidR="00D405A8" w:rsidRPr="00B772DC" w:rsidRDefault="00D405A8" w:rsidP="00D405A8">
      <w:pPr>
        <w:pStyle w:val="Heading2"/>
      </w:pPr>
      <w:bookmarkStart w:id="25" w:name="_Toc72165387"/>
      <w:bookmarkStart w:id="26" w:name="_Toc124411476"/>
      <w:r w:rsidRPr="00B772DC">
        <w:t>Key challenges for prevention and control of vaccine-preventable diseases through immunisation</w:t>
      </w:r>
      <w:bookmarkEnd w:id="25"/>
      <w:bookmarkEnd w:id="26"/>
    </w:p>
    <w:p w14:paraId="5C795033" w14:textId="42806E88" w:rsidR="00862550" w:rsidRPr="00B772DC" w:rsidRDefault="00862550" w:rsidP="006E1F39">
      <w:pPr>
        <w:pStyle w:val="Heading3"/>
      </w:pPr>
      <w:r w:rsidRPr="00B772DC">
        <w:t xml:space="preserve">For </w:t>
      </w:r>
      <w:r w:rsidR="008F12C1" w:rsidRPr="00B772DC">
        <w:t>COVID</w:t>
      </w:r>
      <w:r w:rsidR="008F12C1" w:rsidRPr="00B772DC">
        <w:noBreakHyphen/>
        <w:t>19</w:t>
      </w:r>
    </w:p>
    <w:p w14:paraId="77AF1AFC" w14:textId="6189F7F1" w:rsidR="003651B0" w:rsidRPr="00B772DC" w:rsidRDefault="00524759" w:rsidP="00555F61">
      <w:pPr>
        <w:pStyle w:val="Bullet"/>
      </w:pPr>
      <w:r w:rsidRPr="00B772DC">
        <w:t>Maintaining</w:t>
      </w:r>
      <w:r w:rsidR="003651B0" w:rsidRPr="00B772DC">
        <w:t xml:space="preserve"> confidence in the </w:t>
      </w:r>
      <w:r w:rsidR="0047083B" w:rsidRPr="00B772DC">
        <w:t xml:space="preserve">national </w:t>
      </w:r>
      <w:r w:rsidR="008F12C1" w:rsidRPr="00B772DC">
        <w:t>COVID</w:t>
      </w:r>
      <w:r w:rsidR="008F12C1" w:rsidRPr="00B772DC">
        <w:noBreakHyphen/>
        <w:t>19</w:t>
      </w:r>
      <w:r w:rsidR="003651B0" w:rsidRPr="00B772DC">
        <w:t xml:space="preserve"> </w:t>
      </w:r>
      <w:r w:rsidR="005B7013" w:rsidRPr="00B772DC">
        <w:t>immunisation</w:t>
      </w:r>
      <w:r w:rsidR="003651B0" w:rsidRPr="00B772DC">
        <w:t xml:space="preserve"> program through effective communication strategies</w:t>
      </w:r>
      <w:r w:rsidR="00D10C9D" w:rsidRPr="00B772DC">
        <w:t>.</w:t>
      </w:r>
    </w:p>
    <w:p w14:paraId="5B30F40C" w14:textId="6FD30F52" w:rsidR="00862550" w:rsidRPr="00B772DC" w:rsidRDefault="00130F88" w:rsidP="0071545D">
      <w:pPr>
        <w:pStyle w:val="Bullet"/>
      </w:pPr>
      <w:bookmarkStart w:id="27" w:name="_Hlk87813945"/>
      <w:r w:rsidRPr="00B772DC">
        <w:t>Monitoring</w:t>
      </w:r>
      <w:r w:rsidR="00862550" w:rsidRPr="00B772DC">
        <w:t xml:space="preserve"> safety</w:t>
      </w:r>
      <w:r w:rsidR="0047083B" w:rsidRPr="00B772DC">
        <w:t>,</w:t>
      </w:r>
      <w:r w:rsidR="00862550" w:rsidRPr="00B772DC">
        <w:t xml:space="preserve"> </w:t>
      </w:r>
      <w:proofErr w:type="gramStart"/>
      <w:r w:rsidR="00862550" w:rsidRPr="00B772DC">
        <w:t>effectiveness</w:t>
      </w:r>
      <w:proofErr w:type="gramEnd"/>
      <w:r w:rsidR="00862550" w:rsidRPr="00B772DC">
        <w:t xml:space="preserve"> </w:t>
      </w:r>
      <w:r w:rsidR="0047083B" w:rsidRPr="00B772DC">
        <w:t xml:space="preserve">and the optimal schedule </w:t>
      </w:r>
      <w:r w:rsidR="002262C4" w:rsidRPr="00B772DC">
        <w:t>of COVID</w:t>
      </w:r>
      <w:r w:rsidR="006317ED" w:rsidRPr="00B772DC">
        <w:noBreakHyphen/>
      </w:r>
      <w:r w:rsidR="002262C4" w:rsidRPr="00B772DC">
        <w:t xml:space="preserve">19 vaccines </w:t>
      </w:r>
      <w:r w:rsidR="0071545D" w:rsidRPr="00B772DC">
        <w:t>(</w:t>
      </w:r>
      <w:r w:rsidR="002262C4" w:rsidRPr="00B772DC">
        <w:t xml:space="preserve">particularly </w:t>
      </w:r>
      <w:r w:rsidR="00851952" w:rsidRPr="00B772DC">
        <w:t>those</w:t>
      </w:r>
      <w:r w:rsidR="00862550" w:rsidRPr="00B772DC">
        <w:t xml:space="preserve"> used</w:t>
      </w:r>
      <w:r w:rsidR="0047083B" w:rsidRPr="00B772DC">
        <w:t xml:space="preserve"> in Australia</w:t>
      </w:r>
      <w:r w:rsidR="0071545D" w:rsidRPr="00B772DC">
        <w:t>)</w:t>
      </w:r>
      <w:r w:rsidR="00E32445" w:rsidRPr="00B772DC">
        <w:t>,</w:t>
      </w:r>
      <w:r w:rsidR="00862550" w:rsidRPr="00B772DC">
        <w:t xml:space="preserve"> </w:t>
      </w:r>
      <w:r w:rsidR="009A0E2C" w:rsidRPr="00B772DC">
        <w:t>including</w:t>
      </w:r>
      <w:r w:rsidR="00E32445" w:rsidRPr="00B772DC">
        <w:t xml:space="preserve"> booster doses</w:t>
      </w:r>
      <w:r w:rsidR="007856D9" w:rsidRPr="00B772DC">
        <w:t>,</w:t>
      </w:r>
      <w:r w:rsidR="00E32445" w:rsidRPr="00B772DC">
        <w:t xml:space="preserve"> </w:t>
      </w:r>
      <w:r w:rsidR="0093631E" w:rsidRPr="00B772DC">
        <w:t xml:space="preserve">use </w:t>
      </w:r>
      <w:r w:rsidR="007856D9" w:rsidRPr="00B772DC">
        <w:t>in</w:t>
      </w:r>
      <w:r w:rsidR="00A94B0D" w:rsidRPr="00B772DC">
        <w:t xml:space="preserve"> children </w:t>
      </w:r>
      <w:r w:rsidR="007856D9" w:rsidRPr="00B772DC">
        <w:t>and effectiveness against new variants of concern.</w:t>
      </w:r>
    </w:p>
    <w:bookmarkEnd w:id="27"/>
    <w:p w14:paraId="3747DF9A" w14:textId="541D2FE5" w:rsidR="00E230A1" w:rsidRPr="00B772DC" w:rsidRDefault="00E230A1" w:rsidP="00E230A1">
      <w:pPr>
        <w:pStyle w:val="Bullet"/>
      </w:pPr>
      <w:r w:rsidRPr="00B772DC">
        <w:t>Monitoring epidemiology and providing advice to prevent a surge of COVID</w:t>
      </w:r>
      <w:r w:rsidR="006317ED" w:rsidRPr="00B772DC">
        <w:noBreakHyphen/>
      </w:r>
      <w:r w:rsidRPr="00B772DC">
        <w:t>19 in Australia and our region as international travel increases.</w:t>
      </w:r>
    </w:p>
    <w:p w14:paraId="61AFD94B" w14:textId="10383A09" w:rsidR="00DB576B" w:rsidRPr="00B772DC" w:rsidRDefault="00DB576B" w:rsidP="00A37D23">
      <w:pPr>
        <w:pStyle w:val="BulletLast"/>
      </w:pPr>
      <w:r w:rsidRPr="00B772DC">
        <w:t>Evaluating the COVID</w:t>
      </w:r>
      <w:r w:rsidRPr="00B772DC">
        <w:noBreakHyphen/>
        <w:t>19 immunisation program.</w:t>
      </w:r>
    </w:p>
    <w:p w14:paraId="35A617A1" w14:textId="0278E094" w:rsidR="00862550" w:rsidRPr="00B772DC" w:rsidRDefault="00862550" w:rsidP="006E1F39">
      <w:pPr>
        <w:pStyle w:val="Heading3"/>
      </w:pPr>
      <w:r w:rsidRPr="00B772DC">
        <w:t xml:space="preserve">For other </w:t>
      </w:r>
      <w:r w:rsidR="008F12C1" w:rsidRPr="00B772DC">
        <w:t>vaccine-preventable diseases</w:t>
      </w:r>
    </w:p>
    <w:p w14:paraId="3FE54272" w14:textId="00667079" w:rsidR="00862550" w:rsidRPr="00B772DC" w:rsidRDefault="00862550" w:rsidP="00862550">
      <w:pPr>
        <w:pStyle w:val="Bullet"/>
      </w:pPr>
      <w:r w:rsidRPr="00B772DC">
        <w:t xml:space="preserve">Maintaining a </w:t>
      </w:r>
      <w:r w:rsidR="003651B0" w:rsidRPr="00B772DC">
        <w:t xml:space="preserve">strong </w:t>
      </w:r>
      <w:r w:rsidRPr="00B772DC">
        <w:t>NIP</w:t>
      </w:r>
      <w:r w:rsidR="003651B0" w:rsidRPr="00B772DC">
        <w:t xml:space="preserve"> in Australia</w:t>
      </w:r>
      <w:r w:rsidRPr="00B772DC">
        <w:t xml:space="preserve"> in the face of changing epidemiology of VPDs</w:t>
      </w:r>
      <w:r w:rsidR="009F3763" w:rsidRPr="00B772DC">
        <w:t xml:space="preserve"> </w:t>
      </w:r>
      <w:r w:rsidR="009A0E2C" w:rsidRPr="00B772DC">
        <w:t xml:space="preserve">and </w:t>
      </w:r>
      <w:r w:rsidR="00D32A25" w:rsidRPr="00B772DC">
        <w:t>re</w:t>
      </w:r>
      <w:r w:rsidR="009A0E2C" w:rsidRPr="00B772DC">
        <w:t>opening</w:t>
      </w:r>
      <w:r w:rsidR="672A4763" w:rsidRPr="00B772DC">
        <w:t xml:space="preserve"> of our borders to international travel</w:t>
      </w:r>
      <w:r w:rsidR="00D32A25" w:rsidRPr="00B772DC">
        <w:t>.</w:t>
      </w:r>
    </w:p>
    <w:p w14:paraId="38CAADFB" w14:textId="63BD0B43" w:rsidR="0061124B" w:rsidRPr="00B772DC" w:rsidRDefault="00862550" w:rsidP="00862550">
      <w:pPr>
        <w:pStyle w:val="Bullet"/>
      </w:pPr>
      <w:r w:rsidRPr="00B772DC">
        <w:t>Monitoring the changing epidemiology of measles, polio</w:t>
      </w:r>
      <w:r w:rsidR="003651B0" w:rsidRPr="00B772DC">
        <w:t>,</w:t>
      </w:r>
      <w:r w:rsidRPr="00B772DC">
        <w:t xml:space="preserve"> diphtheria and other VPDs in the Western Pacific region due to disrupted immunisation programs</w:t>
      </w:r>
      <w:r w:rsidR="00D10C9D" w:rsidRPr="00B772DC">
        <w:t>.</w:t>
      </w:r>
    </w:p>
    <w:p w14:paraId="113F5362" w14:textId="4D870FAE" w:rsidR="00862550" w:rsidRPr="00B772DC" w:rsidRDefault="00862550" w:rsidP="00862550">
      <w:pPr>
        <w:pStyle w:val="Bullet"/>
      </w:pPr>
      <w:r w:rsidRPr="00B772DC">
        <w:t xml:space="preserve">Increasing uptake of vaccines for population groups with </w:t>
      </w:r>
      <w:r w:rsidR="008F12C1" w:rsidRPr="00B772DC">
        <w:t xml:space="preserve">a </w:t>
      </w:r>
      <w:r w:rsidRPr="00B772DC">
        <w:t xml:space="preserve">higher risk of </w:t>
      </w:r>
      <w:r w:rsidR="00E9433F" w:rsidRPr="00B772DC">
        <w:t xml:space="preserve">certain </w:t>
      </w:r>
      <w:proofErr w:type="gramStart"/>
      <w:r w:rsidRPr="00B772DC">
        <w:t>VPDs, and</w:t>
      </w:r>
      <w:proofErr w:type="gramEnd"/>
      <w:r w:rsidRPr="00B772DC">
        <w:t xml:space="preserve"> ensuring a reliable data system that captures </w:t>
      </w:r>
      <w:r w:rsidR="003651B0" w:rsidRPr="00B772DC">
        <w:t>this</w:t>
      </w:r>
      <w:r w:rsidR="00D10C9D" w:rsidRPr="00B772DC">
        <w:t>.</w:t>
      </w:r>
    </w:p>
    <w:p w14:paraId="456E9325" w14:textId="77F95B41" w:rsidR="00862550" w:rsidRPr="00B772DC" w:rsidRDefault="00862550" w:rsidP="00A37D23">
      <w:pPr>
        <w:pStyle w:val="BulletLast"/>
      </w:pPr>
      <w:r w:rsidRPr="00B772DC">
        <w:t xml:space="preserve">Maintaining community confidence in Australia’s </w:t>
      </w:r>
      <w:r w:rsidR="00B45C9F" w:rsidRPr="00B772DC">
        <w:t xml:space="preserve">NIP </w:t>
      </w:r>
      <w:r w:rsidRPr="00B772DC">
        <w:t>through effective communication strategies</w:t>
      </w:r>
      <w:r w:rsidR="00D10C9D" w:rsidRPr="00B772DC">
        <w:t>.</w:t>
      </w:r>
    </w:p>
    <w:p w14:paraId="417041A0" w14:textId="3BBAC82C" w:rsidR="00D405A8" w:rsidRPr="00B772DC" w:rsidRDefault="00D405A8" w:rsidP="00D405A8">
      <w:pPr>
        <w:pStyle w:val="Heading2"/>
      </w:pPr>
      <w:bookmarkStart w:id="28" w:name="_Toc72165388"/>
      <w:bookmarkStart w:id="29" w:name="_Toc124411477"/>
      <w:r w:rsidRPr="00B772DC">
        <w:t>ATAGI’s priority actions for 202</w:t>
      </w:r>
      <w:r w:rsidR="008F4F0C" w:rsidRPr="00B772DC">
        <w:t>2</w:t>
      </w:r>
      <w:bookmarkEnd w:id="28"/>
      <w:bookmarkEnd w:id="29"/>
    </w:p>
    <w:p w14:paraId="1945F373" w14:textId="30DF5064" w:rsidR="00851C7A" w:rsidRPr="00B772DC" w:rsidRDefault="00851C7A" w:rsidP="00851C7A">
      <w:pPr>
        <w:pStyle w:val="Heading3"/>
      </w:pPr>
      <w:r w:rsidRPr="00B772DC">
        <w:t>Ongoing priorities</w:t>
      </w:r>
    </w:p>
    <w:p w14:paraId="44ED9855" w14:textId="331D7BF9" w:rsidR="00851C7A" w:rsidRPr="00B772DC" w:rsidRDefault="00851C7A" w:rsidP="00851C7A">
      <w:pPr>
        <w:pStyle w:val="BulletBeforeDash"/>
      </w:pPr>
      <w:r w:rsidRPr="00B772DC">
        <w:t xml:space="preserve">Advise on immunisation policies that enable equitable access to NIP-funded vaccines for population groups with increased risks of VPDs, as well as reliable systems to capture uptake in these groups. Priorities for consideration </w:t>
      </w:r>
      <w:r w:rsidR="00851952" w:rsidRPr="00B772DC">
        <w:t>include</w:t>
      </w:r>
      <w:r w:rsidRPr="00B772DC">
        <w:t>:</w:t>
      </w:r>
    </w:p>
    <w:p w14:paraId="69F9D71C" w14:textId="7EC351E2" w:rsidR="00851C7A" w:rsidRPr="00B772DC" w:rsidRDefault="00851C7A" w:rsidP="00851C7A">
      <w:pPr>
        <w:pStyle w:val="Dash"/>
      </w:pPr>
      <w:r w:rsidRPr="00B772DC">
        <w:t>hepatitis B vaccination for non-immune adults of First Nations communities</w:t>
      </w:r>
    </w:p>
    <w:p w14:paraId="30BE2C08" w14:textId="70908EDB" w:rsidR="00851C7A" w:rsidRPr="00B772DC" w:rsidRDefault="00851C7A" w:rsidP="00851C7A">
      <w:pPr>
        <w:pStyle w:val="Dash"/>
      </w:pPr>
      <w:r w:rsidRPr="00B772DC">
        <w:t>pneumococcal vaccination for younger adults of First Nations communities</w:t>
      </w:r>
      <w:r w:rsidRPr="00B772DC" w:rsidDel="007361C9">
        <w:t xml:space="preserve"> </w:t>
      </w:r>
      <w:r w:rsidRPr="00B772DC">
        <w:t>(age</w:t>
      </w:r>
      <w:r w:rsidR="00012A9C" w:rsidRPr="00B772DC">
        <w:t>d</w:t>
      </w:r>
      <w:r w:rsidRPr="00B772DC">
        <w:t xml:space="preserve"> &lt;50 years)</w:t>
      </w:r>
    </w:p>
    <w:p w14:paraId="0AAC071A" w14:textId="2629484F" w:rsidR="00851C7A" w:rsidRPr="00B772DC" w:rsidRDefault="00851C7A" w:rsidP="00851C7A">
      <w:pPr>
        <w:pStyle w:val="Dash"/>
      </w:pPr>
      <w:r w:rsidRPr="00B772DC">
        <w:t>expansion of eligible medical risk conditions for receiving NIP-funded influenza vaccines</w:t>
      </w:r>
    </w:p>
    <w:p w14:paraId="04991BE8" w14:textId="77777777" w:rsidR="00851C7A" w:rsidRPr="00B772DC" w:rsidRDefault="00851C7A" w:rsidP="00851C7A">
      <w:pPr>
        <w:pStyle w:val="DashLast"/>
      </w:pPr>
      <w:r w:rsidRPr="00B772DC">
        <w:t>catch-up measles vaccination for non-immune people born since 1966.</w:t>
      </w:r>
    </w:p>
    <w:p w14:paraId="2F5BAB0A" w14:textId="77AD890E" w:rsidR="00851952" w:rsidRPr="00B772DC" w:rsidRDefault="00851952" w:rsidP="00851952">
      <w:pPr>
        <w:pStyle w:val="Bullet"/>
      </w:pPr>
      <w:r w:rsidRPr="00B772DC">
        <w:t xml:space="preserve">Strengthen the evaluation of evidence and continue publishing evidence-based immunisation recommendations through the </w:t>
      </w:r>
      <w:hyperlink r:id="rId60">
        <w:r w:rsidRPr="00B772DC">
          <w:rPr>
            <w:rStyle w:val="Hyperlink"/>
          </w:rPr>
          <w:t>Handbook</w:t>
        </w:r>
      </w:hyperlink>
      <w:r w:rsidRPr="00B772DC">
        <w:t>.</w:t>
      </w:r>
      <w:r w:rsidR="00516302" w:rsidRPr="00B772DC">
        <w:t xml:space="preserve"> This includes continuing to work closely with </w:t>
      </w:r>
      <w:r w:rsidR="00516302" w:rsidRPr="00B772DC">
        <w:rPr>
          <w:color w:val="000000" w:themeColor="text1"/>
          <w:szCs w:val="22"/>
        </w:rPr>
        <w:t>the National Health and Medical Research Council (NHMRC) to further facilitate the process of endorsing Handbook recommendations.</w:t>
      </w:r>
    </w:p>
    <w:p w14:paraId="5BD9C983" w14:textId="6ABD5ED8" w:rsidR="00851C7A" w:rsidRPr="00B772DC" w:rsidRDefault="00851C7A" w:rsidP="00851C7A">
      <w:pPr>
        <w:pStyle w:val="Bullet"/>
      </w:pPr>
      <w:r w:rsidRPr="00B772DC">
        <w:t>Advise on and promote the safe and appropriate use of all vaccines, including live vaccines such as Zostavax, and promote support to immunisation providers.</w:t>
      </w:r>
    </w:p>
    <w:p w14:paraId="02E364C0" w14:textId="13AB24F2" w:rsidR="00012A9C" w:rsidRPr="00B772DC" w:rsidRDefault="00012A9C" w:rsidP="00012A9C">
      <w:pPr>
        <w:pStyle w:val="Bullet"/>
      </w:pPr>
      <w:r w:rsidRPr="00B772DC">
        <w:lastRenderedPageBreak/>
        <w:t xml:space="preserve">Advise on the need to evaluate existing national immunisation programs, such as for zoster, </w:t>
      </w:r>
      <w:proofErr w:type="gramStart"/>
      <w:r w:rsidRPr="00B772DC">
        <w:t>influenza</w:t>
      </w:r>
      <w:proofErr w:type="gramEnd"/>
      <w:r w:rsidRPr="00B772DC">
        <w:t xml:space="preserve"> and pneumococcal disease.</w:t>
      </w:r>
    </w:p>
    <w:p w14:paraId="780929A3" w14:textId="18C7C642" w:rsidR="00516302" w:rsidRPr="00B772DC" w:rsidRDefault="00516302" w:rsidP="00516302">
      <w:pPr>
        <w:pStyle w:val="Bullet"/>
      </w:pPr>
      <w:r w:rsidRPr="00B772DC">
        <w:rPr>
          <w:color w:val="000000" w:themeColor="text1"/>
          <w:szCs w:val="22"/>
        </w:rPr>
        <w:t>Continue to work with international partners, including national immunisation technical advisory groups (NITAGs) of other countries.</w:t>
      </w:r>
    </w:p>
    <w:p w14:paraId="27B5132F" w14:textId="53DB1359" w:rsidR="00516302" w:rsidRPr="00B772DC" w:rsidRDefault="00516302" w:rsidP="00516302">
      <w:pPr>
        <w:pStyle w:val="Bullet"/>
      </w:pPr>
      <w:r w:rsidRPr="00B772DC">
        <w:t>Support the development of evidence-based immunisation resources that are culturally sensitive and appropriate to unique First Nations communities.</w:t>
      </w:r>
    </w:p>
    <w:p w14:paraId="3D082C0F" w14:textId="54BBC321" w:rsidR="00851952" w:rsidRPr="00B772DC" w:rsidRDefault="00851952" w:rsidP="00A37D23">
      <w:pPr>
        <w:pStyle w:val="BulletLast"/>
      </w:pPr>
      <w:r w:rsidRPr="00B772DC">
        <w:t xml:space="preserve">Scope vaccines on the horizon for potential NIP consideration. These may include newer influenza and pneumococcal vaccines, registered vaccines such as Shingrix that are not on the NIP, and vaccines in the pipeline such as respiratory syncytial virus and group A </w:t>
      </w:r>
      <w:proofErr w:type="gramStart"/>
      <w:r w:rsidRPr="00857D5C">
        <w:rPr>
          <w:rStyle w:val="Emphasis"/>
        </w:rPr>
        <w:t>Streptococcus</w:t>
      </w:r>
      <w:r w:rsidRPr="00B772DC">
        <w:rPr>
          <w:i/>
          <w:iCs/>
        </w:rPr>
        <w:t xml:space="preserve"> </w:t>
      </w:r>
      <w:r w:rsidRPr="00B772DC">
        <w:t>vaccines</w:t>
      </w:r>
      <w:proofErr w:type="gramEnd"/>
      <w:r w:rsidRPr="00B772DC">
        <w:t xml:space="preserve">. NIP vaccines must show benefits to the Australian population or high-risk population </w:t>
      </w:r>
      <w:proofErr w:type="gramStart"/>
      <w:r w:rsidRPr="00B772DC">
        <w:t>groups, and</w:t>
      </w:r>
      <w:proofErr w:type="gramEnd"/>
      <w:r w:rsidRPr="00B772DC">
        <w:t xml:space="preserve"> be cost-effective.</w:t>
      </w:r>
    </w:p>
    <w:p w14:paraId="021BDA68" w14:textId="05EC830E" w:rsidR="00851C7A" w:rsidRPr="00B772DC" w:rsidRDefault="00012A9C" w:rsidP="00012A9C">
      <w:pPr>
        <w:pStyle w:val="Heading3"/>
      </w:pPr>
      <w:r w:rsidRPr="00B772DC">
        <w:t>Specific priorities for 2022</w:t>
      </w:r>
    </w:p>
    <w:p w14:paraId="57A3A0D2" w14:textId="02F661D5" w:rsidR="009941D5" w:rsidRPr="00B772DC" w:rsidRDefault="008F12C1" w:rsidP="00012A9C">
      <w:pPr>
        <w:pStyle w:val="Heading4"/>
      </w:pPr>
      <w:r w:rsidRPr="00B772DC">
        <w:t>COVID</w:t>
      </w:r>
      <w:r w:rsidR="006317ED" w:rsidRPr="00B772DC">
        <w:noBreakHyphen/>
      </w:r>
      <w:r w:rsidRPr="00B772DC">
        <w:t>19</w:t>
      </w:r>
      <w:r w:rsidR="009941D5" w:rsidRPr="00B772DC">
        <w:t xml:space="preserve"> </w:t>
      </w:r>
      <w:r w:rsidR="005B7013" w:rsidRPr="00B772DC">
        <w:t>immunisation</w:t>
      </w:r>
      <w:r w:rsidR="009941D5" w:rsidRPr="00B772DC">
        <w:t xml:space="preserve"> program</w:t>
      </w:r>
    </w:p>
    <w:p w14:paraId="3B08CA00" w14:textId="15CF3FEE" w:rsidR="00603060" w:rsidRPr="00B772DC" w:rsidRDefault="008F4F0C" w:rsidP="008F4F0C">
      <w:pPr>
        <w:pStyle w:val="Bullet"/>
      </w:pPr>
      <w:r w:rsidRPr="00B772DC">
        <w:t xml:space="preserve">Continue to </w:t>
      </w:r>
      <w:r w:rsidR="00930E72" w:rsidRPr="00B772DC">
        <w:t>a</w:t>
      </w:r>
      <w:r w:rsidR="003651B0" w:rsidRPr="00B772DC">
        <w:t xml:space="preserve">dvise on strategies to implement a safe and effective national </w:t>
      </w:r>
      <w:r w:rsidR="008F12C1" w:rsidRPr="00B772DC">
        <w:t>COVID</w:t>
      </w:r>
      <w:r w:rsidR="008F12C1" w:rsidRPr="00B772DC">
        <w:noBreakHyphen/>
        <w:t>19</w:t>
      </w:r>
      <w:r w:rsidR="003651B0" w:rsidRPr="00B772DC">
        <w:t xml:space="preserve"> </w:t>
      </w:r>
      <w:r w:rsidR="005B7013" w:rsidRPr="00B772DC">
        <w:t xml:space="preserve">immunisation </w:t>
      </w:r>
      <w:r w:rsidR="003651B0" w:rsidRPr="00B772DC">
        <w:t>program</w:t>
      </w:r>
      <w:r w:rsidR="00C640D6" w:rsidRPr="00B772DC">
        <w:t xml:space="preserve"> </w:t>
      </w:r>
      <w:r w:rsidR="006118C4" w:rsidRPr="00B772DC">
        <w:t>that has</w:t>
      </w:r>
      <w:r w:rsidR="00C640D6" w:rsidRPr="00B772DC">
        <w:t xml:space="preserve"> public confidence and equitable access for priority populations.</w:t>
      </w:r>
    </w:p>
    <w:p w14:paraId="526343D7" w14:textId="7B7485E6" w:rsidR="003651B0" w:rsidRPr="00B772DC" w:rsidRDefault="005D1132" w:rsidP="00A37D23">
      <w:pPr>
        <w:pStyle w:val="BulletLast"/>
      </w:pPr>
      <w:r w:rsidRPr="00B772DC">
        <w:t>Continue to a</w:t>
      </w:r>
      <w:r w:rsidR="003651B0" w:rsidRPr="00B772DC">
        <w:t xml:space="preserve">dvise on the evaluation of the </w:t>
      </w:r>
      <w:r w:rsidR="008F12C1" w:rsidRPr="00B772DC">
        <w:t>COVID</w:t>
      </w:r>
      <w:r w:rsidR="008F12C1" w:rsidRPr="00B772DC">
        <w:noBreakHyphen/>
        <w:t>19</w:t>
      </w:r>
      <w:r w:rsidR="003651B0" w:rsidRPr="00B772DC">
        <w:t xml:space="preserve"> immunisation program, and any issues with data and information sources on disease, vaccination uptake and vaccine safety</w:t>
      </w:r>
      <w:r w:rsidR="0061124B" w:rsidRPr="00B772DC">
        <w:t>.</w:t>
      </w:r>
    </w:p>
    <w:p w14:paraId="0802D649" w14:textId="77777777" w:rsidR="00B45C9F" w:rsidRPr="00B772DC" w:rsidRDefault="00B45C9F" w:rsidP="00012A9C">
      <w:pPr>
        <w:pStyle w:val="Heading4"/>
      </w:pPr>
      <w:r w:rsidRPr="00B772DC">
        <w:t>Routine vaccination in Australia and our region</w:t>
      </w:r>
    </w:p>
    <w:p w14:paraId="7EF45F2C" w14:textId="185F1308" w:rsidR="00B45C9F" w:rsidRPr="00B772DC" w:rsidRDefault="00B45C9F" w:rsidP="00B45C9F">
      <w:pPr>
        <w:pStyle w:val="Bullet"/>
      </w:pPr>
      <w:r w:rsidRPr="00B772DC">
        <w:t xml:space="preserve">Advise on </w:t>
      </w:r>
      <w:r w:rsidR="00691A3D" w:rsidRPr="00B772DC">
        <w:t xml:space="preserve">how to </w:t>
      </w:r>
      <w:r w:rsidR="008F4F0C" w:rsidRPr="00B772DC">
        <w:t xml:space="preserve">increase uptake of </w:t>
      </w:r>
      <w:r w:rsidR="00210D1D" w:rsidRPr="00B772DC">
        <w:t>influenza vaccine</w:t>
      </w:r>
      <w:r w:rsidR="00224625" w:rsidRPr="00B772DC">
        <w:t>, especially</w:t>
      </w:r>
      <w:r w:rsidR="00210D1D" w:rsidRPr="00B772DC">
        <w:t xml:space="preserve"> in young children</w:t>
      </w:r>
      <w:r w:rsidR="00224625" w:rsidRPr="00B772DC">
        <w:t>,</w:t>
      </w:r>
      <w:r w:rsidR="00210D1D" w:rsidRPr="00B772DC">
        <w:t xml:space="preserve"> </w:t>
      </w:r>
      <w:r w:rsidRPr="00B772DC">
        <w:t xml:space="preserve">during </w:t>
      </w:r>
      <w:r w:rsidR="00210D1D" w:rsidRPr="00B772DC">
        <w:t xml:space="preserve">and </w:t>
      </w:r>
      <w:r w:rsidR="00224625" w:rsidRPr="00B772DC">
        <w:t xml:space="preserve">after </w:t>
      </w:r>
      <w:r w:rsidRPr="00B772DC">
        <w:t xml:space="preserve">the </w:t>
      </w:r>
      <w:r w:rsidR="008F12C1" w:rsidRPr="00B772DC">
        <w:t>COVID</w:t>
      </w:r>
      <w:r w:rsidR="008F12C1" w:rsidRPr="00B772DC">
        <w:noBreakHyphen/>
        <w:t>19</w:t>
      </w:r>
      <w:r w:rsidRPr="00B772DC">
        <w:t xml:space="preserve"> pandemic.</w:t>
      </w:r>
    </w:p>
    <w:p w14:paraId="7FF4071A" w14:textId="7747B85F" w:rsidR="00B45C9F" w:rsidRPr="00B772DC" w:rsidRDefault="00B45C9F" w:rsidP="00A37D23">
      <w:pPr>
        <w:pStyle w:val="BulletLast"/>
      </w:pPr>
      <w:r w:rsidRPr="00B772DC">
        <w:t xml:space="preserve">Advise on how to prevent </w:t>
      </w:r>
      <w:r w:rsidR="002A39D6" w:rsidRPr="00B772DC">
        <w:t xml:space="preserve">reintroduction </w:t>
      </w:r>
      <w:r w:rsidR="00224625" w:rsidRPr="00B772DC">
        <w:t>or</w:t>
      </w:r>
      <w:r w:rsidR="002610ED" w:rsidRPr="00B772DC">
        <w:t xml:space="preserve"> a</w:t>
      </w:r>
      <w:r w:rsidR="00224625" w:rsidRPr="00B772DC">
        <w:t xml:space="preserve"> surge in cases </w:t>
      </w:r>
      <w:r w:rsidR="002A39D6" w:rsidRPr="00B772DC">
        <w:t>of</w:t>
      </w:r>
      <w:r w:rsidRPr="00B772DC">
        <w:t xml:space="preserve"> </w:t>
      </w:r>
      <w:r w:rsidR="00224625" w:rsidRPr="00B772DC">
        <w:t>a range of VPDs in</w:t>
      </w:r>
      <w:r w:rsidRPr="00B772DC">
        <w:t xml:space="preserve"> Australia as international travel restrictions </w:t>
      </w:r>
      <w:r w:rsidR="00763CB9" w:rsidRPr="00B772DC">
        <w:t>are</w:t>
      </w:r>
      <w:r w:rsidRPr="00B772DC">
        <w:t xml:space="preserve"> </w:t>
      </w:r>
      <w:r w:rsidR="002A39D6" w:rsidRPr="00B772DC">
        <w:t>lifted</w:t>
      </w:r>
      <w:r w:rsidR="0061124B" w:rsidRPr="00B772DC">
        <w:t>.</w:t>
      </w:r>
      <w:r w:rsidRPr="00B772DC">
        <w:t xml:space="preserve"> </w:t>
      </w:r>
      <w:r w:rsidR="008F12C1" w:rsidRPr="00B772DC">
        <w:t>COVID</w:t>
      </w:r>
      <w:r w:rsidR="008F12C1" w:rsidRPr="00B772DC">
        <w:noBreakHyphen/>
        <w:t>19</w:t>
      </w:r>
      <w:r w:rsidRPr="00B772DC">
        <w:t xml:space="preserve"> has disrupted immunisation programs </w:t>
      </w:r>
      <w:r w:rsidR="0061124B" w:rsidRPr="00B772DC">
        <w:t xml:space="preserve">in </w:t>
      </w:r>
      <w:r w:rsidRPr="00B772DC">
        <w:t>many countries</w:t>
      </w:r>
      <w:r w:rsidR="00012A9C" w:rsidRPr="00B772DC">
        <w:t xml:space="preserve"> in our region and beyond</w:t>
      </w:r>
      <w:r w:rsidR="0061124B" w:rsidRPr="00B772DC">
        <w:t>,</w:t>
      </w:r>
      <w:r w:rsidRPr="00B772DC">
        <w:t xml:space="preserve"> and there </w:t>
      </w:r>
      <w:r w:rsidR="0061124B" w:rsidRPr="00B772DC">
        <w:t>is</w:t>
      </w:r>
      <w:r w:rsidRPr="00B772DC">
        <w:t xml:space="preserve"> a risk of reintroducing these VPDs into Australia.</w:t>
      </w:r>
    </w:p>
    <w:p w14:paraId="41D511B3" w14:textId="4041D4D2" w:rsidR="009941D5" w:rsidRPr="00B772DC" w:rsidRDefault="009941D5" w:rsidP="00012A9C">
      <w:pPr>
        <w:pStyle w:val="Heading4"/>
      </w:pPr>
      <w:r w:rsidRPr="00B772DC">
        <w:t>Monitoring and evaluation</w:t>
      </w:r>
    </w:p>
    <w:p w14:paraId="6F3C2898" w14:textId="4AD45B27" w:rsidR="009941D5" w:rsidRPr="00B772DC" w:rsidRDefault="009941D5" w:rsidP="00A37D23">
      <w:pPr>
        <w:pStyle w:val="BulletLast"/>
      </w:pPr>
      <w:r w:rsidRPr="00B772DC">
        <w:t xml:space="preserve">Advise on the need to set up an end-to-end system that can track and record every dose of distributed and administered vaccines in national and </w:t>
      </w:r>
      <w:r w:rsidR="00471DB9" w:rsidRPr="00B772DC">
        <w:t>jurisdictional</w:t>
      </w:r>
      <w:r w:rsidRPr="00B772DC">
        <w:t xml:space="preserve"> immunisation programs. This will improve vaccine allocation, minimise wastage and help the assessment of vaccine effectiveness.</w:t>
      </w:r>
    </w:p>
    <w:sectPr w:rsidR="009941D5" w:rsidRPr="00B772DC" w:rsidSect="0029283D">
      <w:headerReference w:type="default" r:id="rId61"/>
      <w:footerReference w:type="even" r:id="rId62"/>
      <w:footerReference w:type="default" r:id="rId63"/>
      <w:footerReference w:type="first" r:id="rId64"/>
      <w:footnotePr>
        <w:numRestart w:val="eachSect"/>
      </w:footnotePr>
      <w:type w:val="oddPage"/>
      <w:pgSz w:w="11906" w:h="16838" w:code="9"/>
      <w:pgMar w:top="118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39DD" w14:textId="77777777" w:rsidR="00C75A39" w:rsidRDefault="00C75A39">
      <w:pPr>
        <w:spacing w:after="0"/>
      </w:pPr>
      <w:r>
        <w:separator/>
      </w:r>
    </w:p>
  </w:endnote>
  <w:endnote w:type="continuationSeparator" w:id="0">
    <w:p w14:paraId="4FA2D386" w14:textId="77777777" w:rsidR="00C75A39" w:rsidRDefault="00C75A39">
      <w:pPr>
        <w:spacing w:after="0"/>
      </w:pPr>
      <w:r>
        <w:continuationSeparator/>
      </w:r>
    </w:p>
  </w:endnote>
  <w:endnote w:type="continuationNotice" w:id="1">
    <w:p w14:paraId="0490CF67" w14:textId="77777777" w:rsidR="00C75A39" w:rsidRDefault="00C75A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elle Sans">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A800" w14:textId="77777777" w:rsidR="003434CE" w:rsidRDefault="003434CE" w:rsidP="00F36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0FBFE" w14:textId="77777777" w:rsidR="003434CE" w:rsidRDefault="003434CE"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587" w14:textId="317E44CC" w:rsidR="003434CE" w:rsidRPr="00372C2A" w:rsidRDefault="003434CE" w:rsidP="00F360CA">
    <w:pPr>
      <w:pStyle w:val="Footer"/>
      <w:framePr w:wrap="none" w:vAnchor="text" w:hAnchor="margin" w:xAlign="right" w:y="1"/>
      <w:rPr>
        <w:rStyle w:val="PageNumber"/>
        <w:rFonts w:asciiTheme="minorHAnsi" w:hAnsiTheme="minorHAnsi"/>
      </w:rPr>
    </w:pPr>
    <w:r w:rsidRPr="00372C2A">
      <w:rPr>
        <w:rStyle w:val="PageNumber"/>
        <w:rFonts w:asciiTheme="minorHAnsi" w:hAnsiTheme="minorHAnsi"/>
      </w:rPr>
      <w:fldChar w:fldCharType="begin"/>
    </w:r>
    <w:r w:rsidRPr="00372C2A">
      <w:rPr>
        <w:rStyle w:val="PageNumber"/>
        <w:rFonts w:asciiTheme="minorHAnsi" w:hAnsiTheme="minorHAnsi"/>
      </w:rPr>
      <w:instrText xml:space="preserve">PAGE  </w:instrText>
    </w:r>
    <w:r w:rsidRPr="00372C2A">
      <w:rPr>
        <w:rStyle w:val="PageNumber"/>
        <w:rFonts w:asciiTheme="minorHAnsi" w:hAnsiTheme="minorHAnsi"/>
      </w:rPr>
      <w:fldChar w:fldCharType="separate"/>
    </w:r>
    <w:r w:rsidR="003642DF">
      <w:rPr>
        <w:rStyle w:val="PageNumber"/>
        <w:rFonts w:asciiTheme="minorHAnsi" w:hAnsiTheme="minorHAnsi"/>
        <w:noProof/>
      </w:rPr>
      <w:t>12</w:t>
    </w:r>
    <w:r w:rsidRPr="00372C2A">
      <w:rPr>
        <w:rStyle w:val="PageNumber"/>
        <w:rFonts w:asciiTheme="minorHAnsi" w:hAnsiTheme="minorHAnsi"/>
      </w:rPr>
      <w:fldChar w:fldCharType="end"/>
    </w:r>
  </w:p>
  <w:p w14:paraId="274FF391" w14:textId="77777777" w:rsidR="003434CE" w:rsidRDefault="003434CE"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47822365" w14:textId="77777777" w:rsidR="003434CE" w:rsidRDefault="003434CE"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B79A" w14:textId="77777777" w:rsidR="00C75A39" w:rsidRDefault="00C75A39">
      <w:pPr>
        <w:spacing w:after="0"/>
      </w:pPr>
      <w:r>
        <w:separator/>
      </w:r>
    </w:p>
  </w:footnote>
  <w:footnote w:type="continuationSeparator" w:id="0">
    <w:p w14:paraId="347F0761" w14:textId="77777777" w:rsidR="00C75A39" w:rsidRDefault="00C75A39">
      <w:pPr>
        <w:spacing w:after="0"/>
      </w:pPr>
      <w:r>
        <w:continuationSeparator/>
      </w:r>
    </w:p>
  </w:footnote>
  <w:footnote w:type="continuationNotice" w:id="1">
    <w:p w14:paraId="3C463654" w14:textId="77777777" w:rsidR="00C75A39" w:rsidRDefault="00C75A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6278" w14:textId="77777777" w:rsidR="00192E5E" w:rsidRDefault="0019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305BCE"/>
    <w:multiLevelType w:val="hybridMultilevel"/>
    <w:tmpl w:val="655A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7EBF"/>
    <w:multiLevelType w:val="hybridMultilevel"/>
    <w:tmpl w:val="48A2F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63EEC7"/>
    <w:multiLevelType w:val="hybridMultilevel"/>
    <w:tmpl w:val="4985A5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FCA31DC"/>
    <w:multiLevelType w:val="hybridMultilevel"/>
    <w:tmpl w:val="E9EC8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54EEB"/>
    <w:multiLevelType w:val="hybridMultilevel"/>
    <w:tmpl w:val="9D5C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41FC3"/>
    <w:multiLevelType w:val="hybridMultilevel"/>
    <w:tmpl w:val="609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E33BD"/>
    <w:multiLevelType w:val="hybridMultilevel"/>
    <w:tmpl w:val="45F8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94228"/>
    <w:multiLevelType w:val="hybridMultilevel"/>
    <w:tmpl w:val="89761832"/>
    <w:lvl w:ilvl="0" w:tplc="B2F8784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32"/>
  </w:num>
  <w:num w:numId="4">
    <w:abstractNumId w:val="12"/>
  </w:num>
  <w:num w:numId="5">
    <w:abstractNumId w:val="11"/>
  </w:num>
  <w:num w:numId="6">
    <w:abstractNumId w:val="28"/>
  </w:num>
  <w:num w:numId="7">
    <w:abstractNumId w:val="15"/>
  </w:num>
  <w:num w:numId="8">
    <w:abstractNumId w:val="14"/>
  </w:num>
  <w:num w:numId="9">
    <w:abstractNumId w:val="23"/>
  </w:num>
  <w:num w:numId="10">
    <w:abstractNumId w:val="31"/>
  </w:num>
  <w:num w:numId="11">
    <w:abstractNumId w:val="30"/>
  </w:num>
  <w:num w:numId="12">
    <w:abstractNumId w:val="22"/>
  </w:num>
  <w:num w:numId="13">
    <w:abstractNumId w:val="26"/>
  </w:num>
  <w:num w:numId="14">
    <w:abstractNumId w:val="21"/>
  </w:num>
  <w:num w:numId="15">
    <w:abstractNumId w:val="25"/>
  </w:num>
  <w:num w:numId="16">
    <w:abstractNumId w:val="32"/>
  </w:num>
  <w:num w:numId="17">
    <w:abstractNumId w:val="32"/>
  </w:num>
  <w:num w:numId="18">
    <w:abstractNumId w:val="32"/>
  </w:num>
  <w:num w:numId="19">
    <w:abstractNumId w:val="32"/>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0"/>
  </w:num>
  <w:num w:numId="31">
    <w:abstractNumId w:val="29"/>
  </w:num>
  <w:num w:numId="32">
    <w:abstractNumId w:val="16"/>
  </w:num>
  <w:num w:numId="33">
    <w:abstractNumId w:val="18"/>
  </w:num>
  <w:num w:numId="34">
    <w:abstractNumId w:val="19"/>
  </w:num>
  <w:num w:numId="35">
    <w:abstractNumId w:val="17"/>
  </w:num>
  <w:num w:numId="36">
    <w:abstractNumId w:val="27"/>
  </w:num>
  <w:num w:numId="3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40"/>
    <w:rsid w:val="00005411"/>
    <w:rsid w:val="000066EF"/>
    <w:rsid w:val="00007BDA"/>
    <w:rsid w:val="0001055E"/>
    <w:rsid w:val="000109D8"/>
    <w:rsid w:val="00012A9C"/>
    <w:rsid w:val="00013A29"/>
    <w:rsid w:val="00014CF8"/>
    <w:rsid w:val="00015FA2"/>
    <w:rsid w:val="0001781B"/>
    <w:rsid w:val="00021A78"/>
    <w:rsid w:val="00022701"/>
    <w:rsid w:val="0002289E"/>
    <w:rsid w:val="00023B4D"/>
    <w:rsid w:val="0002467C"/>
    <w:rsid w:val="00025550"/>
    <w:rsid w:val="0002586A"/>
    <w:rsid w:val="000269C2"/>
    <w:rsid w:val="00027AD9"/>
    <w:rsid w:val="00030D1B"/>
    <w:rsid w:val="00031044"/>
    <w:rsid w:val="000327FC"/>
    <w:rsid w:val="00033998"/>
    <w:rsid w:val="00033E5F"/>
    <w:rsid w:val="00034255"/>
    <w:rsid w:val="00035005"/>
    <w:rsid w:val="000352AD"/>
    <w:rsid w:val="00035524"/>
    <w:rsid w:val="000400B0"/>
    <w:rsid w:val="00040BF6"/>
    <w:rsid w:val="0004213C"/>
    <w:rsid w:val="00042A66"/>
    <w:rsid w:val="00042FC9"/>
    <w:rsid w:val="000431D8"/>
    <w:rsid w:val="000456F1"/>
    <w:rsid w:val="000465ED"/>
    <w:rsid w:val="000470DA"/>
    <w:rsid w:val="0005016F"/>
    <w:rsid w:val="00054CDC"/>
    <w:rsid w:val="000555E4"/>
    <w:rsid w:val="00056EF6"/>
    <w:rsid w:val="00057BA7"/>
    <w:rsid w:val="00061435"/>
    <w:rsid w:val="000614AA"/>
    <w:rsid w:val="00071499"/>
    <w:rsid w:val="00073E43"/>
    <w:rsid w:val="000750BD"/>
    <w:rsid w:val="0007581B"/>
    <w:rsid w:val="0007614D"/>
    <w:rsid w:val="0007619D"/>
    <w:rsid w:val="00076435"/>
    <w:rsid w:val="0007678D"/>
    <w:rsid w:val="00080EA9"/>
    <w:rsid w:val="00081A8F"/>
    <w:rsid w:val="00092BC4"/>
    <w:rsid w:val="00095C67"/>
    <w:rsid w:val="000A0E45"/>
    <w:rsid w:val="000A17E7"/>
    <w:rsid w:val="000B330D"/>
    <w:rsid w:val="000B5C3E"/>
    <w:rsid w:val="000C10BA"/>
    <w:rsid w:val="000C115F"/>
    <w:rsid w:val="000C61FA"/>
    <w:rsid w:val="000C7B6B"/>
    <w:rsid w:val="000D1222"/>
    <w:rsid w:val="000D12C0"/>
    <w:rsid w:val="000D6606"/>
    <w:rsid w:val="000D6913"/>
    <w:rsid w:val="000E00DA"/>
    <w:rsid w:val="000E05B6"/>
    <w:rsid w:val="000E1071"/>
    <w:rsid w:val="000E3B91"/>
    <w:rsid w:val="000E6E21"/>
    <w:rsid w:val="000E7629"/>
    <w:rsid w:val="000F1020"/>
    <w:rsid w:val="000F38D7"/>
    <w:rsid w:val="000F3A13"/>
    <w:rsid w:val="000F5E78"/>
    <w:rsid w:val="000F6953"/>
    <w:rsid w:val="00100909"/>
    <w:rsid w:val="001034BB"/>
    <w:rsid w:val="00103D2C"/>
    <w:rsid w:val="00103D47"/>
    <w:rsid w:val="001044BA"/>
    <w:rsid w:val="00104CC5"/>
    <w:rsid w:val="00104E39"/>
    <w:rsid w:val="00106201"/>
    <w:rsid w:val="0010624B"/>
    <w:rsid w:val="00107D2B"/>
    <w:rsid w:val="0011050B"/>
    <w:rsid w:val="00110D11"/>
    <w:rsid w:val="001113BA"/>
    <w:rsid w:val="00111FD8"/>
    <w:rsid w:val="00114857"/>
    <w:rsid w:val="00114BAC"/>
    <w:rsid w:val="001167D6"/>
    <w:rsid w:val="001168C3"/>
    <w:rsid w:val="00120F90"/>
    <w:rsid w:val="00121FBC"/>
    <w:rsid w:val="00124CD3"/>
    <w:rsid w:val="001271AD"/>
    <w:rsid w:val="00127AB4"/>
    <w:rsid w:val="00130F88"/>
    <w:rsid w:val="00131FD7"/>
    <w:rsid w:val="00141516"/>
    <w:rsid w:val="001453C5"/>
    <w:rsid w:val="00151A28"/>
    <w:rsid w:val="00152515"/>
    <w:rsid w:val="00153DE5"/>
    <w:rsid w:val="001545C2"/>
    <w:rsid w:val="001563C2"/>
    <w:rsid w:val="00156B95"/>
    <w:rsid w:val="0016558A"/>
    <w:rsid w:val="0016571C"/>
    <w:rsid w:val="00166D58"/>
    <w:rsid w:val="00167EFF"/>
    <w:rsid w:val="001703ED"/>
    <w:rsid w:val="0017074B"/>
    <w:rsid w:val="001707EA"/>
    <w:rsid w:val="001749B8"/>
    <w:rsid w:val="00177DF1"/>
    <w:rsid w:val="00177F4A"/>
    <w:rsid w:val="00185EC5"/>
    <w:rsid w:val="00192A9D"/>
    <w:rsid w:val="00192CAC"/>
    <w:rsid w:val="00192E5E"/>
    <w:rsid w:val="001A0F09"/>
    <w:rsid w:val="001A1E7C"/>
    <w:rsid w:val="001A2F90"/>
    <w:rsid w:val="001A6409"/>
    <w:rsid w:val="001A6E4D"/>
    <w:rsid w:val="001A6FD6"/>
    <w:rsid w:val="001A77C4"/>
    <w:rsid w:val="001B35F6"/>
    <w:rsid w:val="001C13E7"/>
    <w:rsid w:val="001C14E5"/>
    <w:rsid w:val="001C36F1"/>
    <w:rsid w:val="001C392F"/>
    <w:rsid w:val="001C39C1"/>
    <w:rsid w:val="001D0161"/>
    <w:rsid w:val="001D36B6"/>
    <w:rsid w:val="001D3827"/>
    <w:rsid w:val="001D43AD"/>
    <w:rsid w:val="001D4D1F"/>
    <w:rsid w:val="001D6C26"/>
    <w:rsid w:val="001E2FF9"/>
    <w:rsid w:val="001E4D28"/>
    <w:rsid w:val="001E5530"/>
    <w:rsid w:val="001E621E"/>
    <w:rsid w:val="001E630A"/>
    <w:rsid w:val="001E661C"/>
    <w:rsid w:val="001E708F"/>
    <w:rsid w:val="001F0544"/>
    <w:rsid w:val="001F1905"/>
    <w:rsid w:val="001F3BE6"/>
    <w:rsid w:val="001F5A60"/>
    <w:rsid w:val="001F6DC5"/>
    <w:rsid w:val="001F755E"/>
    <w:rsid w:val="00200E52"/>
    <w:rsid w:val="00202BE2"/>
    <w:rsid w:val="0020319C"/>
    <w:rsid w:val="00204EFA"/>
    <w:rsid w:val="00205BE1"/>
    <w:rsid w:val="00206286"/>
    <w:rsid w:val="00210D1D"/>
    <w:rsid w:val="002117D6"/>
    <w:rsid w:val="00213F00"/>
    <w:rsid w:val="00220594"/>
    <w:rsid w:val="00220E41"/>
    <w:rsid w:val="002215AD"/>
    <w:rsid w:val="00223521"/>
    <w:rsid w:val="00223FDC"/>
    <w:rsid w:val="00224625"/>
    <w:rsid w:val="002262C4"/>
    <w:rsid w:val="002316A8"/>
    <w:rsid w:val="00233DF1"/>
    <w:rsid w:val="00234087"/>
    <w:rsid w:val="002346AD"/>
    <w:rsid w:val="00236426"/>
    <w:rsid w:val="0024136B"/>
    <w:rsid w:val="00242039"/>
    <w:rsid w:val="00242352"/>
    <w:rsid w:val="002435B2"/>
    <w:rsid w:val="00244E9B"/>
    <w:rsid w:val="00246CC7"/>
    <w:rsid w:val="002472E4"/>
    <w:rsid w:val="00247687"/>
    <w:rsid w:val="00250E76"/>
    <w:rsid w:val="002531A7"/>
    <w:rsid w:val="00254A31"/>
    <w:rsid w:val="002557A1"/>
    <w:rsid w:val="002610ED"/>
    <w:rsid w:val="002630D8"/>
    <w:rsid w:val="00263DC7"/>
    <w:rsid w:val="0026438C"/>
    <w:rsid w:val="002716B5"/>
    <w:rsid w:val="00271B40"/>
    <w:rsid w:val="00272EC5"/>
    <w:rsid w:val="00273713"/>
    <w:rsid w:val="0027490B"/>
    <w:rsid w:val="002753ED"/>
    <w:rsid w:val="00280ED0"/>
    <w:rsid w:val="00282C0E"/>
    <w:rsid w:val="00283479"/>
    <w:rsid w:val="00284611"/>
    <w:rsid w:val="00286E19"/>
    <w:rsid w:val="00290257"/>
    <w:rsid w:val="0029054F"/>
    <w:rsid w:val="00290AF1"/>
    <w:rsid w:val="0029283D"/>
    <w:rsid w:val="00292FF2"/>
    <w:rsid w:val="00293176"/>
    <w:rsid w:val="0029345F"/>
    <w:rsid w:val="00293A70"/>
    <w:rsid w:val="00295700"/>
    <w:rsid w:val="002A11C9"/>
    <w:rsid w:val="002A39D6"/>
    <w:rsid w:val="002A485C"/>
    <w:rsid w:val="002A4AB1"/>
    <w:rsid w:val="002A699A"/>
    <w:rsid w:val="002A7305"/>
    <w:rsid w:val="002B3248"/>
    <w:rsid w:val="002B4A8C"/>
    <w:rsid w:val="002B5F2B"/>
    <w:rsid w:val="002C0094"/>
    <w:rsid w:val="002C0A50"/>
    <w:rsid w:val="002C19BF"/>
    <w:rsid w:val="002C1D39"/>
    <w:rsid w:val="002C3F14"/>
    <w:rsid w:val="002C3F92"/>
    <w:rsid w:val="002C58B0"/>
    <w:rsid w:val="002C61F5"/>
    <w:rsid w:val="002C6635"/>
    <w:rsid w:val="002D0313"/>
    <w:rsid w:val="002D1C4E"/>
    <w:rsid w:val="002D20E3"/>
    <w:rsid w:val="002D3601"/>
    <w:rsid w:val="002D3F49"/>
    <w:rsid w:val="002D45E9"/>
    <w:rsid w:val="002D469E"/>
    <w:rsid w:val="002D6900"/>
    <w:rsid w:val="002E42C5"/>
    <w:rsid w:val="002E4A47"/>
    <w:rsid w:val="002E52DD"/>
    <w:rsid w:val="002E5473"/>
    <w:rsid w:val="002E5502"/>
    <w:rsid w:val="002E5619"/>
    <w:rsid w:val="002E6060"/>
    <w:rsid w:val="002F02AB"/>
    <w:rsid w:val="002F7B8B"/>
    <w:rsid w:val="00300ED3"/>
    <w:rsid w:val="0030104F"/>
    <w:rsid w:val="003027E6"/>
    <w:rsid w:val="00304BC2"/>
    <w:rsid w:val="003061F5"/>
    <w:rsid w:val="003126D6"/>
    <w:rsid w:val="003154B3"/>
    <w:rsid w:val="00316C78"/>
    <w:rsid w:val="00317094"/>
    <w:rsid w:val="003212B2"/>
    <w:rsid w:val="003227CB"/>
    <w:rsid w:val="003245FF"/>
    <w:rsid w:val="003275FA"/>
    <w:rsid w:val="0032769F"/>
    <w:rsid w:val="00330D78"/>
    <w:rsid w:val="0033188B"/>
    <w:rsid w:val="00332548"/>
    <w:rsid w:val="003353AC"/>
    <w:rsid w:val="003375F1"/>
    <w:rsid w:val="003432AA"/>
    <w:rsid w:val="003434CE"/>
    <w:rsid w:val="003445AC"/>
    <w:rsid w:val="00344809"/>
    <w:rsid w:val="00350C4B"/>
    <w:rsid w:val="00351E75"/>
    <w:rsid w:val="0035202E"/>
    <w:rsid w:val="00352039"/>
    <w:rsid w:val="00352471"/>
    <w:rsid w:val="0035316F"/>
    <w:rsid w:val="00353E86"/>
    <w:rsid w:val="003540EC"/>
    <w:rsid w:val="00361FFE"/>
    <w:rsid w:val="003642DF"/>
    <w:rsid w:val="003651B0"/>
    <w:rsid w:val="00371C6C"/>
    <w:rsid w:val="003723E5"/>
    <w:rsid w:val="00372470"/>
    <w:rsid w:val="00372C2A"/>
    <w:rsid w:val="00373061"/>
    <w:rsid w:val="00377848"/>
    <w:rsid w:val="00380066"/>
    <w:rsid w:val="00380B30"/>
    <w:rsid w:val="00380CA4"/>
    <w:rsid w:val="00380F00"/>
    <w:rsid w:val="00385B52"/>
    <w:rsid w:val="00386D2C"/>
    <w:rsid w:val="00392AF4"/>
    <w:rsid w:val="0039361E"/>
    <w:rsid w:val="00393BEA"/>
    <w:rsid w:val="003944D4"/>
    <w:rsid w:val="0039582E"/>
    <w:rsid w:val="00395961"/>
    <w:rsid w:val="00396608"/>
    <w:rsid w:val="003A11D1"/>
    <w:rsid w:val="003A1D44"/>
    <w:rsid w:val="003A509D"/>
    <w:rsid w:val="003B1DA1"/>
    <w:rsid w:val="003B288E"/>
    <w:rsid w:val="003B2E14"/>
    <w:rsid w:val="003B2FB6"/>
    <w:rsid w:val="003C270A"/>
    <w:rsid w:val="003C3C2A"/>
    <w:rsid w:val="003D0620"/>
    <w:rsid w:val="003D2FD3"/>
    <w:rsid w:val="003D7B79"/>
    <w:rsid w:val="003E056E"/>
    <w:rsid w:val="003E05FA"/>
    <w:rsid w:val="003E2313"/>
    <w:rsid w:val="003E4408"/>
    <w:rsid w:val="003F041E"/>
    <w:rsid w:val="003F1303"/>
    <w:rsid w:val="003F16E5"/>
    <w:rsid w:val="003F4606"/>
    <w:rsid w:val="003F57CB"/>
    <w:rsid w:val="003F66D2"/>
    <w:rsid w:val="003F6FF6"/>
    <w:rsid w:val="00405563"/>
    <w:rsid w:val="00405E92"/>
    <w:rsid w:val="00406117"/>
    <w:rsid w:val="004064FE"/>
    <w:rsid w:val="0040699F"/>
    <w:rsid w:val="004125E4"/>
    <w:rsid w:val="004133B3"/>
    <w:rsid w:val="0041505F"/>
    <w:rsid w:val="004166DB"/>
    <w:rsid w:val="004168D1"/>
    <w:rsid w:val="004206C2"/>
    <w:rsid w:val="00422EF0"/>
    <w:rsid w:val="00425704"/>
    <w:rsid w:val="004300B9"/>
    <w:rsid w:val="0043098D"/>
    <w:rsid w:val="00430D94"/>
    <w:rsid w:val="00431872"/>
    <w:rsid w:val="00432B4D"/>
    <w:rsid w:val="004365FD"/>
    <w:rsid w:val="0044143B"/>
    <w:rsid w:val="004440E3"/>
    <w:rsid w:val="00444EBD"/>
    <w:rsid w:val="00447F7A"/>
    <w:rsid w:val="00454EA4"/>
    <w:rsid w:val="00455EB4"/>
    <w:rsid w:val="00456479"/>
    <w:rsid w:val="00461683"/>
    <w:rsid w:val="004638DA"/>
    <w:rsid w:val="004650E8"/>
    <w:rsid w:val="00466A7B"/>
    <w:rsid w:val="00470619"/>
    <w:rsid w:val="0047083B"/>
    <w:rsid w:val="0047122A"/>
    <w:rsid w:val="0047179C"/>
    <w:rsid w:val="00471DB9"/>
    <w:rsid w:val="004738C9"/>
    <w:rsid w:val="0047490E"/>
    <w:rsid w:val="0047534A"/>
    <w:rsid w:val="00477093"/>
    <w:rsid w:val="004777F6"/>
    <w:rsid w:val="00481119"/>
    <w:rsid w:val="004822BC"/>
    <w:rsid w:val="0048295D"/>
    <w:rsid w:val="004854D4"/>
    <w:rsid w:val="0048716B"/>
    <w:rsid w:val="004900B9"/>
    <w:rsid w:val="00490FAF"/>
    <w:rsid w:val="00492F6F"/>
    <w:rsid w:val="004957C3"/>
    <w:rsid w:val="004960E2"/>
    <w:rsid w:val="00497D20"/>
    <w:rsid w:val="004A03F2"/>
    <w:rsid w:val="004A3AC8"/>
    <w:rsid w:val="004A426A"/>
    <w:rsid w:val="004A4783"/>
    <w:rsid w:val="004A4C2B"/>
    <w:rsid w:val="004A4C3D"/>
    <w:rsid w:val="004A7E84"/>
    <w:rsid w:val="004B05E8"/>
    <w:rsid w:val="004B0C97"/>
    <w:rsid w:val="004C2CE5"/>
    <w:rsid w:val="004C4E55"/>
    <w:rsid w:val="004C60DE"/>
    <w:rsid w:val="004C67C8"/>
    <w:rsid w:val="004D0768"/>
    <w:rsid w:val="004D0995"/>
    <w:rsid w:val="004D270B"/>
    <w:rsid w:val="004D385E"/>
    <w:rsid w:val="004D4B62"/>
    <w:rsid w:val="004D5E2A"/>
    <w:rsid w:val="004D79BE"/>
    <w:rsid w:val="004D7A37"/>
    <w:rsid w:val="004E2801"/>
    <w:rsid w:val="004E4D62"/>
    <w:rsid w:val="004E508B"/>
    <w:rsid w:val="004E7D93"/>
    <w:rsid w:val="004F01F7"/>
    <w:rsid w:val="004F2A39"/>
    <w:rsid w:val="004F354B"/>
    <w:rsid w:val="004F6046"/>
    <w:rsid w:val="00510DD6"/>
    <w:rsid w:val="00516302"/>
    <w:rsid w:val="00523C71"/>
    <w:rsid w:val="00523F72"/>
    <w:rsid w:val="00523FC3"/>
    <w:rsid w:val="00524759"/>
    <w:rsid w:val="005253A1"/>
    <w:rsid w:val="005306FB"/>
    <w:rsid w:val="00532121"/>
    <w:rsid w:val="00532D3F"/>
    <w:rsid w:val="005336DB"/>
    <w:rsid w:val="0053545C"/>
    <w:rsid w:val="00536B07"/>
    <w:rsid w:val="00537371"/>
    <w:rsid w:val="0054340E"/>
    <w:rsid w:val="0054518B"/>
    <w:rsid w:val="00547C19"/>
    <w:rsid w:val="005527B5"/>
    <w:rsid w:val="005529A9"/>
    <w:rsid w:val="00555F61"/>
    <w:rsid w:val="00561CB4"/>
    <w:rsid w:val="0056394F"/>
    <w:rsid w:val="00565D78"/>
    <w:rsid w:val="005663FF"/>
    <w:rsid w:val="0056740A"/>
    <w:rsid w:val="00570387"/>
    <w:rsid w:val="00571BE2"/>
    <w:rsid w:val="00571F40"/>
    <w:rsid w:val="00572775"/>
    <w:rsid w:val="0057571C"/>
    <w:rsid w:val="0057793D"/>
    <w:rsid w:val="00580ED5"/>
    <w:rsid w:val="00581873"/>
    <w:rsid w:val="00590559"/>
    <w:rsid w:val="00591700"/>
    <w:rsid w:val="00591D88"/>
    <w:rsid w:val="00594C1F"/>
    <w:rsid w:val="00597CA7"/>
    <w:rsid w:val="005A2F08"/>
    <w:rsid w:val="005A3244"/>
    <w:rsid w:val="005A72C4"/>
    <w:rsid w:val="005B383D"/>
    <w:rsid w:val="005B422A"/>
    <w:rsid w:val="005B68CF"/>
    <w:rsid w:val="005B7013"/>
    <w:rsid w:val="005B7395"/>
    <w:rsid w:val="005C09AF"/>
    <w:rsid w:val="005C2A30"/>
    <w:rsid w:val="005C50A5"/>
    <w:rsid w:val="005C5151"/>
    <w:rsid w:val="005C5711"/>
    <w:rsid w:val="005D1132"/>
    <w:rsid w:val="005D4477"/>
    <w:rsid w:val="005D46E2"/>
    <w:rsid w:val="005D5ACC"/>
    <w:rsid w:val="005E05A3"/>
    <w:rsid w:val="005E1718"/>
    <w:rsid w:val="005E1DA0"/>
    <w:rsid w:val="005E21C8"/>
    <w:rsid w:val="005E3C22"/>
    <w:rsid w:val="005E6084"/>
    <w:rsid w:val="005E6674"/>
    <w:rsid w:val="005F0030"/>
    <w:rsid w:val="005F04F4"/>
    <w:rsid w:val="005F0863"/>
    <w:rsid w:val="005F1827"/>
    <w:rsid w:val="005F1CE3"/>
    <w:rsid w:val="005F2785"/>
    <w:rsid w:val="005F474A"/>
    <w:rsid w:val="005F4792"/>
    <w:rsid w:val="005F69FD"/>
    <w:rsid w:val="00600D70"/>
    <w:rsid w:val="00601D07"/>
    <w:rsid w:val="00603060"/>
    <w:rsid w:val="00603733"/>
    <w:rsid w:val="00603B79"/>
    <w:rsid w:val="00604210"/>
    <w:rsid w:val="00610E48"/>
    <w:rsid w:val="00610F6E"/>
    <w:rsid w:val="0061124B"/>
    <w:rsid w:val="006118C4"/>
    <w:rsid w:val="00611A64"/>
    <w:rsid w:val="0061500F"/>
    <w:rsid w:val="00615E8E"/>
    <w:rsid w:val="006164B6"/>
    <w:rsid w:val="0062035B"/>
    <w:rsid w:val="006213B8"/>
    <w:rsid w:val="00621B8F"/>
    <w:rsid w:val="00625F55"/>
    <w:rsid w:val="0062616C"/>
    <w:rsid w:val="006317ED"/>
    <w:rsid w:val="00631940"/>
    <w:rsid w:val="00632007"/>
    <w:rsid w:val="00632366"/>
    <w:rsid w:val="00633864"/>
    <w:rsid w:val="00633BA5"/>
    <w:rsid w:val="00633D4F"/>
    <w:rsid w:val="0063573E"/>
    <w:rsid w:val="00637321"/>
    <w:rsid w:val="006377EE"/>
    <w:rsid w:val="00641FC1"/>
    <w:rsid w:val="0064645A"/>
    <w:rsid w:val="00647B44"/>
    <w:rsid w:val="00647CAC"/>
    <w:rsid w:val="00650972"/>
    <w:rsid w:val="00650C26"/>
    <w:rsid w:val="00652E44"/>
    <w:rsid w:val="00653EFD"/>
    <w:rsid w:val="00655B19"/>
    <w:rsid w:val="006577D7"/>
    <w:rsid w:val="00660E46"/>
    <w:rsid w:val="006639DE"/>
    <w:rsid w:val="006669E0"/>
    <w:rsid w:val="006678D2"/>
    <w:rsid w:val="00667F25"/>
    <w:rsid w:val="0067027F"/>
    <w:rsid w:val="00671B16"/>
    <w:rsid w:val="00673785"/>
    <w:rsid w:val="00673AFA"/>
    <w:rsid w:val="00674BC7"/>
    <w:rsid w:val="006753AE"/>
    <w:rsid w:val="00681F64"/>
    <w:rsid w:val="00691A3D"/>
    <w:rsid w:val="006928ED"/>
    <w:rsid w:val="00692B58"/>
    <w:rsid w:val="0069528C"/>
    <w:rsid w:val="00695A87"/>
    <w:rsid w:val="006962F5"/>
    <w:rsid w:val="006A009E"/>
    <w:rsid w:val="006A011B"/>
    <w:rsid w:val="006A300E"/>
    <w:rsid w:val="006A3A42"/>
    <w:rsid w:val="006A3DDA"/>
    <w:rsid w:val="006A4CAA"/>
    <w:rsid w:val="006A4EB7"/>
    <w:rsid w:val="006A71F8"/>
    <w:rsid w:val="006A7713"/>
    <w:rsid w:val="006B0D82"/>
    <w:rsid w:val="006B20B6"/>
    <w:rsid w:val="006B3BB8"/>
    <w:rsid w:val="006B4086"/>
    <w:rsid w:val="006C087B"/>
    <w:rsid w:val="006C1769"/>
    <w:rsid w:val="006C3A11"/>
    <w:rsid w:val="006C4834"/>
    <w:rsid w:val="006C62B2"/>
    <w:rsid w:val="006C644B"/>
    <w:rsid w:val="006D0CDB"/>
    <w:rsid w:val="006D2265"/>
    <w:rsid w:val="006D22DA"/>
    <w:rsid w:val="006D2E9F"/>
    <w:rsid w:val="006D2FA0"/>
    <w:rsid w:val="006D3227"/>
    <w:rsid w:val="006D38B5"/>
    <w:rsid w:val="006D7249"/>
    <w:rsid w:val="006D7473"/>
    <w:rsid w:val="006E1F39"/>
    <w:rsid w:val="006E50C6"/>
    <w:rsid w:val="006E6733"/>
    <w:rsid w:val="006F07F6"/>
    <w:rsid w:val="006F0A75"/>
    <w:rsid w:val="006F1320"/>
    <w:rsid w:val="006F16ED"/>
    <w:rsid w:val="006F3172"/>
    <w:rsid w:val="006F3E72"/>
    <w:rsid w:val="006F3FB3"/>
    <w:rsid w:val="006F4656"/>
    <w:rsid w:val="006F5743"/>
    <w:rsid w:val="006F6B0E"/>
    <w:rsid w:val="006F77D7"/>
    <w:rsid w:val="00701C3C"/>
    <w:rsid w:val="0070417C"/>
    <w:rsid w:val="00704FE3"/>
    <w:rsid w:val="0070564E"/>
    <w:rsid w:val="00706D7B"/>
    <w:rsid w:val="00710B2B"/>
    <w:rsid w:val="00710E2C"/>
    <w:rsid w:val="007116D5"/>
    <w:rsid w:val="00713881"/>
    <w:rsid w:val="0071545D"/>
    <w:rsid w:val="00716B00"/>
    <w:rsid w:val="00716B93"/>
    <w:rsid w:val="007174B4"/>
    <w:rsid w:val="00717700"/>
    <w:rsid w:val="007200AD"/>
    <w:rsid w:val="00721310"/>
    <w:rsid w:val="0072143E"/>
    <w:rsid w:val="00721E6E"/>
    <w:rsid w:val="00726776"/>
    <w:rsid w:val="00730560"/>
    <w:rsid w:val="007333C2"/>
    <w:rsid w:val="00733884"/>
    <w:rsid w:val="00735B94"/>
    <w:rsid w:val="007361C9"/>
    <w:rsid w:val="007414BC"/>
    <w:rsid w:val="007447B2"/>
    <w:rsid w:val="00750B92"/>
    <w:rsid w:val="007517FB"/>
    <w:rsid w:val="0075181B"/>
    <w:rsid w:val="007532F6"/>
    <w:rsid w:val="007534CC"/>
    <w:rsid w:val="00753CC3"/>
    <w:rsid w:val="00757BDE"/>
    <w:rsid w:val="00762029"/>
    <w:rsid w:val="00763CB9"/>
    <w:rsid w:val="00764ED2"/>
    <w:rsid w:val="00770969"/>
    <w:rsid w:val="00772D67"/>
    <w:rsid w:val="00773806"/>
    <w:rsid w:val="007754ED"/>
    <w:rsid w:val="007828EB"/>
    <w:rsid w:val="0078445D"/>
    <w:rsid w:val="007844E4"/>
    <w:rsid w:val="007856D9"/>
    <w:rsid w:val="00790BD4"/>
    <w:rsid w:val="00792066"/>
    <w:rsid w:val="00793655"/>
    <w:rsid w:val="00793721"/>
    <w:rsid w:val="0079570A"/>
    <w:rsid w:val="007A08D6"/>
    <w:rsid w:val="007A39FF"/>
    <w:rsid w:val="007A3DD3"/>
    <w:rsid w:val="007A571E"/>
    <w:rsid w:val="007A62AD"/>
    <w:rsid w:val="007A654C"/>
    <w:rsid w:val="007A6708"/>
    <w:rsid w:val="007A7CCA"/>
    <w:rsid w:val="007B0922"/>
    <w:rsid w:val="007B13ED"/>
    <w:rsid w:val="007B1533"/>
    <w:rsid w:val="007B1E41"/>
    <w:rsid w:val="007B28BB"/>
    <w:rsid w:val="007B30F7"/>
    <w:rsid w:val="007B3975"/>
    <w:rsid w:val="007B39D6"/>
    <w:rsid w:val="007B3C55"/>
    <w:rsid w:val="007B556F"/>
    <w:rsid w:val="007B5654"/>
    <w:rsid w:val="007B6376"/>
    <w:rsid w:val="007B6965"/>
    <w:rsid w:val="007B766E"/>
    <w:rsid w:val="007C1D1B"/>
    <w:rsid w:val="007C1E33"/>
    <w:rsid w:val="007C38F2"/>
    <w:rsid w:val="007C3B62"/>
    <w:rsid w:val="007C3CE5"/>
    <w:rsid w:val="007C473F"/>
    <w:rsid w:val="007D4FCD"/>
    <w:rsid w:val="007D7925"/>
    <w:rsid w:val="007E1682"/>
    <w:rsid w:val="007E4887"/>
    <w:rsid w:val="007E560E"/>
    <w:rsid w:val="007E63A1"/>
    <w:rsid w:val="007E71FC"/>
    <w:rsid w:val="007E7937"/>
    <w:rsid w:val="007F26EB"/>
    <w:rsid w:val="007F4DFF"/>
    <w:rsid w:val="007F5144"/>
    <w:rsid w:val="00800B1C"/>
    <w:rsid w:val="008019FE"/>
    <w:rsid w:val="00803601"/>
    <w:rsid w:val="008039B2"/>
    <w:rsid w:val="00806163"/>
    <w:rsid w:val="0080653C"/>
    <w:rsid w:val="00807E98"/>
    <w:rsid w:val="00810361"/>
    <w:rsid w:val="00811971"/>
    <w:rsid w:val="00812399"/>
    <w:rsid w:val="00812FF1"/>
    <w:rsid w:val="0081372F"/>
    <w:rsid w:val="00817AA1"/>
    <w:rsid w:val="00817C12"/>
    <w:rsid w:val="00821198"/>
    <w:rsid w:val="00821B01"/>
    <w:rsid w:val="00824BA8"/>
    <w:rsid w:val="00830354"/>
    <w:rsid w:val="00834D76"/>
    <w:rsid w:val="00840BF6"/>
    <w:rsid w:val="00844A4B"/>
    <w:rsid w:val="00844AF5"/>
    <w:rsid w:val="00844E55"/>
    <w:rsid w:val="008509C2"/>
    <w:rsid w:val="00851952"/>
    <w:rsid w:val="00851C7A"/>
    <w:rsid w:val="00854FC5"/>
    <w:rsid w:val="00857D5C"/>
    <w:rsid w:val="00862550"/>
    <w:rsid w:val="0086297D"/>
    <w:rsid w:val="00862D31"/>
    <w:rsid w:val="00863AC7"/>
    <w:rsid w:val="0086604A"/>
    <w:rsid w:val="00871AD8"/>
    <w:rsid w:val="008720F2"/>
    <w:rsid w:val="00873C34"/>
    <w:rsid w:val="00874925"/>
    <w:rsid w:val="00874CB4"/>
    <w:rsid w:val="00876394"/>
    <w:rsid w:val="0088030E"/>
    <w:rsid w:val="008822DE"/>
    <w:rsid w:val="00884384"/>
    <w:rsid w:val="00884AB4"/>
    <w:rsid w:val="008865FF"/>
    <w:rsid w:val="008909C3"/>
    <w:rsid w:val="00890D69"/>
    <w:rsid w:val="008918D6"/>
    <w:rsid w:val="00893FCC"/>
    <w:rsid w:val="00897805"/>
    <w:rsid w:val="008A0DB1"/>
    <w:rsid w:val="008A0FAB"/>
    <w:rsid w:val="008A122A"/>
    <w:rsid w:val="008A211F"/>
    <w:rsid w:val="008A552D"/>
    <w:rsid w:val="008B2566"/>
    <w:rsid w:val="008B2918"/>
    <w:rsid w:val="008B37AD"/>
    <w:rsid w:val="008B7077"/>
    <w:rsid w:val="008C2326"/>
    <w:rsid w:val="008C4EEE"/>
    <w:rsid w:val="008C5570"/>
    <w:rsid w:val="008C6415"/>
    <w:rsid w:val="008C6E48"/>
    <w:rsid w:val="008D09FB"/>
    <w:rsid w:val="008D32BA"/>
    <w:rsid w:val="008D388B"/>
    <w:rsid w:val="008D3FD5"/>
    <w:rsid w:val="008D5825"/>
    <w:rsid w:val="008D7DB4"/>
    <w:rsid w:val="008E3E82"/>
    <w:rsid w:val="008E7612"/>
    <w:rsid w:val="008F12C1"/>
    <w:rsid w:val="008F3AA8"/>
    <w:rsid w:val="008F4F0C"/>
    <w:rsid w:val="008F54B6"/>
    <w:rsid w:val="008F5C77"/>
    <w:rsid w:val="008F68FF"/>
    <w:rsid w:val="008F7381"/>
    <w:rsid w:val="008F744E"/>
    <w:rsid w:val="00902CF2"/>
    <w:rsid w:val="00907094"/>
    <w:rsid w:val="009110A5"/>
    <w:rsid w:val="00911A22"/>
    <w:rsid w:val="00917360"/>
    <w:rsid w:val="00917689"/>
    <w:rsid w:val="00920BD4"/>
    <w:rsid w:val="009221C1"/>
    <w:rsid w:val="009250DA"/>
    <w:rsid w:val="00926040"/>
    <w:rsid w:val="00930E72"/>
    <w:rsid w:val="00930FFF"/>
    <w:rsid w:val="00932C6D"/>
    <w:rsid w:val="00932FA4"/>
    <w:rsid w:val="009354D9"/>
    <w:rsid w:val="0093631E"/>
    <w:rsid w:val="00936F0F"/>
    <w:rsid w:val="00943C7F"/>
    <w:rsid w:val="009452D7"/>
    <w:rsid w:val="0094592D"/>
    <w:rsid w:val="00945E3D"/>
    <w:rsid w:val="00947579"/>
    <w:rsid w:val="00947CCF"/>
    <w:rsid w:val="00951954"/>
    <w:rsid w:val="0095346D"/>
    <w:rsid w:val="00953AB3"/>
    <w:rsid w:val="009553A6"/>
    <w:rsid w:val="0095641B"/>
    <w:rsid w:val="0096081E"/>
    <w:rsid w:val="00961243"/>
    <w:rsid w:val="00961976"/>
    <w:rsid w:val="00965CCC"/>
    <w:rsid w:val="00967932"/>
    <w:rsid w:val="00970209"/>
    <w:rsid w:val="00970C6E"/>
    <w:rsid w:val="009725F6"/>
    <w:rsid w:val="00974806"/>
    <w:rsid w:val="00974D41"/>
    <w:rsid w:val="00976D59"/>
    <w:rsid w:val="00980628"/>
    <w:rsid w:val="009842D4"/>
    <w:rsid w:val="009868F3"/>
    <w:rsid w:val="00992D58"/>
    <w:rsid w:val="00993A1C"/>
    <w:rsid w:val="009941D5"/>
    <w:rsid w:val="00995757"/>
    <w:rsid w:val="009A0E2C"/>
    <w:rsid w:val="009A5060"/>
    <w:rsid w:val="009A6E81"/>
    <w:rsid w:val="009A700F"/>
    <w:rsid w:val="009B1E3B"/>
    <w:rsid w:val="009B3DF9"/>
    <w:rsid w:val="009B4827"/>
    <w:rsid w:val="009B5769"/>
    <w:rsid w:val="009B7967"/>
    <w:rsid w:val="009C123E"/>
    <w:rsid w:val="009C1B4E"/>
    <w:rsid w:val="009C6182"/>
    <w:rsid w:val="009C7BA5"/>
    <w:rsid w:val="009D191D"/>
    <w:rsid w:val="009D5658"/>
    <w:rsid w:val="009D70CF"/>
    <w:rsid w:val="009E3B68"/>
    <w:rsid w:val="009E414A"/>
    <w:rsid w:val="009E4445"/>
    <w:rsid w:val="009E513A"/>
    <w:rsid w:val="009E6D29"/>
    <w:rsid w:val="009E752B"/>
    <w:rsid w:val="009F07F7"/>
    <w:rsid w:val="009F19E5"/>
    <w:rsid w:val="009F2EA1"/>
    <w:rsid w:val="009F3763"/>
    <w:rsid w:val="009F67E4"/>
    <w:rsid w:val="009F78B9"/>
    <w:rsid w:val="00A0292C"/>
    <w:rsid w:val="00A03AEE"/>
    <w:rsid w:val="00A041E0"/>
    <w:rsid w:val="00A064A6"/>
    <w:rsid w:val="00A07970"/>
    <w:rsid w:val="00A1043C"/>
    <w:rsid w:val="00A116DA"/>
    <w:rsid w:val="00A21180"/>
    <w:rsid w:val="00A212C2"/>
    <w:rsid w:val="00A23300"/>
    <w:rsid w:val="00A25720"/>
    <w:rsid w:val="00A3518C"/>
    <w:rsid w:val="00A376F2"/>
    <w:rsid w:val="00A37D23"/>
    <w:rsid w:val="00A4266D"/>
    <w:rsid w:val="00A450F6"/>
    <w:rsid w:val="00A4560B"/>
    <w:rsid w:val="00A45614"/>
    <w:rsid w:val="00A46334"/>
    <w:rsid w:val="00A51C8D"/>
    <w:rsid w:val="00A530AA"/>
    <w:rsid w:val="00A53F31"/>
    <w:rsid w:val="00A564A7"/>
    <w:rsid w:val="00A605D6"/>
    <w:rsid w:val="00A60CAA"/>
    <w:rsid w:val="00A6243E"/>
    <w:rsid w:val="00A64232"/>
    <w:rsid w:val="00A6439A"/>
    <w:rsid w:val="00A66EFA"/>
    <w:rsid w:val="00A674B9"/>
    <w:rsid w:val="00A7729C"/>
    <w:rsid w:val="00A77740"/>
    <w:rsid w:val="00A77995"/>
    <w:rsid w:val="00A85A39"/>
    <w:rsid w:val="00A8663E"/>
    <w:rsid w:val="00A9331B"/>
    <w:rsid w:val="00A93394"/>
    <w:rsid w:val="00A938AB"/>
    <w:rsid w:val="00A94905"/>
    <w:rsid w:val="00A94B0D"/>
    <w:rsid w:val="00AA6CBF"/>
    <w:rsid w:val="00AB14AB"/>
    <w:rsid w:val="00AB199B"/>
    <w:rsid w:val="00AB2E24"/>
    <w:rsid w:val="00AB2E43"/>
    <w:rsid w:val="00AB5906"/>
    <w:rsid w:val="00AC14D8"/>
    <w:rsid w:val="00AC2239"/>
    <w:rsid w:val="00AC23DB"/>
    <w:rsid w:val="00AC246D"/>
    <w:rsid w:val="00AC3C2F"/>
    <w:rsid w:val="00AD0543"/>
    <w:rsid w:val="00AD0CD0"/>
    <w:rsid w:val="00AD13BC"/>
    <w:rsid w:val="00AD43FA"/>
    <w:rsid w:val="00AD5BDB"/>
    <w:rsid w:val="00AE0A1B"/>
    <w:rsid w:val="00AE0D62"/>
    <w:rsid w:val="00AE127E"/>
    <w:rsid w:val="00AE1915"/>
    <w:rsid w:val="00AE25F7"/>
    <w:rsid w:val="00AF0631"/>
    <w:rsid w:val="00AF4D69"/>
    <w:rsid w:val="00AF4F8F"/>
    <w:rsid w:val="00AF50C0"/>
    <w:rsid w:val="00AF51FA"/>
    <w:rsid w:val="00AF5276"/>
    <w:rsid w:val="00B00E1E"/>
    <w:rsid w:val="00B02A5E"/>
    <w:rsid w:val="00B04ADC"/>
    <w:rsid w:val="00B05373"/>
    <w:rsid w:val="00B06FDF"/>
    <w:rsid w:val="00B14574"/>
    <w:rsid w:val="00B1485C"/>
    <w:rsid w:val="00B15E96"/>
    <w:rsid w:val="00B1647E"/>
    <w:rsid w:val="00B20B13"/>
    <w:rsid w:val="00B24311"/>
    <w:rsid w:val="00B26255"/>
    <w:rsid w:val="00B2715E"/>
    <w:rsid w:val="00B3133F"/>
    <w:rsid w:val="00B329C9"/>
    <w:rsid w:val="00B32AE4"/>
    <w:rsid w:val="00B32BB4"/>
    <w:rsid w:val="00B33541"/>
    <w:rsid w:val="00B36E19"/>
    <w:rsid w:val="00B4017D"/>
    <w:rsid w:val="00B45554"/>
    <w:rsid w:val="00B45C9F"/>
    <w:rsid w:val="00B4665F"/>
    <w:rsid w:val="00B50D30"/>
    <w:rsid w:val="00B51842"/>
    <w:rsid w:val="00B55F41"/>
    <w:rsid w:val="00B618DF"/>
    <w:rsid w:val="00B6245A"/>
    <w:rsid w:val="00B63906"/>
    <w:rsid w:val="00B64994"/>
    <w:rsid w:val="00B653FD"/>
    <w:rsid w:val="00B65F17"/>
    <w:rsid w:val="00B67A26"/>
    <w:rsid w:val="00B67F35"/>
    <w:rsid w:val="00B7037D"/>
    <w:rsid w:val="00B70B9C"/>
    <w:rsid w:val="00B743B7"/>
    <w:rsid w:val="00B7618E"/>
    <w:rsid w:val="00B772DC"/>
    <w:rsid w:val="00B859E2"/>
    <w:rsid w:val="00B903DE"/>
    <w:rsid w:val="00B90659"/>
    <w:rsid w:val="00B913E7"/>
    <w:rsid w:val="00B93FD5"/>
    <w:rsid w:val="00B96A42"/>
    <w:rsid w:val="00BA1026"/>
    <w:rsid w:val="00BA15CB"/>
    <w:rsid w:val="00BA1EEF"/>
    <w:rsid w:val="00BA28D1"/>
    <w:rsid w:val="00BA529C"/>
    <w:rsid w:val="00BA658B"/>
    <w:rsid w:val="00BA7CAC"/>
    <w:rsid w:val="00BB1349"/>
    <w:rsid w:val="00BB1574"/>
    <w:rsid w:val="00BB32F4"/>
    <w:rsid w:val="00BB3F73"/>
    <w:rsid w:val="00BB42F2"/>
    <w:rsid w:val="00BB5800"/>
    <w:rsid w:val="00BB5C91"/>
    <w:rsid w:val="00BB63D0"/>
    <w:rsid w:val="00BC12BE"/>
    <w:rsid w:val="00BC5084"/>
    <w:rsid w:val="00BC531C"/>
    <w:rsid w:val="00BC6053"/>
    <w:rsid w:val="00BC75E7"/>
    <w:rsid w:val="00BD1177"/>
    <w:rsid w:val="00BD1C95"/>
    <w:rsid w:val="00BD346C"/>
    <w:rsid w:val="00BD5B3C"/>
    <w:rsid w:val="00BD6E6F"/>
    <w:rsid w:val="00BE1FB2"/>
    <w:rsid w:val="00BE4962"/>
    <w:rsid w:val="00BE67F4"/>
    <w:rsid w:val="00BE79F6"/>
    <w:rsid w:val="00BF058F"/>
    <w:rsid w:val="00BF46A8"/>
    <w:rsid w:val="00BF4EC4"/>
    <w:rsid w:val="00BF59B4"/>
    <w:rsid w:val="00BF6B59"/>
    <w:rsid w:val="00C01B27"/>
    <w:rsid w:val="00C030D5"/>
    <w:rsid w:val="00C040D1"/>
    <w:rsid w:val="00C049B6"/>
    <w:rsid w:val="00C10BC5"/>
    <w:rsid w:val="00C11304"/>
    <w:rsid w:val="00C114FE"/>
    <w:rsid w:val="00C11CEE"/>
    <w:rsid w:val="00C15A7A"/>
    <w:rsid w:val="00C15C36"/>
    <w:rsid w:val="00C2166A"/>
    <w:rsid w:val="00C22F9B"/>
    <w:rsid w:val="00C25950"/>
    <w:rsid w:val="00C25E7C"/>
    <w:rsid w:val="00C304CC"/>
    <w:rsid w:val="00C30C0D"/>
    <w:rsid w:val="00C31415"/>
    <w:rsid w:val="00C34B9C"/>
    <w:rsid w:val="00C35C45"/>
    <w:rsid w:val="00C37A76"/>
    <w:rsid w:val="00C406F0"/>
    <w:rsid w:val="00C44A02"/>
    <w:rsid w:val="00C45C28"/>
    <w:rsid w:val="00C47B3F"/>
    <w:rsid w:val="00C54B76"/>
    <w:rsid w:val="00C62B07"/>
    <w:rsid w:val="00C63B25"/>
    <w:rsid w:val="00C640D6"/>
    <w:rsid w:val="00C64677"/>
    <w:rsid w:val="00C64C82"/>
    <w:rsid w:val="00C6565A"/>
    <w:rsid w:val="00C70BB5"/>
    <w:rsid w:val="00C712DE"/>
    <w:rsid w:val="00C72F7E"/>
    <w:rsid w:val="00C735D9"/>
    <w:rsid w:val="00C752B3"/>
    <w:rsid w:val="00C75A39"/>
    <w:rsid w:val="00C75DE5"/>
    <w:rsid w:val="00C76F9A"/>
    <w:rsid w:val="00C77AC7"/>
    <w:rsid w:val="00C80883"/>
    <w:rsid w:val="00C80A6A"/>
    <w:rsid w:val="00C81B02"/>
    <w:rsid w:val="00C831DF"/>
    <w:rsid w:val="00C8347A"/>
    <w:rsid w:val="00C9182F"/>
    <w:rsid w:val="00C92341"/>
    <w:rsid w:val="00C93875"/>
    <w:rsid w:val="00C9562E"/>
    <w:rsid w:val="00C95816"/>
    <w:rsid w:val="00C962EB"/>
    <w:rsid w:val="00C96633"/>
    <w:rsid w:val="00C96764"/>
    <w:rsid w:val="00C97473"/>
    <w:rsid w:val="00C97901"/>
    <w:rsid w:val="00CA0209"/>
    <w:rsid w:val="00CA15C8"/>
    <w:rsid w:val="00CA2653"/>
    <w:rsid w:val="00CA2E46"/>
    <w:rsid w:val="00CA2E87"/>
    <w:rsid w:val="00CA3763"/>
    <w:rsid w:val="00CA4545"/>
    <w:rsid w:val="00CA5F92"/>
    <w:rsid w:val="00CA704B"/>
    <w:rsid w:val="00CA7CB9"/>
    <w:rsid w:val="00CB0316"/>
    <w:rsid w:val="00CB11B4"/>
    <w:rsid w:val="00CB232B"/>
    <w:rsid w:val="00CB2811"/>
    <w:rsid w:val="00CB32F5"/>
    <w:rsid w:val="00CB3A33"/>
    <w:rsid w:val="00CB3F2C"/>
    <w:rsid w:val="00CB7A09"/>
    <w:rsid w:val="00CB7C78"/>
    <w:rsid w:val="00CB7F1E"/>
    <w:rsid w:val="00CC41B9"/>
    <w:rsid w:val="00CC4AB0"/>
    <w:rsid w:val="00CC50DA"/>
    <w:rsid w:val="00CC60D1"/>
    <w:rsid w:val="00CC6E16"/>
    <w:rsid w:val="00CD00EC"/>
    <w:rsid w:val="00CD156E"/>
    <w:rsid w:val="00CD30B3"/>
    <w:rsid w:val="00CD36D8"/>
    <w:rsid w:val="00CD49E3"/>
    <w:rsid w:val="00CD4E02"/>
    <w:rsid w:val="00CD6389"/>
    <w:rsid w:val="00CE0C9E"/>
    <w:rsid w:val="00CE14FC"/>
    <w:rsid w:val="00CE14FD"/>
    <w:rsid w:val="00CE5850"/>
    <w:rsid w:val="00CE5940"/>
    <w:rsid w:val="00CE6CDF"/>
    <w:rsid w:val="00CF0C09"/>
    <w:rsid w:val="00CF2A99"/>
    <w:rsid w:val="00CF33B7"/>
    <w:rsid w:val="00CF4C32"/>
    <w:rsid w:val="00CF5375"/>
    <w:rsid w:val="00CF5F6D"/>
    <w:rsid w:val="00CF5FA6"/>
    <w:rsid w:val="00CF66A0"/>
    <w:rsid w:val="00CF67FA"/>
    <w:rsid w:val="00CF6C64"/>
    <w:rsid w:val="00D006C5"/>
    <w:rsid w:val="00D03A2F"/>
    <w:rsid w:val="00D03C40"/>
    <w:rsid w:val="00D07BAB"/>
    <w:rsid w:val="00D10C9D"/>
    <w:rsid w:val="00D11CBA"/>
    <w:rsid w:val="00D14091"/>
    <w:rsid w:val="00D15259"/>
    <w:rsid w:val="00D15E81"/>
    <w:rsid w:val="00D20FD9"/>
    <w:rsid w:val="00D24457"/>
    <w:rsid w:val="00D24DC7"/>
    <w:rsid w:val="00D25F9C"/>
    <w:rsid w:val="00D32A25"/>
    <w:rsid w:val="00D33BA4"/>
    <w:rsid w:val="00D34811"/>
    <w:rsid w:val="00D36D0D"/>
    <w:rsid w:val="00D405A1"/>
    <w:rsid w:val="00D405A8"/>
    <w:rsid w:val="00D4234C"/>
    <w:rsid w:val="00D44422"/>
    <w:rsid w:val="00D46EE6"/>
    <w:rsid w:val="00D50CA4"/>
    <w:rsid w:val="00D5162C"/>
    <w:rsid w:val="00D537C6"/>
    <w:rsid w:val="00D54D45"/>
    <w:rsid w:val="00D55375"/>
    <w:rsid w:val="00D55725"/>
    <w:rsid w:val="00D5580D"/>
    <w:rsid w:val="00D5735C"/>
    <w:rsid w:val="00D60EC6"/>
    <w:rsid w:val="00D6312D"/>
    <w:rsid w:val="00D6621D"/>
    <w:rsid w:val="00D66A66"/>
    <w:rsid w:val="00D67F3B"/>
    <w:rsid w:val="00D7022E"/>
    <w:rsid w:val="00D719D4"/>
    <w:rsid w:val="00D7363A"/>
    <w:rsid w:val="00D75F03"/>
    <w:rsid w:val="00D818EC"/>
    <w:rsid w:val="00D81996"/>
    <w:rsid w:val="00D82622"/>
    <w:rsid w:val="00D82D2A"/>
    <w:rsid w:val="00D85147"/>
    <w:rsid w:val="00D854D6"/>
    <w:rsid w:val="00D9372E"/>
    <w:rsid w:val="00D94D20"/>
    <w:rsid w:val="00D96F7C"/>
    <w:rsid w:val="00D97525"/>
    <w:rsid w:val="00D9762B"/>
    <w:rsid w:val="00DA2048"/>
    <w:rsid w:val="00DA2647"/>
    <w:rsid w:val="00DA2B4C"/>
    <w:rsid w:val="00DA41FF"/>
    <w:rsid w:val="00DA4EA1"/>
    <w:rsid w:val="00DA5452"/>
    <w:rsid w:val="00DA5A33"/>
    <w:rsid w:val="00DB2870"/>
    <w:rsid w:val="00DB3091"/>
    <w:rsid w:val="00DB3832"/>
    <w:rsid w:val="00DB3BD2"/>
    <w:rsid w:val="00DB413F"/>
    <w:rsid w:val="00DB5225"/>
    <w:rsid w:val="00DB576B"/>
    <w:rsid w:val="00DB6193"/>
    <w:rsid w:val="00DC122C"/>
    <w:rsid w:val="00DC3FD9"/>
    <w:rsid w:val="00DC45C9"/>
    <w:rsid w:val="00DC5BD4"/>
    <w:rsid w:val="00DC62FC"/>
    <w:rsid w:val="00DC6CA9"/>
    <w:rsid w:val="00DD54ED"/>
    <w:rsid w:val="00DD6A7B"/>
    <w:rsid w:val="00DD7FD5"/>
    <w:rsid w:val="00DE14C5"/>
    <w:rsid w:val="00DE3FBF"/>
    <w:rsid w:val="00DE6126"/>
    <w:rsid w:val="00DE62AD"/>
    <w:rsid w:val="00DF04D3"/>
    <w:rsid w:val="00DF3380"/>
    <w:rsid w:val="00DF56DD"/>
    <w:rsid w:val="00E036DF"/>
    <w:rsid w:val="00E040DB"/>
    <w:rsid w:val="00E0489D"/>
    <w:rsid w:val="00E0581B"/>
    <w:rsid w:val="00E10272"/>
    <w:rsid w:val="00E11AD7"/>
    <w:rsid w:val="00E11E56"/>
    <w:rsid w:val="00E15BEC"/>
    <w:rsid w:val="00E163DC"/>
    <w:rsid w:val="00E2157C"/>
    <w:rsid w:val="00E226C7"/>
    <w:rsid w:val="00E230A1"/>
    <w:rsid w:val="00E30C29"/>
    <w:rsid w:val="00E31DDC"/>
    <w:rsid w:val="00E32445"/>
    <w:rsid w:val="00E32475"/>
    <w:rsid w:val="00E346D8"/>
    <w:rsid w:val="00E3595C"/>
    <w:rsid w:val="00E35DF1"/>
    <w:rsid w:val="00E369C7"/>
    <w:rsid w:val="00E369EA"/>
    <w:rsid w:val="00E40769"/>
    <w:rsid w:val="00E40AD3"/>
    <w:rsid w:val="00E412CB"/>
    <w:rsid w:val="00E4281D"/>
    <w:rsid w:val="00E43667"/>
    <w:rsid w:val="00E45380"/>
    <w:rsid w:val="00E46144"/>
    <w:rsid w:val="00E50CBE"/>
    <w:rsid w:val="00E5200C"/>
    <w:rsid w:val="00E54F48"/>
    <w:rsid w:val="00E553FD"/>
    <w:rsid w:val="00E56464"/>
    <w:rsid w:val="00E5757C"/>
    <w:rsid w:val="00E576F7"/>
    <w:rsid w:val="00E57AAB"/>
    <w:rsid w:val="00E601A6"/>
    <w:rsid w:val="00E60647"/>
    <w:rsid w:val="00E6071A"/>
    <w:rsid w:val="00E61CC5"/>
    <w:rsid w:val="00E64D31"/>
    <w:rsid w:val="00E66E35"/>
    <w:rsid w:val="00E672BF"/>
    <w:rsid w:val="00E6734A"/>
    <w:rsid w:val="00E726C9"/>
    <w:rsid w:val="00E77288"/>
    <w:rsid w:val="00E77350"/>
    <w:rsid w:val="00E87CCB"/>
    <w:rsid w:val="00E914CA"/>
    <w:rsid w:val="00E934AB"/>
    <w:rsid w:val="00E94003"/>
    <w:rsid w:val="00E9433F"/>
    <w:rsid w:val="00E97644"/>
    <w:rsid w:val="00EA3EB4"/>
    <w:rsid w:val="00EA4FED"/>
    <w:rsid w:val="00EA5CAE"/>
    <w:rsid w:val="00EA5E5D"/>
    <w:rsid w:val="00EA6F21"/>
    <w:rsid w:val="00EB0B7D"/>
    <w:rsid w:val="00EB5942"/>
    <w:rsid w:val="00EB5AA0"/>
    <w:rsid w:val="00EB64DC"/>
    <w:rsid w:val="00EC03D6"/>
    <w:rsid w:val="00EC4C8B"/>
    <w:rsid w:val="00EC563A"/>
    <w:rsid w:val="00EC7387"/>
    <w:rsid w:val="00ED0170"/>
    <w:rsid w:val="00ED0179"/>
    <w:rsid w:val="00ED0733"/>
    <w:rsid w:val="00ED286A"/>
    <w:rsid w:val="00ED4033"/>
    <w:rsid w:val="00ED6114"/>
    <w:rsid w:val="00EE02FA"/>
    <w:rsid w:val="00EE151A"/>
    <w:rsid w:val="00EE5162"/>
    <w:rsid w:val="00EE5899"/>
    <w:rsid w:val="00EE789B"/>
    <w:rsid w:val="00EE7B06"/>
    <w:rsid w:val="00EF5641"/>
    <w:rsid w:val="00F010CB"/>
    <w:rsid w:val="00F0134A"/>
    <w:rsid w:val="00F01DF6"/>
    <w:rsid w:val="00F0516C"/>
    <w:rsid w:val="00F053B5"/>
    <w:rsid w:val="00F075C8"/>
    <w:rsid w:val="00F1092C"/>
    <w:rsid w:val="00F12E56"/>
    <w:rsid w:val="00F14061"/>
    <w:rsid w:val="00F17269"/>
    <w:rsid w:val="00F17972"/>
    <w:rsid w:val="00F17C09"/>
    <w:rsid w:val="00F2444C"/>
    <w:rsid w:val="00F24C5B"/>
    <w:rsid w:val="00F31128"/>
    <w:rsid w:val="00F317B1"/>
    <w:rsid w:val="00F33035"/>
    <w:rsid w:val="00F331AC"/>
    <w:rsid w:val="00F33B60"/>
    <w:rsid w:val="00F35EE4"/>
    <w:rsid w:val="00F35FB9"/>
    <w:rsid w:val="00F35FC5"/>
    <w:rsid w:val="00F360CA"/>
    <w:rsid w:val="00F4199A"/>
    <w:rsid w:val="00F442C6"/>
    <w:rsid w:val="00F46CD4"/>
    <w:rsid w:val="00F479BC"/>
    <w:rsid w:val="00F52490"/>
    <w:rsid w:val="00F52ADB"/>
    <w:rsid w:val="00F52F51"/>
    <w:rsid w:val="00F53CB3"/>
    <w:rsid w:val="00F56707"/>
    <w:rsid w:val="00F607B2"/>
    <w:rsid w:val="00F62032"/>
    <w:rsid w:val="00F6286E"/>
    <w:rsid w:val="00F64B2F"/>
    <w:rsid w:val="00F658D5"/>
    <w:rsid w:val="00F660A7"/>
    <w:rsid w:val="00F70156"/>
    <w:rsid w:val="00F71A11"/>
    <w:rsid w:val="00F732D9"/>
    <w:rsid w:val="00F73AC6"/>
    <w:rsid w:val="00F73C0C"/>
    <w:rsid w:val="00F75BAD"/>
    <w:rsid w:val="00F76AC8"/>
    <w:rsid w:val="00F76B8D"/>
    <w:rsid w:val="00F828E3"/>
    <w:rsid w:val="00F84348"/>
    <w:rsid w:val="00F90515"/>
    <w:rsid w:val="00F90D07"/>
    <w:rsid w:val="00F916C6"/>
    <w:rsid w:val="00F94E1B"/>
    <w:rsid w:val="00F950FC"/>
    <w:rsid w:val="00F9550C"/>
    <w:rsid w:val="00F967AA"/>
    <w:rsid w:val="00F96BBE"/>
    <w:rsid w:val="00F975AB"/>
    <w:rsid w:val="00FA3570"/>
    <w:rsid w:val="00FA5DE1"/>
    <w:rsid w:val="00FA62B2"/>
    <w:rsid w:val="00FA6B77"/>
    <w:rsid w:val="00FB12C4"/>
    <w:rsid w:val="00FB2918"/>
    <w:rsid w:val="00FB3AEF"/>
    <w:rsid w:val="00FB45D9"/>
    <w:rsid w:val="00FB4ECE"/>
    <w:rsid w:val="00FB6504"/>
    <w:rsid w:val="00FB6A7C"/>
    <w:rsid w:val="00FB7721"/>
    <w:rsid w:val="00FB798A"/>
    <w:rsid w:val="00FC101F"/>
    <w:rsid w:val="00FC47D3"/>
    <w:rsid w:val="00FC4B9C"/>
    <w:rsid w:val="00FC4F58"/>
    <w:rsid w:val="00FC6A68"/>
    <w:rsid w:val="00FC75F6"/>
    <w:rsid w:val="00FD2804"/>
    <w:rsid w:val="00FD2FAD"/>
    <w:rsid w:val="00FD3096"/>
    <w:rsid w:val="00FD7835"/>
    <w:rsid w:val="00FE122B"/>
    <w:rsid w:val="00FE3217"/>
    <w:rsid w:val="00FE46E3"/>
    <w:rsid w:val="00FF05FE"/>
    <w:rsid w:val="00FF0BEE"/>
    <w:rsid w:val="00FF106A"/>
    <w:rsid w:val="00FF2C0A"/>
    <w:rsid w:val="03527796"/>
    <w:rsid w:val="13ED427B"/>
    <w:rsid w:val="1FD70671"/>
    <w:rsid w:val="21C0CC53"/>
    <w:rsid w:val="23771F45"/>
    <w:rsid w:val="290D064D"/>
    <w:rsid w:val="300CE124"/>
    <w:rsid w:val="375EB042"/>
    <w:rsid w:val="3C76AA6D"/>
    <w:rsid w:val="40D58774"/>
    <w:rsid w:val="4C8283CC"/>
    <w:rsid w:val="4F6A88E2"/>
    <w:rsid w:val="5216A82F"/>
    <w:rsid w:val="52360919"/>
    <w:rsid w:val="53D6AA51"/>
    <w:rsid w:val="60DFCCFB"/>
    <w:rsid w:val="672A4763"/>
    <w:rsid w:val="68DFA3A6"/>
    <w:rsid w:val="70BA164C"/>
    <w:rsid w:val="737F16B3"/>
    <w:rsid w:val="7AA1CB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70493"/>
  <w15:docId w15:val="{D233065E-7C04-4B1A-8746-D8647EFD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F7"/>
    <w:pPr>
      <w:spacing w:after="240"/>
    </w:pPr>
    <w:rPr>
      <w:rFonts w:ascii="Calibri" w:hAnsi="Calibri"/>
      <w:color w:val="000000"/>
      <w:sz w:val="22"/>
    </w:rPr>
  </w:style>
  <w:style w:type="paragraph" w:styleId="Heading1">
    <w:name w:val="heading 1"/>
    <w:basedOn w:val="Normal"/>
    <w:next w:val="Normal"/>
    <w:qFormat/>
    <w:rsid w:val="007B30F7"/>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7B30F7"/>
    <w:pPr>
      <w:keepNext/>
      <w:spacing w:before="240"/>
      <w:ind w:left="720" w:hanging="720"/>
      <w:outlineLvl w:val="1"/>
    </w:pPr>
    <w:rPr>
      <w:rFonts w:cs="Arial"/>
      <w:b/>
      <w:bCs/>
      <w:iCs/>
      <w:sz w:val="28"/>
      <w:szCs w:val="28"/>
    </w:rPr>
  </w:style>
  <w:style w:type="paragraph" w:styleId="Heading3">
    <w:name w:val="heading 3"/>
    <w:basedOn w:val="Normal"/>
    <w:next w:val="Normal"/>
    <w:qFormat/>
    <w:rsid w:val="007B30F7"/>
    <w:pPr>
      <w:keepNext/>
      <w:spacing w:before="240"/>
      <w:ind w:left="720" w:hanging="720"/>
      <w:outlineLvl w:val="2"/>
    </w:pPr>
    <w:rPr>
      <w:rFonts w:cs="Arial"/>
      <w:b/>
      <w:bCs/>
      <w:szCs w:val="26"/>
    </w:rPr>
  </w:style>
  <w:style w:type="paragraph" w:styleId="Heading4">
    <w:name w:val="heading 4"/>
    <w:basedOn w:val="Normal"/>
    <w:next w:val="Normal"/>
    <w:rsid w:val="007B30F7"/>
    <w:pPr>
      <w:keepNext/>
      <w:spacing w:before="120" w:after="120"/>
      <w:outlineLvl w:val="3"/>
    </w:pPr>
    <w:rPr>
      <w:b/>
      <w:bCs/>
      <w:i/>
      <w:szCs w:val="28"/>
    </w:rPr>
  </w:style>
  <w:style w:type="paragraph" w:styleId="Heading5">
    <w:name w:val="heading 5"/>
    <w:basedOn w:val="Normal"/>
    <w:next w:val="Normal"/>
    <w:rsid w:val="007B30F7"/>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7B30F7"/>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7B30F7"/>
    <w:rPr>
      <w:b/>
      <w:color w:val="76923C" w:themeColor="accent3" w:themeShade="BF"/>
    </w:rPr>
  </w:style>
  <w:style w:type="paragraph" w:customStyle="1" w:styleId="ReportDate">
    <w:name w:val="ReportDate"/>
    <w:basedOn w:val="Normal"/>
    <w:rsid w:val="007B30F7"/>
    <w:pPr>
      <w:jc w:val="center"/>
    </w:pPr>
    <w:rPr>
      <w:sz w:val="40"/>
    </w:rPr>
  </w:style>
  <w:style w:type="paragraph" w:customStyle="1" w:styleId="Heading1a">
    <w:name w:val="Heading 1a"/>
    <w:basedOn w:val="Heading1"/>
    <w:next w:val="Normal"/>
    <w:rsid w:val="007B30F7"/>
    <w:pPr>
      <w:outlineLvl w:val="9"/>
    </w:pPr>
  </w:style>
  <w:style w:type="paragraph" w:customStyle="1" w:styleId="Heading2a">
    <w:name w:val="Heading 2a"/>
    <w:basedOn w:val="Heading2"/>
    <w:next w:val="Normal"/>
    <w:rsid w:val="007B30F7"/>
    <w:pPr>
      <w:ind w:left="0" w:firstLine="0"/>
      <w:outlineLvl w:val="9"/>
    </w:pPr>
  </w:style>
  <w:style w:type="paragraph" w:customStyle="1" w:styleId="Heading3a">
    <w:name w:val="Heading 3a"/>
    <w:basedOn w:val="Heading3"/>
    <w:next w:val="Normal"/>
    <w:rsid w:val="007B30F7"/>
    <w:pPr>
      <w:ind w:left="0" w:firstLine="0"/>
      <w:outlineLvl w:val="9"/>
    </w:pPr>
  </w:style>
  <w:style w:type="paragraph" w:styleId="Header">
    <w:name w:val="header"/>
    <w:basedOn w:val="Normal"/>
    <w:link w:val="HeaderChar"/>
    <w:rsid w:val="007B30F7"/>
    <w:pPr>
      <w:tabs>
        <w:tab w:val="right" w:pos="9000"/>
      </w:tabs>
      <w:spacing w:after="0"/>
    </w:pPr>
    <w:rPr>
      <w:sz w:val="18"/>
    </w:rPr>
  </w:style>
  <w:style w:type="paragraph" w:styleId="Footer">
    <w:name w:val="footer"/>
    <w:basedOn w:val="Normal"/>
    <w:link w:val="FooterChar"/>
    <w:uiPriority w:val="99"/>
    <w:rsid w:val="007B30F7"/>
    <w:pPr>
      <w:tabs>
        <w:tab w:val="right" w:pos="9000"/>
      </w:tabs>
      <w:spacing w:after="0"/>
    </w:pPr>
    <w:rPr>
      <w:sz w:val="20"/>
    </w:rPr>
  </w:style>
  <w:style w:type="character" w:styleId="PageNumber">
    <w:name w:val="page number"/>
    <w:basedOn w:val="DefaultParagraphFont"/>
    <w:semiHidden/>
    <w:rsid w:val="007B30F7"/>
    <w:rPr>
      <w:rFonts w:ascii="Times New Roman" w:hAnsi="Times New Roman"/>
      <w:b/>
      <w:sz w:val="20"/>
    </w:rPr>
  </w:style>
  <w:style w:type="paragraph" w:customStyle="1" w:styleId="TableText">
    <w:name w:val="TableText"/>
    <w:basedOn w:val="Normal"/>
    <w:rsid w:val="007B30F7"/>
    <w:pPr>
      <w:keepNext/>
      <w:spacing w:before="60" w:after="60"/>
    </w:pPr>
    <w:rPr>
      <w:sz w:val="21"/>
      <w:szCs w:val="21"/>
    </w:rPr>
  </w:style>
  <w:style w:type="paragraph" w:customStyle="1" w:styleId="TFListNotesSpace">
    <w:name w:val="TFListNotes+Space"/>
    <w:basedOn w:val="TableText"/>
    <w:next w:val="Normal"/>
    <w:rsid w:val="007B30F7"/>
    <w:pPr>
      <w:keepNext w:val="0"/>
      <w:keepLines/>
      <w:spacing w:before="0" w:after="360"/>
      <w:ind w:left="170" w:hanging="170"/>
    </w:pPr>
    <w:rPr>
      <w:sz w:val="18"/>
      <w:szCs w:val="18"/>
    </w:rPr>
  </w:style>
  <w:style w:type="paragraph" w:customStyle="1" w:styleId="TFListNotes">
    <w:name w:val="TFListNotes"/>
    <w:basedOn w:val="TFListNotesSpace"/>
    <w:rsid w:val="007B30F7"/>
    <w:pPr>
      <w:keepNext/>
      <w:spacing w:after="0"/>
    </w:pPr>
  </w:style>
  <w:style w:type="paragraph" w:customStyle="1" w:styleId="TableName">
    <w:name w:val="TableName"/>
    <w:basedOn w:val="TableText"/>
    <w:rsid w:val="007B30F7"/>
    <w:pPr>
      <w:tabs>
        <w:tab w:val="left" w:pos="1080"/>
      </w:tabs>
      <w:spacing w:before="120" w:after="120"/>
      <w:ind w:left="1080" w:hanging="1080"/>
    </w:pPr>
    <w:rPr>
      <w:b/>
      <w:bCs/>
      <w:sz w:val="22"/>
    </w:rPr>
  </w:style>
  <w:style w:type="paragraph" w:customStyle="1" w:styleId="TableHeading">
    <w:name w:val="TableHeading"/>
    <w:basedOn w:val="TableText"/>
    <w:rsid w:val="007B30F7"/>
    <w:rPr>
      <w:b/>
      <w:bCs/>
    </w:rPr>
  </w:style>
  <w:style w:type="paragraph" w:customStyle="1" w:styleId="TableBullet">
    <w:name w:val="TableBullet"/>
    <w:basedOn w:val="TableText"/>
    <w:rsid w:val="007B30F7"/>
    <w:pPr>
      <w:numPr>
        <w:numId w:val="1"/>
      </w:numPr>
      <w:tabs>
        <w:tab w:val="clear" w:pos="360"/>
        <w:tab w:val="left" w:pos="216"/>
      </w:tabs>
      <w:ind w:left="216" w:hanging="216"/>
    </w:pPr>
  </w:style>
  <w:style w:type="paragraph" w:customStyle="1" w:styleId="TableDash">
    <w:name w:val="TableDash"/>
    <w:basedOn w:val="TableText"/>
    <w:rsid w:val="007B30F7"/>
    <w:pPr>
      <w:numPr>
        <w:numId w:val="2"/>
      </w:numPr>
      <w:tabs>
        <w:tab w:val="clear" w:pos="216"/>
        <w:tab w:val="num" w:pos="432"/>
      </w:tabs>
    </w:pPr>
  </w:style>
  <w:style w:type="paragraph" w:styleId="Quote">
    <w:name w:val="Quote"/>
    <w:basedOn w:val="Normal"/>
    <w:rsid w:val="007B30F7"/>
    <w:pPr>
      <w:ind w:left="720" w:right="720"/>
    </w:pPr>
    <w:rPr>
      <w:sz w:val="20"/>
    </w:rPr>
  </w:style>
  <w:style w:type="paragraph" w:customStyle="1" w:styleId="References">
    <w:name w:val="References"/>
    <w:basedOn w:val="Normal"/>
    <w:rsid w:val="007B30F7"/>
    <w:pPr>
      <w:keepLines/>
      <w:ind w:left="720" w:hanging="720"/>
    </w:pPr>
  </w:style>
  <w:style w:type="character" w:customStyle="1" w:styleId="FooterChar">
    <w:name w:val="Footer Char"/>
    <w:basedOn w:val="DefaultParagraphFont"/>
    <w:link w:val="Footer"/>
    <w:uiPriority w:val="99"/>
    <w:rsid w:val="007B30F7"/>
    <w:rPr>
      <w:rFonts w:ascii="Calibri" w:hAnsi="Calibri"/>
      <w:color w:val="000000"/>
    </w:rPr>
  </w:style>
  <w:style w:type="paragraph" w:styleId="FootnoteText">
    <w:name w:val="footnote text"/>
    <w:basedOn w:val="Normal"/>
    <w:semiHidden/>
    <w:rsid w:val="007B30F7"/>
    <w:pPr>
      <w:spacing w:after="0"/>
      <w:ind w:left="360" w:hanging="360"/>
    </w:pPr>
    <w:rPr>
      <w:sz w:val="20"/>
    </w:rPr>
  </w:style>
  <w:style w:type="character" w:styleId="FootnoteReference">
    <w:name w:val="footnote reference"/>
    <w:basedOn w:val="DefaultParagraphFont"/>
    <w:semiHidden/>
    <w:rsid w:val="007B30F7"/>
    <w:rPr>
      <w:vertAlign w:val="superscript"/>
    </w:rPr>
  </w:style>
  <w:style w:type="paragraph" w:customStyle="1" w:styleId="FigTabPara">
    <w:name w:val="FigTabPara"/>
    <w:basedOn w:val="Normal"/>
    <w:next w:val="TFIHolder"/>
    <w:rsid w:val="007B30F7"/>
    <w:pPr>
      <w:keepNext/>
      <w:spacing w:after="120"/>
      <w:ind w:left="1077"/>
    </w:pPr>
  </w:style>
  <w:style w:type="paragraph" w:customStyle="1" w:styleId="TFIHolder">
    <w:name w:val="TFIHolder"/>
    <w:basedOn w:val="TFAbbrevs"/>
    <w:qFormat/>
    <w:rsid w:val="007B30F7"/>
    <w:rPr>
      <w:sz w:val="12"/>
    </w:rPr>
  </w:style>
  <w:style w:type="paragraph" w:customStyle="1" w:styleId="TFAbbrevs">
    <w:name w:val="TFAbbrevs"/>
    <w:basedOn w:val="TFListNotes"/>
    <w:rsid w:val="007B30F7"/>
  </w:style>
  <w:style w:type="paragraph" w:customStyle="1" w:styleId="FigureNameSpace">
    <w:name w:val="FigureName+Space"/>
    <w:basedOn w:val="Normal"/>
    <w:next w:val="Normal"/>
    <w:rsid w:val="007B30F7"/>
    <w:pPr>
      <w:keepLines/>
      <w:tabs>
        <w:tab w:val="left" w:pos="1080"/>
      </w:tabs>
      <w:spacing w:before="120" w:after="360"/>
      <w:ind w:left="1080" w:hanging="1080"/>
    </w:pPr>
    <w:rPr>
      <w:b/>
      <w:bCs/>
    </w:rPr>
  </w:style>
  <w:style w:type="paragraph" w:styleId="TOC1">
    <w:name w:val="toc 1"/>
    <w:basedOn w:val="Normal"/>
    <w:next w:val="Normal"/>
    <w:autoRedefine/>
    <w:uiPriority w:val="39"/>
    <w:rsid w:val="003212B2"/>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7B30F7"/>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7B30F7"/>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B30F7"/>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7B30F7"/>
    <w:pPr>
      <w:numPr>
        <w:numId w:val="3"/>
      </w:numPr>
      <w:spacing w:after="0"/>
    </w:pPr>
  </w:style>
  <w:style w:type="paragraph" w:customStyle="1" w:styleId="Bullet">
    <w:name w:val="Bullet"/>
    <w:basedOn w:val="BulletBeforeDash"/>
    <w:qFormat/>
    <w:rsid w:val="007B30F7"/>
    <w:pPr>
      <w:spacing w:after="120"/>
    </w:pPr>
  </w:style>
  <w:style w:type="paragraph" w:customStyle="1" w:styleId="BulletLast">
    <w:name w:val="BulletLast"/>
    <w:basedOn w:val="Bullet"/>
    <w:qFormat/>
    <w:rsid w:val="007B30F7"/>
    <w:pPr>
      <w:spacing w:after="240"/>
    </w:pPr>
  </w:style>
  <w:style w:type="paragraph" w:customStyle="1" w:styleId="Dash">
    <w:name w:val="Dash"/>
    <w:basedOn w:val="Normal"/>
    <w:rsid w:val="007B30F7"/>
    <w:pPr>
      <w:numPr>
        <w:numId w:val="4"/>
      </w:numPr>
      <w:tabs>
        <w:tab w:val="clear" w:pos="216"/>
        <w:tab w:val="left" w:pos="720"/>
      </w:tabs>
      <w:spacing w:after="0"/>
      <w:ind w:left="720" w:hanging="360"/>
    </w:pPr>
  </w:style>
  <w:style w:type="paragraph" w:customStyle="1" w:styleId="DashLast">
    <w:name w:val="DashLast"/>
    <w:basedOn w:val="Dash"/>
    <w:rsid w:val="007B30F7"/>
    <w:pPr>
      <w:spacing w:after="120"/>
    </w:pPr>
  </w:style>
  <w:style w:type="paragraph" w:customStyle="1" w:styleId="DashLastSpace">
    <w:name w:val="DashLast+Space"/>
    <w:basedOn w:val="DashLast"/>
    <w:rsid w:val="007B30F7"/>
    <w:pPr>
      <w:spacing w:after="240"/>
    </w:pPr>
  </w:style>
  <w:style w:type="paragraph" w:customStyle="1" w:styleId="NormalBeforeBullet">
    <w:name w:val="NormalBeforeBullet"/>
    <w:basedOn w:val="Normal"/>
    <w:qFormat/>
    <w:rsid w:val="007B30F7"/>
    <w:pPr>
      <w:keepNext/>
      <w:spacing w:after="120"/>
    </w:pPr>
  </w:style>
  <w:style w:type="paragraph" w:customStyle="1" w:styleId="BoxText">
    <w:name w:val="BoxText"/>
    <w:basedOn w:val="Normal"/>
    <w:qFormat/>
    <w:rsid w:val="007B30F7"/>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7B30F7"/>
    <w:pPr>
      <w:spacing w:before="120" w:after="60"/>
    </w:pPr>
    <w:rPr>
      <w:sz w:val="18"/>
    </w:rPr>
  </w:style>
  <w:style w:type="paragraph" w:customStyle="1" w:styleId="BoxName">
    <w:name w:val="BoxName"/>
    <w:basedOn w:val="BoxText"/>
    <w:rsid w:val="007B30F7"/>
    <w:pPr>
      <w:keepNext/>
      <w:spacing w:before="180"/>
      <w:ind w:left="1080" w:hanging="1080"/>
    </w:pPr>
    <w:rPr>
      <w:b/>
      <w:bCs/>
      <w:sz w:val="24"/>
    </w:rPr>
  </w:style>
  <w:style w:type="paragraph" w:customStyle="1" w:styleId="BoxHeading">
    <w:name w:val="BoxHeading"/>
    <w:basedOn w:val="BoxText"/>
    <w:rsid w:val="007B30F7"/>
    <w:pPr>
      <w:keepNext/>
      <w:spacing w:before="120" w:after="60"/>
    </w:pPr>
    <w:rPr>
      <w:b/>
      <w:bCs/>
    </w:rPr>
  </w:style>
  <w:style w:type="paragraph" w:customStyle="1" w:styleId="BoxBullet">
    <w:name w:val="BoxBullet"/>
    <w:basedOn w:val="BoxText"/>
    <w:rsid w:val="007B30F7"/>
    <w:pPr>
      <w:numPr>
        <w:numId w:val="8"/>
      </w:numPr>
    </w:pPr>
  </w:style>
  <w:style w:type="paragraph" w:customStyle="1" w:styleId="BoxDashManual">
    <w:name w:val="BoxDashManual"/>
    <w:basedOn w:val="BoxText"/>
    <w:rsid w:val="007B30F7"/>
    <w:pPr>
      <w:tabs>
        <w:tab w:val="left" w:pos="360"/>
        <w:tab w:val="left" w:pos="720"/>
      </w:tabs>
      <w:ind w:left="720" w:hanging="720"/>
    </w:pPr>
  </w:style>
  <w:style w:type="paragraph" w:customStyle="1" w:styleId="FigureName">
    <w:name w:val="FigureName"/>
    <w:basedOn w:val="FigureNameSpace"/>
    <w:next w:val="Normal"/>
    <w:rsid w:val="007B30F7"/>
    <w:pPr>
      <w:keepNext/>
      <w:spacing w:after="120"/>
      <w:ind w:left="1077" w:hanging="1077"/>
    </w:pPr>
  </w:style>
  <w:style w:type="paragraph" w:styleId="Index1">
    <w:name w:val="index 1"/>
    <w:basedOn w:val="Normal"/>
    <w:next w:val="Normal"/>
    <w:rsid w:val="007B30F7"/>
    <w:pPr>
      <w:spacing w:after="0"/>
      <w:ind w:left="518" w:hanging="518"/>
    </w:pPr>
    <w:rPr>
      <w:noProof/>
    </w:rPr>
  </w:style>
  <w:style w:type="paragraph" w:styleId="Index2">
    <w:name w:val="index 2"/>
    <w:basedOn w:val="Index1"/>
    <w:next w:val="Normal"/>
    <w:rsid w:val="007B30F7"/>
    <w:pPr>
      <w:ind w:left="816" w:hanging="476"/>
    </w:pPr>
  </w:style>
  <w:style w:type="paragraph" w:styleId="TOC4">
    <w:name w:val="toc 4"/>
    <w:basedOn w:val="Normal"/>
    <w:next w:val="Normal"/>
    <w:autoRedefine/>
    <w:semiHidden/>
    <w:rsid w:val="007B30F7"/>
    <w:pPr>
      <w:tabs>
        <w:tab w:val="right" w:leader="dot" w:pos="9016"/>
      </w:tabs>
      <w:spacing w:after="0"/>
      <w:ind w:left="2160" w:right="720"/>
    </w:pPr>
    <w:rPr>
      <w:noProof/>
      <w:szCs w:val="24"/>
    </w:rPr>
  </w:style>
  <w:style w:type="paragraph" w:customStyle="1" w:styleId="NumberList">
    <w:name w:val="NumberList"/>
    <w:basedOn w:val="Normal"/>
    <w:rsid w:val="007B30F7"/>
    <w:pPr>
      <w:tabs>
        <w:tab w:val="left" w:pos="360"/>
      </w:tabs>
      <w:ind w:left="360" w:hanging="360"/>
    </w:pPr>
  </w:style>
  <w:style w:type="paragraph" w:customStyle="1" w:styleId="TFNoteSourceSpace">
    <w:name w:val="TFNoteSource+Space"/>
    <w:basedOn w:val="TFListNotesSpace"/>
    <w:next w:val="Normal"/>
    <w:rsid w:val="007B30F7"/>
  </w:style>
  <w:style w:type="paragraph" w:customStyle="1" w:styleId="TFNoteSource">
    <w:name w:val="TFNoteSource"/>
    <w:basedOn w:val="TFNoteSourceSpace"/>
    <w:rsid w:val="007B30F7"/>
    <w:pPr>
      <w:spacing w:after="0"/>
    </w:pPr>
  </w:style>
  <w:style w:type="character" w:customStyle="1" w:styleId="DesignerNotesChar">
    <w:name w:val="DesignerNotesChar"/>
    <w:basedOn w:val="DefaultParagraphFont"/>
    <w:rsid w:val="007B30F7"/>
    <w:rPr>
      <w:rFonts w:ascii="Arial" w:hAnsi="Arial"/>
      <w:b/>
      <w:color w:val="3366FF"/>
      <w:sz w:val="20"/>
    </w:rPr>
  </w:style>
  <w:style w:type="paragraph" w:customStyle="1" w:styleId="TFAbbrevsSpace">
    <w:name w:val="TFAbbrevs+Space"/>
    <w:basedOn w:val="TFAbbrevs"/>
    <w:next w:val="Normal"/>
    <w:rsid w:val="007B30F7"/>
    <w:pPr>
      <w:spacing w:after="360"/>
    </w:pPr>
  </w:style>
  <w:style w:type="character" w:styleId="Strong">
    <w:name w:val="Strong"/>
    <w:basedOn w:val="DefaultParagraphFont"/>
    <w:uiPriority w:val="22"/>
    <w:qFormat/>
    <w:rsid w:val="007B30F7"/>
    <w:rPr>
      <w:b/>
      <w:bCs/>
    </w:rPr>
  </w:style>
  <w:style w:type="character" w:styleId="Emphasis">
    <w:name w:val="Emphasis"/>
    <w:basedOn w:val="DefaultParagraphFont"/>
    <w:uiPriority w:val="20"/>
    <w:qFormat/>
    <w:rsid w:val="007B30F7"/>
    <w:rPr>
      <w:i/>
      <w:iCs/>
    </w:rPr>
  </w:style>
  <w:style w:type="character" w:customStyle="1" w:styleId="Roman">
    <w:name w:val="Roman"/>
    <w:uiPriority w:val="1"/>
    <w:rsid w:val="007B30F7"/>
    <w:rPr>
      <w:b w:val="0"/>
      <w:i/>
    </w:rPr>
  </w:style>
  <w:style w:type="character" w:customStyle="1" w:styleId="PullQuoteOrigin">
    <w:name w:val="PullQuoteOrigin"/>
    <w:basedOn w:val="DefaultParagraphFont"/>
    <w:uiPriority w:val="1"/>
    <w:rsid w:val="007B30F7"/>
    <w:rPr>
      <w:b/>
      <w:noProof/>
      <w:color w:val="76923C" w:themeColor="accent3" w:themeShade="BF"/>
    </w:rPr>
  </w:style>
  <w:style w:type="table" w:styleId="TableGrid">
    <w:name w:val="Table Grid"/>
    <w:basedOn w:val="TableNormal"/>
    <w:uiPriority w:val="59"/>
    <w:rsid w:val="007B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7B30F7"/>
    <w:pPr>
      <w:spacing w:after="240"/>
    </w:pPr>
  </w:style>
  <w:style w:type="paragraph" w:customStyle="1" w:styleId="DesignerNotes">
    <w:name w:val="DesignerNotes"/>
    <w:basedOn w:val="Normal"/>
    <w:rsid w:val="007B30F7"/>
    <w:rPr>
      <w:rFonts w:ascii="Arial" w:hAnsi="Arial"/>
      <w:b/>
      <w:color w:val="3366FF"/>
      <w:sz w:val="20"/>
    </w:rPr>
  </w:style>
  <w:style w:type="character" w:customStyle="1" w:styleId="Subscript">
    <w:name w:val="Subscript"/>
    <w:basedOn w:val="DefaultParagraphFont"/>
    <w:uiPriority w:val="1"/>
    <w:rsid w:val="007B30F7"/>
    <w:rPr>
      <w:noProof/>
      <w:vertAlign w:val="subscript"/>
    </w:rPr>
  </w:style>
  <w:style w:type="character" w:customStyle="1" w:styleId="Superscript">
    <w:name w:val="Superscript"/>
    <w:basedOn w:val="DefaultParagraphFont"/>
    <w:uiPriority w:val="1"/>
    <w:rsid w:val="007B30F7"/>
    <w:rPr>
      <w:noProof/>
      <w:vertAlign w:val="superscript"/>
    </w:rPr>
  </w:style>
  <w:style w:type="character" w:customStyle="1" w:styleId="Symbol">
    <w:name w:val="Symbol"/>
    <w:basedOn w:val="DefaultParagraphFont"/>
    <w:uiPriority w:val="1"/>
    <w:rsid w:val="007B30F7"/>
    <w:rPr>
      <w:noProof/>
    </w:rPr>
  </w:style>
  <w:style w:type="character" w:customStyle="1" w:styleId="NoBreak">
    <w:name w:val="NoBreak"/>
    <w:basedOn w:val="DefaultParagraphFont"/>
    <w:uiPriority w:val="1"/>
    <w:rsid w:val="007B30F7"/>
    <w:rPr>
      <w:noProof/>
    </w:rPr>
  </w:style>
  <w:style w:type="paragraph" w:customStyle="1" w:styleId="MathEquation">
    <w:name w:val="MathEquation"/>
    <w:basedOn w:val="Normal"/>
    <w:rsid w:val="007B30F7"/>
    <w:rPr>
      <w:rFonts w:ascii="Cambria Math" w:hAnsi="Cambria Math"/>
      <w:i/>
      <w:noProof/>
    </w:rPr>
  </w:style>
  <w:style w:type="paragraph" w:customStyle="1" w:styleId="ComputerCode">
    <w:name w:val="ComputerCode"/>
    <w:basedOn w:val="Normal"/>
    <w:rsid w:val="007B30F7"/>
    <w:pPr>
      <w:ind w:left="567"/>
      <w:contextualSpacing/>
    </w:pPr>
    <w:rPr>
      <w:rFonts w:ascii="Courier New" w:hAnsi="Courier New"/>
      <w:color w:val="auto"/>
      <w:sz w:val="20"/>
      <w:szCs w:val="24"/>
    </w:rPr>
  </w:style>
  <w:style w:type="paragraph" w:customStyle="1" w:styleId="BulletChecklist">
    <w:name w:val="BulletChecklist"/>
    <w:basedOn w:val="Bullet"/>
    <w:rsid w:val="007B30F7"/>
    <w:pPr>
      <w:numPr>
        <w:numId w:val="6"/>
      </w:numPr>
    </w:pPr>
    <w:rPr>
      <w:noProof/>
    </w:rPr>
  </w:style>
  <w:style w:type="paragraph" w:customStyle="1" w:styleId="ImprintText">
    <w:name w:val="ImprintText"/>
    <w:basedOn w:val="Normal"/>
    <w:rsid w:val="007B30F7"/>
    <w:pPr>
      <w:spacing w:after="120"/>
    </w:pPr>
    <w:rPr>
      <w:sz w:val="20"/>
    </w:rPr>
  </w:style>
  <w:style w:type="paragraph" w:customStyle="1" w:styleId="AltText">
    <w:name w:val="AltText"/>
    <w:basedOn w:val="Normal"/>
    <w:rsid w:val="007B30F7"/>
    <w:rPr>
      <w:rFonts w:ascii="Arial" w:hAnsi="Arial"/>
      <w:color w:val="E36C0A" w:themeColor="accent6" w:themeShade="BF"/>
      <w:sz w:val="20"/>
    </w:rPr>
  </w:style>
  <w:style w:type="paragraph" w:styleId="Caption">
    <w:name w:val="caption"/>
    <w:basedOn w:val="Normal"/>
    <w:next w:val="Credit"/>
    <w:uiPriority w:val="35"/>
    <w:unhideWhenUsed/>
    <w:rsid w:val="007B30F7"/>
    <w:pPr>
      <w:spacing w:after="0"/>
    </w:pPr>
    <w:rPr>
      <w:b/>
      <w:bCs/>
      <w:color w:val="auto"/>
      <w:sz w:val="18"/>
      <w:szCs w:val="18"/>
    </w:rPr>
  </w:style>
  <w:style w:type="paragraph" w:customStyle="1" w:styleId="Credit">
    <w:name w:val="Credit"/>
    <w:basedOn w:val="Caption"/>
    <w:next w:val="Normal"/>
    <w:rsid w:val="007B30F7"/>
    <w:pPr>
      <w:spacing w:after="240"/>
    </w:pPr>
    <w:rPr>
      <w:b w:val="0"/>
      <w:noProof/>
    </w:rPr>
  </w:style>
  <w:style w:type="paragraph" w:customStyle="1" w:styleId="NormalFirstPara">
    <w:name w:val="NormalFirstPara"/>
    <w:basedOn w:val="Normal"/>
    <w:rsid w:val="007B30F7"/>
    <w:rPr>
      <w:noProof/>
      <w:color w:val="9BBB59" w:themeColor="accent3"/>
    </w:rPr>
  </w:style>
  <w:style w:type="paragraph" w:customStyle="1" w:styleId="TableHeadingCA">
    <w:name w:val="TableHeadingCA"/>
    <w:basedOn w:val="TableHeading"/>
    <w:rsid w:val="007B30F7"/>
    <w:pPr>
      <w:jc w:val="center"/>
    </w:pPr>
  </w:style>
  <w:style w:type="paragraph" w:customStyle="1" w:styleId="TableTextCA">
    <w:name w:val="TableTextCA"/>
    <w:basedOn w:val="TableText"/>
    <w:rsid w:val="007B30F7"/>
    <w:pPr>
      <w:jc w:val="center"/>
    </w:pPr>
  </w:style>
  <w:style w:type="paragraph" w:customStyle="1" w:styleId="TableTextDecimalAlign">
    <w:name w:val="TableTextDecimalAlign"/>
    <w:basedOn w:val="TableText"/>
    <w:rsid w:val="007B30F7"/>
    <w:pPr>
      <w:tabs>
        <w:tab w:val="decimal" w:pos="1119"/>
      </w:tabs>
    </w:pPr>
  </w:style>
  <w:style w:type="paragraph" w:customStyle="1" w:styleId="NormalIndent">
    <w:name w:val="NormalIndent"/>
    <w:basedOn w:val="Normal"/>
    <w:rsid w:val="007B30F7"/>
    <w:pPr>
      <w:ind w:left="357"/>
    </w:pPr>
  </w:style>
  <w:style w:type="paragraph" w:styleId="BalloonText">
    <w:name w:val="Balloon Text"/>
    <w:basedOn w:val="Normal"/>
    <w:link w:val="BalloonTextChar"/>
    <w:uiPriority w:val="99"/>
    <w:semiHidden/>
    <w:unhideWhenUsed/>
    <w:rsid w:val="007B30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0F7"/>
    <w:rPr>
      <w:rFonts w:ascii="Tahoma" w:hAnsi="Tahoma" w:cs="Tahoma"/>
      <w:color w:val="000000"/>
      <w:sz w:val="16"/>
      <w:szCs w:val="16"/>
    </w:rPr>
  </w:style>
  <w:style w:type="paragraph" w:styleId="Title">
    <w:name w:val="Title"/>
    <w:basedOn w:val="Normal"/>
    <w:next w:val="Normal"/>
    <w:link w:val="TitleChar"/>
    <w:uiPriority w:val="10"/>
    <w:rsid w:val="007B30F7"/>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7B30F7"/>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7B30F7"/>
    <w:rPr>
      <w:rFonts w:ascii="Calibri" w:eastAsiaTheme="majorEastAsia" w:hAnsi="Calibri" w:cstheme="majorBidi"/>
      <w:b/>
      <w:iCs/>
      <w:sz w:val="40"/>
      <w:szCs w:val="24"/>
    </w:rPr>
  </w:style>
  <w:style w:type="paragraph" w:customStyle="1" w:styleId="SectionTitle">
    <w:name w:val="SectionTitle"/>
    <w:basedOn w:val="Normal"/>
    <w:next w:val="Normal"/>
    <w:rsid w:val="007B30F7"/>
    <w:pPr>
      <w:jc w:val="center"/>
    </w:pPr>
    <w:rPr>
      <w:b/>
      <w:sz w:val="40"/>
    </w:rPr>
  </w:style>
  <w:style w:type="paragraph" w:customStyle="1" w:styleId="SectionSubtitle">
    <w:name w:val="SectionSubtitle"/>
    <w:basedOn w:val="Normal"/>
    <w:rsid w:val="007B30F7"/>
    <w:pPr>
      <w:spacing w:after="0"/>
      <w:jc w:val="center"/>
    </w:pPr>
    <w:rPr>
      <w:sz w:val="32"/>
    </w:rPr>
  </w:style>
  <w:style w:type="paragraph" w:customStyle="1" w:styleId="QuoteNumberList">
    <w:name w:val="QuoteNumberList"/>
    <w:basedOn w:val="Quote"/>
    <w:rsid w:val="007B30F7"/>
    <w:pPr>
      <w:ind w:left="1117" w:hanging="397"/>
    </w:pPr>
    <w:rPr>
      <w:noProof/>
    </w:rPr>
  </w:style>
  <w:style w:type="paragraph" w:customStyle="1" w:styleId="QuoteBullet">
    <w:name w:val="QuoteBullet"/>
    <w:basedOn w:val="Quote"/>
    <w:rsid w:val="007B30F7"/>
    <w:pPr>
      <w:numPr>
        <w:numId w:val="7"/>
      </w:numPr>
      <w:ind w:left="1117" w:hanging="397"/>
    </w:pPr>
    <w:rPr>
      <w:noProof/>
    </w:rPr>
  </w:style>
  <w:style w:type="paragraph" w:customStyle="1" w:styleId="BoxDash">
    <w:name w:val="BoxDash"/>
    <w:basedOn w:val="BoxBullet"/>
    <w:rsid w:val="007B30F7"/>
    <w:pPr>
      <w:numPr>
        <w:numId w:val="5"/>
      </w:numPr>
    </w:pPr>
  </w:style>
  <w:style w:type="character" w:customStyle="1" w:styleId="CrossRef">
    <w:name w:val="CrossRef"/>
    <w:basedOn w:val="DefaultParagraphFont"/>
    <w:uiPriority w:val="1"/>
    <w:rsid w:val="007B30F7"/>
    <w:rPr>
      <w:rFonts w:ascii="Calibri" w:hAnsi="Calibri"/>
      <w:b/>
      <w:noProof/>
      <w:color w:val="C0504D" w:themeColor="accent2"/>
      <w:sz w:val="24"/>
    </w:rPr>
  </w:style>
  <w:style w:type="character" w:customStyle="1" w:styleId="StrongEmphasis">
    <w:name w:val="StrongEmphasis"/>
    <w:basedOn w:val="DefaultParagraphFont"/>
    <w:rsid w:val="007B30F7"/>
    <w:rPr>
      <w:b/>
      <w:bCs/>
      <w:i/>
      <w:iCs/>
    </w:rPr>
  </w:style>
  <w:style w:type="character" w:customStyle="1" w:styleId="MathEquationChar">
    <w:name w:val="MathEquationChar"/>
    <w:basedOn w:val="DefaultParagraphFont"/>
    <w:uiPriority w:val="1"/>
    <w:rsid w:val="007B30F7"/>
    <w:rPr>
      <w:rFonts w:ascii="Cambria Math" w:hAnsi="Cambria Math"/>
      <w:noProof/>
    </w:rPr>
  </w:style>
  <w:style w:type="character" w:customStyle="1" w:styleId="SubscriptEmphasis">
    <w:name w:val="SubscriptEmphasis"/>
    <w:basedOn w:val="DefaultParagraphFont"/>
    <w:uiPriority w:val="1"/>
    <w:rsid w:val="007B30F7"/>
    <w:rPr>
      <w:i/>
      <w:noProof/>
      <w:vertAlign w:val="subscript"/>
    </w:rPr>
  </w:style>
  <w:style w:type="character" w:styleId="Hyperlink">
    <w:name w:val="Hyperlink"/>
    <w:basedOn w:val="DefaultParagraphFont"/>
    <w:uiPriority w:val="99"/>
    <w:unhideWhenUsed/>
    <w:rsid w:val="00926040"/>
    <w:rPr>
      <w:color w:val="0000FF" w:themeColor="hyperlink"/>
      <w:u w:val="single"/>
    </w:rPr>
  </w:style>
  <w:style w:type="character" w:styleId="CommentReference">
    <w:name w:val="annotation reference"/>
    <w:basedOn w:val="DefaultParagraphFont"/>
    <w:uiPriority w:val="99"/>
    <w:semiHidden/>
    <w:unhideWhenUsed/>
    <w:rsid w:val="00926040"/>
    <w:rPr>
      <w:sz w:val="16"/>
      <w:szCs w:val="16"/>
    </w:rPr>
  </w:style>
  <w:style w:type="paragraph" w:styleId="CommentText">
    <w:name w:val="annotation text"/>
    <w:basedOn w:val="Normal"/>
    <w:link w:val="CommentTextChar"/>
    <w:uiPriority w:val="99"/>
    <w:unhideWhenUsed/>
    <w:rsid w:val="00926040"/>
    <w:pPr>
      <w:spacing w:after="200"/>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rsid w:val="00926040"/>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CE14F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06FDF"/>
    <w:pPr>
      <w:spacing w:after="240"/>
    </w:pPr>
    <w:rPr>
      <w:rFonts w:ascii="Calibri" w:eastAsia="Times New Roman" w:hAnsi="Calibri" w:cs="Times New Roman"/>
      <w:b/>
      <w:bCs/>
      <w:color w:val="000000"/>
      <w:lang w:eastAsia="en-AU"/>
    </w:rPr>
  </w:style>
  <w:style w:type="character" w:customStyle="1" w:styleId="CommentSubjectChar">
    <w:name w:val="Comment Subject Char"/>
    <w:basedOn w:val="CommentTextChar"/>
    <w:link w:val="CommentSubject"/>
    <w:uiPriority w:val="99"/>
    <w:semiHidden/>
    <w:rsid w:val="00B06FDF"/>
    <w:rPr>
      <w:rFonts w:ascii="Calibri" w:eastAsiaTheme="minorHAnsi" w:hAnsi="Calibri" w:cstheme="minorBidi"/>
      <w:b/>
      <w:bCs/>
      <w:color w:val="000000"/>
      <w:lang w:eastAsia="en-US"/>
    </w:rPr>
  </w:style>
  <w:style w:type="character" w:customStyle="1" w:styleId="UnresolvedMention2">
    <w:name w:val="Unresolved Mention2"/>
    <w:basedOn w:val="DefaultParagraphFont"/>
    <w:uiPriority w:val="99"/>
    <w:semiHidden/>
    <w:unhideWhenUsed/>
    <w:rsid w:val="006B20B6"/>
    <w:rPr>
      <w:color w:val="605E5C"/>
      <w:shd w:val="clear" w:color="auto" w:fill="E1DFDD"/>
    </w:rPr>
  </w:style>
  <w:style w:type="character" w:customStyle="1" w:styleId="UnresolvedMention3">
    <w:name w:val="Unresolved Mention3"/>
    <w:basedOn w:val="DefaultParagraphFont"/>
    <w:uiPriority w:val="99"/>
    <w:semiHidden/>
    <w:unhideWhenUsed/>
    <w:rsid w:val="00D34811"/>
    <w:rPr>
      <w:color w:val="605E5C"/>
      <w:shd w:val="clear" w:color="auto" w:fill="E1DFDD"/>
    </w:rPr>
  </w:style>
  <w:style w:type="character" w:customStyle="1" w:styleId="UnresolvedMention4">
    <w:name w:val="Unresolved Mention4"/>
    <w:basedOn w:val="DefaultParagraphFont"/>
    <w:uiPriority w:val="99"/>
    <w:semiHidden/>
    <w:unhideWhenUsed/>
    <w:rsid w:val="001453C5"/>
    <w:rPr>
      <w:color w:val="605E5C"/>
      <w:shd w:val="clear" w:color="auto" w:fill="E1DFDD"/>
    </w:rPr>
  </w:style>
  <w:style w:type="character" w:styleId="PlaceholderText">
    <w:name w:val="Placeholder Text"/>
    <w:basedOn w:val="DefaultParagraphFont"/>
    <w:uiPriority w:val="99"/>
    <w:semiHidden/>
    <w:rsid w:val="00CC4AB0"/>
    <w:rPr>
      <w:color w:val="808080"/>
    </w:rPr>
  </w:style>
  <w:style w:type="character" w:customStyle="1" w:styleId="HyperlinkItalics">
    <w:name w:val="HyperlinkItalics"/>
    <w:basedOn w:val="Hyperlink"/>
    <w:uiPriority w:val="1"/>
    <w:qFormat/>
    <w:rsid w:val="000A0E45"/>
    <w:rPr>
      <w:i/>
      <w:color w:val="0000FF" w:themeColor="hyperlink"/>
      <w:u w:val="single"/>
    </w:rPr>
  </w:style>
  <w:style w:type="character" w:customStyle="1" w:styleId="UnresolvedMention5">
    <w:name w:val="Unresolved Mention5"/>
    <w:basedOn w:val="DefaultParagraphFont"/>
    <w:uiPriority w:val="99"/>
    <w:semiHidden/>
    <w:unhideWhenUsed/>
    <w:rsid w:val="00CF5375"/>
    <w:rPr>
      <w:color w:val="605E5C"/>
      <w:shd w:val="clear" w:color="auto" w:fill="E1DFDD"/>
    </w:rPr>
  </w:style>
  <w:style w:type="character" w:customStyle="1" w:styleId="UnresolvedMention6">
    <w:name w:val="Unresolved Mention6"/>
    <w:basedOn w:val="DefaultParagraphFont"/>
    <w:uiPriority w:val="99"/>
    <w:semiHidden/>
    <w:unhideWhenUsed/>
    <w:rsid w:val="00C76F9A"/>
    <w:rPr>
      <w:color w:val="605E5C"/>
      <w:shd w:val="clear" w:color="auto" w:fill="E1DFDD"/>
    </w:rPr>
  </w:style>
  <w:style w:type="character" w:customStyle="1" w:styleId="HeaderChar">
    <w:name w:val="Header Char"/>
    <w:basedOn w:val="DefaultParagraphFont"/>
    <w:link w:val="Header"/>
    <w:rsid w:val="0029283D"/>
    <w:rPr>
      <w:rFonts w:ascii="Calibri" w:hAnsi="Calibri"/>
      <w:color w:val="000000"/>
      <w:sz w:val="18"/>
    </w:rPr>
  </w:style>
  <w:style w:type="paragraph" w:styleId="Revision">
    <w:name w:val="Revision"/>
    <w:hidden/>
    <w:uiPriority w:val="99"/>
    <w:semiHidden/>
    <w:rsid w:val="007361C9"/>
    <w:rPr>
      <w:rFonts w:ascii="Calibri" w:hAnsi="Calibri"/>
      <w:color w:val="000000"/>
      <w:sz w:val="22"/>
    </w:rPr>
  </w:style>
  <w:style w:type="character" w:customStyle="1" w:styleId="UnresolvedMention7">
    <w:name w:val="Unresolved Mention7"/>
    <w:basedOn w:val="DefaultParagraphFont"/>
    <w:uiPriority w:val="99"/>
    <w:semiHidden/>
    <w:unhideWhenUsed/>
    <w:rsid w:val="009868F3"/>
    <w:rPr>
      <w:color w:val="605E5C"/>
      <w:shd w:val="clear" w:color="auto" w:fill="E1DFDD"/>
    </w:rPr>
  </w:style>
  <w:style w:type="character" w:styleId="HTMLDefinition">
    <w:name w:val="HTML Definition"/>
    <w:basedOn w:val="DefaultParagraphFont"/>
    <w:uiPriority w:val="99"/>
    <w:semiHidden/>
    <w:unhideWhenUsed/>
    <w:rsid w:val="00DA5A33"/>
    <w:rPr>
      <w:i/>
      <w:iCs/>
    </w:rPr>
  </w:style>
  <w:style w:type="character" w:customStyle="1" w:styleId="UnresolvedMention8">
    <w:name w:val="Unresolved Mention8"/>
    <w:basedOn w:val="DefaultParagraphFont"/>
    <w:uiPriority w:val="99"/>
    <w:semiHidden/>
    <w:unhideWhenUsed/>
    <w:rsid w:val="00580ED5"/>
    <w:rPr>
      <w:color w:val="605E5C"/>
      <w:shd w:val="clear" w:color="auto" w:fill="E1DFDD"/>
    </w:rPr>
  </w:style>
  <w:style w:type="character" w:customStyle="1" w:styleId="UnresolvedMention9">
    <w:name w:val="Unresolved Mention9"/>
    <w:basedOn w:val="DefaultParagraphFont"/>
    <w:uiPriority w:val="99"/>
    <w:semiHidden/>
    <w:unhideWhenUsed/>
    <w:rsid w:val="00111FD8"/>
    <w:rPr>
      <w:color w:val="605E5C"/>
      <w:shd w:val="clear" w:color="auto" w:fill="E1DFDD"/>
    </w:rPr>
  </w:style>
  <w:style w:type="character" w:customStyle="1" w:styleId="UnresolvedMention10">
    <w:name w:val="Unresolved Mention10"/>
    <w:basedOn w:val="DefaultParagraphFont"/>
    <w:uiPriority w:val="99"/>
    <w:semiHidden/>
    <w:unhideWhenUsed/>
    <w:rsid w:val="00FA62B2"/>
    <w:rPr>
      <w:color w:val="605E5C"/>
      <w:shd w:val="clear" w:color="auto" w:fill="E1DFDD"/>
    </w:rPr>
  </w:style>
  <w:style w:type="paragraph" w:customStyle="1" w:styleId="Default">
    <w:name w:val="Default"/>
    <w:rsid w:val="0070564E"/>
    <w:pPr>
      <w:autoSpaceDE w:val="0"/>
      <w:autoSpaceDN w:val="0"/>
      <w:adjustRightInd w:val="0"/>
    </w:pPr>
    <w:rPr>
      <w:rFonts w:ascii="Adelle Sans" w:hAnsi="Adelle Sans" w:cs="Adelle Sans"/>
      <w:color w:val="000000"/>
      <w:sz w:val="24"/>
      <w:szCs w:val="24"/>
      <w:lang w:val="en-GB"/>
    </w:rPr>
  </w:style>
  <w:style w:type="character" w:customStyle="1" w:styleId="UnresolvedMention11">
    <w:name w:val="Unresolved Mention11"/>
    <w:basedOn w:val="DefaultParagraphFont"/>
    <w:uiPriority w:val="99"/>
    <w:semiHidden/>
    <w:unhideWhenUsed/>
    <w:rsid w:val="008F54B6"/>
    <w:rPr>
      <w:color w:val="605E5C"/>
      <w:shd w:val="clear" w:color="auto" w:fill="E1DFDD"/>
    </w:rPr>
  </w:style>
  <w:style w:type="character" w:customStyle="1" w:styleId="UnresolvedMention1">
    <w:name w:val="Unresolved Mention1"/>
    <w:basedOn w:val="DefaultParagraphFont"/>
    <w:uiPriority w:val="99"/>
    <w:semiHidden/>
    <w:unhideWhenUsed/>
    <w:rsid w:val="00857D5C"/>
    <w:rPr>
      <w:color w:val="605E5C"/>
      <w:shd w:val="clear" w:color="auto" w:fill="E1DFDD"/>
    </w:rPr>
  </w:style>
  <w:style w:type="character" w:styleId="UnresolvedMention">
    <w:name w:val="Unresolved Mention"/>
    <w:basedOn w:val="DefaultParagraphFont"/>
    <w:uiPriority w:val="99"/>
    <w:semiHidden/>
    <w:unhideWhenUsed/>
    <w:rsid w:val="0019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917">
      <w:bodyDiv w:val="1"/>
      <w:marLeft w:val="0"/>
      <w:marRight w:val="0"/>
      <w:marTop w:val="0"/>
      <w:marBottom w:val="0"/>
      <w:divBdr>
        <w:top w:val="none" w:sz="0" w:space="0" w:color="auto"/>
        <w:left w:val="none" w:sz="0" w:space="0" w:color="auto"/>
        <w:bottom w:val="none" w:sz="0" w:space="0" w:color="auto"/>
        <w:right w:val="none" w:sz="0" w:space="0" w:color="auto"/>
      </w:divBdr>
    </w:div>
    <w:div w:id="41448997">
      <w:bodyDiv w:val="1"/>
      <w:marLeft w:val="0"/>
      <w:marRight w:val="0"/>
      <w:marTop w:val="0"/>
      <w:marBottom w:val="0"/>
      <w:divBdr>
        <w:top w:val="none" w:sz="0" w:space="0" w:color="auto"/>
        <w:left w:val="none" w:sz="0" w:space="0" w:color="auto"/>
        <w:bottom w:val="none" w:sz="0" w:space="0" w:color="auto"/>
        <w:right w:val="none" w:sz="0" w:space="0" w:color="auto"/>
      </w:divBdr>
    </w:div>
    <w:div w:id="45840687">
      <w:bodyDiv w:val="1"/>
      <w:marLeft w:val="0"/>
      <w:marRight w:val="0"/>
      <w:marTop w:val="0"/>
      <w:marBottom w:val="0"/>
      <w:divBdr>
        <w:top w:val="none" w:sz="0" w:space="0" w:color="auto"/>
        <w:left w:val="none" w:sz="0" w:space="0" w:color="auto"/>
        <w:bottom w:val="none" w:sz="0" w:space="0" w:color="auto"/>
        <w:right w:val="none" w:sz="0" w:space="0" w:color="auto"/>
      </w:divBdr>
    </w:div>
    <w:div w:id="74594007">
      <w:bodyDiv w:val="1"/>
      <w:marLeft w:val="0"/>
      <w:marRight w:val="0"/>
      <w:marTop w:val="0"/>
      <w:marBottom w:val="0"/>
      <w:divBdr>
        <w:top w:val="none" w:sz="0" w:space="0" w:color="auto"/>
        <w:left w:val="none" w:sz="0" w:space="0" w:color="auto"/>
        <w:bottom w:val="none" w:sz="0" w:space="0" w:color="auto"/>
        <w:right w:val="none" w:sz="0" w:space="0" w:color="auto"/>
      </w:divBdr>
    </w:div>
    <w:div w:id="89544571">
      <w:bodyDiv w:val="1"/>
      <w:marLeft w:val="0"/>
      <w:marRight w:val="0"/>
      <w:marTop w:val="0"/>
      <w:marBottom w:val="0"/>
      <w:divBdr>
        <w:top w:val="none" w:sz="0" w:space="0" w:color="auto"/>
        <w:left w:val="none" w:sz="0" w:space="0" w:color="auto"/>
        <w:bottom w:val="none" w:sz="0" w:space="0" w:color="auto"/>
        <w:right w:val="none" w:sz="0" w:space="0" w:color="auto"/>
      </w:divBdr>
    </w:div>
    <w:div w:id="107702392">
      <w:bodyDiv w:val="1"/>
      <w:marLeft w:val="0"/>
      <w:marRight w:val="0"/>
      <w:marTop w:val="0"/>
      <w:marBottom w:val="0"/>
      <w:divBdr>
        <w:top w:val="none" w:sz="0" w:space="0" w:color="auto"/>
        <w:left w:val="none" w:sz="0" w:space="0" w:color="auto"/>
        <w:bottom w:val="none" w:sz="0" w:space="0" w:color="auto"/>
        <w:right w:val="none" w:sz="0" w:space="0" w:color="auto"/>
      </w:divBdr>
    </w:div>
    <w:div w:id="153910242">
      <w:bodyDiv w:val="1"/>
      <w:marLeft w:val="0"/>
      <w:marRight w:val="0"/>
      <w:marTop w:val="0"/>
      <w:marBottom w:val="0"/>
      <w:divBdr>
        <w:top w:val="none" w:sz="0" w:space="0" w:color="auto"/>
        <w:left w:val="none" w:sz="0" w:space="0" w:color="auto"/>
        <w:bottom w:val="none" w:sz="0" w:space="0" w:color="auto"/>
        <w:right w:val="none" w:sz="0" w:space="0" w:color="auto"/>
      </w:divBdr>
    </w:div>
    <w:div w:id="212667686">
      <w:bodyDiv w:val="1"/>
      <w:marLeft w:val="0"/>
      <w:marRight w:val="0"/>
      <w:marTop w:val="0"/>
      <w:marBottom w:val="0"/>
      <w:divBdr>
        <w:top w:val="none" w:sz="0" w:space="0" w:color="auto"/>
        <w:left w:val="none" w:sz="0" w:space="0" w:color="auto"/>
        <w:bottom w:val="none" w:sz="0" w:space="0" w:color="auto"/>
        <w:right w:val="none" w:sz="0" w:space="0" w:color="auto"/>
      </w:divBdr>
    </w:div>
    <w:div w:id="236012914">
      <w:bodyDiv w:val="1"/>
      <w:marLeft w:val="0"/>
      <w:marRight w:val="0"/>
      <w:marTop w:val="0"/>
      <w:marBottom w:val="0"/>
      <w:divBdr>
        <w:top w:val="none" w:sz="0" w:space="0" w:color="auto"/>
        <w:left w:val="none" w:sz="0" w:space="0" w:color="auto"/>
        <w:bottom w:val="none" w:sz="0" w:space="0" w:color="auto"/>
        <w:right w:val="none" w:sz="0" w:space="0" w:color="auto"/>
      </w:divBdr>
    </w:div>
    <w:div w:id="263879853">
      <w:bodyDiv w:val="1"/>
      <w:marLeft w:val="0"/>
      <w:marRight w:val="0"/>
      <w:marTop w:val="0"/>
      <w:marBottom w:val="0"/>
      <w:divBdr>
        <w:top w:val="none" w:sz="0" w:space="0" w:color="auto"/>
        <w:left w:val="none" w:sz="0" w:space="0" w:color="auto"/>
        <w:bottom w:val="none" w:sz="0" w:space="0" w:color="auto"/>
        <w:right w:val="none" w:sz="0" w:space="0" w:color="auto"/>
      </w:divBdr>
    </w:div>
    <w:div w:id="266500334">
      <w:bodyDiv w:val="1"/>
      <w:marLeft w:val="0"/>
      <w:marRight w:val="0"/>
      <w:marTop w:val="0"/>
      <w:marBottom w:val="0"/>
      <w:divBdr>
        <w:top w:val="none" w:sz="0" w:space="0" w:color="auto"/>
        <w:left w:val="none" w:sz="0" w:space="0" w:color="auto"/>
        <w:bottom w:val="none" w:sz="0" w:space="0" w:color="auto"/>
        <w:right w:val="none" w:sz="0" w:space="0" w:color="auto"/>
      </w:divBdr>
    </w:div>
    <w:div w:id="381295588">
      <w:bodyDiv w:val="1"/>
      <w:marLeft w:val="0"/>
      <w:marRight w:val="0"/>
      <w:marTop w:val="0"/>
      <w:marBottom w:val="0"/>
      <w:divBdr>
        <w:top w:val="none" w:sz="0" w:space="0" w:color="auto"/>
        <w:left w:val="none" w:sz="0" w:space="0" w:color="auto"/>
        <w:bottom w:val="none" w:sz="0" w:space="0" w:color="auto"/>
        <w:right w:val="none" w:sz="0" w:space="0" w:color="auto"/>
      </w:divBdr>
    </w:div>
    <w:div w:id="394164154">
      <w:bodyDiv w:val="1"/>
      <w:marLeft w:val="0"/>
      <w:marRight w:val="0"/>
      <w:marTop w:val="0"/>
      <w:marBottom w:val="0"/>
      <w:divBdr>
        <w:top w:val="none" w:sz="0" w:space="0" w:color="auto"/>
        <w:left w:val="none" w:sz="0" w:space="0" w:color="auto"/>
        <w:bottom w:val="none" w:sz="0" w:space="0" w:color="auto"/>
        <w:right w:val="none" w:sz="0" w:space="0" w:color="auto"/>
      </w:divBdr>
    </w:div>
    <w:div w:id="394356199">
      <w:bodyDiv w:val="1"/>
      <w:marLeft w:val="0"/>
      <w:marRight w:val="0"/>
      <w:marTop w:val="0"/>
      <w:marBottom w:val="0"/>
      <w:divBdr>
        <w:top w:val="none" w:sz="0" w:space="0" w:color="auto"/>
        <w:left w:val="none" w:sz="0" w:space="0" w:color="auto"/>
        <w:bottom w:val="none" w:sz="0" w:space="0" w:color="auto"/>
        <w:right w:val="none" w:sz="0" w:space="0" w:color="auto"/>
      </w:divBdr>
    </w:div>
    <w:div w:id="395126239">
      <w:bodyDiv w:val="1"/>
      <w:marLeft w:val="0"/>
      <w:marRight w:val="0"/>
      <w:marTop w:val="0"/>
      <w:marBottom w:val="0"/>
      <w:divBdr>
        <w:top w:val="none" w:sz="0" w:space="0" w:color="auto"/>
        <w:left w:val="none" w:sz="0" w:space="0" w:color="auto"/>
        <w:bottom w:val="none" w:sz="0" w:space="0" w:color="auto"/>
        <w:right w:val="none" w:sz="0" w:space="0" w:color="auto"/>
      </w:divBdr>
    </w:div>
    <w:div w:id="419301451">
      <w:bodyDiv w:val="1"/>
      <w:marLeft w:val="0"/>
      <w:marRight w:val="0"/>
      <w:marTop w:val="0"/>
      <w:marBottom w:val="0"/>
      <w:divBdr>
        <w:top w:val="none" w:sz="0" w:space="0" w:color="auto"/>
        <w:left w:val="none" w:sz="0" w:space="0" w:color="auto"/>
        <w:bottom w:val="none" w:sz="0" w:space="0" w:color="auto"/>
        <w:right w:val="none" w:sz="0" w:space="0" w:color="auto"/>
      </w:divBdr>
    </w:div>
    <w:div w:id="421144204">
      <w:bodyDiv w:val="1"/>
      <w:marLeft w:val="0"/>
      <w:marRight w:val="0"/>
      <w:marTop w:val="0"/>
      <w:marBottom w:val="0"/>
      <w:divBdr>
        <w:top w:val="none" w:sz="0" w:space="0" w:color="auto"/>
        <w:left w:val="none" w:sz="0" w:space="0" w:color="auto"/>
        <w:bottom w:val="none" w:sz="0" w:space="0" w:color="auto"/>
        <w:right w:val="none" w:sz="0" w:space="0" w:color="auto"/>
      </w:divBdr>
    </w:div>
    <w:div w:id="608852320">
      <w:bodyDiv w:val="1"/>
      <w:marLeft w:val="0"/>
      <w:marRight w:val="0"/>
      <w:marTop w:val="0"/>
      <w:marBottom w:val="0"/>
      <w:divBdr>
        <w:top w:val="none" w:sz="0" w:space="0" w:color="auto"/>
        <w:left w:val="none" w:sz="0" w:space="0" w:color="auto"/>
        <w:bottom w:val="none" w:sz="0" w:space="0" w:color="auto"/>
        <w:right w:val="none" w:sz="0" w:space="0" w:color="auto"/>
      </w:divBdr>
      <w:divsChild>
        <w:div w:id="1249658068">
          <w:marLeft w:val="274"/>
          <w:marRight w:val="0"/>
          <w:marTop w:val="40"/>
          <w:marBottom w:val="40"/>
          <w:divBdr>
            <w:top w:val="none" w:sz="0" w:space="0" w:color="auto"/>
            <w:left w:val="none" w:sz="0" w:space="0" w:color="auto"/>
            <w:bottom w:val="none" w:sz="0" w:space="0" w:color="auto"/>
            <w:right w:val="none" w:sz="0" w:space="0" w:color="auto"/>
          </w:divBdr>
        </w:div>
      </w:divsChild>
    </w:div>
    <w:div w:id="700860140">
      <w:bodyDiv w:val="1"/>
      <w:marLeft w:val="0"/>
      <w:marRight w:val="0"/>
      <w:marTop w:val="0"/>
      <w:marBottom w:val="0"/>
      <w:divBdr>
        <w:top w:val="none" w:sz="0" w:space="0" w:color="auto"/>
        <w:left w:val="none" w:sz="0" w:space="0" w:color="auto"/>
        <w:bottom w:val="none" w:sz="0" w:space="0" w:color="auto"/>
        <w:right w:val="none" w:sz="0" w:space="0" w:color="auto"/>
      </w:divBdr>
    </w:div>
    <w:div w:id="858010774">
      <w:bodyDiv w:val="1"/>
      <w:marLeft w:val="0"/>
      <w:marRight w:val="0"/>
      <w:marTop w:val="0"/>
      <w:marBottom w:val="0"/>
      <w:divBdr>
        <w:top w:val="none" w:sz="0" w:space="0" w:color="auto"/>
        <w:left w:val="none" w:sz="0" w:space="0" w:color="auto"/>
        <w:bottom w:val="none" w:sz="0" w:space="0" w:color="auto"/>
        <w:right w:val="none" w:sz="0" w:space="0" w:color="auto"/>
      </w:divBdr>
    </w:div>
    <w:div w:id="867452634">
      <w:bodyDiv w:val="1"/>
      <w:marLeft w:val="0"/>
      <w:marRight w:val="0"/>
      <w:marTop w:val="0"/>
      <w:marBottom w:val="0"/>
      <w:divBdr>
        <w:top w:val="none" w:sz="0" w:space="0" w:color="auto"/>
        <w:left w:val="none" w:sz="0" w:space="0" w:color="auto"/>
        <w:bottom w:val="none" w:sz="0" w:space="0" w:color="auto"/>
        <w:right w:val="none" w:sz="0" w:space="0" w:color="auto"/>
      </w:divBdr>
    </w:div>
    <w:div w:id="913316509">
      <w:bodyDiv w:val="1"/>
      <w:marLeft w:val="0"/>
      <w:marRight w:val="0"/>
      <w:marTop w:val="0"/>
      <w:marBottom w:val="0"/>
      <w:divBdr>
        <w:top w:val="none" w:sz="0" w:space="0" w:color="auto"/>
        <w:left w:val="none" w:sz="0" w:space="0" w:color="auto"/>
        <w:bottom w:val="none" w:sz="0" w:space="0" w:color="auto"/>
        <w:right w:val="none" w:sz="0" w:space="0" w:color="auto"/>
      </w:divBdr>
    </w:div>
    <w:div w:id="959267467">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985355135">
      <w:bodyDiv w:val="1"/>
      <w:marLeft w:val="0"/>
      <w:marRight w:val="0"/>
      <w:marTop w:val="0"/>
      <w:marBottom w:val="0"/>
      <w:divBdr>
        <w:top w:val="none" w:sz="0" w:space="0" w:color="auto"/>
        <w:left w:val="none" w:sz="0" w:space="0" w:color="auto"/>
        <w:bottom w:val="none" w:sz="0" w:space="0" w:color="auto"/>
        <w:right w:val="none" w:sz="0" w:space="0" w:color="auto"/>
      </w:divBdr>
    </w:div>
    <w:div w:id="1078137657">
      <w:bodyDiv w:val="1"/>
      <w:marLeft w:val="0"/>
      <w:marRight w:val="0"/>
      <w:marTop w:val="0"/>
      <w:marBottom w:val="0"/>
      <w:divBdr>
        <w:top w:val="none" w:sz="0" w:space="0" w:color="auto"/>
        <w:left w:val="none" w:sz="0" w:space="0" w:color="auto"/>
        <w:bottom w:val="none" w:sz="0" w:space="0" w:color="auto"/>
        <w:right w:val="none" w:sz="0" w:space="0" w:color="auto"/>
      </w:divBdr>
    </w:div>
    <w:div w:id="1108698664">
      <w:bodyDiv w:val="1"/>
      <w:marLeft w:val="0"/>
      <w:marRight w:val="0"/>
      <w:marTop w:val="0"/>
      <w:marBottom w:val="0"/>
      <w:divBdr>
        <w:top w:val="none" w:sz="0" w:space="0" w:color="auto"/>
        <w:left w:val="none" w:sz="0" w:space="0" w:color="auto"/>
        <w:bottom w:val="none" w:sz="0" w:space="0" w:color="auto"/>
        <w:right w:val="none" w:sz="0" w:space="0" w:color="auto"/>
      </w:divBdr>
    </w:div>
    <w:div w:id="1135104188">
      <w:bodyDiv w:val="1"/>
      <w:marLeft w:val="0"/>
      <w:marRight w:val="0"/>
      <w:marTop w:val="0"/>
      <w:marBottom w:val="0"/>
      <w:divBdr>
        <w:top w:val="none" w:sz="0" w:space="0" w:color="auto"/>
        <w:left w:val="none" w:sz="0" w:space="0" w:color="auto"/>
        <w:bottom w:val="none" w:sz="0" w:space="0" w:color="auto"/>
        <w:right w:val="none" w:sz="0" w:space="0" w:color="auto"/>
      </w:divBdr>
      <w:divsChild>
        <w:div w:id="536551515">
          <w:marLeft w:val="274"/>
          <w:marRight w:val="0"/>
          <w:marTop w:val="40"/>
          <w:marBottom w:val="40"/>
          <w:divBdr>
            <w:top w:val="none" w:sz="0" w:space="0" w:color="auto"/>
            <w:left w:val="none" w:sz="0" w:space="0" w:color="auto"/>
            <w:bottom w:val="none" w:sz="0" w:space="0" w:color="auto"/>
            <w:right w:val="none" w:sz="0" w:space="0" w:color="auto"/>
          </w:divBdr>
        </w:div>
      </w:divsChild>
    </w:div>
    <w:div w:id="1148938852">
      <w:bodyDiv w:val="1"/>
      <w:marLeft w:val="0"/>
      <w:marRight w:val="0"/>
      <w:marTop w:val="0"/>
      <w:marBottom w:val="0"/>
      <w:divBdr>
        <w:top w:val="none" w:sz="0" w:space="0" w:color="auto"/>
        <w:left w:val="none" w:sz="0" w:space="0" w:color="auto"/>
        <w:bottom w:val="none" w:sz="0" w:space="0" w:color="auto"/>
        <w:right w:val="none" w:sz="0" w:space="0" w:color="auto"/>
      </w:divBdr>
      <w:divsChild>
        <w:div w:id="873276476">
          <w:marLeft w:val="274"/>
          <w:marRight w:val="0"/>
          <w:marTop w:val="40"/>
          <w:marBottom w:val="40"/>
          <w:divBdr>
            <w:top w:val="none" w:sz="0" w:space="0" w:color="auto"/>
            <w:left w:val="none" w:sz="0" w:space="0" w:color="auto"/>
            <w:bottom w:val="none" w:sz="0" w:space="0" w:color="auto"/>
            <w:right w:val="none" w:sz="0" w:space="0" w:color="auto"/>
          </w:divBdr>
        </w:div>
        <w:div w:id="924923155">
          <w:marLeft w:val="274"/>
          <w:marRight w:val="0"/>
          <w:marTop w:val="40"/>
          <w:marBottom w:val="40"/>
          <w:divBdr>
            <w:top w:val="none" w:sz="0" w:space="0" w:color="auto"/>
            <w:left w:val="none" w:sz="0" w:space="0" w:color="auto"/>
            <w:bottom w:val="none" w:sz="0" w:space="0" w:color="auto"/>
            <w:right w:val="none" w:sz="0" w:space="0" w:color="auto"/>
          </w:divBdr>
        </w:div>
      </w:divsChild>
    </w:div>
    <w:div w:id="1184048676">
      <w:bodyDiv w:val="1"/>
      <w:marLeft w:val="0"/>
      <w:marRight w:val="0"/>
      <w:marTop w:val="0"/>
      <w:marBottom w:val="0"/>
      <w:divBdr>
        <w:top w:val="none" w:sz="0" w:space="0" w:color="auto"/>
        <w:left w:val="none" w:sz="0" w:space="0" w:color="auto"/>
        <w:bottom w:val="none" w:sz="0" w:space="0" w:color="auto"/>
        <w:right w:val="none" w:sz="0" w:space="0" w:color="auto"/>
      </w:divBdr>
    </w:div>
    <w:div w:id="1185364173">
      <w:bodyDiv w:val="1"/>
      <w:marLeft w:val="0"/>
      <w:marRight w:val="0"/>
      <w:marTop w:val="0"/>
      <w:marBottom w:val="0"/>
      <w:divBdr>
        <w:top w:val="none" w:sz="0" w:space="0" w:color="auto"/>
        <w:left w:val="none" w:sz="0" w:space="0" w:color="auto"/>
        <w:bottom w:val="none" w:sz="0" w:space="0" w:color="auto"/>
        <w:right w:val="none" w:sz="0" w:space="0" w:color="auto"/>
      </w:divBdr>
    </w:div>
    <w:div w:id="1288777490">
      <w:bodyDiv w:val="1"/>
      <w:marLeft w:val="0"/>
      <w:marRight w:val="0"/>
      <w:marTop w:val="0"/>
      <w:marBottom w:val="0"/>
      <w:divBdr>
        <w:top w:val="none" w:sz="0" w:space="0" w:color="auto"/>
        <w:left w:val="none" w:sz="0" w:space="0" w:color="auto"/>
        <w:bottom w:val="none" w:sz="0" w:space="0" w:color="auto"/>
        <w:right w:val="none" w:sz="0" w:space="0" w:color="auto"/>
      </w:divBdr>
    </w:div>
    <w:div w:id="1311402923">
      <w:bodyDiv w:val="1"/>
      <w:marLeft w:val="0"/>
      <w:marRight w:val="0"/>
      <w:marTop w:val="0"/>
      <w:marBottom w:val="0"/>
      <w:divBdr>
        <w:top w:val="none" w:sz="0" w:space="0" w:color="auto"/>
        <w:left w:val="none" w:sz="0" w:space="0" w:color="auto"/>
        <w:bottom w:val="none" w:sz="0" w:space="0" w:color="auto"/>
        <w:right w:val="none" w:sz="0" w:space="0" w:color="auto"/>
      </w:divBdr>
      <w:divsChild>
        <w:div w:id="667371704">
          <w:marLeft w:val="274"/>
          <w:marRight w:val="0"/>
          <w:marTop w:val="40"/>
          <w:marBottom w:val="40"/>
          <w:divBdr>
            <w:top w:val="none" w:sz="0" w:space="0" w:color="auto"/>
            <w:left w:val="none" w:sz="0" w:space="0" w:color="auto"/>
            <w:bottom w:val="none" w:sz="0" w:space="0" w:color="auto"/>
            <w:right w:val="none" w:sz="0" w:space="0" w:color="auto"/>
          </w:divBdr>
        </w:div>
      </w:divsChild>
    </w:div>
    <w:div w:id="1339507472">
      <w:bodyDiv w:val="1"/>
      <w:marLeft w:val="0"/>
      <w:marRight w:val="0"/>
      <w:marTop w:val="0"/>
      <w:marBottom w:val="0"/>
      <w:divBdr>
        <w:top w:val="none" w:sz="0" w:space="0" w:color="auto"/>
        <w:left w:val="none" w:sz="0" w:space="0" w:color="auto"/>
        <w:bottom w:val="none" w:sz="0" w:space="0" w:color="auto"/>
        <w:right w:val="none" w:sz="0" w:space="0" w:color="auto"/>
      </w:divBdr>
    </w:div>
    <w:div w:id="1351682971">
      <w:bodyDiv w:val="1"/>
      <w:marLeft w:val="0"/>
      <w:marRight w:val="0"/>
      <w:marTop w:val="0"/>
      <w:marBottom w:val="0"/>
      <w:divBdr>
        <w:top w:val="none" w:sz="0" w:space="0" w:color="auto"/>
        <w:left w:val="none" w:sz="0" w:space="0" w:color="auto"/>
        <w:bottom w:val="none" w:sz="0" w:space="0" w:color="auto"/>
        <w:right w:val="none" w:sz="0" w:space="0" w:color="auto"/>
      </w:divBdr>
      <w:divsChild>
        <w:div w:id="1883134791">
          <w:marLeft w:val="274"/>
          <w:marRight w:val="0"/>
          <w:marTop w:val="40"/>
          <w:marBottom w:val="40"/>
          <w:divBdr>
            <w:top w:val="none" w:sz="0" w:space="0" w:color="auto"/>
            <w:left w:val="none" w:sz="0" w:space="0" w:color="auto"/>
            <w:bottom w:val="none" w:sz="0" w:space="0" w:color="auto"/>
            <w:right w:val="none" w:sz="0" w:space="0" w:color="auto"/>
          </w:divBdr>
        </w:div>
        <w:div w:id="1616406601">
          <w:marLeft w:val="274"/>
          <w:marRight w:val="0"/>
          <w:marTop w:val="40"/>
          <w:marBottom w:val="40"/>
          <w:divBdr>
            <w:top w:val="none" w:sz="0" w:space="0" w:color="auto"/>
            <w:left w:val="none" w:sz="0" w:space="0" w:color="auto"/>
            <w:bottom w:val="none" w:sz="0" w:space="0" w:color="auto"/>
            <w:right w:val="none" w:sz="0" w:space="0" w:color="auto"/>
          </w:divBdr>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86046285">
      <w:bodyDiv w:val="1"/>
      <w:marLeft w:val="0"/>
      <w:marRight w:val="0"/>
      <w:marTop w:val="0"/>
      <w:marBottom w:val="0"/>
      <w:divBdr>
        <w:top w:val="none" w:sz="0" w:space="0" w:color="auto"/>
        <w:left w:val="none" w:sz="0" w:space="0" w:color="auto"/>
        <w:bottom w:val="none" w:sz="0" w:space="0" w:color="auto"/>
        <w:right w:val="none" w:sz="0" w:space="0" w:color="auto"/>
      </w:divBdr>
    </w:div>
    <w:div w:id="1561012498">
      <w:bodyDiv w:val="1"/>
      <w:marLeft w:val="0"/>
      <w:marRight w:val="0"/>
      <w:marTop w:val="0"/>
      <w:marBottom w:val="0"/>
      <w:divBdr>
        <w:top w:val="none" w:sz="0" w:space="0" w:color="auto"/>
        <w:left w:val="none" w:sz="0" w:space="0" w:color="auto"/>
        <w:bottom w:val="none" w:sz="0" w:space="0" w:color="auto"/>
        <w:right w:val="none" w:sz="0" w:space="0" w:color="auto"/>
      </w:divBdr>
    </w:div>
    <w:div w:id="1620601338">
      <w:bodyDiv w:val="1"/>
      <w:marLeft w:val="0"/>
      <w:marRight w:val="0"/>
      <w:marTop w:val="0"/>
      <w:marBottom w:val="0"/>
      <w:divBdr>
        <w:top w:val="none" w:sz="0" w:space="0" w:color="auto"/>
        <w:left w:val="none" w:sz="0" w:space="0" w:color="auto"/>
        <w:bottom w:val="none" w:sz="0" w:space="0" w:color="auto"/>
        <w:right w:val="none" w:sz="0" w:space="0" w:color="auto"/>
      </w:divBdr>
    </w:div>
    <w:div w:id="1630352880">
      <w:bodyDiv w:val="1"/>
      <w:marLeft w:val="0"/>
      <w:marRight w:val="0"/>
      <w:marTop w:val="0"/>
      <w:marBottom w:val="0"/>
      <w:divBdr>
        <w:top w:val="none" w:sz="0" w:space="0" w:color="auto"/>
        <w:left w:val="none" w:sz="0" w:space="0" w:color="auto"/>
        <w:bottom w:val="none" w:sz="0" w:space="0" w:color="auto"/>
        <w:right w:val="none" w:sz="0" w:space="0" w:color="auto"/>
      </w:divBdr>
    </w:div>
    <w:div w:id="1669863466">
      <w:bodyDiv w:val="1"/>
      <w:marLeft w:val="0"/>
      <w:marRight w:val="0"/>
      <w:marTop w:val="0"/>
      <w:marBottom w:val="0"/>
      <w:divBdr>
        <w:top w:val="none" w:sz="0" w:space="0" w:color="auto"/>
        <w:left w:val="none" w:sz="0" w:space="0" w:color="auto"/>
        <w:bottom w:val="none" w:sz="0" w:space="0" w:color="auto"/>
        <w:right w:val="none" w:sz="0" w:space="0" w:color="auto"/>
      </w:divBdr>
    </w:div>
    <w:div w:id="1702239266">
      <w:bodyDiv w:val="1"/>
      <w:marLeft w:val="0"/>
      <w:marRight w:val="0"/>
      <w:marTop w:val="0"/>
      <w:marBottom w:val="0"/>
      <w:divBdr>
        <w:top w:val="none" w:sz="0" w:space="0" w:color="auto"/>
        <w:left w:val="none" w:sz="0" w:space="0" w:color="auto"/>
        <w:bottom w:val="none" w:sz="0" w:space="0" w:color="auto"/>
        <w:right w:val="none" w:sz="0" w:space="0" w:color="auto"/>
      </w:divBdr>
    </w:div>
    <w:div w:id="1718356720">
      <w:bodyDiv w:val="1"/>
      <w:marLeft w:val="0"/>
      <w:marRight w:val="0"/>
      <w:marTop w:val="0"/>
      <w:marBottom w:val="0"/>
      <w:divBdr>
        <w:top w:val="none" w:sz="0" w:space="0" w:color="auto"/>
        <w:left w:val="none" w:sz="0" w:space="0" w:color="auto"/>
        <w:bottom w:val="none" w:sz="0" w:space="0" w:color="auto"/>
        <w:right w:val="none" w:sz="0" w:space="0" w:color="auto"/>
      </w:divBdr>
    </w:div>
    <w:div w:id="1742557806">
      <w:bodyDiv w:val="1"/>
      <w:marLeft w:val="0"/>
      <w:marRight w:val="0"/>
      <w:marTop w:val="0"/>
      <w:marBottom w:val="0"/>
      <w:divBdr>
        <w:top w:val="none" w:sz="0" w:space="0" w:color="auto"/>
        <w:left w:val="none" w:sz="0" w:space="0" w:color="auto"/>
        <w:bottom w:val="none" w:sz="0" w:space="0" w:color="auto"/>
        <w:right w:val="none" w:sz="0" w:space="0" w:color="auto"/>
      </w:divBdr>
    </w:div>
    <w:div w:id="174476497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06776232">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37842101">
      <w:bodyDiv w:val="1"/>
      <w:marLeft w:val="0"/>
      <w:marRight w:val="0"/>
      <w:marTop w:val="0"/>
      <w:marBottom w:val="0"/>
      <w:divBdr>
        <w:top w:val="none" w:sz="0" w:space="0" w:color="auto"/>
        <w:left w:val="none" w:sz="0" w:space="0" w:color="auto"/>
        <w:bottom w:val="none" w:sz="0" w:space="0" w:color="auto"/>
        <w:right w:val="none" w:sz="0" w:space="0" w:color="auto"/>
      </w:divBdr>
    </w:div>
    <w:div w:id="1854419077">
      <w:bodyDiv w:val="1"/>
      <w:marLeft w:val="0"/>
      <w:marRight w:val="0"/>
      <w:marTop w:val="0"/>
      <w:marBottom w:val="0"/>
      <w:divBdr>
        <w:top w:val="none" w:sz="0" w:space="0" w:color="auto"/>
        <w:left w:val="none" w:sz="0" w:space="0" w:color="auto"/>
        <w:bottom w:val="none" w:sz="0" w:space="0" w:color="auto"/>
        <w:right w:val="none" w:sz="0" w:space="0" w:color="auto"/>
      </w:divBdr>
    </w:div>
    <w:div w:id="1904943169">
      <w:bodyDiv w:val="1"/>
      <w:marLeft w:val="0"/>
      <w:marRight w:val="0"/>
      <w:marTop w:val="0"/>
      <w:marBottom w:val="0"/>
      <w:divBdr>
        <w:top w:val="none" w:sz="0" w:space="0" w:color="auto"/>
        <w:left w:val="none" w:sz="0" w:space="0" w:color="auto"/>
        <w:bottom w:val="none" w:sz="0" w:space="0" w:color="auto"/>
        <w:right w:val="none" w:sz="0" w:space="0" w:color="auto"/>
      </w:divBdr>
    </w:div>
    <w:div w:id="1932346436">
      <w:bodyDiv w:val="1"/>
      <w:marLeft w:val="0"/>
      <w:marRight w:val="0"/>
      <w:marTop w:val="0"/>
      <w:marBottom w:val="0"/>
      <w:divBdr>
        <w:top w:val="none" w:sz="0" w:space="0" w:color="auto"/>
        <w:left w:val="none" w:sz="0" w:space="0" w:color="auto"/>
        <w:bottom w:val="none" w:sz="0" w:space="0" w:color="auto"/>
        <w:right w:val="none" w:sz="0" w:space="0" w:color="auto"/>
      </w:divBdr>
    </w:div>
    <w:div w:id="1980105718">
      <w:bodyDiv w:val="1"/>
      <w:marLeft w:val="0"/>
      <w:marRight w:val="0"/>
      <w:marTop w:val="0"/>
      <w:marBottom w:val="0"/>
      <w:divBdr>
        <w:top w:val="none" w:sz="0" w:space="0" w:color="auto"/>
        <w:left w:val="none" w:sz="0" w:space="0" w:color="auto"/>
        <w:bottom w:val="none" w:sz="0" w:space="0" w:color="auto"/>
        <w:right w:val="none" w:sz="0" w:space="0" w:color="auto"/>
      </w:divBdr>
    </w:div>
    <w:div w:id="2003728050">
      <w:bodyDiv w:val="1"/>
      <w:marLeft w:val="0"/>
      <w:marRight w:val="0"/>
      <w:marTop w:val="0"/>
      <w:marBottom w:val="0"/>
      <w:divBdr>
        <w:top w:val="none" w:sz="0" w:space="0" w:color="auto"/>
        <w:left w:val="none" w:sz="0" w:space="0" w:color="auto"/>
        <w:bottom w:val="none" w:sz="0" w:space="0" w:color="auto"/>
        <w:right w:val="none" w:sz="0" w:space="0" w:color="auto"/>
      </w:divBdr>
    </w:div>
    <w:div w:id="20687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munisationhandbook.health.gov.au/" TargetMode="External"/><Relationship Id="rId18" Type="http://schemas.openxmlformats.org/officeDocument/2006/relationships/hyperlink" Target="https://www.health.gov.au/resources/collections/coronavirus-covid-19-resources-for-aboriginal-and-torres-strait-islander-people-and-remote-communities" TargetMode="External"/><Relationship Id="rId26" Type="http://schemas.openxmlformats.org/officeDocument/2006/relationships/hyperlink" Target="https://www.health.gov.au/committees-and-groups/australian-technical-advisory-group-on-immunisation-atagi-covid-19-working-group" TargetMode="External"/><Relationship Id="rId39" Type="http://schemas.openxmlformats.org/officeDocument/2006/relationships/hyperlink" Target="https://www1.health.gov.au/internet/main/publishing.nsf/Content/cda-surveil-ozflu-flucurr.htm" TargetMode="External"/><Relationship Id="rId21" Type="http://schemas.openxmlformats.org/officeDocument/2006/relationships/hyperlink" Target="https://www.health.gov.au/resources/publications/national-immunisation-program-nip-vaccine-listing-process" TargetMode="External"/><Relationship Id="rId34" Type="http://schemas.openxmlformats.org/officeDocument/2006/relationships/hyperlink" Target="https://www.health.gov.au/news/atagi-statement-on-revised-recommendations-on-the-use-of-covid-19-vaccine-astrazeneca-17-june-2021" TargetMode="External"/><Relationship Id="rId42" Type="http://schemas.openxmlformats.org/officeDocument/2006/relationships/hyperlink" Target="https://www.hpvvaccine.org.au/health-professionals/health-professionals-resources.aspx" TargetMode="External"/><Relationship Id="rId47" Type="http://schemas.openxmlformats.org/officeDocument/2006/relationships/hyperlink" Target="https://www.health.gov.au/resources/publications/atagi-advice-on-seasonal-influenza-vaccines-in-2021-december-2021-update" TargetMode="External"/><Relationship Id="rId50" Type="http://schemas.openxmlformats.org/officeDocument/2006/relationships/hyperlink" Target="https://immunisationhandbook.health.gov.au/vaccine-preventable-diseases/rabies-and-other-lyssaviruses" TargetMode="External"/><Relationship Id="rId55" Type="http://schemas.openxmlformats.org/officeDocument/2006/relationships/hyperlink" Target="https://www.tga.gov.au/alert/zostavax"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initiatives-and-programs/covid-19-vaccines/advice-for-providers/resources" TargetMode="External"/><Relationship Id="rId20" Type="http://schemas.openxmlformats.org/officeDocument/2006/relationships/hyperlink" Target="https://www.tga.gov.au/covid-19-vaccine-approval-process" TargetMode="External"/><Relationship Id="rId29" Type="http://schemas.openxmlformats.org/officeDocument/2006/relationships/hyperlink" Target="https://www.health.gov.au/resources/publications/covid-19-vaccination-guidance-on-myocarditis-and-pericarditis-after-mrna-covid-19-vaccines" TargetMode="External"/><Relationship Id="rId41" Type="http://schemas.openxmlformats.org/officeDocument/2006/relationships/hyperlink" Target="https://www.cervicalcancercontrol.org.au/publications/reports/" TargetMode="External"/><Relationship Id="rId54" Type="http://schemas.openxmlformats.org/officeDocument/2006/relationships/hyperlink" Target="https://www.ausvaxsafety.org.a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ustralian-technical-advisory-group-on-immunisation-atagi" TargetMode="External"/><Relationship Id="rId24" Type="http://schemas.openxmlformats.org/officeDocument/2006/relationships/hyperlink" Target="https://www.tga.gov.au/resource/covid-19-vaccine-safety-monitoring-plan" TargetMode="External"/><Relationship Id="rId32" Type="http://schemas.openxmlformats.org/officeDocument/2006/relationships/hyperlink" Target="https://www.health.gov.au/resources/publications/covid-19-vaccination-australias-covid-19-vaccine-national-roll-out-strategy" TargetMode="External"/><Relationship Id="rId37" Type="http://schemas.openxmlformats.org/officeDocument/2006/relationships/hyperlink" Target="https://www.health.gov.au/resources/publications/atagi-recommendations-on-the-use-of-a-booster-dose-of-covid-19-vaccine" TargetMode="External"/><Relationship Id="rId40" Type="http://schemas.openxmlformats.org/officeDocument/2006/relationships/hyperlink" Target="https://www.ncirs.org.au/impact-evaluation-australian-national-hpv-vaccination-program-0" TargetMode="External"/><Relationship Id="rId45" Type="http://schemas.openxmlformats.org/officeDocument/2006/relationships/hyperlink" Target="https://pubmed.ncbi.nlm.nih.gov/33587122/" TargetMode="External"/><Relationship Id="rId53" Type="http://schemas.openxmlformats.org/officeDocument/2006/relationships/hyperlink" Target="https://www.tga.gov.au/reporting-problems" TargetMode="External"/><Relationship Id="rId58" Type="http://schemas.openxmlformats.org/officeDocument/2006/relationships/hyperlink" Target="https://www.tga.gov.au/alert/zostavax-vaccine-2"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initiatives-and-programs/covid-19-vaccines/advice-for-providers/clinical-guidance" TargetMode="External"/><Relationship Id="rId23" Type="http://schemas.openxmlformats.org/officeDocument/2006/relationships/hyperlink" Target="https://www.tga.gov.au/australias-covid-19-vaccine-safety-monitoring-system" TargetMode="External"/><Relationship Id="rId28" Type="http://schemas.openxmlformats.org/officeDocument/2006/relationships/hyperlink" Target="https://www.thanz.org.au/resources/covid-19" TargetMode="External"/><Relationship Id="rId36" Type="http://schemas.openxmlformats.org/officeDocument/2006/relationships/hyperlink" Target="https://www.health.gov.au/news/atagi-statement-on-the-use-of-a-3rd-primary-dose-of-covid-19-vaccine-in-individuals-who-are-severely-immunocompromised" TargetMode="External"/><Relationship Id="rId49" Type="http://schemas.openxmlformats.org/officeDocument/2006/relationships/hyperlink" Target="https://immunisationhandbook.health.gov.au/" TargetMode="External"/><Relationship Id="rId57" Type="http://schemas.openxmlformats.org/officeDocument/2006/relationships/hyperlink" Target="https://immunisationhandbook.health.gov.au/vaccine-preventable-diseases/zoster-herpes-zoster"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committees-and-groups/culturally-and-linguistically-diverse-communities-covid-19-health-advisory-group" TargetMode="External"/><Relationship Id="rId31" Type="http://schemas.openxmlformats.org/officeDocument/2006/relationships/hyperlink" Target="https://www.health.gov.au/resources/publications/covid-19-vaccination-australian-covid-19-vaccination-policy" TargetMode="External"/><Relationship Id="rId44" Type="http://schemas.openxmlformats.org/officeDocument/2006/relationships/hyperlink" Target="https://www.lowitja.org.au/page/research/research-categories/science-and-health-conditions/health-conditions/completed-projects/cross-cultural-responses-hpv" TargetMode="External"/><Relationship Id="rId52" Type="http://schemas.openxmlformats.org/officeDocument/2006/relationships/hyperlink" Target="https://www.legislation.gov.au/Details/C2021A00001" TargetMode="External"/><Relationship Id="rId60" Type="http://schemas.openxmlformats.org/officeDocument/2006/relationships/hyperlink" Target="https://immunisationhandbook.health.gov.a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tga.gov.au/international-covid-19-vaccines-recognised-australia" TargetMode="External"/><Relationship Id="rId27" Type="http://schemas.openxmlformats.org/officeDocument/2006/relationships/hyperlink" Target="https://ausvaxsafety.org.au/safety-data/covid-19-vaccines" TargetMode="External"/><Relationship Id="rId30" Type="http://schemas.openxmlformats.org/officeDocument/2006/relationships/hyperlink" Target="https://www.health.gov.au/committees-and-groups/australian-technical-advisory-group-on-immunisation-atagi" TargetMode="External"/><Relationship Id="rId35" Type="http://schemas.openxmlformats.org/officeDocument/2006/relationships/hyperlink" Target="https://www.health.gov.au/news/atagi-statement-on-the-use-of-covid-19-vaccines-in-all-young-adolescents-in-australia" TargetMode="External"/><Relationship Id="rId43" Type="http://schemas.openxmlformats.org/officeDocument/2006/relationships/hyperlink" Target="https://bmjopen.bmj.com/content/11/8/e047890" TargetMode="External"/><Relationship Id="rId48" Type="http://schemas.openxmlformats.org/officeDocument/2006/relationships/hyperlink" Target="https://www.health.gov.au/resources/publications/statement-on-the-clinical-use-of-zoster-vaccine-in-older-adults-in-australia" TargetMode="External"/><Relationship Id="rId56" Type="http://schemas.openxmlformats.org/officeDocument/2006/relationships/hyperlink" Target="https://www.allergy.org.au/about-ascia/info-updates/safety-alert-zostavax-vaccine-not-to-be-used-in-people-with-compromised-immune-function"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s://www.health.gov.au/resources/publications/atagi-strategic-intent" TargetMode="External"/><Relationship Id="rId17" Type="http://schemas.openxmlformats.org/officeDocument/2006/relationships/hyperlink" Target="https://www.health.gov.au/resources/collections/covid-19-vaccination-patient-resources" TargetMode="External"/><Relationship Id="rId25" Type="http://schemas.openxmlformats.org/officeDocument/2006/relationships/hyperlink" Target="https://www.tga.gov.au/periodic/covid-19-vaccine-weekly-safety-report" TargetMode="External"/><Relationship Id="rId33" Type="http://schemas.openxmlformats.org/officeDocument/2006/relationships/hyperlink" Target="https://www.health.gov.au/news/atagi-statement-on-astrazeneca-vaccine-in-response-to-new-vaccine-safety-concerns" TargetMode="External"/><Relationship Id="rId38" Type="http://schemas.openxmlformats.org/officeDocument/2006/relationships/hyperlink" Target="https://www.health.gov.au/resources/publications/atagi-recommendations-on-pfizer-covid-19-vaccine-use-in-children-aged-5-to-11-years" TargetMode="External"/><Relationship Id="rId46" Type="http://schemas.openxmlformats.org/officeDocument/2006/relationships/hyperlink" Target="https://www.health.gov.au/news/national-immunisation-program-shingles-vaccination-catch-up-program-extended" TargetMode="External"/><Relationship Id="rId59" Type="http://schemas.openxmlformats.org/officeDocument/2006/relationships/hyperlink" Target="https://ausvaxsafety.org.au/safety-data/influenza-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BB576E0460B449EB723BD33C8E86C" ma:contentTypeVersion="6" ma:contentTypeDescription="Create a new document." ma:contentTypeScope="" ma:versionID="58a01d6df8e766426ba76828a9fa9ddb">
  <xsd:schema xmlns:xsd="http://www.w3.org/2001/XMLSchema" xmlns:xs="http://www.w3.org/2001/XMLSchema" xmlns:p="http://schemas.microsoft.com/office/2006/metadata/properties" xmlns:ns2="46e47e4d-f345-4aa9-af87-02fe37eb7d32" xmlns:ns3="b5a74ce3-2699-45d0-a45b-bd63c2c19ef5" targetNamespace="http://schemas.microsoft.com/office/2006/metadata/properties" ma:root="true" ma:fieldsID="afa4d187c73486e55746b2380f9c1077" ns2:_="" ns3:_="">
    <xsd:import namespace="46e47e4d-f345-4aa9-af87-02fe37eb7d32"/>
    <xsd:import namespace="b5a74ce3-2699-45d0-a45b-bd63c2c19e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47e4d-f345-4aa9-af87-02fe37eb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504F1-12FA-47E4-9AF6-CDD7BFD7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47e4d-f345-4aa9-af87-02fe37eb7d32"/>
    <ds:schemaRef ds:uri="b5a74ce3-2699-45d0-a45b-bd63c2c1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1A676-94FB-4B89-8FAB-D93CED5FC2A5}">
  <ds:schemaRefs>
    <ds:schemaRef ds:uri="http://schemas.microsoft.com/sharepoint/v3/contenttype/forms"/>
  </ds:schemaRefs>
</ds:datastoreItem>
</file>

<file path=customXml/itemProps3.xml><?xml version="1.0" encoding="utf-8"?>
<ds:datastoreItem xmlns:ds="http://schemas.openxmlformats.org/officeDocument/2006/customXml" ds:itemID="{CE4C86FF-BAC6-4784-95FC-357D4144CA57}">
  <ds:schemaRefs>
    <ds:schemaRef ds:uri="http://schemas.openxmlformats.org/officeDocument/2006/bibliography"/>
  </ds:schemaRefs>
</ds:datastoreItem>
</file>

<file path=customXml/itemProps4.xml><?xml version="1.0" encoding="utf-8"?>
<ds:datastoreItem xmlns:ds="http://schemas.openxmlformats.org/officeDocument/2006/customXml" ds:itemID="{D4B09430-34B8-4BA8-84E0-28C6F185B543}">
  <ds:schemaRefs>
    <ds:schemaRef ds:uri="http://schemas.microsoft.com/office/2006/metadata/properties"/>
    <ds:schemaRef ds:uri="http://purl.org/dc/terms/"/>
    <ds:schemaRef ds:uri="http://schemas.openxmlformats.org/package/2006/metadata/core-properties"/>
    <ds:schemaRef ds:uri="b5a74ce3-2699-45d0-a45b-bd63c2c19ef5"/>
    <ds:schemaRef ds:uri="http://schemas.microsoft.com/office/2006/documentManagement/types"/>
    <ds:schemaRef ds:uri="http://schemas.microsoft.com/office/infopath/2007/PartnerControls"/>
    <ds:schemaRef ds:uri="http://purl.org/dc/elements/1.1/"/>
    <ds:schemaRef ds:uri="46e47e4d-f345-4aa9-af87-02fe37eb7d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4099</Words>
  <Characters>29706</Characters>
  <Application>Microsoft Office Word</Application>
  <DocSecurity>4</DocSecurity>
  <Lines>4243</Lines>
  <Paragraphs>3756</Paragraphs>
  <ScaleCrop>false</ScaleCrop>
  <HeadingPairs>
    <vt:vector size="2" baseType="variant">
      <vt:variant>
        <vt:lpstr>Title</vt:lpstr>
      </vt:variant>
      <vt:variant>
        <vt:i4>1</vt:i4>
      </vt:variant>
    </vt:vector>
  </HeadingPairs>
  <TitlesOfParts>
    <vt:vector size="1" baseType="lpstr">
      <vt:lpstr>ATAGI 2022 annual statement on immunisation</vt:lpstr>
    </vt:vector>
  </TitlesOfParts>
  <Manager/>
  <Company/>
  <LinksUpToDate>false</LinksUpToDate>
  <CharactersWithSpaces>30049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2022 annual statement on immunisation</dc:title>
  <dc:subject/>
  <dc:creator>Australian Government Department of Health and Aged Care</dc:creator>
  <cp:keywords>Immunisation; Australian Technical Advisory Group on Immunisation (ATAGI)</cp:keywords>
  <dc:description/>
  <cp:lastModifiedBy>JACOB, Reuben</cp:lastModifiedBy>
  <cp:revision>2</cp:revision>
  <cp:lastPrinted>2012-11-09T00:35:00Z</cp:lastPrinted>
  <dcterms:created xsi:type="dcterms:W3CDTF">2023-01-12T03:08:00Z</dcterms:created>
  <dcterms:modified xsi:type="dcterms:W3CDTF">2023-01-12T03:08:00Z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0x0101007ABBB576E0460B449EB723BD33C8E86C</vt:lpwstr>
  </property>
</Properties>
</file>