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A391" w14:textId="57DB2F9C" w:rsidR="000B0298" w:rsidRPr="00EC36F2" w:rsidRDefault="00EC36F2" w:rsidP="000B0298">
      <w:pPr>
        <w:pStyle w:val="Heading1"/>
        <w:spacing w:after="320"/>
      </w:pPr>
      <w:r w:rsidRPr="00EC36F2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3641AB0" wp14:editId="61B1BF42">
                <wp:simplePos x="0" y="0"/>
                <wp:positionH relativeFrom="column">
                  <wp:posOffset>-900430</wp:posOffset>
                </wp:positionH>
                <wp:positionV relativeFrom="paragraph">
                  <wp:posOffset>-2338705</wp:posOffset>
                </wp:positionV>
                <wp:extent cx="7587883" cy="154927"/>
                <wp:effectExtent l="0" t="0" r="0" b="0"/>
                <wp:wrapNone/>
                <wp:docPr id="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7883" cy="154927"/>
                          <a:chOff x="0" y="0"/>
                          <a:chExt cx="6836580" cy="1080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522448" cy="108000"/>
                          </a:xfrm>
                          <a:prstGeom prst="rect">
                            <a:avLst/>
                          </a:prstGeom>
                          <a:solidFill>
                            <a:srgbClr val="3F4A7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22448" y="0"/>
                            <a:ext cx="223838" cy="108000"/>
                          </a:xfrm>
                          <a:prstGeom prst="rect">
                            <a:avLst/>
                          </a:prstGeom>
                          <a:solidFill>
                            <a:srgbClr val="3998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46310" y="0"/>
                            <a:ext cx="317475" cy="108000"/>
                          </a:xfrm>
                          <a:prstGeom prst="rect">
                            <a:avLst/>
                          </a:prstGeom>
                          <a:solidFill>
                            <a:srgbClr val="3F4A7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63785" y="0"/>
                            <a:ext cx="304801" cy="108000"/>
                          </a:xfrm>
                          <a:prstGeom prst="rect">
                            <a:avLst/>
                          </a:prstGeom>
                          <a:solidFill>
                            <a:srgbClr val="0078B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68267" y="0"/>
                            <a:ext cx="152401" cy="108000"/>
                          </a:xfrm>
                          <a:prstGeom prst="rect">
                            <a:avLst/>
                          </a:prstGeom>
                          <a:solidFill>
                            <a:srgbClr val="3998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520668" y="0"/>
                            <a:ext cx="152401" cy="108000"/>
                          </a:xfrm>
                          <a:prstGeom prst="rect">
                            <a:avLst/>
                          </a:prstGeom>
                          <a:solidFill>
                            <a:srgbClr val="3581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72750" y="0"/>
                            <a:ext cx="518478" cy="108000"/>
                          </a:xfrm>
                          <a:prstGeom prst="rect">
                            <a:avLst/>
                          </a:prstGeom>
                          <a:solidFill>
                            <a:srgbClr val="3F4A7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91228" y="0"/>
                            <a:ext cx="152082" cy="108000"/>
                          </a:xfrm>
                          <a:prstGeom prst="rect">
                            <a:avLst/>
                          </a:prstGeom>
                          <a:solidFill>
                            <a:srgbClr val="3998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343785" y="0"/>
                            <a:ext cx="517683" cy="108000"/>
                          </a:xfrm>
                          <a:prstGeom prst="rect">
                            <a:avLst/>
                          </a:prstGeom>
                          <a:solidFill>
                            <a:srgbClr val="3581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61469" y="0"/>
                            <a:ext cx="200980" cy="108000"/>
                          </a:xfrm>
                          <a:prstGeom prst="rect">
                            <a:avLst/>
                          </a:prstGeom>
                          <a:solidFill>
                            <a:srgbClr val="0078B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763215" y="0"/>
                            <a:ext cx="4073365" cy="108000"/>
                          </a:xfrm>
                          <a:prstGeom prst="rect">
                            <a:avLst/>
                          </a:prstGeom>
                          <a:solidFill>
                            <a:srgbClr val="3F4A7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28326" id="Group 4" o:spid="_x0000_s1026" style="position:absolute;margin-left:-70.9pt;margin-top:-184.15pt;width:597.45pt;height:12.2pt;z-index:-251668480" coordsize="6836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">
                <v:rect id="Rectangle 9" o:spid="_x0000_s1027" style="position:absolute;width:5224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" fillcolor="#3f4a75" stroked="f" strokeweight="2pt"/>
                <v:rect id="Rectangle 10" o:spid="_x0000_s1028" style="position:absolute;left:5224;width:2238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" fillcolor="#3998b5" stroked="f" strokeweight="2pt"/>
                <v:rect id="Rectangle 11" o:spid="_x0000_s1029" style="position:absolute;left:7463;width:3174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" fillcolor="#3f4a75" stroked="f" strokeweight="2pt"/>
                <v:rect id="Rectangle 12" o:spid="_x0000_s1030" style="position:absolute;left:10637;width:3048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" fillcolor="#0078bf" stroked="f" strokeweight="2pt"/>
                <v:rect id="Rectangle 13" o:spid="_x0000_s1031" style="position:absolute;left:13682;width:1524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" fillcolor="#3998b5" stroked="f" strokeweight="2pt"/>
                <v:rect id="Rectangle 14" o:spid="_x0000_s1032" style="position:absolute;left:15206;width:1524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" fillcolor="#358189" stroked="f" strokeweight="2pt"/>
                <v:rect id="Rectangle 16" o:spid="_x0000_s1033" style="position:absolute;left:16727;width:5185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" fillcolor="#3f4a75" stroked="f" strokeweight="2pt"/>
                <v:rect id="Rectangle 18" o:spid="_x0000_s1034" style="position:absolute;left:21912;width:1521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" fillcolor="#3998b5" stroked="f" strokeweight="2pt"/>
                <v:rect id="Rectangle 19" o:spid="_x0000_s1035" style="position:absolute;left:23437;width:5177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" fillcolor="#358189" stroked="f" strokeweight="2pt"/>
                <v:rect id="Rectangle 20" o:spid="_x0000_s1036" style="position:absolute;left:28614;width:201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" fillcolor="#0078bf" stroked="f" strokeweight="2pt"/>
                <v:rect id="Rectangle 21" o:spid="_x0000_s1037" style="position:absolute;left:27632;width:40733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" fillcolor="#3f4a75" stroked="f" strokeweight="2pt"/>
              </v:group>
            </w:pict>
          </mc:Fallback>
        </mc:AlternateContent>
      </w:r>
      <w:r w:rsidR="002438A0" w:rsidRPr="00EC36F2">
        <w:t>The National Stillbirth Action and Implementation</w:t>
      </w:r>
      <w:r w:rsidR="00CA634C" w:rsidRPr="00EC36F2">
        <w:t xml:space="preserve"> </w:t>
      </w:r>
      <w:r w:rsidR="002438A0" w:rsidRPr="00EC36F2">
        <w:t>Plan Annual Report 1, 2022</w:t>
      </w:r>
    </w:p>
    <w:p w14:paraId="4746BD9E" w14:textId="7900D39E" w:rsidR="002438A0" w:rsidRDefault="002438A0" w:rsidP="00795437">
      <w:bookmarkStart w:id="0" w:name="_Hlk95135003"/>
      <w:r w:rsidRPr="002941FE">
        <w:t>Stillbirth</w:t>
      </w:r>
      <w:r w:rsidR="00BD0BFD">
        <w:rPr>
          <w:rStyle w:val="FootnoteReference"/>
        </w:rPr>
        <w:footnoteReference w:id="2"/>
      </w:r>
      <w:r w:rsidRPr="002941FE">
        <w:t xml:space="preserve"> is a significant public health issue </w:t>
      </w:r>
      <w:r w:rsidR="00E43FF8">
        <w:t>that</w:t>
      </w:r>
      <w:r w:rsidRPr="002941FE">
        <w:t xml:space="preserve"> has long-lasting effect</w:t>
      </w:r>
      <w:r w:rsidR="00E43FF8">
        <w:t>s</w:t>
      </w:r>
      <w:r w:rsidRPr="002941FE">
        <w:t xml:space="preserve"> on parents, </w:t>
      </w:r>
      <w:proofErr w:type="gramStart"/>
      <w:r w:rsidRPr="002941FE">
        <w:t>families</w:t>
      </w:r>
      <w:proofErr w:type="gramEnd"/>
      <w:r w:rsidRPr="002941FE">
        <w:t xml:space="preserve"> and care providers.</w:t>
      </w:r>
      <w:r>
        <w:t xml:space="preserve"> The Australian Government</w:t>
      </w:r>
      <w:r w:rsidRPr="00803E32">
        <w:t xml:space="preserve"> </w:t>
      </w:r>
      <w:r>
        <w:t>launched</w:t>
      </w:r>
      <w:r w:rsidRPr="00803E32">
        <w:t xml:space="preserve"> the </w:t>
      </w:r>
      <w:hyperlink r:id="rId11" w:history="1">
        <w:r w:rsidRPr="00B50ED1">
          <w:rPr>
            <w:rStyle w:val="Hyperlink"/>
          </w:rPr>
          <w:t>National Stillbirth Action and Implementation Plan</w:t>
        </w:r>
      </w:hyperlink>
      <w:r w:rsidRPr="00803E32">
        <w:t xml:space="preserve"> (the Plan)</w:t>
      </w:r>
      <w:r>
        <w:t xml:space="preserve"> </w:t>
      </w:r>
      <w:r w:rsidRPr="00424B90">
        <w:t>on 10</w:t>
      </w:r>
      <w:r w:rsidR="00534835">
        <w:t> </w:t>
      </w:r>
      <w:r w:rsidRPr="00424B90">
        <w:t>December</w:t>
      </w:r>
      <w:r w:rsidR="00534835">
        <w:t> </w:t>
      </w:r>
      <w:r w:rsidRPr="00424B90">
        <w:t>2020.</w:t>
      </w:r>
      <w:r>
        <w:t xml:space="preserve"> </w:t>
      </w:r>
      <w:r w:rsidR="00125F05">
        <w:t>The Plan</w:t>
      </w:r>
      <w:r w:rsidR="00E43FF8">
        <w:t xml:space="preserve"> </w:t>
      </w:r>
      <w:r w:rsidR="00C05EBC">
        <w:t>focuses on collective action</w:t>
      </w:r>
      <w:r w:rsidR="00867B38">
        <w:t xml:space="preserve">, </w:t>
      </w:r>
      <w:r w:rsidR="00C05EBC">
        <w:t>calling for the</w:t>
      </w:r>
      <w:r w:rsidR="006C45CA">
        <w:t xml:space="preserve"> Australian Government, state and territory governments and non-government organisations to work </w:t>
      </w:r>
      <w:r w:rsidR="007560E2">
        <w:t>together to reduce</w:t>
      </w:r>
      <w:r w:rsidR="0064601C">
        <w:t xml:space="preserve"> stillbirth rates. </w:t>
      </w:r>
      <w:r>
        <w:t>The Plan has an overarching goal to:</w:t>
      </w:r>
    </w:p>
    <w:p w14:paraId="2FC35919" w14:textId="1F7E415B" w:rsidR="00795437" w:rsidRDefault="00795437" w:rsidP="00795437">
      <w:pPr>
        <w:pStyle w:val="PolicyStatement"/>
      </w:pPr>
      <w:r>
        <w:t>S</w:t>
      </w:r>
      <w:r w:rsidRPr="00795437">
        <w:t>upport a sustainable reduction in rates of preventable stillbirth after 28 weeks</w:t>
      </w:r>
      <w:r w:rsidRPr="00795437">
        <w:rPr>
          <w:rStyle w:val="FootnoteReference"/>
          <w:rFonts w:eastAsiaTheme="minorHAnsi" w:cstheme="minorBidi"/>
          <w:color w:val="auto"/>
          <w:szCs w:val="22"/>
        </w:rPr>
        <w:footnoteReference w:id="3"/>
      </w:r>
      <w:r w:rsidRPr="00795437">
        <w:t>, with a primary goal of 20% or more reduction over five years. it also aims to ensure that, when stillbirth occurs, families receive respectful and supportive bereavement care.</w:t>
      </w:r>
    </w:p>
    <w:bookmarkEnd w:id="0"/>
    <w:p w14:paraId="5F23DDB4" w14:textId="78809B7B" w:rsidR="00F51B32" w:rsidRDefault="005A433B" w:rsidP="00795437">
      <w:r>
        <w:t>Implementation</w:t>
      </w:r>
      <w:r w:rsidR="00000ACF">
        <w:t>, monitoring and evaluation</w:t>
      </w:r>
      <w:r>
        <w:t xml:space="preserve"> of the Plan is a shared responsibility </w:t>
      </w:r>
      <w:r w:rsidR="00A42A81">
        <w:t xml:space="preserve">that </w:t>
      </w:r>
      <w:r>
        <w:t>requires the dedicated efforts of many stakeholders</w:t>
      </w:r>
      <w:r w:rsidR="00A42A81">
        <w:t>. This includes</w:t>
      </w:r>
      <w:r>
        <w:t xml:space="preserve"> the Australian and jurisdictional governments, Australian Institute of Health and Welfare (AIHW), The Centre of Research Excellence in Stillbirth (Stillbirth CRE), peak bodies, health professional bodies,</w:t>
      </w:r>
      <w:r w:rsidR="007403F7">
        <w:t xml:space="preserve"> </w:t>
      </w:r>
      <w:r>
        <w:t>non</w:t>
      </w:r>
      <w:r w:rsidR="007403F7">
        <w:t>-g</w:t>
      </w:r>
      <w:r>
        <w:t>overnment organisations and more.</w:t>
      </w:r>
      <w:r w:rsidR="007560E2">
        <w:t xml:space="preserve"> </w:t>
      </w:r>
      <w:r w:rsidR="00905117">
        <w:t>T</w:t>
      </w:r>
      <w:r w:rsidR="007560E2">
        <w:t xml:space="preserve">he </w:t>
      </w:r>
      <w:r w:rsidR="00490415">
        <w:t>National Stillbirth Implementation Oversight Group (IOG)</w:t>
      </w:r>
      <w:r w:rsidR="00905117">
        <w:t xml:space="preserve"> </w:t>
      </w:r>
      <w:r w:rsidR="00E0299E">
        <w:t xml:space="preserve">provides advice and guidance on </w:t>
      </w:r>
      <w:r w:rsidR="00905117">
        <w:t xml:space="preserve">implementation </w:t>
      </w:r>
      <w:r w:rsidR="00E0299E">
        <w:t xml:space="preserve">and monitoring and evaluation </w:t>
      </w:r>
      <w:r w:rsidR="00905117">
        <w:t>of the Plan.</w:t>
      </w:r>
    </w:p>
    <w:p w14:paraId="21B59E58" w14:textId="295B853D" w:rsidR="000B0298" w:rsidRDefault="000B0298" w:rsidP="00BD1595">
      <w:pPr>
        <w:pStyle w:val="Heading2"/>
        <w:spacing w:before="0"/>
      </w:pPr>
      <w:r>
        <w:t>About this first Annual Report</w:t>
      </w:r>
    </w:p>
    <w:p w14:paraId="643B1ADF" w14:textId="737B489B" w:rsidR="002E1E37" w:rsidRDefault="000B0298" w:rsidP="00553A19">
      <w:r>
        <w:t>The Plan committed to provid</w:t>
      </w:r>
      <w:r w:rsidR="00463590">
        <w:t>ing</w:t>
      </w:r>
      <w:r>
        <w:t xml:space="preserve"> Annual Reports to Health Ministers and </w:t>
      </w:r>
      <w:r w:rsidR="00463590">
        <w:t>the Australian public</w:t>
      </w:r>
      <w:r>
        <w:t xml:space="preserve">. </w:t>
      </w:r>
      <w:r w:rsidR="00B87900">
        <w:t>Annual</w:t>
      </w:r>
      <w:r w:rsidR="006A4DAE">
        <w:t xml:space="preserve"> </w:t>
      </w:r>
      <w:r w:rsidR="00B87900">
        <w:t>Reports will provide a comprehensive update of progress against the Plan’s goals and actions</w:t>
      </w:r>
      <w:r w:rsidR="009243D0">
        <w:t xml:space="preserve"> </w:t>
      </w:r>
      <w:r w:rsidR="00AA7BEE">
        <w:t>for</w:t>
      </w:r>
      <w:r w:rsidR="009243D0">
        <w:t xml:space="preserve"> the previous calendar year.</w:t>
      </w:r>
    </w:p>
    <w:p w14:paraId="509887A3" w14:textId="5B9D5373" w:rsidR="009B4D81" w:rsidRDefault="006A65BB" w:rsidP="00553A19">
      <w:r>
        <w:t>T</w:t>
      </w:r>
      <w:r w:rsidR="0096016D">
        <w:t>he Plan</w:t>
      </w:r>
      <w:r w:rsidR="002E1E37">
        <w:t xml:space="preserve"> </w:t>
      </w:r>
      <w:r>
        <w:t>provides</w:t>
      </w:r>
      <w:r w:rsidR="0096016D">
        <w:t xml:space="preserve"> </w:t>
      </w:r>
      <w:r w:rsidR="009B4D81" w:rsidRPr="009B4D81">
        <w:t>jurisdictions</w:t>
      </w:r>
      <w:r w:rsidR="000E51A4">
        <w:t xml:space="preserve"> </w:t>
      </w:r>
      <w:r w:rsidR="00D16BF5">
        <w:t xml:space="preserve">with </w:t>
      </w:r>
      <w:r w:rsidR="000E51A4">
        <w:t>the flexibility</w:t>
      </w:r>
      <w:r w:rsidR="009B4D81" w:rsidRPr="009B4D81">
        <w:t xml:space="preserve"> to implement actions</w:t>
      </w:r>
      <w:r w:rsidR="0096016D">
        <w:t xml:space="preserve"> </w:t>
      </w:r>
      <w:r>
        <w:t>tailored to local contexts. This means</w:t>
      </w:r>
      <w:r w:rsidR="00C1777E">
        <w:t xml:space="preserve"> </w:t>
      </w:r>
      <w:r w:rsidR="009B4D81" w:rsidRPr="009B4D81">
        <w:t>Annual</w:t>
      </w:r>
      <w:r w:rsidR="006A4DAE">
        <w:t xml:space="preserve"> </w:t>
      </w:r>
      <w:r w:rsidR="00BB3D72">
        <w:t>R</w:t>
      </w:r>
      <w:r w:rsidR="009B4D81" w:rsidRPr="009B4D81">
        <w:t xml:space="preserve">eports </w:t>
      </w:r>
      <w:r w:rsidR="00FE6846">
        <w:t>will report on</w:t>
      </w:r>
      <w:r w:rsidR="006A4DAE">
        <w:t xml:space="preserve"> the</w:t>
      </w:r>
      <w:r w:rsidR="00FE6846">
        <w:t xml:space="preserve"> </w:t>
      </w:r>
      <w:r>
        <w:t>implementation of specific tasks in</w:t>
      </w:r>
      <w:r w:rsidR="009B4D81" w:rsidRPr="009B4D81">
        <w:t xml:space="preserve"> the </w:t>
      </w:r>
      <w:r w:rsidR="00BB3D72">
        <w:t>P</w:t>
      </w:r>
      <w:r w:rsidR="009B4D81" w:rsidRPr="009B4D81">
        <w:t>lan</w:t>
      </w:r>
      <w:r w:rsidR="00FE6846">
        <w:t xml:space="preserve"> a</w:t>
      </w:r>
      <w:r w:rsidR="006A4DAE">
        <w:t>nd</w:t>
      </w:r>
      <w:r w:rsidR="00FE6846">
        <w:t xml:space="preserve"> other activities </w:t>
      </w:r>
      <w:r w:rsidR="002E1E37">
        <w:t>that</w:t>
      </w:r>
      <w:r w:rsidR="006A4DAE">
        <w:t>,</w:t>
      </w:r>
      <w:r w:rsidR="002E1E37">
        <w:t xml:space="preserve"> </w:t>
      </w:r>
      <w:r w:rsidR="006A4DAE">
        <w:t>although not listed in the Plan, still contribute to its overall goal.</w:t>
      </w:r>
    </w:p>
    <w:p w14:paraId="3E19C22F" w14:textId="133557C3" w:rsidR="000B0298" w:rsidRDefault="00B93052" w:rsidP="000B0298">
      <w:r>
        <w:t>The</w:t>
      </w:r>
      <w:r w:rsidR="00B87900">
        <w:t xml:space="preserve"> first Annual</w:t>
      </w:r>
      <w:r w:rsidR="006A4DAE">
        <w:t xml:space="preserve"> </w:t>
      </w:r>
      <w:r w:rsidR="00B87900">
        <w:t>Report</w:t>
      </w:r>
      <w:r w:rsidR="00F943C5">
        <w:t xml:space="preserve"> (this document) </w:t>
      </w:r>
      <w:r w:rsidR="000B0298">
        <w:t>predates the finalisation of the Plan’s monitoring and evaluation approach</w:t>
      </w:r>
      <w:r>
        <w:t xml:space="preserve">. </w:t>
      </w:r>
      <w:r w:rsidR="002E1E37">
        <w:t>As such</w:t>
      </w:r>
      <w:r w:rsidR="000B0298">
        <w:t xml:space="preserve">, it </w:t>
      </w:r>
      <w:r w:rsidR="002E1E37">
        <w:t>is slightly different to future Annual Report</w:t>
      </w:r>
      <w:r w:rsidR="006A4DAE">
        <w:t xml:space="preserve">s. It </w:t>
      </w:r>
      <w:r w:rsidR="000B0298">
        <w:t>provides:</w:t>
      </w:r>
      <w:r w:rsidR="00094F9E">
        <w:t xml:space="preserve"> </w:t>
      </w:r>
    </w:p>
    <w:p w14:paraId="7D3B65F4" w14:textId="5A530EB5" w:rsidR="000B0298" w:rsidRDefault="000B0298" w:rsidP="00795437">
      <w:pPr>
        <w:pStyle w:val="ListBullet"/>
      </w:pPr>
      <w:r>
        <w:t>a high-level overview of stillbirth statistics at the time the Plan was released</w:t>
      </w:r>
      <w:r w:rsidR="00D975ED">
        <w:t>, largely based on 2019 data</w:t>
      </w:r>
      <w:r>
        <w:t xml:space="preserve"> (section</w:t>
      </w:r>
      <w:r w:rsidR="00534835">
        <w:t> </w:t>
      </w:r>
      <w:r>
        <w:t xml:space="preserve">1) </w:t>
      </w:r>
    </w:p>
    <w:p w14:paraId="6AC33C85" w14:textId="39FD9E91" w:rsidR="000B0298" w:rsidRDefault="000B0298" w:rsidP="00795437">
      <w:pPr>
        <w:pStyle w:val="ListBullet"/>
      </w:pPr>
      <w:r>
        <w:t xml:space="preserve">progress </w:t>
      </w:r>
      <w:r w:rsidR="00D975ED">
        <w:t>of activities undertaken between December 2020 and December 2021</w:t>
      </w:r>
      <w:r>
        <w:t xml:space="preserve"> (section</w:t>
      </w:r>
      <w:r w:rsidR="009E4C4A">
        <w:t> </w:t>
      </w:r>
      <w:r>
        <w:t xml:space="preserve">2) </w:t>
      </w:r>
    </w:p>
    <w:p w14:paraId="5EF5B652" w14:textId="085D473A" w:rsidR="000B0298" w:rsidRDefault="000B0298" w:rsidP="00795437">
      <w:pPr>
        <w:pStyle w:val="ListBullet"/>
      </w:pPr>
      <w:r>
        <w:t>an update on the development of the monitoring and evaluation approach (section</w:t>
      </w:r>
      <w:r w:rsidR="001E0B49">
        <w:t> </w:t>
      </w:r>
      <w:r>
        <w:t xml:space="preserve">3). </w:t>
      </w:r>
    </w:p>
    <w:p w14:paraId="6AF8B45D" w14:textId="5275A8AD" w:rsidR="000B0298" w:rsidRPr="000B0298" w:rsidRDefault="000B0298" w:rsidP="00210124">
      <w:pPr>
        <w:pStyle w:val="Heading2"/>
        <w:spacing w:before="0"/>
      </w:pPr>
      <w:r w:rsidRPr="000B0298">
        <w:lastRenderedPageBreak/>
        <w:t>Where were we at when the Plan was launched?</w:t>
      </w:r>
    </w:p>
    <w:p w14:paraId="5948A689" w14:textId="028EDD95" w:rsidR="000B0298" w:rsidRDefault="001762AF" w:rsidP="000B0298">
      <w:r>
        <w:fldChar w:fldCharType="begin"/>
      </w:r>
      <w:r>
        <w:instrText xml:space="preserve"> REF _Ref95148318 \h </w:instrText>
      </w:r>
      <w:r>
        <w:fldChar w:fldCharType="separate"/>
      </w:r>
      <w:r w:rsidR="00105896">
        <w:t xml:space="preserve">Figure </w:t>
      </w:r>
      <w:r w:rsidR="00105896">
        <w:rPr>
          <w:noProof/>
        </w:rPr>
        <w:t>1</w:t>
      </w:r>
      <w:r>
        <w:fldChar w:fldCharType="end"/>
      </w:r>
      <w:r>
        <w:t xml:space="preserve"> </w:t>
      </w:r>
      <w:r w:rsidRPr="000B0298">
        <w:t xml:space="preserve">provides a snapshot of </w:t>
      </w:r>
      <w:r>
        <w:t xml:space="preserve">stillbirth </w:t>
      </w:r>
      <w:r w:rsidRPr="000B0298">
        <w:t>rates</w:t>
      </w:r>
      <w:r>
        <w:t xml:space="preserve">, maternity </w:t>
      </w:r>
      <w:proofErr w:type="gramStart"/>
      <w:r>
        <w:t>services</w:t>
      </w:r>
      <w:proofErr w:type="gramEnd"/>
      <w:r>
        <w:t xml:space="preserve"> and bereavement care in 2019, just prior to the Plan’s launch</w:t>
      </w:r>
      <w:r w:rsidRPr="0008764B">
        <w:rPr>
          <w:vertAlign w:val="superscript"/>
        </w:rPr>
        <w:footnoteReference w:id="4"/>
      </w:r>
      <w:r w:rsidRPr="000B0298">
        <w:t>.</w:t>
      </w:r>
      <w:r>
        <w:t xml:space="preserve">  </w:t>
      </w:r>
      <w:r w:rsidR="00CB585E">
        <w:t xml:space="preserve">Immediately </w:t>
      </w:r>
      <w:r w:rsidR="00060B05">
        <w:t>prior to</w:t>
      </w:r>
      <w:r w:rsidR="000B0298" w:rsidRPr="000B0298">
        <w:t xml:space="preserve"> the Plan’s launch</w:t>
      </w:r>
      <w:r w:rsidR="00FD6BAB">
        <w:t xml:space="preserve"> in 20</w:t>
      </w:r>
      <w:r w:rsidR="00060B05">
        <w:t>20</w:t>
      </w:r>
      <w:r w:rsidR="00A226E9">
        <w:t>,</w:t>
      </w:r>
      <w:r w:rsidR="00D168FA">
        <w:t xml:space="preserve"> Australia’s stillbirth rate</w:t>
      </w:r>
      <w:r w:rsidR="000B0298" w:rsidRPr="000B0298">
        <w:t xml:space="preserve"> </w:t>
      </w:r>
      <w:r w:rsidR="00FD6BAB">
        <w:t xml:space="preserve">was </w:t>
      </w:r>
      <w:r w:rsidR="00FF4AB4">
        <w:t>7.2 stillbirths per 1000 births</w:t>
      </w:r>
      <w:r w:rsidR="00FB42D6">
        <w:t xml:space="preserve">. </w:t>
      </w:r>
      <w:r w:rsidR="00AF2257">
        <w:t xml:space="preserve">This rate </w:t>
      </w:r>
      <w:r w:rsidR="00CB70D2">
        <w:t xml:space="preserve">for stillbirth over 20 weeks gestation </w:t>
      </w:r>
      <w:r w:rsidR="000B0298" w:rsidRPr="000B0298">
        <w:t>ha</w:t>
      </w:r>
      <w:r w:rsidR="00AF2257">
        <w:t>s</w:t>
      </w:r>
      <w:r w:rsidR="000B0298" w:rsidRPr="000B0298">
        <w:t xml:space="preserve"> remained largely unchanged for 20 years</w:t>
      </w:r>
      <w:r w:rsidR="00CB70D2">
        <w:t xml:space="preserve">; </w:t>
      </w:r>
      <w:r w:rsidR="000C6F99">
        <w:t>however,</w:t>
      </w:r>
      <w:r w:rsidR="00CB70D2">
        <w:t xml:space="preserve"> the stillbirth rate for pregnancies over 28</w:t>
      </w:r>
      <w:r w:rsidR="004C1E12">
        <w:t> </w:t>
      </w:r>
      <w:r w:rsidR="00CB70D2">
        <w:t>weeks’ gestation has been decreasing since 2000</w:t>
      </w:r>
      <w:r w:rsidR="000B0298" w:rsidRPr="000B0298">
        <w:t xml:space="preserve">. </w:t>
      </w:r>
      <w:r w:rsidR="0015248A">
        <w:t>S</w:t>
      </w:r>
      <w:r w:rsidR="00F741F4">
        <w:t>tillbirth rate</w:t>
      </w:r>
      <w:r w:rsidR="0015248A">
        <w:t>s are</w:t>
      </w:r>
      <w:r w:rsidR="00F741F4">
        <w:t xml:space="preserve"> higher for</w:t>
      </w:r>
      <w:r w:rsidR="000B0298" w:rsidRPr="000B0298">
        <w:t xml:space="preserve"> some populations, </w:t>
      </w:r>
      <w:r w:rsidR="00156F56">
        <w:t>such as</w:t>
      </w:r>
      <w:r w:rsidR="000B0298" w:rsidRPr="000B0298">
        <w:t xml:space="preserve"> Aboriginal and Torres Strait Islander women</w:t>
      </w:r>
      <w:r w:rsidR="00156F56">
        <w:t>,</w:t>
      </w:r>
      <w:r w:rsidR="000B0298" w:rsidRPr="000B0298">
        <w:t xml:space="preserve"> women under the age of 20</w:t>
      </w:r>
      <w:r w:rsidR="00156F56">
        <w:t xml:space="preserve"> and women in regional and remote areas</w:t>
      </w:r>
      <w:r w:rsidR="000B0298" w:rsidRPr="000B0298">
        <w:t xml:space="preserve">. </w:t>
      </w:r>
      <w:r w:rsidR="00156F56">
        <w:t>The data</w:t>
      </w:r>
      <w:r w:rsidR="00F741F4">
        <w:t xml:space="preserve"> also</w:t>
      </w:r>
      <w:r w:rsidR="00156F56">
        <w:t xml:space="preserve"> indicates a</w:t>
      </w:r>
      <w:r w:rsidR="000B0298" w:rsidRPr="000B0298">
        <w:t xml:space="preserve"> large proportion of stillbirths remain unexplained.</w:t>
      </w:r>
    </w:p>
    <w:p w14:paraId="2356C67C" w14:textId="4DB37356" w:rsidR="00FE3758" w:rsidRDefault="00FE3758" w:rsidP="00795437">
      <w:pPr>
        <w:pStyle w:val="Caption"/>
      </w:pPr>
      <w:bookmarkStart w:id="1" w:name="_Ref9514831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05896">
        <w:rPr>
          <w:noProof/>
        </w:rPr>
        <w:t>1</w:t>
      </w:r>
      <w:r>
        <w:fldChar w:fldCharType="end"/>
      </w:r>
      <w:bookmarkEnd w:id="1"/>
      <w:r>
        <w:t xml:space="preserve"> | </w:t>
      </w:r>
      <w:r w:rsidR="00A85B8D">
        <w:t>Data</w:t>
      </w:r>
      <w:r w:rsidR="00CD1F02">
        <w:t xml:space="preserve"> snapshot on stillbirths and maternity care in Australia</w:t>
      </w:r>
    </w:p>
    <w:p w14:paraId="5E4E2972" w14:textId="40789A02" w:rsidR="00EE3F05" w:rsidRDefault="00631F2E" w:rsidP="004C1E12">
      <w:pPr>
        <w:jc w:val="center"/>
      </w:pPr>
      <w:r w:rsidRPr="00631F2E">
        <w:rPr>
          <w:noProof/>
        </w:rPr>
        <w:drawing>
          <wp:inline distT="0" distB="0" distL="0" distR="0" wp14:anchorId="093CFE85" wp14:editId="2081C4B2">
            <wp:extent cx="5378831" cy="5876925"/>
            <wp:effectExtent l="0" t="0" r="0" b="0"/>
            <wp:docPr id="2" name="Picture 2" descr="Figure 1 presents some basic statistics around the rate of stillbirth, antenatal care availability, and birth in Australia in 2019. &#10;&#10;Of the 303,054 babies born in Australia in 2019, there were 2,183 babies stillborn at or over 20 weeks gestation. There were 801 babies stillborn at or over 28 weeks gestation. &#10;&#10;Between 2000 and 2019 the rate of stillbirth at 20 weeks or more has remained the same, while the rate of stillbirth at 28 weeks or more has decreased. &#10;&#10;Aboriginal and Torres Strait Islander women are more likely to experience stillbir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gure 1 presents some basic statistics around the rate of stillbirth, antenatal care availability, and birth in Australia in 2019. &#10;&#10;Of the 303,054 babies born in Australia in 2019, there were 2,183 babies stillborn at or over 20 weeks gestation. There were 801 babies stillborn at or over 28 weeks gestation. &#10;&#10;Between 2000 and 2019 the rate of stillbirth at 20 weeks or more has remained the same, while the rate of stillbirth at 28 weeks or more has decreased. &#10;&#10;Aboriginal and Torres Strait Islander women are more likely to experience stillbirth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346" cy="58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F86F5" w14:textId="30CBCC7F" w:rsidR="000B0298" w:rsidRDefault="000B0298" w:rsidP="00A0347D">
      <w:pPr>
        <w:pStyle w:val="Heading2"/>
        <w:spacing w:before="0"/>
      </w:pPr>
      <w:r>
        <w:lastRenderedPageBreak/>
        <w:t>What has been progressed since the Plan launched?</w:t>
      </w:r>
    </w:p>
    <w:p w14:paraId="026023F5" w14:textId="3505EA57" w:rsidR="00A848AE" w:rsidRPr="00727E66" w:rsidRDefault="000B0298" w:rsidP="00795437">
      <w:pPr>
        <w:rPr>
          <w:szCs w:val="24"/>
        </w:rPr>
      </w:pPr>
      <w:r w:rsidRPr="00727E66">
        <w:t xml:space="preserve">The Australian </w:t>
      </w:r>
      <w:r w:rsidR="00022CB8" w:rsidRPr="00727E66">
        <w:t>G</w:t>
      </w:r>
      <w:r w:rsidRPr="00727E66">
        <w:t xml:space="preserve">overnment, jurisdictional governments and other key organisations have made significant progress </w:t>
      </w:r>
      <w:r w:rsidR="00A528ED" w:rsidRPr="00727E66">
        <w:t xml:space="preserve">implementing </w:t>
      </w:r>
      <w:r w:rsidRPr="00727E66">
        <w:t>activities under the Plan since its launch.</w:t>
      </w:r>
      <w:r w:rsidR="00A848AE" w:rsidRPr="00727E66">
        <w:t xml:space="preserve"> </w:t>
      </w:r>
      <w:r w:rsidR="00E56503">
        <w:rPr>
          <w:szCs w:val="24"/>
        </w:rPr>
        <w:t xml:space="preserve">As </w:t>
      </w:r>
      <w:r w:rsidR="006E64CD">
        <w:rPr>
          <w:szCs w:val="24"/>
        </w:rPr>
        <w:t>of</w:t>
      </w:r>
      <w:r w:rsidR="00E56503">
        <w:rPr>
          <w:szCs w:val="24"/>
        </w:rPr>
        <w:t xml:space="preserve"> April 2022, from 2019-20 through to 2025-26 t</w:t>
      </w:r>
      <w:r w:rsidR="00A848AE" w:rsidRPr="00727E66">
        <w:rPr>
          <w:szCs w:val="24"/>
        </w:rPr>
        <w:t>he Australian Government has invested $</w:t>
      </w:r>
      <w:r w:rsidR="00E56503">
        <w:rPr>
          <w:szCs w:val="24"/>
        </w:rPr>
        <w:t>44.3</w:t>
      </w:r>
      <w:r w:rsidR="00B7734E">
        <w:rPr>
          <w:szCs w:val="24"/>
        </w:rPr>
        <w:t> </w:t>
      </w:r>
      <w:r w:rsidR="00A848AE">
        <w:rPr>
          <w:szCs w:val="24"/>
        </w:rPr>
        <w:t xml:space="preserve">million </w:t>
      </w:r>
      <w:r w:rsidR="00A848AE" w:rsidRPr="00727E66">
        <w:rPr>
          <w:szCs w:val="24"/>
        </w:rPr>
        <w:t>in measures to prevent stillbirth</w:t>
      </w:r>
      <w:r w:rsidR="00E56503">
        <w:rPr>
          <w:szCs w:val="24"/>
        </w:rPr>
        <w:t xml:space="preserve"> and support families affected by stillbirth</w:t>
      </w:r>
      <w:r w:rsidR="00AC24A7">
        <w:rPr>
          <w:szCs w:val="24"/>
        </w:rPr>
        <w:t xml:space="preserve">. </w:t>
      </w:r>
      <w:r w:rsidR="00A848AE" w:rsidRPr="00727E66">
        <w:rPr>
          <w:szCs w:val="24"/>
        </w:rPr>
        <w:t xml:space="preserve"> </w:t>
      </w:r>
    </w:p>
    <w:p w14:paraId="7F311D2F" w14:textId="6CDE1115" w:rsidR="00A85A84" w:rsidRDefault="002A435B" w:rsidP="00795437">
      <w:r>
        <w:t xml:space="preserve">Key areas of focus </w:t>
      </w:r>
      <w:r w:rsidR="00780180">
        <w:t xml:space="preserve">between December 2020 and December 2021 </w:t>
      </w:r>
      <w:r>
        <w:t>have included i</w:t>
      </w:r>
      <w:r w:rsidR="00867A79">
        <w:t xml:space="preserve">mplementing </w:t>
      </w:r>
      <w:r w:rsidR="000B0298">
        <w:t>the Safer Baby Bundle</w:t>
      </w:r>
      <w:r>
        <w:t xml:space="preserve">, training for </w:t>
      </w:r>
      <w:r w:rsidR="000B0298">
        <w:t xml:space="preserve">health </w:t>
      </w:r>
      <w:r>
        <w:t xml:space="preserve">professionals, stillbirth education and awareness programs, </w:t>
      </w:r>
      <w:r w:rsidR="000B0298">
        <w:t xml:space="preserve">and </w:t>
      </w:r>
      <w:r>
        <w:t xml:space="preserve">improving the capacity and capability of health services and health professionals to </w:t>
      </w:r>
      <w:r w:rsidR="000B0298">
        <w:t>undertake stillbirth investigation.</w:t>
      </w:r>
      <w:r w:rsidR="004233BD">
        <w:t xml:space="preserve"> </w:t>
      </w:r>
      <w:r>
        <w:t xml:space="preserve">Work also commenced on developing a new Clinical Care Standard </w:t>
      </w:r>
      <w:r w:rsidR="00780180">
        <w:t xml:space="preserve">for stillbirth prevention and bereavement care, </w:t>
      </w:r>
      <w:r w:rsidR="00883C1C">
        <w:t>adapting the Safer Baby Bundle to be suitable for</w:t>
      </w:r>
      <w:r w:rsidR="007C5EF8">
        <w:t xml:space="preserve"> Aboriginal and Torres Strait Islander women and</w:t>
      </w:r>
      <w:r w:rsidR="00883C1C">
        <w:t xml:space="preserve"> migrant and refugee women, </w:t>
      </w:r>
      <w:r>
        <w:t>and s</w:t>
      </w:r>
      <w:r w:rsidR="002361BC">
        <w:t>etting s</w:t>
      </w:r>
      <w:r w:rsidR="00A848AE">
        <w:t>tillbirth research priorities</w:t>
      </w:r>
      <w:r w:rsidR="007B6029">
        <w:t xml:space="preserve">. </w:t>
      </w:r>
      <w:r w:rsidR="00883C1C">
        <w:t xml:space="preserve">The Clinical Care Standard and the research priorities are expected to </w:t>
      </w:r>
      <w:r w:rsidR="007561E3">
        <w:t xml:space="preserve">be </w:t>
      </w:r>
      <w:r w:rsidR="007B6029">
        <w:t>finalised</w:t>
      </w:r>
      <w:r w:rsidR="00A848AE">
        <w:t xml:space="preserve"> during 2022.</w:t>
      </w:r>
    </w:p>
    <w:p w14:paraId="2C5F9C2F" w14:textId="06D408CE" w:rsidR="00065F95" w:rsidRDefault="00A85B8D" w:rsidP="000B0298">
      <w:r>
        <w:fldChar w:fldCharType="begin"/>
      </w:r>
      <w:r>
        <w:instrText xml:space="preserve"> REF _Ref95148330 \h </w:instrText>
      </w:r>
      <w:r>
        <w:fldChar w:fldCharType="separate"/>
      </w:r>
      <w:r w:rsidR="00105896">
        <w:t xml:space="preserve">Table </w:t>
      </w:r>
      <w:r w:rsidR="00105896">
        <w:rPr>
          <w:noProof/>
        </w:rPr>
        <w:t>1</w:t>
      </w:r>
      <w:r>
        <w:fldChar w:fldCharType="end"/>
      </w:r>
      <w:r>
        <w:t xml:space="preserve"> </w:t>
      </w:r>
      <w:r w:rsidR="00727E66">
        <w:t>summarises</w:t>
      </w:r>
      <w:r w:rsidR="000B0298">
        <w:t xml:space="preserve"> key activities</w:t>
      </w:r>
      <w:r w:rsidR="00063CD5">
        <w:t xml:space="preserve"> that address each priority under the Plan</w:t>
      </w:r>
      <w:r w:rsidR="00EB1C0B">
        <w:t xml:space="preserve"> that</w:t>
      </w:r>
      <w:r w:rsidR="00B87A12">
        <w:t xml:space="preserve">, as of December 2021, were </w:t>
      </w:r>
      <w:r>
        <w:t xml:space="preserve">planned, </w:t>
      </w:r>
      <w:r w:rsidR="00C331FD">
        <w:t xml:space="preserve">underway, </w:t>
      </w:r>
      <w:r>
        <w:t>funded</w:t>
      </w:r>
      <w:r w:rsidR="00395135">
        <w:t xml:space="preserve"> </w:t>
      </w:r>
      <w:r w:rsidR="00C331FD">
        <w:t>or completed.</w:t>
      </w:r>
      <w:r w:rsidR="00E10BA4">
        <w:t xml:space="preserve"> </w:t>
      </w:r>
      <w:r w:rsidR="00B87A12">
        <w:t>Data for this progress updated was collected via c</w:t>
      </w:r>
      <w:r w:rsidR="005A19C7">
        <w:t xml:space="preserve">onsultations </w:t>
      </w:r>
      <w:r w:rsidR="00580944">
        <w:t xml:space="preserve">undertaken in late 2021 </w:t>
      </w:r>
      <w:r w:rsidR="005A19C7">
        <w:t xml:space="preserve">with </w:t>
      </w:r>
      <w:r w:rsidR="00E56C8A">
        <w:t>governments and key organisations implementing the Plan</w:t>
      </w:r>
      <w:r w:rsidR="00B87A12">
        <w:t xml:space="preserve">. </w:t>
      </w:r>
    </w:p>
    <w:p w14:paraId="3BB1DEA3" w14:textId="348581DA" w:rsidR="00FE3758" w:rsidRDefault="00FE3758" w:rsidP="00FE3758">
      <w:pPr>
        <w:pStyle w:val="Caption"/>
      </w:pPr>
      <w:bookmarkStart w:id="2" w:name="_Ref9514833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05896">
        <w:rPr>
          <w:noProof/>
        </w:rPr>
        <w:t>1</w:t>
      </w:r>
      <w:r>
        <w:fldChar w:fldCharType="end"/>
      </w:r>
      <w:bookmarkEnd w:id="2"/>
      <w:r>
        <w:t xml:space="preserve"> | </w:t>
      </w:r>
      <w:r w:rsidR="00842FBA">
        <w:t>T</w:t>
      </w:r>
      <w:r w:rsidR="00EB1C0B">
        <w:t>he Plan’s</w:t>
      </w:r>
      <w:r>
        <w:t xml:space="preserve"> implementation</w:t>
      </w:r>
      <w:r w:rsidR="00EA184C">
        <w:t xml:space="preserve"> </w:t>
      </w:r>
      <w:r w:rsidR="00090612">
        <w:t>between December 2020 and December 2021</w:t>
      </w:r>
    </w:p>
    <w:tbl>
      <w:tblPr>
        <w:tblStyle w:val="NousTableTopandside"/>
        <w:tblW w:w="0" w:type="auto"/>
        <w:tblBorders>
          <w:insideH w:val="single" w:sz="8" w:space="0" w:color="FFFFFF" w:themeColor="background1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</w:tblPr>
      <w:tblGrid>
        <w:gridCol w:w="4536"/>
        <w:gridCol w:w="2328"/>
        <w:gridCol w:w="2207"/>
      </w:tblGrid>
      <w:tr w:rsidR="004E5DD5" w:rsidRPr="000B0298" w14:paraId="5B390904" w14:textId="55F1F877" w:rsidTr="00BE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6" w:type="dxa"/>
          </w:tcPr>
          <w:p w14:paraId="31DD9AEF" w14:textId="77777777" w:rsidR="004E5DD5" w:rsidRPr="000B0298" w:rsidRDefault="004E5DD5" w:rsidP="00AB2CC2">
            <w:pPr>
              <w:pStyle w:val="Tableexpheader"/>
              <w:spacing w:after="0"/>
            </w:pPr>
            <w:r w:rsidRPr="000B0298">
              <w:t>Priority</w:t>
            </w:r>
          </w:p>
        </w:tc>
        <w:tc>
          <w:tcPr>
            <w:tcW w:w="2328" w:type="dxa"/>
          </w:tcPr>
          <w:p w14:paraId="1D8D927A" w14:textId="77777777" w:rsidR="004E5DD5" w:rsidRPr="000B0298" w:rsidRDefault="004E5DD5" w:rsidP="00AB2CC2">
            <w:pPr>
              <w:pStyle w:val="Tableexpheader"/>
              <w:spacing w:after="0"/>
            </w:pPr>
            <w:r w:rsidRPr="000B0298">
              <w:t>Implementer</w:t>
            </w:r>
          </w:p>
        </w:tc>
        <w:tc>
          <w:tcPr>
            <w:tcW w:w="2207" w:type="dxa"/>
          </w:tcPr>
          <w:p w14:paraId="3ED5D515" w14:textId="30BB8E16" w:rsidR="004E5DD5" w:rsidRPr="000B0298" w:rsidRDefault="004E5DD5" w:rsidP="00AB2CC2">
            <w:pPr>
              <w:pStyle w:val="Tableexpheader"/>
              <w:spacing w:after="0"/>
            </w:pPr>
            <w:r>
              <w:t>Status</w:t>
            </w:r>
            <w:r w:rsidR="002C10FD">
              <w:t xml:space="preserve"> at December 2021</w:t>
            </w:r>
          </w:p>
        </w:tc>
      </w:tr>
      <w:tr w:rsidR="004A2768" w:rsidRPr="000B0298" w14:paraId="0FC7314F" w14:textId="6874C4DE" w:rsidTr="00DB2C29">
        <w:tc>
          <w:tcPr>
            <w:tcW w:w="9071" w:type="dxa"/>
            <w:gridSpan w:val="3"/>
            <w:shd w:val="clear" w:color="auto" w:fill="358189" w:themeFill="accent2"/>
          </w:tcPr>
          <w:p w14:paraId="5A5357DB" w14:textId="733604F5" w:rsidR="004A2768" w:rsidRPr="000B0298" w:rsidRDefault="004A2768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0B0298">
              <w:rPr>
                <w:color w:val="FFFFFF" w:themeColor="background1"/>
              </w:rPr>
              <w:t>Priority 1: Ensuring high quality stillbirth prevention and care</w:t>
            </w:r>
          </w:p>
          <w:p w14:paraId="62B16478" w14:textId="2BE804A2" w:rsidR="004A2768" w:rsidRPr="000B0298" w:rsidRDefault="004A2768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0B0298">
              <w:rPr>
                <w:i/>
                <w:iCs/>
                <w:color w:val="FFFFFF" w:themeColor="background1"/>
              </w:rPr>
              <w:t xml:space="preserve">This priority includes actions related to implementing best practice in stillbirth prevention, the development of national guidelines on stillbirth prevention and ensuring </w:t>
            </w:r>
            <w:r w:rsidR="00024193">
              <w:rPr>
                <w:i/>
                <w:iCs/>
                <w:color w:val="FFFFFF" w:themeColor="background1"/>
              </w:rPr>
              <w:t xml:space="preserve">culturally </w:t>
            </w:r>
            <w:r w:rsidRPr="000B0298">
              <w:rPr>
                <w:i/>
                <w:iCs/>
                <w:color w:val="FFFFFF" w:themeColor="background1"/>
              </w:rPr>
              <w:t xml:space="preserve">appropriate care is provided to high-risk cohorts. </w:t>
            </w:r>
          </w:p>
        </w:tc>
      </w:tr>
      <w:tr w:rsidR="004E5DD5" w:rsidRPr="000B0298" w14:paraId="28929FD0" w14:textId="3CA7B0B5" w:rsidTr="00BE5772">
        <w:tc>
          <w:tcPr>
            <w:tcW w:w="4536" w:type="dxa"/>
          </w:tcPr>
          <w:p w14:paraId="67BB4B1C" w14:textId="27A2AA5D" w:rsidR="004E5DD5" w:rsidRPr="000B0298" w:rsidRDefault="003E33C5" w:rsidP="00AB2CC2">
            <w:pPr>
              <w:pStyle w:val="Tableexpheader"/>
              <w:spacing w:after="0"/>
            </w:pPr>
            <w:r>
              <w:t>Implementation of</w:t>
            </w:r>
            <w:r w:rsidR="004E5DD5" w:rsidRPr="000B0298">
              <w:t xml:space="preserve"> the Safer Baby Bundle in multiple jurisdictions with the evaluation to be published in 2024</w:t>
            </w:r>
          </w:p>
        </w:tc>
        <w:tc>
          <w:tcPr>
            <w:tcW w:w="2328" w:type="dxa"/>
          </w:tcPr>
          <w:p w14:paraId="173D5FD8" w14:textId="0C34EED7" w:rsidR="004E5DD5" w:rsidRPr="000B0298" w:rsidRDefault="004E5DD5" w:rsidP="00AB2CC2">
            <w:pPr>
              <w:pStyle w:val="Tableexpheader"/>
              <w:spacing w:after="0"/>
            </w:pPr>
            <w:r w:rsidRPr="000B0298">
              <w:t>Stillbirth CRE in partnership with the Australian Government</w:t>
            </w:r>
            <w:r w:rsidR="000715FD">
              <w:t xml:space="preserve"> and jurisdictions</w:t>
            </w:r>
          </w:p>
        </w:tc>
        <w:tc>
          <w:tcPr>
            <w:tcW w:w="2207" w:type="dxa"/>
          </w:tcPr>
          <w:p w14:paraId="0832DA50" w14:textId="61316074" w:rsidR="004E5DD5" w:rsidRPr="000B0298" w:rsidRDefault="004A2768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6944E1" w:rsidRPr="000B0298" w14:paraId="080E72EC" w14:textId="77777777" w:rsidTr="00BE5772">
        <w:tc>
          <w:tcPr>
            <w:tcW w:w="4536" w:type="dxa"/>
          </w:tcPr>
          <w:p w14:paraId="2C31F6C7" w14:textId="51708A2C" w:rsidR="006944E1" w:rsidRDefault="006944E1" w:rsidP="00AB2CC2">
            <w:pPr>
              <w:pStyle w:val="Tableexpheader"/>
              <w:spacing w:after="0"/>
            </w:pPr>
            <w:bookmarkStart w:id="3" w:name="_Hlk103755260"/>
            <w:r>
              <w:t xml:space="preserve">Development of </w:t>
            </w:r>
            <w:r w:rsidR="00D20E1B">
              <w:t xml:space="preserve">resources (Decision Aid, Clinicians Guide and Brochure) </w:t>
            </w:r>
            <w:r w:rsidRPr="000B0298">
              <w:t>to support the</w:t>
            </w:r>
            <w:r>
              <w:t xml:space="preserve"> fifth element of the Safer Baby Bundle –</w:t>
            </w:r>
            <w:r w:rsidRPr="000B0298">
              <w:t xml:space="preserve"> ‘timing of birth</w:t>
            </w:r>
          </w:p>
        </w:tc>
        <w:tc>
          <w:tcPr>
            <w:tcW w:w="2328" w:type="dxa"/>
          </w:tcPr>
          <w:p w14:paraId="13D4F348" w14:textId="688C5280" w:rsidR="006944E1" w:rsidRPr="000B0298" w:rsidRDefault="006944E1" w:rsidP="00AB2CC2">
            <w:pPr>
              <w:pStyle w:val="Tableexpheader"/>
              <w:spacing w:after="0"/>
            </w:pPr>
            <w:r w:rsidRPr="000B0298">
              <w:t>Stillbirth CRE in partnership with the Australian Government</w:t>
            </w:r>
          </w:p>
        </w:tc>
        <w:tc>
          <w:tcPr>
            <w:tcW w:w="2207" w:type="dxa"/>
          </w:tcPr>
          <w:p w14:paraId="6B85D377" w14:textId="6A45F6E7" w:rsidR="006944E1" w:rsidRDefault="006944E1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bookmarkEnd w:id="3"/>
      <w:tr w:rsidR="004E5DD5" w:rsidRPr="000B0298" w14:paraId="621BDB28" w14:textId="7C852837" w:rsidTr="00BE5772">
        <w:tc>
          <w:tcPr>
            <w:tcW w:w="4536" w:type="dxa"/>
          </w:tcPr>
          <w:p w14:paraId="349104D3" w14:textId="363C366E" w:rsidR="004E5DD5" w:rsidRPr="000B0298" w:rsidRDefault="004E5DD5" w:rsidP="00AB2CC2">
            <w:pPr>
              <w:pStyle w:val="Tableexpheader"/>
              <w:spacing w:after="0"/>
            </w:pPr>
            <w:r w:rsidRPr="000B0298">
              <w:t xml:space="preserve">Co-designing and adapting Safer Baby Bundle resources </w:t>
            </w:r>
            <w:r w:rsidR="009F3FEF">
              <w:t xml:space="preserve">to be </w:t>
            </w:r>
            <w:r w:rsidR="00B24F5A">
              <w:t>appropriate</w:t>
            </w:r>
            <w:r w:rsidR="009F3FEF">
              <w:t xml:space="preserve"> </w:t>
            </w:r>
            <w:r w:rsidRPr="000B0298">
              <w:t>for Aboriginal and Torres Strait Islander women and for migrant and refugee women</w:t>
            </w:r>
          </w:p>
        </w:tc>
        <w:tc>
          <w:tcPr>
            <w:tcW w:w="2328" w:type="dxa"/>
          </w:tcPr>
          <w:p w14:paraId="3A72D32B" w14:textId="6D415DEF" w:rsidR="004E5DD5" w:rsidRPr="000B0298" w:rsidRDefault="004E5DD5" w:rsidP="00AB2CC2">
            <w:pPr>
              <w:pStyle w:val="Tableexpheader"/>
              <w:spacing w:after="0"/>
            </w:pPr>
            <w:r w:rsidRPr="000B0298">
              <w:t>Stillbirth CRE in partnership with NGOs and the Australian Government</w:t>
            </w:r>
          </w:p>
        </w:tc>
        <w:tc>
          <w:tcPr>
            <w:tcW w:w="2207" w:type="dxa"/>
          </w:tcPr>
          <w:p w14:paraId="1B64B57A" w14:textId="389F2508" w:rsidR="004E5DD5" w:rsidRPr="000B0298" w:rsidRDefault="009C12B7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4E5DD5" w:rsidRPr="000B0298" w14:paraId="6EA625BB" w14:textId="6D69DDD6" w:rsidTr="00BE5772">
        <w:tc>
          <w:tcPr>
            <w:tcW w:w="4536" w:type="dxa"/>
          </w:tcPr>
          <w:p w14:paraId="040D1748" w14:textId="4D47C8D0" w:rsidR="004E5DD5" w:rsidRPr="000B0298" w:rsidRDefault="004E5DD5" w:rsidP="00AB2CC2">
            <w:pPr>
              <w:pStyle w:val="Tableexpheader"/>
              <w:spacing w:after="0"/>
            </w:pPr>
            <w:r w:rsidRPr="000B0298">
              <w:t xml:space="preserve">Working with Aboriginal women to understand perceptions </w:t>
            </w:r>
            <w:r w:rsidR="00B24F5A">
              <w:t>of, and barriers to,</w:t>
            </w:r>
            <w:r w:rsidRPr="000B0298">
              <w:t xml:space="preserve"> accessing </w:t>
            </w:r>
            <w:r w:rsidR="00277655">
              <w:t>antenatal</w:t>
            </w:r>
            <w:r w:rsidR="000047F8">
              <w:t xml:space="preserve"> </w:t>
            </w:r>
            <w:r w:rsidRPr="000B0298">
              <w:t xml:space="preserve">care </w:t>
            </w:r>
          </w:p>
        </w:tc>
        <w:tc>
          <w:tcPr>
            <w:tcW w:w="2328" w:type="dxa"/>
          </w:tcPr>
          <w:p w14:paraId="0542CC59" w14:textId="49B0EF67" w:rsidR="004E5DD5" w:rsidRPr="0006060F" w:rsidRDefault="004E5DD5" w:rsidP="00AB2CC2">
            <w:pPr>
              <w:pStyle w:val="Tableexpheader"/>
              <w:spacing w:after="0"/>
            </w:pPr>
            <w:r w:rsidRPr="0006060F">
              <w:t>RANZCOG</w:t>
            </w:r>
            <w:r w:rsidR="00AD01F9" w:rsidRPr="0006060F">
              <w:rPr>
                <w:rStyle w:val="FootnoteReference"/>
              </w:rPr>
              <w:footnoteReference w:id="5"/>
            </w:r>
            <w:r w:rsidR="007C5EF8" w:rsidRPr="0006060F">
              <w:t xml:space="preserve"> and Australian College of Midwives</w:t>
            </w:r>
          </w:p>
        </w:tc>
        <w:tc>
          <w:tcPr>
            <w:tcW w:w="2207" w:type="dxa"/>
          </w:tcPr>
          <w:p w14:paraId="11704944" w14:textId="569A22C1" w:rsidR="004E5DD5" w:rsidRPr="000B0298" w:rsidRDefault="00CF01F6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4E5DD5" w:rsidRPr="000B0298" w14:paraId="27494063" w14:textId="25CE8C5E" w:rsidTr="00BE5772">
        <w:tc>
          <w:tcPr>
            <w:tcW w:w="4536" w:type="dxa"/>
          </w:tcPr>
          <w:p w14:paraId="770267FF" w14:textId="4F00E0BF" w:rsidR="004E5DD5" w:rsidRPr="000B0298" w:rsidRDefault="004E5DD5" w:rsidP="00AB2CC2">
            <w:pPr>
              <w:pStyle w:val="Tableexpheader"/>
              <w:spacing w:after="0"/>
            </w:pPr>
            <w:r w:rsidRPr="000B0298">
              <w:t xml:space="preserve">Gathering information on models of </w:t>
            </w:r>
            <w:r w:rsidR="006D0DAA">
              <w:t xml:space="preserve">maternity </w:t>
            </w:r>
            <w:r w:rsidRPr="000B0298">
              <w:t>care, service availability and challenges from maternity services</w:t>
            </w:r>
          </w:p>
        </w:tc>
        <w:tc>
          <w:tcPr>
            <w:tcW w:w="2328" w:type="dxa"/>
          </w:tcPr>
          <w:p w14:paraId="325CA596" w14:textId="60098EA6" w:rsidR="004E5DD5" w:rsidRPr="0006060F" w:rsidRDefault="004E5DD5" w:rsidP="00AB2CC2">
            <w:pPr>
              <w:pStyle w:val="Tableexpheader"/>
              <w:spacing w:after="0"/>
            </w:pPr>
            <w:r w:rsidRPr="0006060F">
              <w:t>RANZCOG</w:t>
            </w:r>
            <w:r w:rsidR="004152B2" w:rsidRPr="0006060F">
              <w:t xml:space="preserve">, </w:t>
            </w:r>
            <w:r w:rsidR="007C5EF8" w:rsidRPr="0006060F">
              <w:t>Australian College of Midwives</w:t>
            </w:r>
            <w:r w:rsidR="004152B2" w:rsidRPr="0006060F">
              <w:t xml:space="preserve"> and jurisdictions</w:t>
            </w:r>
          </w:p>
        </w:tc>
        <w:tc>
          <w:tcPr>
            <w:tcW w:w="2207" w:type="dxa"/>
          </w:tcPr>
          <w:p w14:paraId="7FEBB162" w14:textId="3E78E871" w:rsidR="004E5DD5" w:rsidRPr="000B0298" w:rsidRDefault="00CF01F6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4E5DD5" w:rsidRPr="000B0298" w14:paraId="202850E1" w14:textId="77DC876D" w:rsidTr="00BE5772">
        <w:tc>
          <w:tcPr>
            <w:tcW w:w="4536" w:type="dxa"/>
          </w:tcPr>
          <w:p w14:paraId="4037E816" w14:textId="22A1BC7E" w:rsidR="004E5DD5" w:rsidRPr="000B0298" w:rsidRDefault="004E5DD5" w:rsidP="00AB2CC2">
            <w:pPr>
              <w:pStyle w:val="Tableexpheader"/>
              <w:spacing w:after="0"/>
            </w:pPr>
            <w:r w:rsidRPr="000B0298">
              <w:t>Gathering data on models of care with first report published in 2021</w:t>
            </w:r>
          </w:p>
        </w:tc>
        <w:tc>
          <w:tcPr>
            <w:tcW w:w="2328" w:type="dxa"/>
          </w:tcPr>
          <w:p w14:paraId="3BCF70D4" w14:textId="77777777" w:rsidR="004E5DD5" w:rsidRPr="000B0298" w:rsidRDefault="004E5DD5" w:rsidP="00AB2CC2">
            <w:pPr>
              <w:pStyle w:val="Tableexpheader"/>
              <w:spacing w:after="0"/>
            </w:pPr>
            <w:r w:rsidRPr="000B0298">
              <w:t>AIHW</w:t>
            </w:r>
          </w:p>
        </w:tc>
        <w:tc>
          <w:tcPr>
            <w:tcW w:w="2207" w:type="dxa"/>
          </w:tcPr>
          <w:p w14:paraId="62446525" w14:textId="68B19834" w:rsidR="004E5DD5" w:rsidRPr="000B0298" w:rsidRDefault="00CF01F6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2B3670" w:rsidRPr="000B0298" w14:paraId="58BB774B" w14:textId="3B8D4EEB" w:rsidTr="00DB2C29">
        <w:tc>
          <w:tcPr>
            <w:tcW w:w="9071" w:type="dxa"/>
            <w:gridSpan w:val="3"/>
            <w:shd w:val="clear" w:color="auto" w:fill="358189" w:themeFill="accent2"/>
          </w:tcPr>
          <w:p w14:paraId="074A4121" w14:textId="2CAF7459" w:rsidR="002B3670" w:rsidRPr="002B504F" w:rsidRDefault="002B3670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2B504F">
              <w:rPr>
                <w:color w:val="FFFFFF" w:themeColor="background1"/>
              </w:rPr>
              <w:t>Priority 2: Raising awareness and strengthening education</w:t>
            </w:r>
          </w:p>
          <w:p w14:paraId="37195A8C" w14:textId="2326D3DD" w:rsidR="002B3670" w:rsidRPr="002B504F" w:rsidRDefault="002B3670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2B504F">
              <w:rPr>
                <w:i/>
                <w:iCs/>
                <w:color w:val="FFFFFF" w:themeColor="background1"/>
              </w:rPr>
              <w:t>This priority includes actions related to increase community awareness and understanding of stillbirth and providing evidence-based and consistent stillbirth education for health professionals.</w:t>
            </w:r>
          </w:p>
        </w:tc>
      </w:tr>
      <w:tr w:rsidR="004E5DD5" w:rsidRPr="000B0298" w14:paraId="5177E6D3" w14:textId="2E6F7D64" w:rsidTr="00BE5772">
        <w:tc>
          <w:tcPr>
            <w:tcW w:w="4536" w:type="dxa"/>
          </w:tcPr>
          <w:p w14:paraId="2ADC60B3" w14:textId="6D077C6E" w:rsidR="004E5DD5" w:rsidRPr="00C31BB9" w:rsidRDefault="00B65EF0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lastRenderedPageBreak/>
              <w:t>Three phased stillbirth education and awareness campaign (including Still Six Lives and the Stillbirth Promise)</w:t>
            </w:r>
          </w:p>
        </w:tc>
        <w:tc>
          <w:tcPr>
            <w:tcW w:w="2328" w:type="dxa"/>
          </w:tcPr>
          <w:p w14:paraId="63766E72" w14:textId="1C222900" w:rsidR="004E5DD5" w:rsidRPr="00C31BB9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Red Nose</w:t>
            </w:r>
          </w:p>
        </w:tc>
        <w:tc>
          <w:tcPr>
            <w:tcW w:w="2207" w:type="dxa"/>
          </w:tcPr>
          <w:p w14:paraId="062A1E6D" w14:textId="2C5B99DE" w:rsidR="004E5DD5" w:rsidRPr="00C31BB9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Completed</w:t>
            </w:r>
          </w:p>
        </w:tc>
      </w:tr>
      <w:tr w:rsidR="00EA5104" w:rsidRPr="000B0298" w14:paraId="3C20DC16" w14:textId="77777777" w:rsidTr="00BE5772">
        <w:tc>
          <w:tcPr>
            <w:tcW w:w="4536" w:type="dxa"/>
          </w:tcPr>
          <w:p w14:paraId="29D8548C" w14:textId="69197522" w:rsidR="00EA5104" w:rsidRPr="00C31BB9" w:rsidDel="00133C67" w:rsidRDefault="00B65EF0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SMS 4 Dads (raising awareness of risk factors for stillbirth via SMS messages sent to expectant fathers)</w:t>
            </w:r>
          </w:p>
        </w:tc>
        <w:tc>
          <w:tcPr>
            <w:tcW w:w="2328" w:type="dxa"/>
          </w:tcPr>
          <w:p w14:paraId="6B303973" w14:textId="01841E27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Red Nose</w:t>
            </w:r>
          </w:p>
        </w:tc>
        <w:tc>
          <w:tcPr>
            <w:tcW w:w="2207" w:type="dxa"/>
          </w:tcPr>
          <w:p w14:paraId="3418F2A1" w14:textId="1E5D8193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Completed</w:t>
            </w:r>
          </w:p>
        </w:tc>
      </w:tr>
      <w:tr w:rsidR="00EA5104" w:rsidRPr="000B0298" w14:paraId="1F4D4589" w14:textId="77777777" w:rsidTr="00BE5772">
        <w:tc>
          <w:tcPr>
            <w:tcW w:w="4536" w:type="dxa"/>
          </w:tcPr>
          <w:p w14:paraId="2018FD63" w14:textId="47A60891" w:rsidR="00EA5104" w:rsidRPr="00C31BB9" w:rsidDel="00133C67" w:rsidRDefault="00B65EF0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Translation of Safer Baby Bundle resources into 23 languages</w:t>
            </w:r>
          </w:p>
        </w:tc>
        <w:tc>
          <w:tcPr>
            <w:tcW w:w="2328" w:type="dxa"/>
          </w:tcPr>
          <w:p w14:paraId="79BD75F6" w14:textId="2322C49F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Stillbirth CRE</w:t>
            </w:r>
          </w:p>
        </w:tc>
        <w:tc>
          <w:tcPr>
            <w:tcW w:w="2207" w:type="dxa"/>
          </w:tcPr>
          <w:p w14:paraId="746344A4" w14:textId="0FC3D4CE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Completed</w:t>
            </w:r>
          </w:p>
        </w:tc>
      </w:tr>
      <w:tr w:rsidR="00EA5104" w:rsidRPr="000B0298" w14:paraId="2FE6BB74" w14:textId="77777777" w:rsidTr="00BE5772">
        <w:tc>
          <w:tcPr>
            <w:tcW w:w="4536" w:type="dxa"/>
          </w:tcPr>
          <w:p w14:paraId="551BD8C4" w14:textId="67C7BEED" w:rsidR="00EA5104" w:rsidRPr="00C31BB9" w:rsidDel="00133C67" w:rsidRDefault="00B65EF0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Maternal Health Education for Migrant and Refugee Women</w:t>
            </w:r>
          </w:p>
        </w:tc>
        <w:tc>
          <w:tcPr>
            <w:tcW w:w="2328" w:type="dxa"/>
          </w:tcPr>
          <w:p w14:paraId="2857B7F0" w14:textId="16ABEBFE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Stillbirth CRE</w:t>
            </w:r>
          </w:p>
        </w:tc>
        <w:tc>
          <w:tcPr>
            <w:tcW w:w="2207" w:type="dxa"/>
          </w:tcPr>
          <w:p w14:paraId="483838C5" w14:textId="68238DC9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Completed</w:t>
            </w:r>
          </w:p>
        </w:tc>
      </w:tr>
      <w:tr w:rsidR="00EA5104" w:rsidRPr="000B0298" w14:paraId="0EC500D9" w14:textId="77777777" w:rsidTr="00BE5772">
        <w:tc>
          <w:tcPr>
            <w:tcW w:w="4536" w:type="dxa"/>
          </w:tcPr>
          <w:p w14:paraId="662FE351" w14:textId="7CC4EB5C" w:rsidR="00EA5104" w:rsidRPr="00C31BB9" w:rsidDel="00133C67" w:rsidRDefault="00B65EF0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Stillbirth education webinars targeting rural and remote clinicians</w:t>
            </w:r>
          </w:p>
        </w:tc>
        <w:tc>
          <w:tcPr>
            <w:tcW w:w="2328" w:type="dxa"/>
          </w:tcPr>
          <w:p w14:paraId="56309622" w14:textId="47834AE0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Stillbirth CRE</w:t>
            </w:r>
          </w:p>
        </w:tc>
        <w:tc>
          <w:tcPr>
            <w:tcW w:w="2207" w:type="dxa"/>
          </w:tcPr>
          <w:p w14:paraId="20FC6BEC" w14:textId="307EFEA5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Completed</w:t>
            </w:r>
          </w:p>
        </w:tc>
      </w:tr>
      <w:tr w:rsidR="00EA5104" w:rsidRPr="000B0298" w14:paraId="1088F1EE" w14:textId="77777777" w:rsidTr="00BE5772">
        <w:tc>
          <w:tcPr>
            <w:tcW w:w="4536" w:type="dxa"/>
          </w:tcPr>
          <w:p w14:paraId="26263149" w14:textId="453F2E5A" w:rsidR="00EA5104" w:rsidRPr="00C31BB9" w:rsidDel="00133C67" w:rsidRDefault="00B65EF0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Development of Baby Buddy app (providing stillbirth education &amp; awareness</w:t>
            </w:r>
            <w:r w:rsidR="0015248A">
              <w:rPr>
                <w:rFonts w:cs="Arial"/>
                <w:szCs w:val="17"/>
              </w:rPr>
              <w:t xml:space="preserve"> information to pregnant women)</w:t>
            </w:r>
            <w:r w:rsidRPr="00C31BB9">
              <w:rPr>
                <w:rFonts w:cs="Arial"/>
                <w:szCs w:val="17"/>
              </w:rPr>
              <w:t xml:space="preserve"> </w:t>
            </w:r>
          </w:p>
        </w:tc>
        <w:tc>
          <w:tcPr>
            <w:tcW w:w="2328" w:type="dxa"/>
          </w:tcPr>
          <w:p w14:paraId="223D818E" w14:textId="24EDD1D4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Stillbirth CRE</w:t>
            </w:r>
          </w:p>
        </w:tc>
        <w:tc>
          <w:tcPr>
            <w:tcW w:w="2207" w:type="dxa"/>
          </w:tcPr>
          <w:p w14:paraId="2C9FFBBB" w14:textId="4A9DF319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In progress</w:t>
            </w:r>
          </w:p>
        </w:tc>
      </w:tr>
      <w:tr w:rsidR="00EA5104" w:rsidRPr="000B0298" w14:paraId="3239637E" w14:textId="77777777" w:rsidTr="00BE5772">
        <w:tc>
          <w:tcPr>
            <w:tcW w:w="4536" w:type="dxa"/>
          </w:tcPr>
          <w:p w14:paraId="26618CD7" w14:textId="5721A258" w:rsidR="00EA5104" w:rsidRPr="00C31BB9" w:rsidDel="00133C67" w:rsidRDefault="00B65EF0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Living Literacy program</w:t>
            </w:r>
          </w:p>
        </w:tc>
        <w:tc>
          <w:tcPr>
            <w:tcW w:w="2328" w:type="dxa"/>
          </w:tcPr>
          <w:p w14:paraId="0764EB7A" w14:textId="6E3DAD6B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Stillbirth CRE</w:t>
            </w:r>
          </w:p>
        </w:tc>
        <w:tc>
          <w:tcPr>
            <w:tcW w:w="2207" w:type="dxa"/>
          </w:tcPr>
          <w:p w14:paraId="45AA52DB" w14:textId="29730BDF" w:rsidR="00EA5104" w:rsidRPr="00C31BB9" w:rsidDel="00133C67" w:rsidRDefault="004A0BA1" w:rsidP="00AB2CC2">
            <w:pPr>
              <w:pStyle w:val="Tableexpheader"/>
              <w:spacing w:before="0" w:after="0"/>
              <w:rPr>
                <w:rFonts w:cs="Arial"/>
                <w:szCs w:val="17"/>
              </w:rPr>
            </w:pPr>
            <w:r w:rsidRPr="00C31BB9">
              <w:rPr>
                <w:rFonts w:cs="Arial"/>
                <w:szCs w:val="17"/>
              </w:rPr>
              <w:t>In progress</w:t>
            </w:r>
          </w:p>
        </w:tc>
      </w:tr>
      <w:tr w:rsidR="004E5DD5" w:rsidRPr="000B0298" w14:paraId="5E751247" w14:textId="698626D4" w:rsidTr="00BE5772">
        <w:tc>
          <w:tcPr>
            <w:tcW w:w="4536" w:type="dxa"/>
          </w:tcPr>
          <w:p w14:paraId="7FDF1D91" w14:textId="295AFD7B" w:rsidR="004E5DD5" w:rsidRPr="0006060F" w:rsidRDefault="006944E1" w:rsidP="00AB2CC2">
            <w:pPr>
              <w:pStyle w:val="Tableexpheader"/>
              <w:spacing w:after="0"/>
            </w:pPr>
            <w:r w:rsidRPr="0006060F">
              <w:t xml:space="preserve">Awareness </w:t>
            </w:r>
            <w:r w:rsidR="001338EC" w:rsidRPr="0006060F">
              <w:t xml:space="preserve">and education </w:t>
            </w:r>
            <w:r w:rsidRPr="0006060F">
              <w:t>campaign</w:t>
            </w:r>
            <w:r w:rsidR="00B24F5A" w:rsidRPr="0006060F">
              <w:t>s</w:t>
            </w:r>
            <w:r w:rsidRPr="0006060F">
              <w:t xml:space="preserve"> for health professiona</w:t>
            </w:r>
            <w:r w:rsidR="005500B4" w:rsidRPr="0006060F">
              <w:t>ls</w:t>
            </w:r>
            <w:r w:rsidR="001338EC" w:rsidRPr="0006060F">
              <w:t xml:space="preserve">, </w:t>
            </w:r>
            <w:r w:rsidR="004376CC" w:rsidRPr="0006060F">
              <w:t xml:space="preserve">including provision of training on bereavement support and the </w:t>
            </w:r>
            <w:r w:rsidR="001338EC" w:rsidRPr="0006060F">
              <w:t>implementing programs such as IMPROVE</w:t>
            </w:r>
            <w:r w:rsidR="004152B2" w:rsidRPr="0006060F">
              <w:t xml:space="preserve"> and other online education programs</w:t>
            </w:r>
          </w:p>
        </w:tc>
        <w:tc>
          <w:tcPr>
            <w:tcW w:w="2328" w:type="dxa"/>
          </w:tcPr>
          <w:p w14:paraId="2D7E399D" w14:textId="4EDC2AC8" w:rsidR="004E5DD5" w:rsidRPr="0006060F" w:rsidRDefault="004E5DD5" w:rsidP="00AB2CC2">
            <w:pPr>
              <w:pStyle w:val="Tableexpheader"/>
              <w:spacing w:after="0"/>
            </w:pPr>
            <w:r w:rsidRPr="0006060F">
              <w:t>Stillbirth CRE</w:t>
            </w:r>
            <w:r w:rsidR="004376CC" w:rsidRPr="0006060F">
              <w:t xml:space="preserve">, </w:t>
            </w:r>
            <w:r w:rsidR="00A40BE3" w:rsidRPr="0006060F">
              <w:t xml:space="preserve">health professional bodies, </w:t>
            </w:r>
            <w:r w:rsidR="004376CC" w:rsidRPr="0006060F">
              <w:t>the</w:t>
            </w:r>
            <w:r w:rsidRPr="0006060F">
              <w:t xml:space="preserve"> Australian </w:t>
            </w:r>
            <w:proofErr w:type="gramStart"/>
            <w:r w:rsidRPr="0006060F">
              <w:t>Government</w:t>
            </w:r>
            <w:proofErr w:type="gramEnd"/>
            <w:r w:rsidR="004376CC" w:rsidRPr="0006060F">
              <w:t xml:space="preserve"> and jurisdictional governments</w:t>
            </w:r>
          </w:p>
        </w:tc>
        <w:tc>
          <w:tcPr>
            <w:tcW w:w="2207" w:type="dxa"/>
          </w:tcPr>
          <w:p w14:paraId="5A8C898D" w14:textId="1003C015" w:rsidR="004E5DD5" w:rsidRPr="000B0298" w:rsidRDefault="00CF01F6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6944E1" w:rsidRPr="000B0298" w14:paraId="371D1F69" w14:textId="77777777" w:rsidTr="00BE5772">
        <w:tc>
          <w:tcPr>
            <w:tcW w:w="4536" w:type="dxa"/>
          </w:tcPr>
          <w:p w14:paraId="28C68A8F" w14:textId="3885A55F" w:rsidR="006944E1" w:rsidRPr="000B0298" w:rsidDel="00CC3D94" w:rsidRDefault="006944E1" w:rsidP="00AB2CC2">
            <w:pPr>
              <w:pStyle w:val="Tableexpheader"/>
              <w:spacing w:after="0"/>
            </w:pPr>
            <w:r w:rsidRPr="000B0298">
              <w:t xml:space="preserve">Developing new clinical care </w:t>
            </w:r>
            <w:r>
              <w:t>standard for stillbirth prevention and clinical and bereavement care in maternity services</w:t>
            </w:r>
          </w:p>
        </w:tc>
        <w:tc>
          <w:tcPr>
            <w:tcW w:w="2328" w:type="dxa"/>
          </w:tcPr>
          <w:p w14:paraId="63BE6691" w14:textId="5BDBAD49" w:rsidR="006944E1" w:rsidRPr="000B0298" w:rsidRDefault="006944E1" w:rsidP="00AB2CC2">
            <w:pPr>
              <w:pStyle w:val="Tableexpheader"/>
              <w:spacing w:after="0"/>
            </w:pPr>
            <w:r>
              <w:t>Australian Government</w:t>
            </w:r>
          </w:p>
        </w:tc>
        <w:tc>
          <w:tcPr>
            <w:tcW w:w="2207" w:type="dxa"/>
          </w:tcPr>
          <w:p w14:paraId="1A71A19E" w14:textId="6B6F4BFF" w:rsidR="006944E1" w:rsidRDefault="006944E1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B065E0" w:rsidRPr="000B0298" w14:paraId="051883A0" w14:textId="1A2653C3" w:rsidTr="00DB2C29">
        <w:tc>
          <w:tcPr>
            <w:tcW w:w="9071" w:type="dxa"/>
            <w:gridSpan w:val="3"/>
            <w:shd w:val="clear" w:color="auto" w:fill="358189" w:themeFill="accent2"/>
          </w:tcPr>
          <w:p w14:paraId="56ADE7CF" w14:textId="77777777" w:rsidR="00B065E0" w:rsidRPr="002B504F" w:rsidRDefault="00B065E0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2B504F">
              <w:rPr>
                <w:color w:val="FFFFFF" w:themeColor="background1"/>
              </w:rPr>
              <w:t>Priority 3: Improving holistic bereavement care and community support following stillbirth</w:t>
            </w:r>
          </w:p>
          <w:p w14:paraId="4B682A8B" w14:textId="31ACD1DB" w:rsidR="00B065E0" w:rsidRPr="002B504F" w:rsidRDefault="00B065E0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2B504F">
              <w:rPr>
                <w:i/>
                <w:iCs/>
                <w:color w:val="FFFFFF" w:themeColor="background1"/>
              </w:rPr>
              <w:t>This priority includes actions related to providing best practice care for families who experience stillbirth and improving care for women who have previously experienced stillbirth.</w:t>
            </w:r>
          </w:p>
        </w:tc>
      </w:tr>
      <w:tr w:rsidR="006944E1" w:rsidRPr="000B0298" w14:paraId="15894868" w14:textId="77777777" w:rsidTr="00BE5772">
        <w:tc>
          <w:tcPr>
            <w:tcW w:w="4536" w:type="dxa"/>
          </w:tcPr>
          <w:p w14:paraId="18A783F0" w14:textId="3D404032" w:rsidR="006944E1" w:rsidRPr="00B1739A" w:rsidRDefault="006944E1" w:rsidP="00AB2CC2">
            <w:pPr>
              <w:pStyle w:val="Tableexpheader"/>
              <w:spacing w:after="0"/>
            </w:pPr>
            <w:r>
              <w:t xml:space="preserve">Updating the </w:t>
            </w:r>
            <w:r>
              <w:rPr>
                <w:i/>
                <w:iCs/>
              </w:rPr>
              <w:t xml:space="preserve">Clinical practice guidelines for care around stillbirth and neonatal death </w:t>
            </w:r>
            <w:r>
              <w:t>to include information on bereavement care, protocols for information sharing between health professionals and information on care in subsequent pregnancies</w:t>
            </w:r>
          </w:p>
        </w:tc>
        <w:tc>
          <w:tcPr>
            <w:tcW w:w="2328" w:type="dxa"/>
          </w:tcPr>
          <w:p w14:paraId="6D7D4016" w14:textId="695A83A2" w:rsidR="006944E1" w:rsidRPr="000B0298" w:rsidRDefault="006944E1" w:rsidP="00AB2CC2">
            <w:pPr>
              <w:pStyle w:val="Tableexpheader"/>
              <w:spacing w:after="0"/>
            </w:pPr>
            <w:r>
              <w:t xml:space="preserve">Stillbirth CRE </w:t>
            </w:r>
            <w:r w:rsidR="00AB43F0">
              <w:t>in partnership with Australian Government</w:t>
            </w:r>
          </w:p>
        </w:tc>
        <w:tc>
          <w:tcPr>
            <w:tcW w:w="2207" w:type="dxa"/>
          </w:tcPr>
          <w:p w14:paraId="79108B24" w14:textId="4B2B222C" w:rsidR="006944E1" w:rsidRDefault="006944E1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B065E0" w:rsidRPr="000B0298" w14:paraId="04C13EC1" w14:textId="5479031D" w:rsidTr="00BE5772">
        <w:tc>
          <w:tcPr>
            <w:tcW w:w="4536" w:type="dxa"/>
          </w:tcPr>
          <w:p w14:paraId="187E34DE" w14:textId="77777777" w:rsidR="00B065E0" w:rsidRPr="000B0298" w:rsidRDefault="00B065E0" w:rsidP="00AB2CC2">
            <w:pPr>
              <w:pStyle w:val="Tableexpheader"/>
              <w:spacing w:after="0"/>
            </w:pPr>
            <w:r w:rsidRPr="000B0298">
              <w:t xml:space="preserve">Amended the </w:t>
            </w:r>
            <w:r w:rsidRPr="00223582">
              <w:rPr>
                <w:i/>
                <w:iCs/>
              </w:rPr>
              <w:t>Fair Work Act 2009</w:t>
            </w:r>
            <w:r w:rsidRPr="000B0298">
              <w:t xml:space="preserve"> (</w:t>
            </w:r>
            <w:proofErr w:type="spellStart"/>
            <w:r w:rsidRPr="000B0298">
              <w:t>Cth</w:t>
            </w:r>
            <w:proofErr w:type="spellEnd"/>
            <w:r w:rsidRPr="000B0298">
              <w:t>) to improve leave entitlements for parents who experience stillbirth</w:t>
            </w:r>
          </w:p>
        </w:tc>
        <w:tc>
          <w:tcPr>
            <w:tcW w:w="2328" w:type="dxa"/>
          </w:tcPr>
          <w:p w14:paraId="3CBEF4C7" w14:textId="77777777" w:rsidR="00B065E0" w:rsidRPr="000B0298" w:rsidRDefault="00B065E0" w:rsidP="00AB2CC2">
            <w:pPr>
              <w:pStyle w:val="Tableexpheader"/>
              <w:spacing w:after="0"/>
            </w:pPr>
            <w:r w:rsidRPr="000B0298">
              <w:t>Australian Government</w:t>
            </w:r>
          </w:p>
        </w:tc>
        <w:tc>
          <w:tcPr>
            <w:tcW w:w="2207" w:type="dxa"/>
          </w:tcPr>
          <w:p w14:paraId="41795716" w14:textId="0A048498" w:rsidR="00B065E0" w:rsidRPr="000B0298" w:rsidRDefault="00B065E0" w:rsidP="00AB2CC2">
            <w:pPr>
              <w:pStyle w:val="Tableexpheader"/>
              <w:spacing w:after="0"/>
            </w:pPr>
            <w:r>
              <w:t>Completed</w:t>
            </w:r>
          </w:p>
        </w:tc>
      </w:tr>
      <w:tr w:rsidR="00B065E0" w:rsidRPr="000B0298" w14:paraId="080898A9" w14:textId="77777777" w:rsidTr="00BE5772">
        <w:tc>
          <w:tcPr>
            <w:tcW w:w="4536" w:type="dxa"/>
          </w:tcPr>
          <w:p w14:paraId="47A4254A" w14:textId="7F5C9893" w:rsidR="00B065E0" w:rsidRDefault="00B065E0" w:rsidP="00AB2CC2">
            <w:pPr>
              <w:pStyle w:val="Tableexpheader"/>
              <w:spacing w:after="0"/>
            </w:pPr>
            <w:r w:rsidRPr="00673060">
              <w:rPr>
                <w:color w:val="auto"/>
              </w:rPr>
              <w:t xml:space="preserve">Improving communication </w:t>
            </w:r>
            <w:r w:rsidRPr="000B0298">
              <w:t xml:space="preserve">between GPs and hospitals to support continuity of care for </w:t>
            </w:r>
            <w:r>
              <w:t>bereaved parents</w:t>
            </w:r>
          </w:p>
        </w:tc>
        <w:tc>
          <w:tcPr>
            <w:tcW w:w="2328" w:type="dxa"/>
          </w:tcPr>
          <w:p w14:paraId="7F375BE0" w14:textId="38AAE8D9" w:rsidR="00B065E0" w:rsidRPr="000B0298" w:rsidRDefault="00B065E0" w:rsidP="00AB2CC2">
            <w:pPr>
              <w:pStyle w:val="Tableexpheader"/>
              <w:spacing w:after="0"/>
            </w:pPr>
            <w:r w:rsidRPr="000B0298">
              <w:t>RACGP</w:t>
            </w:r>
            <w:r w:rsidR="00B57A90">
              <w:rPr>
                <w:rStyle w:val="FootnoteReference"/>
              </w:rPr>
              <w:footnoteReference w:id="6"/>
            </w:r>
          </w:p>
        </w:tc>
        <w:tc>
          <w:tcPr>
            <w:tcW w:w="2207" w:type="dxa"/>
          </w:tcPr>
          <w:p w14:paraId="09CC91F8" w14:textId="693477E8" w:rsidR="00B065E0" w:rsidRDefault="00B065E0" w:rsidP="00AB2CC2">
            <w:pPr>
              <w:pStyle w:val="Tableexpheader"/>
              <w:spacing w:after="0"/>
            </w:pPr>
            <w:r>
              <w:t>Planned</w:t>
            </w:r>
          </w:p>
        </w:tc>
      </w:tr>
      <w:tr w:rsidR="00B065E0" w:rsidRPr="000B0298" w14:paraId="514928B8" w14:textId="6ABA61DB" w:rsidTr="00BE5772">
        <w:tc>
          <w:tcPr>
            <w:tcW w:w="4536" w:type="dxa"/>
          </w:tcPr>
          <w:p w14:paraId="42F0B7D0" w14:textId="1A8E3C40" w:rsidR="00B065E0" w:rsidRPr="000B0298" w:rsidRDefault="00B24F5A" w:rsidP="00AB2CC2">
            <w:pPr>
              <w:pStyle w:val="Tableexpheader"/>
              <w:spacing w:after="0"/>
            </w:pPr>
            <w:r>
              <w:rPr>
                <w:color w:val="auto"/>
              </w:rPr>
              <w:t>Developing a ve</w:t>
            </w:r>
            <w:r w:rsidR="006944E1" w:rsidRPr="002732E1">
              <w:rPr>
                <w:color w:val="auto"/>
              </w:rPr>
              <w:t>rsion</w:t>
            </w:r>
            <w:r w:rsidR="00B065E0" w:rsidRPr="002732E1">
              <w:rPr>
                <w:color w:val="auto"/>
              </w:rPr>
              <w:t xml:space="preserve"> </w:t>
            </w:r>
            <w:r w:rsidR="00B065E0" w:rsidRPr="000B0298">
              <w:t xml:space="preserve">of PSANZ </w:t>
            </w:r>
            <w:r w:rsidR="00B065E0" w:rsidRPr="000B0298">
              <w:rPr>
                <w:i/>
                <w:iCs/>
              </w:rPr>
              <w:t xml:space="preserve">Clinical practice guideline for care around stillbirth and neonatal death </w:t>
            </w:r>
            <w:r w:rsidR="00B065E0" w:rsidRPr="000B0298">
              <w:t xml:space="preserve">to support </w:t>
            </w:r>
            <w:r w:rsidR="00CD275F" w:rsidRPr="000B0298">
              <w:t>parents’</w:t>
            </w:r>
            <w:r w:rsidR="00B065E0" w:rsidRPr="000B0298">
              <w:t xml:space="preserve"> </w:t>
            </w:r>
            <w:r>
              <w:t xml:space="preserve">make informed decisions </w:t>
            </w:r>
            <w:r w:rsidR="006944E1" w:rsidRPr="000B0298">
              <w:t>post-loss</w:t>
            </w:r>
          </w:p>
        </w:tc>
        <w:tc>
          <w:tcPr>
            <w:tcW w:w="2328" w:type="dxa"/>
          </w:tcPr>
          <w:p w14:paraId="27C87BFC" w14:textId="094FF1E1" w:rsidR="00B065E0" w:rsidRPr="000B0298" w:rsidRDefault="006944E1" w:rsidP="00AB2CC2">
            <w:pPr>
              <w:pStyle w:val="Tableexpheader"/>
              <w:spacing w:after="0"/>
            </w:pPr>
            <w:r w:rsidRPr="000B0298">
              <w:t>NGOs</w:t>
            </w:r>
            <w:r w:rsidR="00A60D7B">
              <w:t xml:space="preserve"> (</w:t>
            </w:r>
            <w:r w:rsidR="000806BB">
              <w:t>Stillbirth Foundation)</w:t>
            </w:r>
          </w:p>
        </w:tc>
        <w:tc>
          <w:tcPr>
            <w:tcW w:w="2207" w:type="dxa"/>
          </w:tcPr>
          <w:p w14:paraId="0B490360" w14:textId="64B16DD8" w:rsidR="00B065E0" w:rsidRPr="000B0298" w:rsidRDefault="00B065E0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B065E0" w:rsidRPr="000B0298" w14:paraId="2DB9ECC1" w14:textId="7B8C3E96" w:rsidTr="00DB2C29">
        <w:tc>
          <w:tcPr>
            <w:tcW w:w="9071" w:type="dxa"/>
            <w:gridSpan w:val="3"/>
            <w:shd w:val="clear" w:color="auto" w:fill="358189" w:themeFill="accent2"/>
          </w:tcPr>
          <w:p w14:paraId="6A438C36" w14:textId="6926F79D" w:rsidR="00B065E0" w:rsidRPr="002B504F" w:rsidRDefault="00B065E0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2B504F">
              <w:rPr>
                <w:color w:val="FFFFFF" w:themeColor="background1"/>
              </w:rPr>
              <w:t>Priority 4: Improving stillbirth reporting and data collection</w:t>
            </w:r>
          </w:p>
          <w:p w14:paraId="4E49F0CF" w14:textId="620C8471" w:rsidR="00B065E0" w:rsidRPr="002B504F" w:rsidRDefault="00B065E0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2B504F">
              <w:rPr>
                <w:i/>
                <w:iCs/>
                <w:color w:val="FFFFFF" w:themeColor="background1"/>
              </w:rPr>
              <w:t>This priority includes actions related to improving stillbirth investigation and reporting and tracking progress to reduce inequity in stillbirth rates.</w:t>
            </w:r>
          </w:p>
        </w:tc>
      </w:tr>
      <w:tr w:rsidR="00AB43F0" w:rsidRPr="000B0298" w14:paraId="24F5B61C" w14:textId="77777777" w:rsidTr="00BE5772">
        <w:tc>
          <w:tcPr>
            <w:tcW w:w="4536" w:type="dxa"/>
          </w:tcPr>
          <w:p w14:paraId="322F0B6F" w14:textId="6177ABA9" w:rsidR="00AB43F0" w:rsidRPr="00533634" w:rsidRDefault="00AB43F0" w:rsidP="00AB2CC2">
            <w:pPr>
              <w:pStyle w:val="Tableexpheader"/>
              <w:spacing w:after="0"/>
            </w:pPr>
            <w:r>
              <w:t xml:space="preserve">Updating the </w:t>
            </w:r>
            <w:r>
              <w:rPr>
                <w:i/>
                <w:iCs/>
              </w:rPr>
              <w:t xml:space="preserve">Clinical practice guidelines for care around stillbirth and neonatal death </w:t>
            </w:r>
            <w:r>
              <w:t>to ensure it informs and supports standardised clinical pathways for appropriate investigations following stillbirth</w:t>
            </w:r>
          </w:p>
        </w:tc>
        <w:tc>
          <w:tcPr>
            <w:tcW w:w="2328" w:type="dxa"/>
          </w:tcPr>
          <w:p w14:paraId="51D669DB" w14:textId="52EA5EE2" w:rsidR="00AB43F0" w:rsidRDefault="00AB43F0" w:rsidP="00AB2CC2">
            <w:pPr>
              <w:pStyle w:val="Tableexpheader"/>
              <w:spacing w:after="0"/>
            </w:pPr>
            <w:r>
              <w:t>Stillbirth CRE in partnership with Australian Government</w:t>
            </w:r>
          </w:p>
        </w:tc>
        <w:tc>
          <w:tcPr>
            <w:tcW w:w="2207" w:type="dxa"/>
          </w:tcPr>
          <w:p w14:paraId="29A7C9CE" w14:textId="2873DABB" w:rsidR="00AB43F0" w:rsidRDefault="00AB43F0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1338EC" w:rsidRPr="000B0298" w14:paraId="0E416B39" w14:textId="77777777" w:rsidTr="00BE5772">
        <w:tc>
          <w:tcPr>
            <w:tcW w:w="4536" w:type="dxa"/>
          </w:tcPr>
          <w:p w14:paraId="1397ABA1" w14:textId="41EA08B6" w:rsidR="006944E1" w:rsidRPr="0006060F" w:rsidRDefault="006944E1" w:rsidP="00AB2CC2">
            <w:pPr>
              <w:pStyle w:val="Tableexpheader"/>
              <w:spacing w:after="0"/>
            </w:pPr>
            <w:r w:rsidRPr="0006060F">
              <w:t>Development of national resources to support parents</w:t>
            </w:r>
            <w:r w:rsidR="00B24F5A" w:rsidRPr="0006060F">
              <w:t xml:space="preserve"> make informed decisions on </w:t>
            </w:r>
            <w:r w:rsidRPr="0006060F">
              <w:t>stillbirth autopsies</w:t>
            </w:r>
          </w:p>
        </w:tc>
        <w:tc>
          <w:tcPr>
            <w:tcW w:w="2328" w:type="dxa"/>
          </w:tcPr>
          <w:p w14:paraId="3C9FEA33" w14:textId="6CB7F041" w:rsidR="006944E1" w:rsidRPr="0006060F" w:rsidRDefault="006944E1" w:rsidP="00AB2CC2">
            <w:pPr>
              <w:pStyle w:val="Tableexpheader"/>
              <w:spacing w:after="0"/>
            </w:pPr>
            <w:r w:rsidRPr="0006060F">
              <w:t>NGOs in partnership with Australian Government</w:t>
            </w:r>
            <w:r w:rsidR="004152B2" w:rsidRPr="0006060F">
              <w:t xml:space="preserve"> and some jurisdictions</w:t>
            </w:r>
          </w:p>
        </w:tc>
        <w:tc>
          <w:tcPr>
            <w:tcW w:w="2207" w:type="dxa"/>
          </w:tcPr>
          <w:p w14:paraId="5DE86E88" w14:textId="70936268" w:rsidR="006944E1" w:rsidRDefault="006944E1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B065E0" w:rsidRPr="000B0298" w14:paraId="25814E80" w14:textId="4BF44DFB" w:rsidTr="00BE5772">
        <w:tc>
          <w:tcPr>
            <w:tcW w:w="4536" w:type="dxa"/>
          </w:tcPr>
          <w:p w14:paraId="50BC6315" w14:textId="669A2CE5" w:rsidR="00B065E0" w:rsidRPr="000B0298" w:rsidRDefault="00B065E0" w:rsidP="00AB2CC2">
            <w:pPr>
              <w:pStyle w:val="Tableexpheader"/>
              <w:spacing w:after="0"/>
            </w:pPr>
            <w:r w:rsidRPr="000B0298">
              <w:t xml:space="preserve">Increasing capacity </w:t>
            </w:r>
            <w:r w:rsidR="0050195B">
              <w:t>of health services</w:t>
            </w:r>
            <w:r w:rsidR="00D0175D">
              <w:t>, including</w:t>
            </w:r>
            <w:r w:rsidR="00DE5680">
              <w:t xml:space="preserve"> education and training for</w:t>
            </w:r>
            <w:r w:rsidR="00D0175D">
              <w:t xml:space="preserve"> health professionals such as pathologists and radiologists,</w:t>
            </w:r>
            <w:r w:rsidR="0050195B">
              <w:t xml:space="preserve"> </w:t>
            </w:r>
            <w:r w:rsidRPr="000B0298">
              <w:t>to conduct perinatal autopsies</w:t>
            </w:r>
            <w:r w:rsidR="002A435B">
              <w:t xml:space="preserve"> and other stillbirth investigations</w:t>
            </w:r>
          </w:p>
        </w:tc>
        <w:tc>
          <w:tcPr>
            <w:tcW w:w="2328" w:type="dxa"/>
          </w:tcPr>
          <w:p w14:paraId="6631F498" w14:textId="77777777" w:rsidR="00B065E0" w:rsidRPr="000B0298" w:rsidRDefault="00B065E0" w:rsidP="00AB2CC2">
            <w:pPr>
              <w:pStyle w:val="Tableexpheader"/>
              <w:spacing w:after="0"/>
            </w:pPr>
            <w:r w:rsidRPr="000B0298">
              <w:t>Jurisdictions and health professional bodies in partnership with Australian Government</w:t>
            </w:r>
          </w:p>
        </w:tc>
        <w:tc>
          <w:tcPr>
            <w:tcW w:w="2207" w:type="dxa"/>
          </w:tcPr>
          <w:p w14:paraId="766073FE" w14:textId="05111D6C" w:rsidR="00B065E0" w:rsidRPr="000B0298" w:rsidRDefault="00B065E0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B065E0" w:rsidRPr="000B0298" w14:paraId="4E93C684" w14:textId="49559669" w:rsidTr="00BE5772">
        <w:tc>
          <w:tcPr>
            <w:tcW w:w="4536" w:type="dxa"/>
          </w:tcPr>
          <w:p w14:paraId="6CAD51D3" w14:textId="77777777" w:rsidR="00B065E0" w:rsidRPr="00BE5772" w:rsidRDefault="00B065E0" w:rsidP="00AB2CC2">
            <w:pPr>
              <w:pStyle w:val="Tableexpheader"/>
              <w:spacing w:after="0"/>
            </w:pPr>
            <w:r w:rsidRPr="00BE5772">
              <w:lastRenderedPageBreak/>
              <w:t>Establishment of centres of excellence for perinatal autopsies</w:t>
            </w:r>
          </w:p>
        </w:tc>
        <w:tc>
          <w:tcPr>
            <w:tcW w:w="2328" w:type="dxa"/>
          </w:tcPr>
          <w:p w14:paraId="5028F6E0" w14:textId="77777777" w:rsidR="00B065E0" w:rsidRPr="00BE5772" w:rsidRDefault="00B065E0" w:rsidP="00AB2CC2">
            <w:pPr>
              <w:pStyle w:val="Tableexpheader"/>
              <w:spacing w:after="0"/>
            </w:pPr>
            <w:r w:rsidRPr="00BE5772">
              <w:t>Some jurisdictions</w:t>
            </w:r>
          </w:p>
        </w:tc>
        <w:tc>
          <w:tcPr>
            <w:tcW w:w="2207" w:type="dxa"/>
          </w:tcPr>
          <w:p w14:paraId="73780DEA" w14:textId="6E7321EE" w:rsidR="00B065E0" w:rsidRPr="00BE5772" w:rsidRDefault="00B065E0" w:rsidP="00AB2CC2">
            <w:pPr>
              <w:pStyle w:val="Tableexpheader"/>
              <w:spacing w:after="0"/>
            </w:pPr>
            <w:r w:rsidRPr="00BE5772">
              <w:t>Completed and planned</w:t>
            </w:r>
          </w:p>
        </w:tc>
      </w:tr>
      <w:tr w:rsidR="00B065E0" w:rsidRPr="000B0298" w14:paraId="7A66590E" w14:textId="1B323BC1" w:rsidTr="00BE5772">
        <w:tc>
          <w:tcPr>
            <w:tcW w:w="4536" w:type="dxa"/>
          </w:tcPr>
          <w:p w14:paraId="38B26C51" w14:textId="39D07A08" w:rsidR="00B065E0" w:rsidRPr="000B0298" w:rsidRDefault="00B065E0" w:rsidP="00AB2CC2">
            <w:pPr>
              <w:pStyle w:val="Tableexpheader"/>
              <w:spacing w:after="0"/>
            </w:pPr>
            <w:r>
              <w:t>Improvements to</w:t>
            </w:r>
            <w:r w:rsidRPr="000B0298">
              <w:t xml:space="preserve"> parent involvement in the autopsy process</w:t>
            </w:r>
          </w:p>
        </w:tc>
        <w:tc>
          <w:tcPr>
            <w:tcW w:w="2328" w:type="dxa"/>
          </w:tcPr>
          <w:p w14:paraId="2FF2384B" w14:textId="77777777" w:rsidR="00B065E0" w:rsidRPr="000B0298" w:rsidRDefault="00B065E0" w:rsidP="00AB2CC2">
            <w:pPr>
              <w:pStyle w:val="Tableexpheader"/>
              <w:spacing w:after="0"/>
            </w:pPr>
            <w:r w:rsidRPr="000B0298">
              <w:t xml:space="preserve">NGOs </w:t>
            </w:r>
          </w:p>
        </w:tc>
        <w:tc>
          <w:tcPr>
            <w:tcW w:w="2207" w:type="dxa"/>
          </w:tcPr>
          <w:p w14:paraId="712B19D3" w14:textId="5E316527" w:rsidR="00B065E0" w:rsidRPr="000B0298" w:rsidRDefault="00B065E0" w:rsidP="00AB2CC2">
            <w:pPr>
              <w:pStyle w:val="Tableexpheader"/>
              <w:spacing w:after="0"/>
            </w:pPr>
            <w:r>
              <w:t>Planned</w:t>
            </w:r>
          </w:p>
        </w:tc>
      </w:tr>
      <w:tr w:rsidR="00B065E0" w:rsidRPr="000B0298" w14:paraId="0E747B6B" w14:textId="38967AF7" w:rsidTr="00BE5772">
        <w:tc>
          <w:tcPr>
            <w:tcW w:w="4536" w:type="dxa"/>
          </w:tcPr>
          <w:p w14:paraId="437356B0" w14:textId="27F86062" w:rsidR="00B065E0" w:rsidRPr="000B0298" w:rsidRDefault="00B065E0" w:rsidP="00AB2CC2">
            <w:pPr>
              <w:pStyle w:val="Tableexpheader"/>
              <w:spacing w:after="0"/>
            </w:pPr>
            <w:r>
              <w:t>Improvements to</w:t>
            </w:r>
            <w:r w:rsidRPr="000B0298">
              <w:t xml:space="preserve"> information and documentation provided to parents regarding stillbirth autopsies and investigations</w:t>
            </w:r>
          </w:p>
        </w:tc>
        <w:tc>
          <w:tcPr>
            <w:tcW w:w="2328" w:type="dxa"/>
          </w:tcPr>
          <w:p w14:paraId="3AD1674B" w14:textId="77777777" w:rsidR="00B065E0" w:rsidRPr="000B0298" w:rsidRDefault="00B065E0" w:rsidP="00AB2CC2">
            <w:pPr>
              <w:pStyle w:val="Tableexpheader"/>
              <w:spacing w:after="0"/>
            </w:pPr>
            <w:r w:rsidRPr="000B0298">
              <w:t>Jurisdictions and health professional bodies</w:t>
            </w:r>
          </w:p>
        </w:tc>
        <w:tc>
          <w:tcPr>
            <w:tcW w:w="2207" w:type="dxa"/>
          </w:tcPr>
          <w:p w14:paraId="7FF82A79" w14:textId="377508D9" w:rsidR="00B065E0" w:rsidRPr="000B0298" w:rsidRDefault="00B065E0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B065E0" w:rsidRPr="000B0298" w14:paraId="3EAF13FC" w14:textId="6846AB7A" w:rsidTr="00BE5772">
        <w:tc>
          <w:tcPr>
            <w:tcW w:w="4536" w:type="dxa"/>
          </w:tcPr>
          <w:p w14:paraId="25AF832D" w14:textId="2B524827" w:rsidR="00B065E0" w:rsidRPr="000B0298" w:rsidRDefault="00B065E0" w:rsidP="00AB2CC2">
            <w:pPr>
              <w:pStyle w:val="Tableexpheader"/>
              <w:spacing w:after="0"/>
            </w:pPr>
            <w:r>
              <w:t>Improvements to</w:t>
            </w:r>
            <w:r w:rsidRPr="000B0298">
              <w:t xml:space="preserve"> the perinatal mortality dataset to include additional information</w:t>
            </w:r>
            <w:r w:rsidR="00AE2201">
              <w:t xml:space="preserve">, including </w:t>
            </w:r>
            <w:r w:rsidR="000A409F">
              <w:t>improving data</w:t>
            </w:r>
            <w:r w:rsidR="00AE2201">
              <w:t xml:space="preserve"> around autopsies</w:t>
            </w:r>
            <w:r w:rsidR="000A409F">
              <w:t xml:space="preserve">, </w:t>
            </w:r>
            <w:proofErr w:type="gramStart"/>
            <w:r w:rsidR="000A409F">
              <w:t>examinations</w:t>
            </w:r>
            <w:proofErr w:type="gramEnd"/>
            <w:r w:rsidR="000A409F">
              <w:t xml:space="preserve"> and contributory factors</w:t>
            </w:r>
          </w:p>
        </w:tc>
        <w:tc>
          <w:tcPr>
            <w:tcW w:w="2328" w:type="dxa"/>
          </w:tcPr>
          <w:p w14:paraId="59481DE1" w14:textId="77777777" w:rsidR="00B065E0" w:rsidRPr="000B0298" w:rsidRDefault="00B065E0" w:rsidP="00AB2CC2">
            <w:pPr>
              <w:pStyle w:val="Tableexpheader"/>
              <w:spacing w:after="0"/>
            </w:pPr>
            <w:r w:rsidRPr="000B0298">
              <w:t>AIHW</w:t>
            </w:r>
          </w:p>
        </w:tc>
        <w:tc>
          <w:tcPr>
            <w:tcW w:w="2207" w:type="dxa"/>
          </w:tcPr>
          <w:p w14:paraId="7A2D6173" w14:textId="777B398A" w:rsidR="00B065E0" w:rsidRPr="000B0298" w:rsidRDefault="00B065E0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1338EC" w:rsidRPr="000B0298" w14:paraId="6F92E584" w14:textId="77777777" w:rsidTr="00BE5772">
        <w:tc>
          <w:tcPr>
            <w:tcW w:w="4536" w:type="dxa"/>
          </w:tcPr>
          <w:p w14:paraId="4E62F58B" w14:textId="381E8946" w:rsidR="006944E1" w:rsidRDefault="006944E1" w:rsidP="00AB2CC2">
            <w:pPr>
              <w:pStyle w:val="Tableexpheader"/>
              <w:spacing w:after="0"/>
            </w:pPr>
            <w:r>
              <w:t>Implement annual reporting against the global score card</w:t>
            </w:r>
          </w:p>
        </w:tc>
        <w:tc>
          <w:tcPr>
            <w:tcW w:w="2328" w:type="dxa"/>
          </w:tcPr>
          <w:p w14:paraId="4572AFB6" w14:textId="6DBAA214" w:rsidR="006944E1" w:rsidRPr="000B0298" w:rsidRDefault="006944E1" w:rsidP="00AB2CC2">
            <w:pPr>
              <w:pStyle w:val="Tableexpheader"/>
              <w:spacing w:after="0"/>
            </w:pPr>
            <w:r>
              <w:t>Stillbirth CRE</w:t>
            </w:r>
          </w:p>
        </w:tc>
        <w:tc>
          <w:tcPr>
            <w:tcW w:w="2207" w:type="dxa"/>
          </w:tcPr>
          <w:p w14:paraId="5BCBA744" w14:textId="15E46AB6" w:rsidR="006944E1" w:rsidRDefault="00276C19" w:rsidP="00AB2CC2">
            <w:pPr>
              <w:pStyle w:val="Tableexpheader"/>
              <w:spacing w:after="0"/>
            </w:pPr>
            <w:r>
              <w:t>Planned</w:t>
            </w:r>
          </w:p>
        </w:tc>
      </w:tr>
      <w:tr w:rsidR="00B065E0" w:rsidRPr="000B0298" w14:paraId="7630850D" w14:textId="424070AA" w:rsidTr="00DB2C29">
        <w:tc>
          <w:tcPr>
            <w:tcW w:w="9071" w:type="dxa"/>
            <w:gridSpan w:val="3"/>
            <w:shd w:val="clear" w:color="auto" w:fill="358189" w:themeFill="accent2"/>
          </w:tcPr>
          <w:p w14:paraId="1E08897F" w14:textId="69484CAB" w:rsidR="00B065E0" w:rsidRPr="002B504F" w:rsidRDefault="00B065E0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2B504F">
              <w:rPr>
                <w:color w:val="FFFFFF" w:themeColor="background1"/>
              </w:rPr>
              <w:t>Priority 5: Prioritising stillbirth research</w:t>
            </w:r>
          </w:p>
          <w:p w14:paraId="3D2F0219" w14:textId="26775AD7" w:rsidR="00B065E0" w:rsidRPr="002B504F" w:rsidRDefault="00B065E0" w:rsidP="00AB2CC2">
            <w:pPr>
              <w:pStyle w:val="Tableexpheader"/>
              <w:spacing w:after="0"/>
              <w:rPr>
                <w:color w:val="FFFFFF" w:themeColor="background1"/>
              </w:rPr>
            </w:pPr>
            <w:r w:rsidRPr="002B504F">
              <w:rPr>
                <w:i/>
                <w:iCs/>
                <w:color w:val="FFFFFF" w:themeColor="background1"/>
              </w:rPr>
              <w:t>This priority includes actions related to determining national stillbirth research priorities and improving access to domestic and international stillbirth research</w:t>
            </w:r>
            <w:r>
              <w:rPr>
                <w:i/>
                <w:iCs/>
                <w:color w:val="FFFFFF" w:themeColor="background1"/>
              </w:rPr>
              <w:t>.</w:t>
            </w:r>
          </w:p>
        </w:tc>
      </w:tr>
      <w:tr w:rsidR="00B065E0" w:rsidRPr="000B0298" w14:paraId="3823560E" w14:textId="240C9189" w:rsidTr="00BE5772">
        <w:tc>
          <w:tcPr>
            <w:tcW w:w="4536" w:type="dxa"/>
          </w:tcPr>
          <w:p w14:paraId="3E6D4041" w14:textId="19B4949B" w:rsidR="00B065E0" w:rsidRPr="000B0298" w:rsidRDefault="00B065E0" w:rsidP="00AB2CC2">
            <w:pPr>
              <w:pStyle w:val="Tableexpheader"/>
              <w:spacing w:after="0"/>
            </w:pPr>
            <w:r>
              <w:t>Establishment of</w:t>
            </w:r>
            <w:r w:rsidRPr="000B0298">
              <w:t xml:space="preserve"> agreed national priorities for stillbirth research through national consultation</w:t>
            </w:r>
          </w:p>
        </w:tc>
        <w:tc>
          <w:tcPr>
            <w:tcW w:w="2328" w:type="dxa"/>
          </w:tcPr>
          <w:p w14:paraId="0046D343" w14:textId="77777777" w:rsidR="00B065E0" w:rsidRPr="000B0298" w:rsidRDefault="00B065E0" w:rsidP="00AB2CC2">
            <w:pPr>
              <w:pStyle w:val="Tableexpheader"/>
              <w:spacing w:after="0"/>
            </w:pPr>
            <w:r w:rsidRPr="000B0298">
              <w:t xml:space="preserve">Stillbirth CRE in partnership with NGOs, </w:t>
            </w:r>
            <w:proofErr w:type="gramStart"/>
            <w:r w:rsidRPr="000B0298">
              <w:t>jurisdictions</w:t>
            </w:r>
            <w:proofErr w:type="gramEnd"/>
            <w:r w:rsidRPr="000B0298">
              <w:t xml:space="preserve"> and Australian Government</w:t>
            </w:r>
          </w:p>
        </w:tc>
        <w:tc>
          <w:tcPr>
            <w:tcW w:w="2207" w:type="dxa"/>
          </w:tcPr>
          <w:p w14:paraId="1137FA3B" w14:textId="5C3907A0" w:rsidR="00B065E0" w:rsidRPr="000B0298" w:rsidRDefault="00B065E0" w:rsidP="00AB2CC2">
            <w:pPr>
              <w:pStyle w:val="Tableexpheader"/>
              <w:spacing w:after="0"/>
            </w:pPr>
            <w:r>
              <w:t>In progress</w:t>
            </w:r>
          </w:p>
        </w:tc>
      </w:tr>
      <w:tr w:rsidR="006944E1" w:rsidRPr="000B0298" w14:paraId="0098867F" w14:textId="77777777" w:rsidTr="00BE5772">
        <w:tc>
          <w:tcPr>
            <w:tcW w:w="4536" w:type="dxa"/>
          </w:tcPr>
          <w:p w14:paraId="67893427" w14:textId="4674B35E" w:rsidR="006944E1" w:rsidRDefault="006944E1" w:rsidP="00AB2CC2">
            <w:pPr>
              <w:pStyle w:val="Tableexpheader"/>
              <w:spacing w:after="0"/>
            </w:pPr>
            <w:r>
              <w:t>Develop a risk stratification tool to inform clinical care for women with risk factors for stillbirth</w:t>
            </w:r>
          </w:p>
        </w:tc>
        <w:tc>
          <w:tcPr>
            <w:tcW w:w="2328" w:type="dxa"/>
          </w:tcPr>
          <w:p w14:paraId="15A2AC90" w14:textId="7B715849" w:rsidR="006944E1" w:rsidRPr="000B0298" w:rsidRDefault="006944E1" w:rsidP="00AB2CC2">
            <w:pPr>
              <w:pStyle w:val="Tableexpheader"/>
              <w:spacing w:after="0"/>
            </w:pPr>
            <w:r>
              <w:t>Stillbirth CRE</w:t>
            </w:r>
          </w:p>
        </w:tc>
        <w:tc>
          <w:tcPr>
            <w:tcW w:w="2207" w:type="dxa"/>
          </w:tcPr>
          <w:p w14:paraId="1CC2D579" w14:textId="299AB2D3" w:rsidR="006944E1" w:rsidRDefault="00276C19" w:rsidP="00AB2CC2">
            <w:pPr>
              <w:pStyle w:val="Tableexpheader"/>
              <w:spacing w:after="0"/>
            </w:pPr>
            <w:r>
              <w:t>Planned</w:t>
            </w:r>
          </w:p>
        </w:tc>
      </w:tr>
    </w:tbl>
    <w:p w14:paraId="2D640E5A" w14:textId="1208469E" w:rsidR="002B504F" w:rsidRDefault="002B504F" w:rsidP="00A52EB7">
      <w:pPr>
        <w:pStyle w:val="Heading2"/>
      </w:pPr>
      <w:r>
        <w:t>How will we monitor progress and evaluate impact over the life of the Plan?</w:t>
      </w:r>
    </w:p>
    <w:p w14:paraId="72876EC8" w14:textId="13A3011F" w:rsidR="002B504F" w:rsidRDefault="00D7189D" w:rsidP="00795437">
      <w:r>
        <w:t>It is important to mon</w:t>
      </w:r>
      <w:r w:rsidR="00CB025A">
        <w:t xml:space="preserve">itor implementation of the Plan and evaluate progress </w:t>
      </w:r>
      <w:r w:rsidR="002B504F">
        <w:t>towards</w:t>
      </w:r>
      <w:r w:rsidR="00CB025A">
        <w:t xml:space="preserve"> the</w:t>
      </w:r>
      <w:r w:rsidR="002B504F">
        <w:t xml:space="preserve"> desired goals. Monitoring of the Plan will focus on the ‘what’ – </w:t>
      </w:r>
      <w:proofErr w:type="gramStart"/>
      <w:r w:rsidR="00044013">
        <w:t>i.e.</w:t>
      </w:r>
      <w:proofErr w:type="gramEnd"/>
      <w:r w:rsidR="001A42F9">
        <w:t xml:space="preserve"> </w:t>
      </w:r>
      <w:r w:rsidR="002B504F">
        <w:t xml:space="preserve">what is being done. Evaluation of the Plan </w:t>
      </w:r>
      <w:r w:rsidR="001A42F9">
        <w:t xml:space="preserve">will </w:t>
      </w:r>
      <w:r w:rsidR="002B504F">
        <w:t xml:space="preserve">consider the extent to which the Plan is </w:t>
      </w:r>
      <w:r w:rsidR="00F76E10">
        <w:t xml:space="preserve">driving and </w:t>
      </w:r>
      <w:r w:rsidR="002B504F">
        <w:t>contributing to observed changes– it focuses on understanding whether the Plan “is making a difference”. Annual Reports will provide monitoring updates while staged evaluation reports will provide more detailed findings and analysis.</w:t>
      </w:r>
    </w:p>
    <w:p w14:paraId="02963979" w14:textId="043E6D36" w:rsidR="00305248" w:rsidRDefault="00305248" w:rsidP="00795437">
      <w:r>
        <w:t>Nous Group (Nous) was commissioned to develop the monitoring and evaluation framework and is doing so in collaboration with the I</w:t>
      </w:r>
      <w:r w:rsidR="00D00C16">
        <w:t>mplementation Oversight Group (IOG)</w:t>
      </w:r>
      <w:r w:rsidR="00EE07FA">
        <w:t xml:space="preserve">, </w:t>
      </w:r>
      <w:r w:rsidR="00DE5680">
        <w:t>state and territory</w:t>
      </w:r>
      <w:r w:rsidR="00EE07FA">
        <w:t xml:space="preserve"> governments, </w:t>
      </w:r>
      <w:r w:rsidR="00BD2871">
        <w:t xml:space="preserve">the Centre for Research Excellence in </w:t>
      </w:r>
      <w:r w:rsidR="00EE07FA">
        <w:t>Stillbirth</w:t>
      </w:r>
      <w:r w:rsidR="006E64CD">
        <w:t xml:space="preserve">, the Australian Institute of Health and Welfare, </w:t>
      </w:r>
      <w:r w:rsidR="00EE07FA">
        <w:t xml:space="preserve">health professional bodies and </w:t>
      </w:r>
      <w:r w:rsidR="006E64CD">
        <w:t xml:space="preserve">non-government organisations. </w:t>
      </w:r>
      <w:r w:rsidR="00EE07FA">
        <w:t xml:space="preserve"> </w:t>
      </w:r>
    </w:p>
    <w:p w14:paraId="4C425419" w14:textId="2989BAF7" w:rsidR="00D16BFB" w:rsidRDefault="00B446C0" w:rsidP="00795437">
      <w:r>
        <w:t>The IOG is overseeing development of the monitoring and evaluation framework,</w:t>
      </w:r>
      <w:r w:rsidRPr="00113BB1">
        <w:t xml:space="preserve"> </w:t>
      </w:r>
      <w:r>
        <w:t>which is due to be published in mid-2022</w:t>
      </w:r>
      <w:r w:rsidR="001B61C7">
        <w:t xml:space="preserve">. </w:t>
      </w:r>
      <w:r w:rsidR="002B504F">
        <w:t>The IOG</w:t>
      </w:r>
      <w:r w:rsidR="00D16BFB">
        <w:t xml:space="preserve"> is</w:t>
      </w:r>
      <w:r w:rsidR="002B504F">
        <w:t xml:space="preserve"> comprised of representatives </w:t>
      </w:r>
      <w:r w:rsidR="00174810">
        <w:t xml:space="preserve">from the Australian Government Department of Health and </w:t>
      </w:r>
      <w:r w:rsidR="00DE5680">
        <w:t xml:space="preserve">state and territory </w:t>
      </w:r>
      <w:r w:rsidR="002B504F">
        <w:t>government</w:t>
      </w:r>
      <w:r w:rsidR="00174810">
        <w:t xml:space="preserve"> health department</w:t>
      </w:r>
      <w:r>
        <w:t>s</w:t>
      </w:r>
      <w:r w:rsidR="00D16BFB">
        <w:t xml:space="preserve">. </w:t>
      </w:r>
      <w:r w:rsidR="00F02C02">
        <w:t>T</w:t>
      </w:r>
      <w:r w:rsidR="002B504F">
        <w:t>he</w:t>
      </w:r>
      <w:r w:rsidR="00BD2871">
        <w:t xml:space="preserve"> Centre for Research Excellence in</w:t>
      </w:r>
      <w:r w:rsidR="002B504F">
        <w:t xml:space="preserve"> Stillbirth</w:t>
      </w:r>
      <w:r w:rsidR="004E234C">
        <w:t xml:space="preserve">, the Australian Institute of Health and </w:t>
      </w:r>
      <w:r w:rsidR="009C7289">
        <w:t>Welfare, and</w:t>
      </w:r>
      <w:r w:rsidR="00D16BFB">
        <w:t xml:space="preserve"> </w:t>
      </w:r>
      <w:r w:rsidR="00F02C02">
        <w:t xml:space="preserve">two midwives who work in services specifically designed for Aboriginal and Torres Strait Islander women </w:t>
      </w:r>
      <w:r w:rsidR="002B504F">
        <w:t>attend the IOG in an advisory capacity</w:t>
      </w:r>
      <w:r w:rsidR="009C7289">
        <w:t xml:space="preserve">. They </w:t>
      </w:r>
      <w:r w:rsidR="00D16BFB">
        <w:t xml:space="preserve">provide </w:t>
      </w:r>
      <w:r w:rsidR="00E016D3">
        <w:t xml:space="preserve">expert insight on </w:t>
      </w:r>
      <w:r w:rsidR="00D16BFB">
        <w:t xml:space="preserve">data, research </w:t>
      </w:r>
      <w:r w:rsidR="009C7289">
        <w:t>and ensure</w:t>
      </w:r>
      <w:r w:rsidR="00F02C02">
        <w:t xml:space="preserve"> the needs of Aboriginal and Torres Strait Islander women and communities are considered</w:t>
      </w:r>
      <w:r w:rsidR="00AB2CC2">
        <w:t>.</w:t>
      </w:r>
    </w:p>
    <w:p w14:paraId="7D2B0DFB" w14:textId="61A6501B" w:rsidR="00606F70" w:rsidRDefault="00186690" w:rsidP="002703CD">
      <w:pPr>
        <w:pStyle w:val="Heading2"/>
        <w:pageBreakBefore/>
      </w:pPr>
      <w:r>
        <w:lastRenderedPageBreak/>
        <w:t>Data s</w:t>
      </w:r>
      <w:r w:rsidR="00606F70">
        <w:t>ources</w:t>
      </w:r>
    </w:p>
    <w:p w14:paraId="5AFCAD23" w14:textId="77777777" w:rsidR="00F63B8E" w:rsidRDefault="00DC5F31" w:rsidP="00F63B8E">
      <w:r w:rsidRPr="00DC5F31">
        <w:t xml:space="preserve">AIHW (2021, </w:t>
      </w:r>
      <w:r w:rsidR="00F63B8E">
        <w:t>November</w:t>
      </w:r>
      <w:r w:rsidRPr="00DC5F31">
        <w:t>). Australia’s mothers and babies</w:t>
      </w:r>
      <w:r w:rsidR="00F63B8E">
        <w:t>: Stillbirths and neonatal deaths</w:t>
      </w:r>
      <w:r w:rsidR="00F63B8E" w:rsidRPr="00DC5F31">
        <w:t>.</w:t>
      </w:r>
      <w:r w:rsidRPr="00DC5F31">
        <w:t xml:space="preserve"> Canberra: Australian Institute of Health and Welfare. </w:t>
      </w:r>
      <w:r w:rsidR="00F63B8E" w:rsidRPr="00DC5F31">
        <w:t xml:space="preserve">Available at: </w:t>
      </w:r>
      <w:hyperlink r:id="rId13" w:history="1">
        <w:r w:rsidR="00F63B8E" w:rsidRPr="001701F1">
          <w:rPr>
            <w:rStyle w:val="Hyperlink"/>
          </w:rPr>
          <w:t>https://www.aihw.gov.au/reports/mothers-babies/stillbirths-and-neonatal-deaths</w:t>
        </w:r>
      </w:hyperlink>
    </w:p>
    <w:p w14:paraId="0DD81D64" w14:textId="72815B62" w:rsidR="00606F70" w:rsidRDefault="00DC5F31" w:rsidP="00F63B8E">
      <w:r w:rsidRPr="00DC5F31">
        <w:t xml:space="preserve">AIHW (2021, December). Australia’s mothers and babies. Canberra: Australian Institute of Health and Welfare. Available at: </w:t>
      </w:r>
      <w:hyperlink r:id="rId14" w:history="1">
        <w:r w:rsidRPr="00041699">
          <w:rPr>
            <w:rStyle w:val="Hyperlink"/>
          </w:rPr>
          <w:t>https://www.aihw.gov.au/reports/mothers-babies/australias-mothers-babies/contents/about</w:t>
        </w:r>
      </w:hyperlink>
    </w:p>
    <w:p w14:paraId="3BD8DFEC" w14:textId="6E2D8B55" w:rsidR="00DC5F31" w:rsidRPr="00AB2CC2" w:rsidRDefault="00CF7C58" w:rsidP="00F63B8E">
      <w:pPr>
        <w:rPr>
          <w:color w:val="3F4A75" w:themeColor="accent1"/>
          <w:u w:val="single"/>
        </w:rPr>
      </w:pPr>
      <w:r w:rsidRPr="00DC5F31">
        <w:t xml:space="preserve">AIHW (2021, </w:t>
      </w:r>
      <w:r w:rsidR="00742E56">
        <w:t>November</w:t>
      </w:r>
      <w:r w:rsidRPr="00DC5F31">
        <w:t xml:space="preserve">). </w:t>
      </w:r>
      <w:r w:rsidR="00742E56">
        <w:t>Maternity care in Australia: first national report on models of care, 2021</w:t>
      </w:r>
      <w:r w:rsidRPr="00DC5F31">
        <w:t xml:space="preserve">. Canberra: Australian Institute of Health and Welfare. Available at: </w:t>
      </w:r>
      <w:hyperlink r:id="rId15" w:history="1">
        <w:r w:rsidR="00C05E33" w:rsidRPr="00041699">
          <w:rPr>
            <w:rStyle w:val="Hyperlink"/>
          </w:rPr>
          <w:t>https://www.aihw.gov.au/reports/mothers-babies/maternity-models-of-care-2021/contents/about</w:t>
        </w:r>
      </w:hyperlink>
    </w:p>
    <w:sectPr w:rsidR="00DC5F31" w:rsidRPr="00AB2CC2" w:rsidSect="00561363">
      <w:footerReference w:type="default" r:id="rId16"/>
      <w:headerReference w:type="first" r:id="rId17"/>
      <w:footerReference w:type="first" r:id="rId18"/>
      <w:pgSz w:w="11907" w:h="16839" w:code="9"/>
      <w:pgMar w:top="1843" w:right="1418" w:bottom="1134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2839" w14:textId="77777777" w:rsidR="001D7BB4" w:rsidRDefault="001D7BB4" w:rsidP="00302076">
      <w:pPr>
        <w:spacing w:after="0"/>
      </w:pPr>
      <w:r>
        <w:separator/>
      </w:r>
    </w:p>
  </w:endnote>
  <w:endnote w:type="continuationSeparator" w:id="0">
    <w:p w14:paraId="69E788BC" w14:textId="77777777" w:rsidR="001D7BB4" w:rsidRDefault="001D7BB4" w:rsidP="00302076">
      <w:pPr>
        <w:spacing w:after="0"/>
      </w:pPr>
      <w:r>
        <w:continuationSeparator/>
      </w:r>
    </w:p>
  </w:endnote>
  <w:endnote w:type="continuationNotice" w:id="1">
    <w:p w14:paraId="22C37034" w14:textId="77777777" w:rsidR="001D7BB4" w:rsidRDefault="001D7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3782" w14:textId="60963478" w:rsidR="00A52EB7" w:rsidRDefault="002703CD">
    <w:pPr>
      <w:pStyle w:val="Footer"/>
    </w:pPr>
    <w:r w:rsidRPr="00AB2CC2">
      <w:rPr>
        <w:rStyle w:val="Hyperlink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67D8F9" wp14:editId="46892874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86980" cy="1121410"/>
              <wp:effectExtent l="0" t="0" r="0" b="2540"/>
              <wp:wrapNone/>
              <wp:docPr id="49" name="Rectangle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980" cy="112141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D0160" id="Rectangle 49" o:spid="_x0000_s1026" alt="&quot;&quot;" style="position:absolute;margin-left:0;margin-top:0;width:597.4pt;height:88.3pt;z-index:2516633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" fillcolor="#358189 [3205]" stroked="f" strokeweight="2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A0E0" w14:textId="16E1C1BC" w:rsidR="002703CD" w:rsidRDefault="002703CD">
    <w:pPr>
      <w:pStyle w:val="Footer"/>
    </w:pPr>
    <w:r w:rsidRPr="00AB2CC2">
      <w:rPr>
        <w:rStyle w:val="Hyperlink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D209BC" wp14:editId="2C49C3E3">
              <wp:simplePos x="0" y="0"/>
              <wp:positionH relativeFrom="page">
                <wp:align>left</wp:align>
              </wp:positionH>
              <wp:positionV relativeFrom="paragraph">
                <wp:posOffset>-9525</wp:posOffset>
              </wp:positionV>
              <wp:extent cx="7586980" cy="1121410"/>
              <wp:effectExtent l="0" t="0" r="0" b="254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980" cy="112141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286ACC" id="Rectangle 1" o:spid="_x0000_s1026" alt="&quot;&quot;" style="position:absolute;margin-left:0;margin-top:-.75pt;width:597.4pt;height:88.3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" fillcolor="#358189 [3205]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5928" w14:textId="77777777" w:rsidR="001D7BB4" w:rsidRDefault="001D7BB4" w:rsidP="00302076">
      <w:pPr>
        <w:spacing w:after="0"/>
      </w:pPr>
      <w:r>
        <w:separator/>
      </w:r>
    </w:p>
  </w:footnote>
  <w:footnote w:type="continuationSeparator" w:id="0">
    <w:p w14:paraId="5F17D527" w14:textId="77777777" w:rsidR="001D7BB4" w:rsidRDefault="001D7BB4" w:rsidP="00302076">
      <w:pPr>
        <w:spacing w:after="0"/>
      </w:pPr>
      <w:r>
        <w:continuationSeparator/>
      </w:r>
    </w:p>
  </w:footnote>
  <w:footnote w:type="continuationNotice" w:id="1">
    <w:p w14:paraId="64FB9CBB" w14:textId="77777777" w:rsidR="001D7BB4" w:rsidRDefault="001D7BB4">
      <w:pPr>
        <w:spacing w:after="0" w:line="240" w:lineRule="auto"/>
      </w:pPr>
    </w:p>
  </w:footnote>
  <w:footnote w:id="2">
    <w:p w14:paraId="4A6205DD" w14:textId="6F646EA9" w:rsidR="00BD0BFD" w:rsidRPr="00476B9C" w:rsidRDefault="00BD0BFD" w:rsidP="00BD0BFD">
      <w:pPr>
        <w:spacing w:after="0"/>
        <w:rPr>
          <w:sz w:val="15"/>
          <w:szCs w:val="15"/>
        </w:rPr>
      </w:pPr>
      <w:r w:rsidRPr="00476B9C">
        <w:rPr>
          <w:rStyle w:val="FootnoteReference"/>
          <w:sz w:val="15"/>
          <w:szCs w:val="15"/>
        </w:rPr>
        <w:footnoteRef/>
      </w:r>
      <w:r w:rsidRPr="00476B9C">
        <w:rPr>
          <w:sz w:val="15"/>
          <w:szCs w:val="15"/>
        </w:rPr>
        <w:t xml:space="preserve"> </w:t>
      </w:r>
      <w:r w:rsidR="006A4DAE" w:rsidRPr="00476B9C">
        <w:rPr>
          <w:sz w:val="15"/>
          <w:szCs w:val="15"/>
        </w:rPr>
        <w:t>This report uses the Australian</w:t>
      </w:r>
      <w:r w:rsidRPr="00476B9C">
        <w:rPr>
          <w:sz w:val="15"/>
          <w:szCs w:val="15"/>
        </w:rPr>
        <w:t xml:space="preserve"> definition of stillbirth</w:t>
      </w:r>
      <w:r w:rsidR="006A4DAE" w:rsidRPr="00476B9C">
        <w:rPr>
          <w:sz w:val="15"/>
          <w:szCs w:val="15"/>
        </w:rPr>
        <w:t xml:space="preserve">, </w:t>
      </w:r>
      <w:r w:rsidRPr="00476B9C">
        <w:rPr>
          <w:sz w:val="15"/>
          <w:szCs w:val="15"/>
        </w:rPr>
        <w:t xml:space="preserve">unless otherwise specified. That is ‘a </w:t>
      </w:r>
      <w:proofErr w:type="spellStart"/>
      <w:r w:rsidRPr="00476B9C">
        <w:rPr>
          <w:sz w:val="15"/>
          <w:szCs w:val="15"/>
        </w:rPr>
        <w:t>fetal</w:t>
      </w:r>
      <w:proofErr w:type="spellEnd"/>
      <w:r w:rsidRPr="00476B9C">
        <w:rPr>
          <w:sz w:val="15"/>
          <w:szCs w:val="15"/>
        </w:rPr>
        <w:t xml:space="preserve"> death prior to birth of a baby born at 20</w:t>
      </w:r>
      <w:r w:rsidR="004C1E12" w:rsidRPr="00476B9C">
        <w:rPr>
          <w:sz w:val="15"/>
          <w:szCs w:val="15"/>
        </w:rPr>
        <w:t> </w:t>
      </w:r>
      <w:r w:rsidRPr="00476B9C">
        <w:rPr>
          <w:sz w:val="15"/>
          <w:szCs w:val="15"/>
        </w:rPr>
        <w:t>weeks gestation or more, and/or weighing 400 grams or more’. This report also highlights the stillbirth rate as per the international definition which is deaths ‘occurring in the third trimester – born at 28</w:t>
      </w:r>
      <w:r w:rsidR="004C1E12" w:rsidRPr="00476B9C">
        <w:rPr>
          <w:sz w:val="15"/>
          <w:szCs w:val="15"/>
        </w:rPr>
        <w:t> </w:t>
      </w:r>
      <w:r w:rsidRPr="00476B9C">
        <w:rPr>
          <w:sz w:val="15"/>
          <w:szCs w:val="15"/>
        </w:rPr>
        <w:t>weeks gestation or more, and/or weighing 1,000</w:t>
      </w:r>
      <w:r w:rsidR="004C1E12" w:rsidRPr="00476B9C">
        <w:rPr>
          <w:sz w:val="15"/>
          <w:szCs w:val="15"/>
        </w:rPr>
        <w:t> </w:t>
      </w:r>
      <w:r w:rsidRPr="00476B9C">
        <w:rPr>
          <w:sz w:val="15"/>
          <w:szCs w:val="15"/>
        </w:rPr>
        <w:t xml:space="preserve">grams or more’. </w:t>
      </w:r>
    </w:p>
  </w:footnote>
  <w:footnote w:id="3">
    <w:p w14:paraId="499E06DE" w14:textId="77777777" w:rsidR="00795437" w:rsidRPr="00A222CB" w:rsidRDefault="00795437" w:rsidP="00795437">
      <w:pPr>
        <w:pStyle w:val="NousFooter"/>
        <w:rPr>
          <w:rFonts w:ascii="Arial" w:hAnsi="Arial" w:cs="Arial"/>
        </w:rPr>
      </w:pPr>
      <w:r w:rsidRPr="00476B9C">
        <w:rPr>
          <w:rStyle w:val="FootnoteReference"/>
          <w:rFonts w:ascii="Arial" w:hAnsi="Arial" w:cs="Arial"/>
          <w:color w:val="auto"/>
        </w:rPr>
        <w:footnoteRef/>
      </w:r>
      <w:r w:rsidRPr="00476B9C">
        <w:rPr>
          <w:rFonts w:ascii="Arial" w:hAnsi="Arial" w:cs="Arial"/>
          <w:color w:val="auto"/>
        </w:rPr>
        <w:t xml:space="preserve"> The Plan focuses on stillbirth post 28 weeks of gestation. This is in line with international definitions of stillbirth, including the World Health Organization.</w:t>
      </w:r>
    </w:p>
  </w:footnote>
  <w:footnote w:id="4">
    <w:p w14:paraId="03B64FAF" w14:textId="77777777" w:rsidR="001762AF" w:rsidRPr="00476B9C" w:rsidRDefault="001762AF" w:rsidP="001762AF">
      <w:pPr>
        <w:pStyle w:val="NousFooter"/>
        <w:rPr>
          <w:rFonts w:ascii="Arial" w:hAnsi="Arial" w:cs="Arial"/>
          <w:color w:val="auto"/>
        </w:rPr>
      </w:pPr>
      <w:r w:rsidRPr="00476B9C">
        <w:rPr>
          <w:rStyle w:val="FootnoteReference"/>
          <w:rFonts w:ascii="Arial" w:hAnsi="Arial" w:cs="Arial"/>
          <w:color w:val="auto"/>
        </w:rPr>
        <w:footnoteRef/>
      </w:r>
      <w:r w:rsidRPr="00476B9C">
        <w:rPr>
          <w:rFonts w:ascii="Arial" w:hAnsi="Arial" w:cs="Arial"/>
          <w:color w:val="auto"/>
        </w:rPr>
        <w:t xml:space="preserve"> Figure 1 is based on 2019 data unless stated otherwise. 2019 data provides a baseline against which to measure the impact of the Plan and aligns to most recently published 2021 reports by the Australian Institute of Health and Welfare (AIHW).</w:t>
      </w:r>
    </w:p>
  </w:footnote>
  <w:footnote w:id="5">
    <w:p w14:paraId="3E80A504" w14:textId="0313FD59" w:rsidR="00AD01F9" w:rsidRPr="009615F7" w:rsidRDefault="00AD01F9" w:rsidP="009615F7">
      <w:pPr>
        <w:pStyle w:val="NousFooter"/>
        <w:rPr>
          <w:rFonts w:ascii="Arial" w:hAnsi="Arial" w:cs="Arial"/>
        </w:rPr>
      </w:pPr>
      <w:r w:rsidRPr="00476B9C">
        <w:rPr>
          <w:rStyle w:val="FootnoteReference"/>
          <w:rFonts w:ascii="Arial" w:hAnsi="Arial" w:cs="Arial"/>
          <w:color w:val="auto"/>
        </w:rPr>
        <w:footnoteRef/>
      </w:r>
      <w:r w:rsidRPr="00476B9C">
        <w:rPr>
          <w:rFonts w:ascii="Arial" w:hAnsi="Arial" w:cs="Arial"/>
          <w:color w:val="auto"/>
        </w:rPr>
        <w:t xml:space="preserve"> </w:t>
      </w:r>
      <w:r w:rsidR="009615F7" w:rsidRPr="00476B9C">
        <w:rPr>
          <w:rFonts w:ascii="Arial" w:hAnsi="Arial" w:cs="Arial"/>
          <w:color w:val="auto"/>
        </w:rPr>
        <w:t>Royal Australian and New Zealand College of Obstetricians and Gynaecologists</w:t>
      </w:r>
    </w:p>
  </w:footnote>
  <w:footnote w:id="6">
    <w:p w14:paraId="0FB3A0AE" w14:textId="504C9F2F" w:rsidR="00B57A90" w:rsidRPr="00B57A90" w:rsidRDefault="00B57A90" w:rsidP="00B57A90">
      <w:pPr>
        <w:pStyle w:val="NousFooter"/>
        <w:rPr>
          <w:rFonts w:ascii="Arial" w:hAnsi="Arial" w:cs="Arial"/>
        </w:rPr>
      </w:pPr>
      <w:r w:rsidRPr="00476B9C">
        <w:rPr>
          <w:rStyle w:val="FootnoteReference"/>
          <w:rFonts w:ascii="Arial" w:hAnsi="Arial" w:cs="Arial"/>
          <w:color w:val="auto"/>
        </w:rPr>
        <w:footnoteRef/>
      </w:r>
      <w:r w:rsidRPr="00476B9C">
        <w:rPr>
          <w:rFonts w:ascii="Arial" w:hAnsi="Arial" w:cs="Arial"/>
          <w:color w:val="auto"/>
        </w:rPr>
        <w:t xml:space="preserve"> Royal Australian College of General Practitioners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D3A4" w14:textId="31CBC269" w:rsidR="00EC36F2" w:rsidRPr="00EC36F2" w:rsidRDefault="00B20A7A" w:rsidP="00EC36F2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0EDFAED" wp14:editId="74C04C8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375660" cy="6191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6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6F2" w:rsidRPr="00EC36F2">
      <w:rPr>
        <w:rStyle w:val="CaptionChar"/>
        <w:b w:val="0"/>
        <w:bCs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36DE8" wp14:editId="319EBD2A">
              <wp:simplePos x="0" y="0"/>
              <wp:positionH relativeFrom="page">
                <wp:align>left</wp:align>
              </wp:positionH>
              <wp:positionV relativeFrom="paragraph">
                <wp:posOffset>-266700</wp:posOffset>
              </wp:positionV>
              <wp:extent cx="7586980" cy="1121410"/>
              <wp:effectExtent l="0" t="0" r="0" b="2540"/>
              <wp:wrapNone/>
              <wp:docPr id="28" name="Rectangl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980" cy="112141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61E12" id="Rectangle 28" o:spid="_x0000_s1026" alt="&quot;&quot;" style="position:absolute;margin-left:0;margin-top:-21pt;width:597.4pt;height:88.3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" fillcolor="#358189 [3205]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4A7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709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4A3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E7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068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260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D8A1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961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EA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01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315F3"/>
    <w:multiLevelType w:val="multilevel"/>
    <w:tmpl w:val="9CD6342C"/>
    <w:numStyleLink w:val="TableexpListnumberedmultilevel"/>
  </w:abstractNum>
  <w:abstractNum w:abstractNumId="11" w15:restartNumberingAfterBreak="0">
    <w:nsid w:val="00DB0018"/>
    <w:multiLevelType w:val="multilevel"/>
    <w:tmpl w:val="88F80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11526"/>
    <w:multiLevelType w:val="hybridMultilevel"/>
    <w:tmpl w:val="9BE888A2"/>
    <w:lvl w:ilvl="0" w:tplc="7E481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007B8F"/>
    <w:multiLevelType w:val="multilevel"/>
    <w:tmpl w:val="9CD6342C"/>
    <w:styleLink w:val="TableexpListnumberedmultilevel"/>
    <w:lvl w:ilvl="0">
      <w:start w:val="1"/>
      <w:numFmt w:val="decimal"/>
      <w:pStyle w:val="Tableexp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sz w:val="16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sz w:val="16"/>
      </w:rPr>
    </w:lvl>
    <w:lvl w:ilvl="3">
      <w:start w:val="1"/>
      <w:numFmt w:val="decimal"/>
      <w:lvlText w:val="%4."/>
      <w:lvlJc w:val="left"/>
      <w:pPr>
        <w:ind w:left="5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0" w:hanging="180"/>
      </w:pPr>
      <w:rPr>
        <w:rFonts w:hint="default"/>
      </w:rPr>
    </w:lvl>
  </w:abstractNum>
  <w:abstractNum w:abstractNumId="14" w15:restartNumberingAfterBreak="0">
    <w:nsid w:val="089A31A2"/>
    <w:multiLevelType w:val="multilevel"/>
    <w:tmpl w:val="A004518A"/>
    <w:lvl w:ilvl="0">
      <w:start w:val="1"/>
      <w:numFmt w:val="decimal"/>
      <w:lvlText w:val="%1"/>
      <w:lvlJc w:val="left"/>
      <w:pPr>
        <w:ind w:left="360" w:hanging="360"/>
      </w:pPr>
      <w:rPr>
        <w:rFonts w:ascii="Segoe UI" w:hAnsi="Segoe UI" w:hint="default"/>
        <w:b/>
        <w:i w:val="0"/>
        <w:sz w:val="36"/>
        <w:szCs w:val="9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8BB2C6E"/>
    <w:multiLevelType w:val="hybridMultilevel"/>
    <w:tmpl w:val="58869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85F7E"/>
    <w:multiLevelType w:val="multilevel"/>
    <w:tmpl w:val="88F80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E2EF9"/>
    <w:multiLevelType w:val="hybridMultilevel"/>
    <w:tmpl w:val="A132758A"/>
    <w:lvl w:ilvl="0" w:tplc="D408B966">
      <w:start w:val="1"/>
      <w:numFmt w:val="bullet"/>
      <w:pStyle w:val="TableExp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25D8B"/>
    <w:multiLevelType w:val="multilevel"/>
    <w:tmpl w:val="2F0C2ADE"/>
    <w:lvl w:ilvl="0">
      <w:start w:val="1"/>
      <w:numFmt w:val="decimal"/>
      <w:lvlText w:val="%1."/>
      <w:lvlJc w:val="left"/>
      <w:pPr>
        <w:ind w:left="340" w:hanging="340"/>
      </w:pPr>
      <w:rPr>
        <w:rFonts w:ascii="Segoe UI" w:hAnsi="Segoe UI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Segoe UI" w:hAnsi="Segoe UI" w:hint="default"/>
        <w:b w:val="0"/>
        <w:i w:val="0"/>
        <w:sz w:val="19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Segoe UI" w:hAnsi="Segoe UI" w:hint="default"/>
        <w:b w:val="0"/>
        <w:i w:val="0"/>
        <w:sz w:val="19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5905FFB"/>
    <w:multiLevelType w:val="multilevel"/>
    <w:tmpl w:val="F2D8D162"/>
    <w:numStyleLink w:val="Listnumberedmultilevel"/>
  </w:abstractNum>
  <w:abstractNum w:abstractNumId="20" w15:restartNumberingAfterBreak="0">
    <w:nsid w:val="1AA13D2D"/>
    <w:multiLevelType w:val="multilevel"/>
    <w:tmpl w:val="F2D8D162"/>
    <w:styleLink w:val="Listnumberedmultilevel"/>
    <w:lvl w:ilvl="0">
      <w:start w:val="1"/>
      <w:numFmt w:val="decimal"/>
      <w:lvlText w:val="%1."/>
      <w:lvlJc w:val="left"/>
      <w:pPr>
        <w:ind w:left="340" w:hanging="340"/>
      </w:pPr>
      <w:rPr>
        <w:rFonts w:ascii="Segoe UI" w:hAnsi="Segoe UI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Segoe UI" w:hAnsi="Segoe UI" w:hint="default"/>
        <w:sz w:val="20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Segoe UI" w:hAnsi="Segoe UI" w:hint="default"/>
        <w:sz w:val="19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1" w15:restartNumberingAfterBreak="0">
    <w:nsid w:val="1B70509C"/>
    <w:multiLevelType w:val="hybridMultilevel"/>
    <w:tmpl w:val="94203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2788"/>
    <w:multiLevelType w:val="hybridMultilevel"/>
    <w:tmpl w:val="711465E6"/>
    <w:lvl w:ilvl="0" w:tplc="0E6CB73E">
      <w:start w:val="1"/>
      <w:numFmt w:val="decimal"/>
      <w:lvlText w:val="%1"/>
      <w:lvlJc w:val="left"/>
      <w:pPr>
        <w:ind w:left="870" w:hanging="360"/>
      </w:pPr>
      <w:rPr>
        <w:rFonts w:ascii="Segoe UI" w:hAnsi="Segoe UI" w:hint="default"/>
        <w:b/>
        <w:i w:val="0"/>
        <w:sz w:val="7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D4B48"/>
    <w:multiLevelType w:val="multilevel"/>
    <w:tmpl w:val="8A60E4A6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76A2698"/>
    <w:multiLevelType w:val="multilevel"/>
    <w:tmpl w:val="B5D8BE5C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9D1413D"/>
    <w:multiLevelType w:val="multilevel"/>
    <w:tmpl w:val="CB6ED078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428C2FDF"/>
    <w:multiLevelType w:val="hybridMultilevel"/>
    <w:tmpl w:val="F79E27E0"/>
    <w:lvl w:ilvl="0" w:tplc="370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F2F2" w:themeColor="background2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95B86"/>
    <w:multiLevelType w:val="hybridMultilevel"/>
    <w:tmpl w:val="B6FEE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30710"/>
    <w:multiLevelType w:val="hybridMultilevel"/>
    <w:tmpl w:val="7DA0F9D0"/>
    <w:lvl w:ilvl="0" w:tplc="50924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2F2F2" w:themeColor="background2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D2157"/>
    <w:multiLevelType w:val="multilevel"/>
    <w:tmpl w:val="310876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C55940"/>
    <w:multiLevelType w:val="multilevel"/>
    <w:tmpl w:val="D3261AA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2F2F2" w:themeColor="background2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F2F2F2" w:themeColor="background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F2F2F2" w:themeColor="background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030FE"/>
    <w:multiLevelType w:val="multilevel"/>
    <w:tmpl w:val="34D2DA96"/>
    <w:styleLink w:val="TableNListnumberedmultilevel"/>
    <w:lvl w:ilvl="0">
      <w:start w:val="1"/>
      <w:numFmt w:val="decimal"/>
      <w:pStyle w:val="TableNListnumbered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8E647D0"/>
    <w:multiLevelType w:val="hybridMultilevel"/>
    <w:tmpl w:val="0E8EBDCA"/>
    <w:lvl w:ilvl="0" w:tplc="1138D23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666AD"/>
    <w:multiLevelType w:val="hybridMultilevel"/>
    <w:tmpl w:val="5CFEEE06"/>
    <w:lvl w:ilvl="0" w:tplc="19563F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trike w:val="0"/>
        <w:sz w:val="28"/>
        <w:szCs w:val="28"/>
      </w:rPr>
    </w:lvl>
    <w:lvl w:ilvl="1" w:tplc="0962390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2C5637C8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6562CD1A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FB8E24C4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B5D64E8A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6450BBDE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B3E4A1E4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33581F7C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4" w15:restartNumberingAfterBreak="0">
    <w:nsid w:val="5C765A1F"/>
    <w:multiLevelType w:val="hybridMultilevel"/>
    <w:tmpl w:val="57CA7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B6BC5"/>
    <w:multiLevelType w:val="hybridMultilevel"/>
    <w:tmpl w:val="544EC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16EBA"/>
    <w:multiLevelType w:val="multilevel"/>
    <w:tmpl w:val="67F24DE0"/>
    <w:lvl w:ilvl="0">
      <w:start w:val="1"/>
      <w:numFmt w:val="upperLetter"/>
      <w:pStyle w:val="xAppendixLevel1"/>
      <w:lvlText w:val="Appendix %1"/>
      <w:lvlJc w:val="left"/>
      <w:pPr>
        <w:ind w:left="2268" w:hanging="2268"/>
      </w:pPr>
    </w:lvl>
    <w:lvl w:ilvl="1">
      <w:start w:val="1"/>
      <w:numFmt w:val="decimal"/>
      <w:pStyle w:val="xAppendixLevel2"/>
      <w:lvlText w:val="%1.%2"/>
      <w:lvlJc w:val="left"/>
      <w:pPr>
        <w:ind w:left="851" w:hanging="851"/>
      </w:p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color w:val="00264D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CA05D1"/>
    <w:multiLevelType w:val="hybridMultilevel"/>
    <w:tmpl w:val="639E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18E"/>
    <w:multiLevelType w:val="multilevel"/>
    <w:tmpl w:val="114C1886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D7C88"/>
    <w:multiLevelType w:val="hybridMultilevel"/>
    <w:tmpl w:val="0FEC269E"/>
    <w:lvl w:ilvl="0" w:tplc="99E09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18"/>
  </w:num>
  <w:num w:numId="4">
    <w:abstractNumId w:val="14"/>
  </w:num>
  <w:num w:numId="5">
    <w:abstractNumId w:val="14"/>
  </w:num>
  <w:num w:numId="6">
    <w:abstractNumId w:val="25"/>
  </w:num>
  <w:num w:numId="7">
    <w:abstractNumId w:val="38"/>
  </w:num>
  <w:num w:numId="8">
    <w:abstractNumId w:val="26"/>
  </w:num>
  <w:num w:numId="9">
    <w:abstractNumId w:val="28"/>
  </w:num>
  <w:num w:numId="10">
    <w:abstractNumId w:val="22"/>
  </w:num>
  <w:num w:numId="11">
    <w:abstractNumId w:val="39"/>
  </w:num>
  <w:num w:numId="12">
    <w:abstractNumId w:val="29"/>
  </w:num>
  <w:num w:numId="13">
    <w:abstractNumId w:val="34"/>
  </w:num>
  <w:num w:numId="14">
    <w:abstractNumId w:val="30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16"/>
  </w:num>
  <w:num w:numId="22">
    <w:abstractNumId w:val="2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Segoe UI" w:hAnsi="Segoe UI" w:hint="default"/>
          <w:b w:val="0"/>
          <w:i w:val="0"/>
          <w:sz w:val="19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40"/>
          </w:tabs>
          <w:ind w:left="680" w:hanging="340"/>
        </w:pPr>
        <w:rPr>
          <w:rFonts w:ascii="Segoe UI" w:hAnsi="Segoe UI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21" w:hanging="341"/>
        </w:pPr>
        <w:rPr>
          <w:rFonts w:ascii="Segoe UI" w:hAnsi="Segoe UI" w:hint="default"/>
          <w:sz w:val="19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4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05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6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8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185" w:hanging="360"/>
        </w:pPr>
        <w:rPr>
          <w:rFonts w:hint="default"/>
        </w:rPr>
      </w:lvl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3"/>
  </w:num>
  <w:num w:numId="26">
    <w:abstractNumId w:val="17"/>
  </w:num>
  <w:num w:numId="27">
    <w:abstractNumId w:val="10"/>
  </w:num>
  <w:num w:numId="28">
    <w:abstractNumId w:val="23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80" w:hanging="340"/>
        </w:pPr>
        <w:rPr>
          <w:rFonts w:ascii="Segoe UI" w:hAnsi="Segoe UI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21" w:hanging="341"/>
        </w:pPr>
        <w:rPr>
          <w:rFonts w:ascii="Segoe UI" w:hAnsi="Segoe UI" w:hint="default"/>
          <w:sz w:val="19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6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3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680" w:hanging="360"/>
        </w:pPr>
        <w:rPr>
          <w:rFonts w:hint="default"/>
        </w:rPr>
      </w:lvl>
    </w:lvlOverride>
  </w:num>
  <w:num w:numId="30">
    <w:abstractNumId w:val="31"/>
  </w:num>
  <w:num w:numId="31">
    <w:abstractNumId w:val="2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7"/>
  </w:num>
  <w:num w:numId="38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680" w:hanging="340"/>
        </w:pPr>
        <w:rPr>
          <w:rFonts w:ascii="Segoe UI" w:hAnsi="Segoe UI" w:hint="default"/>
          <w:sz w:val="20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021" w:hanging="341"/>
        </w:pPr>
        <w:rPr>
          <w:rFonts w:ascii="Segoe UI" w:hAnsi="Segoe UI" w:hint="default"/>
          <w:sz w:val="19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60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96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432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680" w:hanging="360"/>
        </w:pPr>
        <w:rPr>
          <w:rFonts w:hint="default"/>
        </w:rPr>
      </w:lvl>
    </w:lvlOverride>
  </w:num>
  <w:num w:numId="39">
    <w:abstractNumId w:val="33"/>
  </w:num>
  <w:num w:numId="40">
    <w:abstractNumId w:val="2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3"/>
    <w:rsid w:val="00000A9B"/>
    <w:rsid w:val="00000ACF"/>
    <w:rsid w:val="00001131"/>
    <w:rsid w:val="0000432B"/>
    <w:rsid w:val="000047F8"/>
    <w:rsid w:val="00011E3C"/>
    <w:rsid w:val="00012B05"/>
    <w:rsid w:val="00021F62"/>
    <w:rsid w:val="00022CB8"/>
    <w:rsid w:val="000239C8"/>
    <w:rsid w:val="00024193"/>
    <w:rsid w:val="00037553"/>
    <w:rsid w:val="00040FA8"/>
    <w:rsid w:val="00044013"/>
    <w:rsid w:val="00045BAA"/>
    <w:rsid w:val="00046B7C"/>
    <w:rsid w:val="0005195D"/>
    <w:rsid w:val="0005295B"/>
    <w:rsid w:val="00053F07"/>
    <w:rsid w:val="0005575C"/>
    <w:rsid w:val="0005789D"/>
    <w:rsid w:val="0006060F"/>
    <w:rsid w:val="00060B05"/>
    <w:rsid w:val="00061BCA"/>
    <w:rsid w:val="000638AA"/>
    <w:rsid w:val="00063CD5"/>
    <w:rsid w:val="00065F95"/>
    <w:rsid w:val="00066A8C"/>
    <w:rsid w:val="00066D83"/>
    <w:rsid w:val="00070BAE"/>
    <w:rsid w:val="000715FD"/>
    <w:rsid w:val="0007553A"/>
    <w:rsid w:val="000806BB"/>
    <w:rsid w:val="00083992"/>
    <w:rsid w:val="000843C9"/>
    <w:rsid w:val="0008764B"/>
    <w:rsid w:val="00090612"/>
    <w:rsid w:val="00091A80"/>
    <w:rsid w:val="00093FA9"/>
    <w:rsid w:val="00094F9E"/>
    <w:rsid w:val="0009593D"/>
    <w:rsid w:val="000A13C3"/>
    <w:rsid w:val="000A409F"/>
    <w:rsid w:val="000A4CFE"/>
    <w:rsid w:val="000B0298"/>
    <w:rsid w:val="000B305B"/>
    <w:rsid w:val="000C32E1"/>
    <w:rsid w:val="000C61FE"/>
    <w:rsid w:val="000C62C0"/>
    <w:rsid w:val="000C6F99"/>
    <w:rsid w:val="000C7926"/>
    <w:rsid w:val="000D325F"/>
    <w:rsid w:val="000D4195"/>
    <w:rsid w:val="000D4C0E"/>
    <w:rsid w:val="000D5CE3"/>
    <w:rsid w:val="000E2333"/>
    <w:rsid w:val="000E51A4"/>
    <w:rsid w:val="000E7BF9"/>
    <w:rsid w:val="000F0338"/>
    <w:rsid w:val="000F3F44"/>
    <w:rsid w:val="000F6623"/>
    <w:rsid w:val="00100EA4"/>
    <w:rsid w:val="0010462B"/>
    <w:rsid w:val="00104F6D"/>
    <w:rsid w:val="0010545C"/>
    <w:rsid w:val="00105896"/>
    <w:rsid w:val="00105D70"/>
    <w:rsid w:val="00106164"/>
    <w:rsid w:val="001122A2"/>
    <w:rsid w:val="001124FA"/>
    <w:rsid w:val="00113BB1"/>
    <w:rsid w:val="0011411F"/>
    <w:rsid w:val="00114CCA"/>
    <w:rsid w:val="0011641E"/>
    <w:rsid w:val="00120571"/>
    <w:rsid w:val="00120D45"/>
    <w:rsid w:val="00125F05"/>
    <w:rsid w:val="00132C79"/>
    <w:rsid w:val="001338EC"/>
    <w:rsid w:val="00133C67"/>
    <w:rsid w:val="001415A3"/>
    <w:rsid w:val="00141766"/>
    <w:rsid w:val="001470F0"/>
    <w:rsid w:val="0015248A"/>
    <w:rsid w:val="00153497"/>
    <w:rsid w:val="00156F56"/>
    <w:rsid w:val="00157EC5"/>
    <w:rsid w:val="00161D4E"/>
    <w:rsid w:val="00165BF3"/>
    <w:rsid w:val="00167786"/>
    <w:rsid w:val="001739F7"/>
    <w:rsid w:val="00174810"/>
    <w:rsid w:val="001762AF"/>
    <w:rsid w:val="00184598"/>
    <w:rsid w:val="00184D01"/>
    <w:rsid w:val="0018662E"/>
    <w:rsid w:val="00186690"/>
    <w:rsid w:val="001905A9"/>
    <w:rsid w:val="001928FB"/>
    <w:rsid w:val="00193717"/>
    <w:rsid w:val="00196A6D"/>
    <w:rsid w:val="00196E9A"/>
    <w:rsid w:val="001A42F9"/>
    <w:rsid w:val="001A58E6"/>
    <w:rsid w:val="001A64A0"/>
    <w:rsid w:val="001A6E8C"/>
    <w:rsid w:val="001B04BC"/>
    <w:rsid w:val="001B324C"/>
    <w:rsid w:val="001B61C7"/>
    <w:rsid w:val="001C0D25"/>
    <w:rsid w:val="001C154B"/>
    <w:rsid w:val="001C1921"/>
    <w:rsid w:val="001C2197"/>
    <w:rsid w:val="001C4B47"/>
    <w:rsid w:val="001D00F8"/>
    <w:rsid w:val="001D0EAE"/>
    <w:rsid w:val="001D1775"/>
    <w:rsid w:val="001D1825"/>
    <w:rsid w:val="001D2806"/>
    <w:rsid w:val="001D4E33"/>
    <w:rsid w:val="001D5A8B"/>
    <w:rsid w:val="001D7BB4"/>
    <w:rsid w:val="001E01A2"/>
    <w:rsid w:val="001E0B49"/>
    <w:rsid w:val="001E1A9A"/>
    <w:rsid w:val="001E3264"/>
    <w:rsid w:val="001F1CBE"/>
    <w:rsid w:val="001F355D"/>
    <w:rsid w:val="0020000D"/>
    <w:rsid w:val="002010C0"/>
    <w:rsid w:val="00205A01"/>
    <w:rsid w:val="00210124"/>
    <w:rsid w:val="00211498"/>
    <w:rsid w:val="002117F6"/>
    <w:rsid w:val="00214AE5"/>
    <w:rsid w:val="00214C96"/>
    <w:rsid w:val="0021617F"/>
    <w:rsid w:val="002175A7"/>
    <w:rsid w:val="002203BC"/>
    <w:rsid w:val="00221D0F"/>
    <w:rsid w:val="00222016"/>
    <w:rsid w:val="00223582"/>
    <w:rsid w:val="00223671"/>
    <w:rsid w:val="002322D9"/>
    <w:rsid w:val="0023346F"/>
    <w:rsid w:val="00235BB5"/>
    <w:rsid w:val="002361BC"/>
    <w:rsid w:val="0024024C"/>
    <w:rsid w:val="00241D96"/>
    <w:rsid w:val="002438A0"/>
    <w:rsid w:val="00256813"/>
    <w:rsid w:val="00257371"/>
    <w:rsid w:val="002615D3"/>
    <w:rsid w:val="00262384"/>
    <w:rsid w:val="002659D7"/>
    <w:rsid w:val="002703CD"/>
    <w:rsid w:val="00270EBC"/>
    <w:rsid w:val="0027214E"/>
    <w:rsid w:val="00273090"/>
    <w:rsid w:val="002732E1"/>
    <w:rsid w:val="002739E5"/>
    <w:rsid w:val="00274CDE"/>
    <w:rsid w:val="0027596F"/>
    <w:rsid w:val="002768E2"/>
    <w:rsid w:val="00276C19"/>
    <w:rsid w:val="00277655"/>
    <w:rsid w:val="00281D42"/>
    <w:rsid w:val="00283A1C"/>
    <w:rsid w:val="002853BD"/>
    <w:rsid w:val="00291434"/>
    <w:rsid w:val="00292826"/>
    <w:rsid w:val="0029320C"/>
    <w:rsid w:val="00293CAA"/>
    <w:rsid w:val="002A435B"/>
    <w:rsid w:val="002A4A6B"/>
    <w:rsid w:val="002A6032"/>
    <w:rsid w:val="002B0099"/>
    <w:rsid w:val="002B1041"/>
    <w:rsid w:val="002B3670"/>
    <w:rsid w:val="002B3DF8"/>
    <w:rsid w:val="002B504F"/>
    <w:rsid w:val="002B5822"/>
    <w:rsid w:val="002B7A6E"/>
    <w:rsid w:val="002C10FD"/>
    <w:rsid w:val="002C24E0"/>
    <w:rsid w:val="002C581A"/>
    <w:rsid w:val="002D0A22"/>
    <w:rsid w:val="002D4EFA"/>
    <w:rsid w:val="002E0A92"/>
    <w:rsid w:val="002E1C8B"/>
    <w:rsid w:val="002E1E37"/>
    <w:rsid w:val="002E2628"/>
    <w:rsid w:val="002E6245"/>
    <w:rsid w:val="002E7903"/>
    <w:rsid w:val="002F032A"/>
    <w:rsid w:val="002F0AAB"/>
    <w:rsid w:val="002F31A2"/>
    <w:rsid w:val="002F3205"/>
    <w:rsid w:val="002F4C02"/>
    <w:rsid w:val="002F53C2"/>
    <w:rsid w:val="00302076"/>
    <w:rsid w:val="00303E3E"/>
    <w:rsid w:val="00304EE2"/>
    <w:rsid w:val="00305248"/>
    <w:rsid w:val="00305249"/>
    <w:rsid w:val="00312FB5"/>
    <w:rsid w:val="003138DD"/>
    <w:rsid w:val="00314496"/>
    <w:rsid w:val="00314E78"/>
    <w:rsid w:val="00315A0A"/>
    <w:rsid w:val="003208B5"/>
    <w:rsid w:val="0032099F"/>
    <w:rsid w:val="00324D3E"/>
    <w:rsid w:val="00331FB8"/>
    <w:rsid w:val="00331FFA"/>
    <w:rsid w:val="00333151"/>
    <w:rsid w:val="003343FD"/>
    <w:rsid w:val="00334541"/>
    <w:rsid w:val="0033601B"/>
    <w:rsid w:val="00343861"/>
    <w:rsid w:val="003509BA"/>
    <w:rsid w:val="00351B44"/>
    <w:rsid w:val="0035256C"/>
    <w:rsid w:val="003558EB"/>
    <w:rsid w:val="00367F56"/>
    <w:rsid w:val="003758E1"/>
    <w:rsid w:val="0037707F"/>
    <w:rsid w:val="00380475"/>
    <w:rsid w:val="00382016"/>
    <w:rsid w:val="00385287"/>
    <w:rsid w:val="00387ABB"/>
    <w:rsid w:val="00395135"/>
    <w:rsid w:val="00395B8A"/>
    <w:rsid w:val="003A0075"/>
    <w:rsid w:val="003B01AE"/>
    <w:rsid w:val="003B0B5D"/>
    <w:rsid w:val="003B204A"/>
    <w:rsid w:val="003B5517"/>
    <w:rsid w:val="003B7442"/>
    <w:rsid w:val="003C3644"/>
    <w:rsid w:val="003C6D84"/>
    <w:rsid w:val="003D2962"/>
    <w:rsid w:val="003D487F"/>
    <w:rsid w:val="003D5A6B"/>
    <w:rsid w:val="003D6B0D"/>
    <w:rsid w:val="003E2EA3"/>
    <w:rsid w:val="003E33C5"/>
    <w:rsid w:val="003E48E7"/>
    <w:rsid w:val="003E7832"/>
    <w:rsid w:val="003F335A"/>
    <w:rsid w:val="003F3E7A"/>
    <w:rsid w:val="003F7F96"/>
    <w:rsid w:val="00400154"/>
    <w:rsid w:val="004037AF"/>
    <w:rsid w:val="0040403D"/>
    <w:rsid w:val="004044F7"/>
    <w:rsid w:val="00406057"/>
    <w:rsid w:val="004108EE"/>
    <w:rsid w:val="00410CD4"/>
    <w:rsid w:val="00413A52"/>
    <w:rsid w:val="004152B2"/>
    <w:rsid w:val="00415352"/>
    <w:rsid w:val="004174C7"/>
    <w:rsid w:val="00421EF1"/>
    <w:rsid w:val="004233BD"/>
    <w:rsid w:val="00425896"/>
    <w:rsid w:val="00426683"/>
    <w:rsid w:val="00427E2C"/>
    <w:rsid w:val="004310C4"/>
    <w:rsid w:val="00435ABC"/>
    <w:rsid w:val="004376CC"/>
    <w:rsid w:val="00440169"/>
    <w:rsid w:val="004416E5"/>
    <w:rsid w:val="0045658F"/>
    <w:rsid w:val="00456938"/>
    <w:rsid w:val="00457FB5"/>
    <w:rsid w:val="004610FB"/>
    <w:rsid w:val="00462B08"/>
    <w:rsid w:val="00462B93"/>
    <w:rsid w:val="00463590"/>
    <w:rsid w:val="004656B7"/>
    <w:rsid w:val="004665AF"/>
    <w:rsid w:val="00467450"/>
    <w:rsid w:val="00472F5A"/>
    <w:rsid w:val="00476B9C"/>
    <w:rsid w:val="00477228"/>
    <w:rsid w:val="00477EC6"/>
    <w:rsid w:val="00480351"/>
    <w:rsid w:val="0048714F"/>
    <w:rsid w:val="00490415"/>
    <w:rsid w:val="00492A9F"/>
    <w:rsid w:val="004952C0"/>
    <w:rsid w:val="004A0BA1"/>
    <w:rsid w:val="004A0EFA"/>
    <w:rsid w:val="004A2768"/>
    <w:rsid w:val="004A2DE2"/>
    <w:rsid w:val="004A3ECD"/>
    <w:rsid w:val="004A71E7"/>
    <w:rsid w:val="004B4499"/>
    <w:rsid w:val="004B53C4"/>
    <w:rsid w:val="004C1A53"/>
    <w:rsid w:val="004C1E12"/>
    <w:rsid w:val="004C7E59"/>
    <w:rsid w:val="004D4D38"/>
    <w:rsid w:val="004D7231"/>
    <w:rsid w:val="004E234C"/>
    <w:rsid w:val="004E3C84"/>
    <w:rsid w:val="004E4C86"/>
    <w:rsid w:val="004E5DD5"/>
    <w:rsid w:val="004F2E6E"/>
    <w:rsid w:val="0050195B"/>
    <w:rsid w:val="00503AFB"/>
    <w:rsid w:val="00503C01"/>
    <w:rsid w:val="00504A1E"/>
    <w:rsid w:val="00506741"/>
    <w:rsid w:val="005104B5"/>
    <w:rsid w:val="005117E0"/>
    <w:rsid w:val="00516FE6"/>
    <w:rsid w:val="0053294D"/>
    <w:rsid w:val="00532B98"/>
    <w:rsid w:val="00533634"/>
    <w:rsid w:val="00534835"/>
    <w:rsid w:val="00536211"/>
    <w:rsid w:val="005370DF"/>
    <w:rsid w:val="00537AF1"/>
    <w:rsid w:val="00541044"/>
    <w:rsid w:val="00542D07"/>
    <w:rsid w:val="005500B4"/>
    <w:rsid w:val="00550C94"/>
    <w:rsid w:val="00553A19"/>
    <w:rsid w:val="00553CAC"/>
    <w:rsid w:val="00554E36"/>
    <w:rsid w:val="00560F48"/>
    <w:rsid w:val="00561363"/>
    <w:rsid w:val="00565E83"/>
    <w:rsid w:val="00565EE5"/>
    <w:rsid w:val="00566343"/>
    <w:rsid w:val="00566639"/>
    <w:rsid w:val="005666D6"/>
    <w:rsid w:val="00570151"/>
    <w:rsid w:val="005723D7"/>
    <w:rsid w:val="00572D2C"/>
    <w:rsid w:val="00574542"/>
    <w:rsid w:val="00575C7D"/>
    <w:rsid w:val="005771B5"/>
    <w:rsid w:val="005803FF"/>
    <w:rsid w:val="00580944"/>
    <w:rsid w:val="005865A8"/>
    <w:rsid w:val="00597D83"/>
    <w:rsid w:val="005A035D"/>
    <w:rsid w:val="005A19C7"/>
    <w:rsid w:val="005A433B"/>
    <w:rsid w:val="005A4F6D"/>
    <w:rsid w:val="005A6D70"/>
    <w:rsid w:val="005A7B5C"/>
    <w:rsid w:val="005A7E48"/>
    <w:rsid w:val="005B016D"/>
    <w:rsid w:val="005B063A"/>
    <w:rsid w:val="005B1AED"/>
    <w:rsid w:val="005B474F"/>
    <w:rsid w:val="005B5E47"/>
    <w:rsid w:val="005C19A6"/>
    <w:rsid w:val="005C2EC2"/>
    <w:rsid w:val="005C3883"/>
    <w:rsid w:val="005C784F"/>
    <w:rsid w:val="005D1983"/>
    <w:rsid w:val="005E5A43"/>
    <w:rsid w:val="005E67ED"/>
    <w:rsid w:val="005E7557"/>
    <w:rsid w:val="005F382F"/>
    <w:rsid w:val="005F5EAA"/>
    <w:rsid w:val="005F6E51"/>
    <w:rsid w:val="006016A5"/>
    <w:rsid w:val="00602297"/>
    <w:rsid w:val="00603D7C"/>
    <w:rsid w:val="00605C5C"/>
    <w:rsid w:val="00606F70"/>
    <w:rsid w:val="00614A10"/>
    <w:rsid w:val="00621771"/>
    <w:rsid w:val="00621A2C"/>
    <w:rsid w:val="00622AB5"/>
    <w:rsid w:val="00623C12"/>
    <w:rsid w:val="00625270"/>
    <w:rsid w:val="00631F2E"/>
    <w:rsid w:val="00633671"/>
    <w:rsid w:val="00634D98"/>
    <w:rsid w:val="00636856"/>
    <w:rsid w:val="0064062C"/>
    <w:rsid w:val="0064064A"/>
    <w:rsid w:val="0064601C"/>
    <w:rsid w:val="00653916"/>
    <w:rsid w:val="006542D4"/>
    <w:rsid w:val="006609EF"/>
    <w:rsid w:val="006639AF"/>
    <w:rsid w:val="0066690B"/>
    <w:rsid w:val="00667F5F"/>
    <w:rsid w:val="00671374"/>
    <w:rsid w:val="00673060"/>
    <w:rsid w:val="00675C1F"/>
    <w:rsid w:val="00676823"/>
    <w:rsid w:val="00677214"/>
    <w:rsid w:val="00677287"/>
    <w:rsid w:val="00681918"/>
    <w:rsid w:val="00682918"/>
    <w:rsid w:val="006944E1"/>
    <w:rsid w:val="006956DA"/>
    <w:rsid w:val="00697BAE"/>
    <w:rsid w:val="006A2CCC"/>
    <w:rsid w:val="006A39D3"/>
    <w:rsid w:val="006A48C5"/>
    <w:rsid w:val="006A4DAE"/>
    <w:rsid w:val="006A65BB"/>
    <w:rsid w:val="006B34E6"/>
    <w:rsid w:val="006B6650"/>
    <w:rsid w:val="006C1A6C"/>
    <w:rsid w:val="006C2F54"/>
    <w:rsid w:val="006C33ED"/>
    <w:rsid w:val="006C4017"/>
    <w:rsid w:val="006C45CA"/>
    <w:rsid w:val="006C62C7"/>
    <w:rsid w:val="006C6A97"/>
    <w:rsid w:val="006D0DAA"/>
    <w:rsid w:val="006E64CD"/>
    <w:rsid w:val="006F02CF"/>
    <w:rsid w:val="006F1FD2"/>
    <w:rsid w:val="006F564A"/>
    <w:rsid w:val="006F5B5A"/>
    <w:rsid w:val="00700030"/>
    <w:rsid w:val="00717041"/>
    <w:rsid w:val="007258B6"/>
    <w:rsid w:val="00726158"/>
    <w:rsid w:val="00727E66"/>
    <w:rsid w:val="0073033D"/>
    <w:rsid w:val="007403F7"/>
    <w:rsid w:val="00742845"/>
    <w:rsid w:val="00742E56"/>
    <w:rsid w:val="007432E2"/>
    <w:rsid w:val="007509CC"/>
    <w:rsid w:val="007521C5"/>
    <w:rsid w:val="0075355A"/>
    <w:rsid w:val="00754C5B"/>
    <w:rsid w:val="007560E2"/>
    <w:rsid w:val="007561E3"/>
    <w:rsid w:val="0076286D"/>
    <w:rsid w:val="007672FC"/>
    <w:rsid w:val="00773E1C"/>
    <w:rsid w:val="00780180"/>
    <w:rsid w:val="007842C4"/>
    <w:rsid w:val="00785FDB"/>
    <w:rsid w:val="007913D7"/>
    <w:rsid w:val="00791518"/>
    <w:rsid w:val="0079352D"/>
    <w:rsid w:val="00795437"/>
    <w:rsid w:val="007A439E"/>
    <w:rsid w:val="007A47C0"/>
    <w:rsid w:val="007A503F"/>
    <w:rsid w:val="007A555B"/>
    <w:rsid w:val="007B6029"/>
    <w:rsid w:val="007B6792"/>
    <w:rsid w:val="007B7005"/>
    <w:rsid w:val="007C595A"/>
    <w:rsid w:val="007C5EF8"/>
    <w:rsid w:val="007C6452"/>
    <w:rsid w:val="007C6F49"/>
    <w:rsid w:val="007C7B2A"/>
    <w:rsid w:val="007D2885"/>
    <w:rsid w:val="007D5913"/>
    <w:rsid w:val="007D785F"/>
    <w:rsid w:val="007D7BE8"/>
    <w:rsid w:val="007E0E01"/>
    <w:rsid w:val="007F011A"/>
    <w:rsid w:val="007F0A37"/>
    <w:rsid w:val="007F282B"/>
    <w:rsid w:val="00803115"/>
    <w:rsid w:val="00803F00"/>
    <w:rsid w:val="00804C2E"/>
    <w:rsid w:val="008053F3"/>
    <w:rsid w:val="0080673D"/>
    <w:rsid w:val="00811DB5"/>
    <w:rsid w:val="00812F87"/>
    <w:rsid w:val="00814851"/>
    <w:rsid w:val="00815FD9"/>
    <w:rsid w:val="00816838"/>
    <w:rsid w:val="00816962"/>
    <w:rsid w:val="008177D5"/>
    <w:rsid w:val="00821612"/>
    <w:rsid w:val="00821734"/>
    <w:rsid w:val="00823368"/>
    <w:rsid w:val="0083358C"/>
    <w:rsid w:val="00842FBA"/>
    <w:rsid w:val="008432A1"/>
    <w:rsid w:val="00845EF9"/>
    <w:rsid w:val="008473D9"/>
    <w:rsid w:val="00850F63"/>
    <w:rsid w:val="00852CC4"/>
    <w:rsid w:val="008546CB"/>
    <w:rsid w:val="00854861"/>
    <w:rsid w:val="00855EB7"/>
    <w:rsid w:val="00856872"/>
    <w:rsid w:val="008628C6"/>
    <w:rsid w:val="00863B0A"/>
    <w:rsid w:val="008668F3"/>
    <w:rsid w:val="00867A79"/>
    <w:rsid w:val="00867B38"/>
    <w:rsid w:val="00867B83"/>
    <w:rsid w:val="0087085E"/>
    <w:rsid w:val="0087194E"/>
    <w:rsid w:val="0087236A"/>
    <w:rsid w:val="008809F6"/>
    <w:rsid w:val="00883028"/>
    <w:rsid w:val="00883C1C"/>
    <w:rsid w:val="00883CD4"/>
    <w:rsid w:val="00885462"/>
    <w:rsid w:val="00886347"/>
    <w:rsid w:val="008868F7"/>
    <w:rsid w:val="00886A46"/>
    <w:rsid w:val="0088798C"/>
    <w:rsid w:val="00894EA9"/>
    <w:rsid w:val="008A2B8F"/>
    <w:rsid w:val="008A55C6"/>
    <w:rsid w:val="008B382B"/>
    <w:rsid w:val="008B4375"/>
    <w:rsid w:val="008B521D"/>
    <w:rsid w:val="008B73A7"/>
    <w:rsid w:val="008B7877"/>
    <w:rsid w:val="008B7CBD"/>
    <w:rsid w:val="008C0582"/>
    <w:rsid w:val="008C3CA7"/>
    <w:rsid w:val="008C3E22"/>
    <w:rsid w:val="008C46BB"/>
    <w:rsid w:val="008D1A0F"/>
    <w:rsid w:val="008D27CF"/>
    <w:rsid w:val="008D3542"/>
    <w:rsid w:val="008D741C"/>
    <w:rsid w:val="008E044F"/>
    <w:rsid w:val="008E1F52"/>
    <w:rsid w:val="008E4600"/>
    <w:rsid w:val="008F40C1"/>
    <w:rsid w:val="008F7848"/>
    <w:rsid w:val="00905117"/>
    <w:rsid w:val="009140FB"/>
    <w:rsid w:val="009208C0"/>
    <w:rsid w:val="009210A4"/>
    <w:rsid w:val="00922562"/>
    <w:rsid w:val="00923600"/>
    <w:rsid w:val="009243D0"/>
    <w:rsid w:val="00931121"/>
    <w:rsid w:val="009319D6"/>
    <w:rsid w:val="009338D0"/>
    <w:rsid w:val="0093516D"/>
    <w:rsid w:val="00935899"/>
    <w:rsid w:val="00943B34"/>
    <w:rsid w:val="00952B40"/>
    <w:rsid w:val="00955EB1"/>
    <w:rsid w:val="0096016D"/>
    <w:rsid w:val="009615F7"/>
    <w:rsid w:val="0096683F"/>
    <w:rsid w:val="00971F5B"/>
    <w:rsid w:val="00976AF3"/>
    <w:rsid w:val="009802E3"/>
    <w:rsid w:val="0098248A"/>
    <w:rsid w:val="009840A6"/>
    <w:rsid w:val="009845B7"/>
    <w:rsid w:val="0098468C"/>
    <w:rsid w:val="00985156"/>
    <w:rsid w:val="009863A5"/>
    <w:rsid w:val="0099292E"/>
    <w:rsid w:val="009A69F5"/>
    <w:rsid w:val="009B3F0E"/>
    <w:rsid w:val="009B4D81"/>
    <w:rsid w:val="009B5E5E"/>
    <w:rsid w:val="009B6FDA"/>
    <w:rsid w:val="009B7006"/>
    <w:rsid w:val="009C08CE"/>
    <w:rsid w:val="009C12B7"/>
    <w:rsid w:val="009C7289"/>
    <w:rsid w:val="009C750F"/>
    <w:rsid w:val="009D217A"/>
    <w:rsid w:val="009D4A32"/>
    <w:rsid w:val="009D74CB"/>
    <w:rsid w:val="009E2A33"/>
    <w:rsid w:val="009E4C4A"/>
    <w:rsid w:val="009F20E4"/>
    <w:rsid w:val="009F3FEF"/>
    <w:rsid w:val="00A0347D"/>
    <w:rsid w:val="00A04E21"/>
    <w:rsid w:val="00A06337"/>
    <w:rsid w:val="00A066C4"/>
    <w:rsid w:val="00A10895"/>
    <w:rsid w:val="00A10A66"/>
    <w:rsid w:val="00A1211C"/>
    <w:rsid w:val="00A136E7"/>
    <w:rsid w:val="00A1509E"/>
    <w:rsid w:val="00A158F2"/>
    <w:rsid w:val="00A222CB"/>
    <w:rsid w:val="00A2241D"/>
    <w:rsid w:val="00A226E9"/>
    <w:rsid w:val="00A241F6"/>
    <w:rsid w:val="00A263E5"/>
    <w:rsid w:val="00A31A03"/>
    <w:rsid w:val="00A33037"/>
    <w:rsid w:val="00A35294"/>
    <w:rsid w:val="00A40214"/>
    <w:rsid w:val="00A40BE3"/>
    <w:rsid w:val="00A42A81"/>
    <w:rsid w:val="00A43110"/>
    <w:rsid w:val="00A45A9F"/>
    <w:rsid w:val="00A45F68"/>
    <w:rsid w:val="00A51306"/>
    <w:rsid w:val="00A526A6"/>
    <w:rsid w:val="00A528ED"/>
    <w:rsid w:val="00A52EB7"/>
    <w:rsid w:val="00A53BED"/>
    <w:rsid w:val="00A53FB1"/>
    <w:rsid w:val="00A561B2"/>
    <w:rsid w:val="00A57051"/>
    <w:rsid w:val="00A571EA"/>
    <w:rsid w:val="00A60D7B"/>
    <w:rsid w:val="00A62B3A"/>
    <w:rsid w:val="00A71D22"/>
    <w:rsid w:val="00A73A2D"/>
    <w:rsid w:val="00A76110"/>
    <w:rsid w:val="00A806ED"/>
    <w:rsid w:val="00A848AE"/>
    <w:rsid w:val="00A84F53"/>
    <w:rsid w:val="00A85A84"/>
    <w:rsid w:val="00A85B8D"/>
    <w:rsid w:val="00A91A5C"/>
    <w:rsid w:val="00A95A86"/>
    <w:rsid w:val="00AA0024"/>
    <w:rsid w:val="00AA2492"/>
    <w:rsid w:val="00AA26DC"/>
    <w:rsid w:val="00AA499A"/>
    <w:rsid w:val="00AA7BEE"/>
    <w:rsid w:val="00AB1C99"/>
    <w:rsid w:val="00AB2CC2"/>
    <w:rsid w:val="00AB419D"/>
    <w:rsid w:val="00AB43F0"/>
    <w:rsid w:val="00AC17F5"/>
    <w:rsid w:val="00AC1A06"/>
    <w:rsid w:val="00AC24A7"/>
    <w:rsid w:val="00AC2F02"/>
    <w:rsid w:val="00AC7C1E"/>
    <w:rsid w:val="00AD01F9"/>
    <w:rsid w:val="00AD2C29"/>
    <w:rsid w:val="00AD352E"/>
    <w:rsid w:val="00AD4012"/>
    <w:rsid w:val="00AD6794"/>
    <w:rsid w:val="00AD6DE7"/>
    <w:rsid w:val="00AD7DB5"/>
    <w:rsid w:val="00AE1109"/>
    <w:rsid w:val="00AE2201"/>
    <w:rsid w:val="00AE5F16"/>
    <w:rsid w:val="00AE6F23"/>
    <w:rsid w:val="00AF2257"/>
    <w:rsid w:val="00AF3A2B"/>
    <w:rsid w:val="00AF76AF"/>
    <w:rsid w:val="00B0110C"/>
    <w:rsid w:val="00B01950"/>
    <w:rsid w:val="00B02053"/>
    <w:rsid w:val="00B03476"/>
    <w:rsid w:val="00B05897"/>
    <w:rsid w:val="00B065E0"/>
    <w:rsid w:val="00B07E1E"/>
    <w:rsid w:val="00B1739A"/>
    <w:rsid w:val="00B20333"/>
    <w:rsid w:val="00B20A7A"/>
    <w:rsid w:val="00B24F5A"/>
    <w:rsid w:val="00B2563A"/>
    <w:rsid w:val="00B27D2E"/>
    <w:rsid w:val="00B31801"/>
    <w:rsid w:val="00B31B1C"/>
    <w:rsid w:val="00B37A22"/>
    <w:rsid w:val="00B446C0"/>
    <w:rsid w:val="00B45449"/>
    <w:rsid w:val="00B47469"/>
    <w:rsid w:val="00B47D21"/>
    <w:rsid w:val="00B50ED1"/>
    <w:rsid w:val="00B50EF1"/>
    <w:rsid w:val="00B55414"/>
    <w:rsid w:val="00B568A8"/>
    <w:rsid w:val="00B57A90"/>
    <w:rsid w:val="00B60A65"/>
    <w:rsid w:val="00B61F46"/>
    <w:rsid w:val="00B657CB"/>
    <w:rsid w:val="00B65EF0"/>
    <w:rsid w:val="00B67241"/>
    <w:rsid w:val="00B67B6C"/>
    <w:rsid w:val="00B75061"/>
    <w:rsid w:val="00B757EC"/>
    <w:rsid w:val="00B7734E"/>
    <w:rsid w:val="00B83B4F"/>
    <w:rsid w:val="00B87900"/>
    <w:rsid w:val="00B87A12"/>
    <w:rsid w:val="00B90C28"/>
    <w:rsid w:val="00B90D6A"/>
    <w:rsid w:val="00B9115F"/>
    <w:rsid w:val="00B93052"/>
    <w:rsid w:val="00B93FCF"/>
    <w:rsid w:val="00B94006"/>
    <w:rsid w:val="00B9642B"/>
    <w:rsid w:val="00BA0027"/>
    <w:rsid w:val="00BA1B71"/>
    <w:rsid w:val="00BA3DB6"/>
    <w:rsid w:val="00BA4BCF"/>
    <w:rsid w:val="00BA5505"/>
    <w:rsid w:val="00BB3D72"/>
    <w:rsid w:val="00BD0BFD"/>
    <w:rsid w:val="00BD1595"/>
    <w:rsid w:val="00BD2871"/>
    <w:rsid w:val="00BD76EB"/>
    <w:rsid w:val="00BE4870"/>
    <w:rsid w:val="00BE5772"/>
    <w:rsid w:val="00BF379D"/>
    <w:rsid w:val="00BF78C5"/>
    <w:rsid w:val="00C05E33"/>
    <w:rsid w:val="00C05EBC"/>
    <w:rsid w:val="00C112E1"/>
    <w:rsid w:val="00C16395"/>
    <w:rsid w:val="00C1777E"/>
    <w:rsid w:val="00C20E1B"/>
    <w:rsid w:val="00C21E55"/>
    <w:rsid w:val="00C220BC"/>
    <w:rsid w:val="00C23338"/>
    <w:rsid w:val="00C30984"/>
    <w:rsid w:val="00C31BB9"/>
    <w:rsid w:val="00C31FF2"/>
    <w:rsid w:val="00C331FD"/>
    <w:rsid w:val="00C33CE8"/>
    <w:rsid w:val="00C44214"/>
    <w:rsid w:val="00C4503E"/>
    <w:rsid w:val="00C4526B"/>
    <w:rsid w:val="00C45B0C"/>
    <w:rsid w:val="00C50AD4"/>
    <w:rsid w:val="00C50B0B"/>
    <w:rsid w:val="00C5370D"/>
    <w:rsid w:val="00C64C7B"/>
    <w:rsid w:val="00C67A04"/>
    <w:rsid w:val="00C7798C"/>
    <w:rsid w:val="00C80440"/>
    <w:rsid w:val="00C80D11"/>
    <w:rsid w:val="00C81C84"/>
    <w:rsid w:val="00C85D58"/>
    <w:rsid w:val="00C87847"/>
    <w:rsid w:val="00C87A09"/>
    <w:rsid w:val="00C900E9"/>
    <w:rsid w:val="00CA1AE3"/>
    <w:rsid w:val="00CA22DF"/>
    <w:rsid w:val="00CA4B19"/>
    <w:rsid w:val="00CA4C8A"/>
    <w:rsid w:val="00CA634C"/>
    <w:rsid w:val="00CB025A"/>
    <w:rsid w:val="00CB585E"/>
    <w:rsid w:val="00CB70D2"/>
    <w:rsid w:val="00CC1BA6"/>
    <w:rsid w:val="00CC3D94"/>
    <w:rsid w:val="00CC3E59"/>
    <w:rsid w:val="00CD0253"/>
    <w:rsid w:val="00CD1F02"/>
    <w:rsid w:val="00CD275F"/>
    <w:rsid w:val="00CD60F0"/>
    <w:rsid w:val="00CD699D"/>
    <w:rsid w:val="00CE13DB"/>
    <w:rsid w:val="00CE267F"/>
    <w:rsid w:val="00CF01F6"/>
    <w:rsid w:val="00CF07F2"/>
    <w:rsid w:val="00CF2966"/>
    <w:rsid w:val="00CF2F6B"/>
    <w:rsid w:val="00CF62F3"/>
    <w:rsid w:val="00CF69C8"/>
    <w:rsid w:val="00CF70B7"/>
    <w:rsid w:val="00CF7C58"/>
    <w:rsid w:val="00D00C16"/>
    <w:rsid w:val="00D0175D"/>
    <w:rsid w:val="00D02486"/>
    <w:rsid w:val="00D07E84"/>
    <w:rsid w:val="00D11371"/>
    <w:rsid w:val="00D130BA"/>
    <w:rsid w:val="00D135D4"/>
    <w:rsid w:val="00D168FA"/>
    <w:rsid w:val="00D16BF5"/>
    <w:rsid w:val="00D16BFB"/>
    <w:rsid w:val="00D16E6D"/>
    <w:rsid w:val="00D20E1B"/>
    <w:rsid w:val="00D24B72"/>
    <w:rsid w:val="00D25BC4"/>
    <w:rsid w:val="00D306B7"/>
    <w:rsid w:val="00D31382"/>
    <w:rsid w:val="00D35159"/>
    <w:rsid w:val="00D42709"/>
    <w:rsid w:val="00D43AE9"/>
    <w:rsid w:val="00D52A73"/>
    <w:rsid w:val="00D532B5"/>
    <w:rsid w:val="00D55B05"/>
    <w:rsid w:val="00D70AD8"/>
    <w:rsid w:val="00D7189D"/>
    <w:rsid w:val="00D727BD"/>
    <w:rsid w:val="00D7405C"/>
    <w:rsid w:val="00D754D5"/>
    <w:rsid w:val="00D76C76"/>
    <w:rsid w:val="00D77917"/>
    <w:rsid w:val="00D810D1"/>
    <w:rsid w:val="00D83184"/>
    <w:rsid w:val="00D9427F"/>
    <w:rsid w:val="00D953FE"/>
    <w:rsid w:val="00D95CC0"/>
    <w:rsid w:val="00D975ED"/>
    <w:rsid w:val="00DA3060"/>
    <w:rsid w:val="00DA3D77"/>
    <w:rsid w:val="00DA5FBF"/>
    <w:rsid w:val="00DB2C29"/>
    <w:rsid w:val="00DB5A42"/>
    <w:rsid w:val="00DB6A61"/>
    <w:rsid w:val="00DC5F31"/>
    <w:rsid w:val="00DD189F"/>
    <w:rsid w:val="00DD4D98"/>
    <w:rsid w:val="00DE37B6"/>
    <w:rsid w:val="00DE3DAB"/>
    <w:rsid w:val="00DE5680"/>
    <w:rsid w:val="00DF37B3"/>
    <w:rsid w:val="00DF4E61"/>
    <w:rsid w:val="00DF6BB5"/>
    <w:rsid w:val="00DF7ED3"/>
    <w:rsid w:val="00E01422"/>
    <w:rsid w:val="00E016D3"/>
    <w:rsid w:val="00E0174E"/>
    <w:rsid w:val="00E0299E"/>
    <w:rsid w:val="00E031CC"/>
    <w:rsid w:val="00E03416"/>
    <w:rsid w:val="00E03C76"/>
    <w:rsid w:val="00E03F31"/>
    <w:rsid w:val="00E10BA4"/>
    <w:rsid w:val="00E11E5D"/>
    <w:rsid w:val="00E133B2"/>
    <w:rsid w:val="00E224D4"/>
    <w:rsid w:val="00E25F4A"/>
    <w:rsid w:val="00E311B1"/>
    <w:rsid w:val="00E32C9A"/>
    <w:rsid w:val="00E363C9"/>
    <w:rsid w:val="00E43517"/>
    <w:rsid w:val="00E43F9C"/>
    <w:rsid w:val="00E43FF8"/>
    <w:rsid w:val="00E44622"/>
    <w:rsid w:val="00E447FE"/>
    <w:rsid w:val="00E467DD"/>
    <w:rsid w:val="00E5091B"/>
    <w:rsid w:val="00E53710"/>
    <w:rsid w:val="00E557B3"/>
    <w:rsid w:val="00E56503"/>
    <w:rsid w:val="00E56635"/>
    <w:rsid w:val="00E569E2"/>
    <w:rsid w:val="00E56C8A"/>
    <w:rsid w:val="00E575E6"/>
    <w:rsid w:val="00E61986"/>
    <w:rsid w:val="00E6315D"/>
    <w:rsid w:val="00E64D65"/>
    <w:rsid w:val="00E74D33"/>
    <w:rsid w:val="00E8017D"/>
    <w:rsid w:val="00E806C5"/>
    <w:rsid w:val="00E8319D"/>
    <w:rsid w:val="00E848B1"/>
    <w:rsid w:val="00E87919"/>
    <w:rsid w:val="00E90F29"/>
    <w:rsid w:val="00E94D3E"/>
    <w:rsid w:val="00E96586"/>
    <w:rsid w:val="00EA0CD7"/>
    <w:rsid w:val="00EA14C9"/>
    <w:rsid w:val="00EA184C"/>
    <w:rsid w:val="00EA20B1"/>
    <w:rsid w:val="00EA5104"/>
    <w:rsid w:val="00EB0520"/>
    <w:rsid w:val="00EB0CE9"/>
    <w:rsid w:val="00EB1C0B"/>
    <w:rsid w:val="00EB3463"/>
    <w:rsid w:val="00EB3C96"/>
    <w:rsid w:val="00EB6075"/>
    <w:rsid w:val="00EB6CC1"/>
    <w:rsid w:val="00EC1790"/>
    <w:rsid w:val="00EC30A1"/>
    <w:rsid w:val="00EC36F2"/>
    <w:rsid w:val="00EC3F66"/>
    <w:rsid w:val="00EC6FF6"/>
    <w:rsid w:val="00ED0134"/>
    <w:rsid w:val="00ED0651"/>
    <w:rsid w:val="00ED0985"/>
    <w:rsid w:val="00ED4C88"/>
    <w:rsid w:val="00ED5EEB"/>
    <w:rsid w:val="00ED6E80"/>
    <w:rsid w:val="00EE07FA"/>
    <w:rsid w:val="00EE229A"/>
    <w:rsid w:val="00EE3F05"/>
    <w:rsid w:val="00EE6509"/>
    <w:rsid w:val="00EE7442"/>
    <w:rsid w:val="00EE769B"/>
    <w:rsid w:val="00EF0ED1"/>
    <w:rsid w:val="00EF16FE"/>
    <w:rsid w:val="00EF6823"/>
    <w:rsid w:val="00EF6A0A"/>
    <w:rsid w:val="00F01CA9"/>
    <w:rsid w:val="00F025B8"/>
    <w:rsid w:val="00F02C02"/>
    <w:rsid w:val="00F0389E"/>
    <w:rsid w:val="00F043E1"/>
    <w:rsid w:val="00F066CA"/>
    <w:rsid w:val="00F07A4D"/>
    <w:rsid w:val="00F127D8"/>
    <w:rsid w:val="00F13C5E"/>
    <w:rsid w:val="00F17820"/>
    <w:rsid w:val="00F210C6"/>
    <w:rsid w:val="00F2470B"/>
    <w:rsid w:val="00F25639"/>
    <w:rsid w:val="00F30EFA"/>
    <w:rsid w:val="00F411FF"/>
    <w:rsid w:val="00F47804"/>
    <w:rsid w:val="00F51B32"/>
    <w:rsid w:val="00F5350A"/>
    <w:rsid w:val="00F53B28"/>
    <w:rsid w:val="00F57D6C"/>
    <w:rsid w:val="00F606D3"/>
    <w:rsid w:val="00F60A81"/>
    <w:rsid w:val="00F63B8E"/>
    <w:rsid w:val="00F660A8"/>
    <w:rsid w:val="00F741F4"/>
    <w:rsid w:val="00F76B80"/>
    <w:rsid w:val="00F76E10"/>
    <w:rsid w:val="00F823CB"/>
    <w:rsid w:val="00F841D6"/>
    <w:rsid w:val="00F91E74"/>
    <w:rsid w:val="00F923DD"/>
    <w:rsid w:val="00F943C5"/>
    <w:rsid w:val="00F96B8A"/>
    <w:rsid w:val="00F96FA9"/>
    <w:rsid w:val="00F97480"/>
    <w:rsid w:val="00FB08CD"/>
    <w:rsid w:val="00FB42D6"/>
    <w:rsid w:val="00FB4C90"/>
    <w:rsid w:val="00FD352A"/>
    <w:rsid w:val="00FD4013"/>
    <w:rsid w:val="00FD6BAB"/>
    <w:rsid w:val="00FE00F8"/>
    <w:rsid w:val="00FE3758"/>
    <w:rsid w:val="00FE6846"/>
    <w:rsid w:val="00FF4A53"/>
    <w:rsid w:val="00FF4AB4"/>
    <w:rsid w:val="00FF67B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BDB56"/>
  <w15:chartTrackingRefBased/>
  <w15:docId w15:val="{653AA281-89C4-4B67-A4F0-598631CD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/>
    <w:lsdException w:name="heading 8" w:semiHidden="1" w:uiPriority="19" w:unhideWhenUsed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19"/>
    <w:pPr>
      <w:spacing w:before="120" w:after="120" w:line="276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19"/>
    <w:qFormat/>
    <w:rsid w:val="002703CD"/>
    <w:pPr>
      <w:keepNext/>
      <w:outlineLvl w:val="0"/>
    </w:pPr>
    <w:rPr>
      <w:rFonts w:eastAsia="Times New Roman" w:cs="Times New Roman"/>
      <w:b/>
      <w:color w:val="3F4A75" w:themeColor="accent1"/>
      <w:sz w:val="36"/>
      <w:szCs w:val="19"/>
      <w:lang w:eastAsia="en-AU"/>
    </w:rPr>
  </w:style>
  <w:style w:type="paragraph" w:styleId="Heading2">
    <w:name w:val="heading 2"/>
    <w:basedOn w:val="Heading1"/>
    <w:next w:val="Normal"/>
    <w:link w:val="Heading2Char"/>
    <w:uiPriority w:val="19"/>
    <w:qFormat/>
    <w:rsid w:val="002703CD"/>
    <w:pPr>
      <w:spacing w:line="240" w:lineRule="auto"/>
      <w:outlineLvl w:val="1"/>
    </w:pPr>
    <w:rPr>
      <w:b w:val="0"/>
      <w:color w:val="358189" w:themeColor="accent2"/>
      <w:sz w:val="28"/>
    </w:rPr>
  </w:style>
  <w:style w:type="paragraph" w:styleId="Heading3">
    <w:name w:val="heading 3"/>
    <w:aliases w:val="(a),a"/>
    <w:basedOn w:val="Normal"/>
    <w:next w:val="Normal"/>
    <w:link w:val="Heading3Char"/>
    <w:uiPriority w:val="19"/>
    <w:qFormat/>
    <w:rsid w:val="002438A0"/>
    <w:pPr>
      <w:keepNext/>
      <w:spacing w:before="480" w:after="60"/>
      <w:outlineLvl w:val="2"/>
    </w:pPr>
    <w:rPr>
      <w:rFonts w:eastAsia="Times New Roman" w:cs="Times New Roman"/>
      <w:b/>
      <w:color w:val="358189" w:themeColor="accent2"/>
      <w:sz w:val="26"/>
      <w:szCs w:val="19"/>
      <w:lang w:eastAsia="en-AU"/>
    </w:rPr>
  </w:style>
  <w:style w:type="paragraph" w:styleId="Heading4">
    <w:name w:val="heading 4"/>
    <w:basedOn w:val="Normal"/>
    <w:next w:val="Normal"/>
    <w:link w:val="Heading4Char"/>
    <w:uiPriority w:val="19"/>
    <w:qFormat/>
    <w:rsid w:val="00A31A03"/>
    <w:pPr>
      <w:keepNext/>
      <w:spacing w:before="240" w:after="60"/>
      <w:outlineLvl w:val="3"/>
    </w:pPr>
    <w:rPr>
      <w:rFonts w:eastAsia="Times New Roman" w:cs="Times New Roman"/>
      <w:b/>
      <w:color w:val="358189" w:themeColor="accent2"/>
      <w:szCs w:val="19"/>
      <w:lang w:eastAsia="en-AU"/>
    </w:rPr>
  </w:style>
  <w:style w:type="paragraph" w:styleId="Heading5">
    <w:name w:val="heading 5"/>
    <w:basedOn w:val="Normal"/>
    <w:next w:val="Normal"/>
    <w:link w:val="Heading5Char"/>
    <w:uiPriority w:val="19"/>
    <w:qFormat/>
    <w:rsid w:val="00A31A03"/>
    <w:pPr>
      <w:keepNext/>
      <w:numPr>
        <w:ilvl w:val="4"/>
        <w:numId w:val="5"/>
      </w:numPr>
      <w:spacing w:before="240"/>
      <w:outlineLvl w:val="4"/>
    </w:pPr>
    <w:rPr>
      <w:rFonts w:eastAsia="Times New Roman" w:cs="Times New Roman"/>
      <w:b/>
      <w:color w:val="3F4A75" w:themeColor="accent1"/>
      <w:sz w:val="20"/>
      <w:szCs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19"/>
    <w:qFormat/>
    <w:rsid w:val="00DA5FBF"/>
    <w:pPr>
      <w:keepNext/>
      <w:keepLines/>
      <w:numPr>
        <w:ilvl w:val="5"/>
        <w:numId w:val="5"/>
      </w:numPr>
      <w:spacing w:before="200" w:after="60"/>
      <w:outlineLvl w:val="5"/>
    </w:pPr>
    <w:rPr>
      <w:rFonts w:eastAsiaTheme="majorEastAsia" w:cstheme="majorBidi"/>
      <w:b/>
      <w:i/>
      <w:iCs/>
      <w:color w:val="000000" w:themeColor="text1"/>
      <w:szCs w:val="19"/>
      <w:lang w:eastAsia="en-AU"/>
    </w:rPr>
  </w:style>
  <w:style w:type="paragraph" w:styleId="Heading7">
    <w:name w:val="heading 7"/>
    <w:basedOn w:val="Normal"/>
    <w:next w:val="Normal"/>
    <w:link w:val="Heading7Char"/>
    <w:uiPriority w:val="19"/>
    <w:semiHidden/>
    <w:rsid w:val="006F5B5A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9"/>
    <w:semiHidden/>
    <w:rsid w:val="006F5B5A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rsid w:val="002703CD"/>
    <w:rPr>
      <w:rFonts w:ascii="Arial" w:eastAsia="Times New Roman" w:hAnsi="Arial" w:cs="Times New Roman"/>
      <w:b/>
      <w:color w:val="3F4A75" w:themeColor="accent1"/>
      <w:sz w:val="36"/>
      <w:szCs w:val="19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19"/>
    <w:rsid w:val="002703CD"/>
    <w:rPr>
      <w:rFonts w:ascii="Arial" w:eastAsia="Times New Roman" w:hAnsi="Arial" w:cs="Times New Roman"/>
      <w:color w:val="358189" w:themeColor="accent2"/>
      <w:sz w:val="28"/>
      <w:szCs w:val="19"/>
      <w:lang w:val="en-AU" w:eastAsia="en-AU"/>
    </w:rPr>
  </w:style>
  <w:style w:type="character" w:customStyle="1" w:styleId="Heading3Char">
    <w:name w:val="Heading 3 Char"/>
    <w:aliases w:val="(a) Char,a Char"/>
    <w:basedOn w:val="DefaultParagraphFont"/>
    <w:link w:val="Heading3"/>
    <w:uiPriority w:val="19"/>
    <w:rsid w:val="002438A0"/>
    <w:rPr>
      <w:rFonts w:ascii="Arial" w:eastAsia="Times New Roman" w:hAnsi="Arial" w:cs="Times New Roman"/>
      <w:b/>
      <w:color w:val="358189" w:themeColor="accent2"/>
      <w:sz w:val="26"/>
      <w:szCs w:val="19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19"/>
    <w:rsid w:val="00A31A03"/>
    <w:rPr>
      <w:rFonts w:ascii="Arial" w:eastAsia="Times New Roman" w:hAnsi="Arial" w:cs="Times New Roman"/>
      <w:b/>
      <w:color w:val="358189" w:themeColor="accent2"/>
      <w:szCs w:val="19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19"/>
    <w:rsid w:val="00A31A03"/>
    <w:rPr>
      <w:rFonts w:ascii="Arial" w:eastAsia="Times New Roman" w:hAnsi="Arial" w:cs="Times New Roman"/>
      <w:b/>
      <w:color w:val="3F4A75" w:themeColor="accent1"/>
      <w:sz w:val="20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19"/>
    <w:rsid w:val="00DA5FBF"/>
    <w:rPr>
      <w:rFonts w:ascii="Segoe UI" w:eastAsiaTheme="majorEastAsia" w:hAnsi="Segoe UI" w:cstheme="majorBidi"/>
      <w:b/>
      <w:i/>
      <w:iCs/>
      <w:color w:val="000000" w:themeColor="text1"/>
      <w:sz w:val="19"/>
      <w:szCs w:val="19"/>
      <w:lang w:val="en-AU" w:eastAsia="en-AU"/>
    </w:rPr>
  </w:style>
  <w:style w:type="paragraph" w:customStyle="1" w:styleId="TableNheader">
    <w:name w:val="Table N header"/>
    <w:basedOn w:val="Normal"/>
    <w:uiPriority w:val="2"/>
    <w:qFormat/>
    <w:rsid w:val="00A31A03"/>
    <w:pPr>
      <w:spacing w:before="40" w:after="40" w:line="240" w:lineRule="auto"/>
    </w:pPr>
    <w:rPr>
      <w:color w:val="358189" w:themeColor="accent2"/>
      <w:sz w:val="18"/>
    </w:rPr>
  </w:style>
  <w:style w:type="paragraph" w:customStyle="1" w:styleId="TableNText">
    <w:name w:val="Table N Text"/>
    <w:basedOn w:val="Normal"/>
    <w:link w:val="TableNTextChar"/>
    <w:uiPriority w:val="2"/>
    <w:qFormat/>
    <w:rsid w:val="00E569E2"/>
    <w:pPr>
      <w:spacing w:before="60" w:after="60"/>
    </w:pPr>
    <w:rPr>
      <w:sz w:val="17"/>
    </w:rPr>
  </w:style>
  <w:style w:type="table" w:styleId="TableGrid">
    <w:name w:val="Table Grid"/>
    <w:aliases w:val="Nous Table,Table,NOUS,NOUS Side Header"/>
    <w:basedOn w:val="TableNormal"/>
    <w:uiPriority w:val="39"/>
    <w:rsid w:val="00A31A03"/>
    <w:pPr>
      <w:spacing w:after="0" w:line="240" w:lineRule="auto"/>
    </w:pPr>
    <w:rPr>
      <w:rFonts w:ascii="Segoe UI" w:hAnsi="Segoe UI"/>
      <w:sz w:val="17"/>
    </w:rPr>
    <w:tblPr>
      <w:tblStyleRowBandSize w:val="1"/>
      <w:tblBorders>
        <w:top w:val="single" w:sz="8" w:space="0" w:color="3998B5" w:themeColor="accent5"/>
        <w:bottom w:val="single" w:sz="8" w:space="0" w:color="3998B5" w:themeColor="accent5"/>
        <w:insideH w:val="single" w:sz="8" w:space="0" w:color="3998B5" w:themeColor="accent5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Segoe UI Semibold" w:hAnsi="Segoe UI Semibold"/>
        <w:b w:val="0"/>
        <w:color w:val="F2F2F2" w:themeColor="background2"/>
        <w:sz w:val="18"/>
      </w:rPr>
      <w:tblPr/>
      <w:trPr>
        <w:cantSplit/>
        <w:tblHeader/>
      </w:trPr>
      <w:tcPr>
        <w:tcBorders>
          <w:top w:val="single" w:sz="24" w:space="0" w:color="0078BF" w:themeColor="accent3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998B5" w:themeFill="accent5"/>
      </w:tcPr>
    </w:tblStylePr>
    <w:tblStylePr w:type="band1Horz">
      <w:rPr>
        <w:rFonts w:ascii="Segoe UI" w:hAnsi="Segoe UI"/>
        <w:sz w:val="17"/>
      </w:rPr>
    </w:tblStylePr>
    <w:tblStylePr w:type="band2Horz">
      <w:rPr>
        <w:rFonts w:ascii="Segoe UI" w:hAnsi="Segoe UI"/>
        <w:sz w:val="17"/>
      </w:rPr>
    </w:tblStylePr>
  </w:style>
  <w:style w:type="paragraph" w:customStyle="1" w:styleId="NousFooter">
    <w:name w:val="Nous Footer"/>
    <w:basedOn w:val="Normal"/>
    <w:uiPriority w:val="96"/>
    <w:qFormat/>
    <w:rsid w:val="002438A0"/>
    <w:pPr>
      <w:spacing w:after="0"/>
    </w:pPr>
    <w:rPr>
      <w:rFonts w:ascii="Segoe UI" w:hAnsi="Segoe UI"/>
      <w:color w:val="808080" w:themeColor="background1" w:themeShade="80"/>
      <w:sz w:val="15"/>
      <w:szCs w:val="15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438A0"/>
    <w:rPr>
      <w:vertAlign w:val="superscript"/>
    </w:rPr>
  </w:style>
  <w:style w:type="paragraph" w:styleId="Caption">
    <w:name w:val="caption"/>
    <w:next w:val="Normal"/>
    <w:link w:val="CaptionChar"/>
    <w:uiPriority w:val="35"/>
    <w:qFormat/>
    <w:rsid w:val="00795437"/>
    <w:pPr>
      <w:keepNext/>
      <w:spacing w:before="240"/>
    </w:pPr>
    <w:rPr>
      <w:rFonts w:ascii="Arial" w:hAnsi="Arial"/>
      <w:b/>
      <w:bCs/>
      <w:sz w:val="18"/>
      <w:szCs w:val="18"/>
      <w:lang w:val="en-AU"/>
    </w:rPr>
  </w:style>
  <w:style w:type="paragraph" w:customStyle="1" w:styleId="TableNBullet">
    <w:name w:val="Table N Bullet"/>
    <w:basedOn w:val="Normal"/>
    <w:link w:val="TableNBulletChar"/>
    <w:uiPriority w:val="2"/>
    <w:qFormat/>
    <w:rsid w:val="00553A19"/>
    <w:pPr>
      <w:numPr>
        <w:numId w:val="6"/>
      </w:numPr>
      <w:suppressAutoHyphens/>
      <w:spacing w:before="60" w:after="60"/>
    </w:pPr>
    <w:rPr>
      <w:rFonts w:eastAsia="Times New Roman" w:cs="Times New Roman"/>
      <w:sz w:val="18"/>
      <w:szCs w:val="19"/>
      <w:lang w:eastAsia="en-AU"/>
    </w:rPr>
  </w:style>
  <w:style w:type="paragraph" w:customStyle="1" w:styleId="TableNListnumbered">
    <w:name w:val="Table N List (numbered)"/>
    <w:basedOn w:val="TableNBullet"/>
    <w:uiPriority w:val="2"/>
    <w:qFormat/>
    <w:rsid w:val="00A31A03"/>
    <w:pPr>
      <w:numPr>
        <w:numId w:val="30"/>
      </w:numPr>
    </w:pPr>
  </w:style>
  <w:style w:type="paragraph" w:customStyle="1" w:styleId="xAppendixLevel1">
    <w:name w:val="xAppendix Level 1"/>
    <w:basedOn w:val="Heading1"/>
    <w:next w:val="Normal"/>
    <w:uiPriority w:val="98"/>
    <w:qFormat/>
    <w:rsid w:val="00A31A03"/>
    <w:pPr>
      <w:numPr>
        <w:numId w:val="2"/>
      </w:numPr>
      <w:ind w:left="2693" w:hanging="2693"/>
    </w:pPr>
    <w:rPr>
      <w:bCs/>
      <w:sz w:val="44"/>
    </w:rPr>
  </w:style>
  <w:style w:type="paragraph" w:customStyle="1" w:styleId="xAppendixLevel2">
    <w:name w:val="xAppendix Level 2"/>
    <w:basedOn w:val="Heading2"/>
    <w:next w:val="Normal"/>
    <w:uiPriority w:val="98"/>
    <w:qFormat/>
    <w:rsid w:val="00A31A03"/>
    <w:pPr>
      <w:numPr>
        <w:ilvl w:val="1"/>
        <w:numId w:val="2"/>
      </w:numPr>
    </w:pPr>
    <w:rPr>
      <w:bCs/>
      <w:color w:val="3F4A75" w:themeColor="accent1"/>
      <w:sz w:val="34"/>
    </w:rPr>
  </w:style>
  <w:style w:type="paragraph" w:customStyle="1" w:styleId="xAppendixLevel3">
    <w:name w:val="xAppendix Level 3"/>
    <w:basedOn w:val="Heading3"/>
    <w:next w:val="Normal"/>
    <w:uiPriority w:val="98"/>
    <w:qFormat/>
    <w:rsid w:val="002B5822"/>
    <w:pPr>
      <w:ind w:left="2268" w:hanging="2268"/>
    </w:pPr>
    <w:rPr>
      <w:bCs/>
    </w:rPr>
  </w:style>
  <w:style w:type="paragraph" w:customStyle="1" w:styleId="Source">
    <w:name w:val="Source"/>
    <w:basedOn w:val="Normal"/>
    <w:next w:val="Normal"/>
    <w:link w:val="SourceChar"/>
    <w:uiPriority w:val="39"/>
    <w:rsid w:val="00000A9B"/>
    <w:pPr>
      <w:spacing w:after="240"/>
    </w:pPr>
    <w:rPr>
      <w:rFonts w:eastAsia="Times New Roman" w:cs="Times New Roman"/>
      <w:i/>
      <w:sz w:val="17"/>
      <w:szCs w:val="19"/>
      <w:lang w:eastAsia="en-AU"/>
    </w:rPr>
  </w:style>
  <w:style w:type="character" w:customStyle="1" w:styleId="SourceChar">
    <w:name w:val="Source Char"/>
    <w:basedOn w:val="DefaultParagraphFont"/>
    <w:link w:val="Source"/>
    <w:uiPriority w:val="39"/>
    <w:rsid w:val="00000A9B"/>
    <w:rPr>
      <w:rFonts w:ascii="Segoe UI" w:eastAsia="Times New Roman" w:hAnsi="Segoe UI" w:cs="Times New Roman"/>
      <w:i/>
      <w:sz w:val="17"/>
      <w:szCs w:val="19"/>
      <w:lang w:val="en-AU" w:eastAsia="en-AU"/>
    </w:rPr>
  </w:style>
  <w:style w:type="paragraph" w:customStyle="1" w:styleId="TableExpbullet">
    <w:name w:val="Table Exp bullet"/>
    <w:basedOn w:val="Normal"/>
    <w:uiPriority w:val="3"/>
    <w:qFormat/>
    <w:rsid w:val="00F660A8"/>
    <w:pPr>
      <w:numPr>
        <w:numId w:val="26"/>
      </w:numPr>
      <w:spacing w:before="60" w:after="60"/>
      <w:ind w:left="227" w:hanging="227"/>
    </w:pPr>
    <w:rPr>
      <w:sz w:val="16"/>
    </w:rPr>
  </w:style>
  <w:style w:type="paragraph" w:customStyle="1" w:styleId="Tableexpheader">
    <w:name w:val="Table exp header"/>
    <w:basedOn w:val="Normal"/>
    <w:uiPriority w:val="3"/>
    <w:qFormat/>
    <w:rsid w:val="00553A19"/>
    <w:pPr>
      <w:spacing w:before="40" w:after="40" w:line="240" w:lineRule="auto"/>
    </w:pPr>
    <w:rPr>
      <w:sz w:val="18"/>
    </w:rPr>
  </w:style>
  <w:style w:type="paragraph" w:customStyle="1" w:styleId="TableexpListnumbered">
    <w:name w:val="Table exp List (numbered)"/>
    <w:basedOn w:val="Normal"/>
    <w:uiPriority w:val="3"/>
    <w:qFormat/>
    <w:rsid w:val="00F660A8"/>
    <w:pPr>
      <w:numPr>
        <w:numId w:val="27"/>
      </w:numPr>
      <w:spacing w:before="60" w:after="60"/>
    </w:pPr>
    <w:rPr>
      <w:sz w:val="16"/>
    </w:rPr>
  </w:style>
  <w:style w:type="paragraph" w:customStyle="1" w:styleId="TableExpText">
    <w:name w:val="Table Exp Text"/>
    <w:basedOn w:val="Normal"/>
    <w:uiPriority w:val="3"/>
    <w:qFormat/>
    <w:rsid w:val="0029320C"/>
    <w:rPr>
      <w:sz w:val="16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F5B5A"/>
    <w:rPr>
      <w:rFonts w:ascii="Segoe UI" w:eastAsiaTheme="majorEastAsia" w:hAnsi="Segoe UI" w:cstheme="majorBidi"/>
      <w:i/>
      <w:iCs/>
      <w:color w:val="404040" w:themeColor="text1" w:themeTint="BF"/>
      <w:sz w:val="19"/>
    </w:rPr>
  </w:style>
  <w:style w:type="table" w:customStyle="1" w:styleId="Style1">
    <w:name w:val="Style1"/>
    <w:basedOn w:val="TableNormal"/>
    <w:uiPriority w:val="99"/>
    <w:rsid w:val="002438A0"/>
    <w:pPr>
      <w:spacing w:before="240" w:after="240" w:line="240" w:lineRule="auto"/>
    </w:pPr>
    <w:rPr>
      <w:rFonts w:ascii="Arial" w:hAnsi="Arial"/>
      <w:b/>
    </w:rPr>
    <w:tblPr>
      <w:tblBorders>
        <w:top w:val="single" w:sz="4" w:space="0" w:color="3F4A75" w:themeColor="accent1"/>
        <w:bottom w:val="single" w:sz="4" w:space="0" w:color="3F4A75" w:themeColor="accent1"/>
      </w:tblBorders>
    </w:tblPr>
  </w:style>
  <w:style w:type="paragraph" w:styleId="Header">
    <w:name w:val="header"/>
    <w:basedOn w:val="Normal"/>
    <w:link w:val="HeaderChar"/>
    <w:uiPriority w:val="99"/>
    <w:unhideWhenUsed/>
    <w:rsid w:val="00EC36F2"/>
    <w:pPr>
      <w:tabs>
        <w:tab w:val="center" w:pos="4513"/>
        <w:tab w:val="right" w:pos="9026"/>
      </w:tabs>
      <w:spacing w:after="0" w:line="240" w:lineRule="auto"/>
    </w:pPr>
    <w:rPr>
      <w:color w:val="358189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EC36F2"/>
    <w:rPr>
      <w:rFonts w:ascii="Arial" w:hAnsi="Arial"/>
      <w:color w:val="358189" w:themeColor="accent2"/>
      <w:lang w:val="en-AU"/>
    </w:rPr>
  </w:style>
  <w:style w:type="paragraph" w:styleId="Footer">
    <w:name w:val="footer"/>
    <w:aliases w:val="Foot note"/>
    <w:basedOn w:val="Normal"/>
    <w:link w:val="FooterChar"/>
    <w:uiPriority w:val="99"/>
    <w:unhideWhenUsed/>
    <w:qFormat/>
    <w:rsid w:val="00503AFB"/>
    <w:pPr>
      <w:tabs>
        <w:tab w:val="center" w:pos="4513"/>
        <w:tab w:val="right" w:pos="9026"/>
      </w:tabs>
      <w:spacing w:after="0" w:line="240" w:lineRule="auto"/>
    </w:pPr>
  </w:style>
  <w:style w:type="table" w:styleId="LightList-Accent5">
    <w:name w:val="Light List Accent 5"/>
    <w:basedOn w:val="TableNormal"/>
    <w:uiPriority w:val="61"/>
    <w:rsid w:val="0098248A"/>
    <w:pPr>
      <w:spacing w:after="0" w:line="240" w:lineRule="auto"/>
    </w:pPr>
    <w:tblPr>
      <w:tblStyleRowBandSize w:val="1"/>
      <w:tblStyleColBandSize w:val="1"/>
      <w:tblBorders>
        <w:top w:val="single" w:sz="8" w:space="0" w:color="3998B5" w:themeColor="accent5"/>
        <w:left w:val="single" w:sz="8" w:space="0" w:color="3998B5" w:themeColor="accent5"/>
        <w:bottom w:val="single" w:sz="8" w:space="0" w:color="3998B5" w:themeColor="accent5"/>
        <w:right w:val="single" w:sz="8" w:space="0" w:color="3998B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98B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98B5" w:themeColor="accent5"/>
          <w:left w:val="single" w:sz="8" w:space="0" w:color="3998B5" w:themeColor="accent5"/>
          <w:bottom w:val="single" w:sz="8" w:space="0" w:color="3998B5" w:themeColor="accent5"/>
          <w:right w:val="single" w:sz="8" w:space="0" w:color="3998B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98B5" w:themeColor="accent5"/>
          <w:left w:val="single" w:sz="8" w:space="0" w:color="3998B5" w:themeColor="accent5"/>
          <w:bottom w:val="single" w:sz="8" w:space="0" w:color="3998B5" w:themeColor="accent5"/>
          <w:right w:val="single" w:sz="8" w:space="0" w:color="3998B5" w:themeColor="accent5"/>
        </w:tcBorders>
      </w:tcPr>
    </w:tblStylePr>
    <w:tblStylePr w:type="band1Horz">
      <w:tblPr/>
      <w:tcPr>
        <w:tcBorders>
          <w:top w:val="single" w:sz="8" w:space="0" w:color="3998B5" w:themeColor="accent5"/>
          <w:left w:val="single" w:sz="8" w:space="0" w:color="3998B5" w:themeColor="accent5"/>
          <w:bottom w:val="single" w:sz="8" w:space="0" w:color="3998B5" w:themeColor="accent5"/>
          <w:right w:val="single" w:sz="8" w:space="0" w:color="3998B5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98248A"/>
    <w:pPr>
      <w:spacing w:after="0" w:line="240" w:lineRule="auto"/>
    </w:pPr>
    <w:tblPr>
      <w:tblStyleRowBandSize w:val="1"/>
      <w:tblStyleColBandSize w:val="1"/>
      <w:tblBorders>
        <w:top w:val="single" w:sz="8" w:space="0" w:color="63B5CE" w:themeColor="accent5" w:themeTint="BF"/>
        <w:left w:val="single" w:sz="8" w:space="0" w:color="63B5CE" w:themeColor="accent5" w:themeTint="BF"/>
        <w:bottom w:val="single" w:sz="8" w:space="0" w:color="63B5CE" w:themeColor="accent5" w:themeTint="BF"/>
        <w:right w:val="single" w:sz="8" w:space="0" w:color="63B5CE" w:themeColor="accent5" w:themeTint="BF"/>
        <w:insideH w:val="single" w:sz="8" w:space="0" w:color="63B5C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B5CE" w:themeColor="accent5" w:themeTint="BF"/>
          <w:left w:val="single" w:sz="8" w:space="0" w:color="63B5CE" w:themeColor="accent5" w:themeTint="BF"/>
          <w:bottom w:val="single" w:sz="8" w:space="0" w:color="63B5CE" w:themeColor="accent5" w:themeTint="BF"/>
          <w:right w:val="single" w:sz="8" w:space="0" w:color="63B5CE" w:themeColor="accent5" w:themeTint="BF"/>
          <w:insideH w:val="nil"/>
          <w:insideV w:val="nil"/>
        </w:tcBorders>
        <w:shd w:val="clear" w:color="auto" w:fill="3998B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5CE" w:themeColor="accent5" w:themeTint="BF"/>
          <w:left w:val="single" w:sz="8" w:space="0" w:color="63B5CE" w:themeColor="accent5" w:themeTint="BF"/>
          <w:bottom w:val="single" w:sz="8" w:space="0" w:color="63B5CE" w:themeColor="accent5" w:themeTint="BF"/>
          <w:right w:val="single" w:sz="8" w:space="0" w:color="63B5C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6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ableNBulletChar">
    <w:name w:val="Table N Bullet Char"/>
    <w:basedOn w:val="DefaultParagraphFont"/>
    <w:link w:val="TableNBullet"/>
    <w:uiPriority w:val="2"/>
    <w:rsid w:val="00A31A03"/>
    <w:rPr>
      <w:rFonts w:ascii="Arial" w:eastAsia="Times New Roman" w:hAnsi="Arial" w:cs="Times New Roman"/>
      <w:sz w:val="18"/>
      <w:szCs w:val="19"/>
      <w:lang w:val="en-AU" w:eastAsia="en-AU"/>
    </w:rPr>
  </w:style>
  <w:style w:type="character" w:customStyle="1" w:styleId="FooterChar">
    <w:name w:val="Footer Char"/>
    <w:aliases w:val="Foot note Char"/>
    <w:basedOn w:val="DefaultParagraphFont"/>
    <w:link w:val="Footer"/>
    <w:uiPriority w:val="99"/>
    <w:rsid w:val="00503AFB"/>
    <w:rPr>
      <w:rFonts w:ascii="Arial" w:hAnsi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298"/>
    <w:pPr>
      <w:spacing w:line="240" w:lineRule="auto"/>
    </w:pPr>
    <w:rPr>
      <w:rFonts w:ascii="Segoe UI" w:hAnsi="Segoe UI"/>
      <w:sz w:val="20"/>
      <w:szCs w:val="20"/>
    </w:rPr>
  </w:style>
  <w:style w:type="paragraph" w:customStyle="1" w:styleId="URL-nous">
    <w:name w:val="URL - nous"/>
    <w:basedOn w:val="Normal"/>
    <w:link w:val="URL-nousChar"/>
    <w:uiPriority w:val="89"/>
    <w:semiHidden/>
    <w:qFormat/>
    <w:rsid w:val="000D4195"/>
    <w:pPr>
      <w:spacing w:after="0"/>
    </w:pPr>
    <w:rPr>
      <w:rFonts w:eastAsia="Times New Roman" w:cs="Times New Roman"/>
      <w:color w:val="3F4A75" w:themeColor="accent1"/>
      <w:spacing w:val="20"/>
      <w:sz w:val="14"/>
      <w:szCs w:val="19"/>
      <w:lang w:eastAsia="en-AU"/>
    </w:rPr>
  </w:style>
  <w:style w:type="character" w:customStyle="1" w:styleId="URL-nousChar">
    <w:name w:val="URL - nous Char"/>
    <w:basedOn w:val="DefaultParagraphFont"/>
    <w:link w:val="URL-nous"/>
    <w:uiPriority w:val="89"/>
    <w:semiHidden/>
    <w:rsid w:val="000D4195"/>
    <w:rPr>
      <w:rFonts w:ascii="Segoe UI" w:eastAsia="Times New Roman" w:hAnsi="Segoe UI" w:cs="Times New Roman"/>
      <w:color w:val="3F4A75" w:themeColor="accent1"/>
      <w:spacing w:val="20"/>
      <w:sz w:val="14"/>
      <w:szCs w:val="19"/>
      <w:lang w:val="en-AU" w:eastAsia="en-AU"/>
    </w:rPr>
  </w:style>
  <w:style w:type="table" w:customStyle="1" w:styleId="NousTableSide">
    <w:name w:val="Nous Table_Side"/>
    <w:basedOn w:val="TableNormal"/>
    <w:uiPriority w:val="99"/>
    <w:rsid w:val="00235BB5"/>
    <w:pPr>
      <w:spacing w:after="0" w:line="240" w:lineRule="auto"/>
    </w:pPr>
    <w:rPr>
      <w:rFonts w:ascii="Segoe UI" w:hAnsi="Segoe UI"/>
      <w:sz w:val="17"/>
    </w:rPr>
    <w:tblPr>
      <w:tblBorders>
        <w:top w:val="single" w:sz="8" w:space="0" w:color="3998B5" w:themeColor="accent5"/>
        <w:bottom w:val="single" w:sz="8" w:space="0" w:color="3998B5" w:themeColor="accent5"/>
        <w:insideH w:val="single" w:sz="8" w:space="0" w:color="3998B5" w:themeColor="accent5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pPr>
        <w:jc w:val="left"/>
      </w:pPr>
      <w:rPr>
        <w:rFonts w:ascii="Segoe UI Semibold" w:hAnsi="Segoe UI Semibold"/>
        <w:b w:val="0"/>
        <w:color w:val="F2F2F2" w:themeColor="background2"/>
        <w:sz w:val="17"/>
      </w:rPr>
      <w:tblPr/>
      <w:tcPr>
        <w:tcBorders>
          <w:top w:val="single" w:sz="12" w:space="0" w:color="FFFFFF" w:themeColor="background1"/>
          <w:left w:val="single" w:sz="18" w:space="0" w:color="0078BF" w:themeColor="accent3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3998B5" w:themeFill="accent5"/>
      </w:tcPr>
    </w:tblStylePr>
  </w:style>
  <w:style w:type="character" w:customStyle="1" w:styleId="Heading8Char">
    <w:name w:val="Heading 8 Char"/>
    <w:basedOn w:val="DefaultParagraphFont"/>
    <w:link w:val="Heading8"/>
    <w:uiPriority w:val="19"/>
    <w:semiHidden/>
    <w:rsid w:val="006F5B5A"/>
    <w:rPr>
      <w:rFonts w:ascii="Segoe UI" w:eastAsiaTheme="majorEastAsia" w:hAnsi="Segoe U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1A03"/>
    <w:rPr>
      <w:rFonts w:ascii="Arial" w:hAnsi="Arial"/>
      <w:color w:val="3F4A75" w:themeColor="accent1"/>
      <w:u w:val="single"/>
    </w:rPr>
  </w:style>
  <w:style w:type="table" w:customStyle="1" w:styleId="NousTableTopandside">
    <w:name w:val="Nous Table_Top and side"/>
    <w:basedOn w:val="TableNormal"/>
    <w:uiPriority w:val="99"/>
    <w:rsid w:val="00A31A03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F2F2F2" w:themeColor="background1" w:themeShade="F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Segoe UI Semibold" w:hAnsi="Segoe UI Semibold"/>
        <w:b w:val="0"/>
        <w:color w:val="F2F2F2" w:themeColor="background2"/>
        <w:sz w:val="18"/>
      </w:rPr>
      <w:tblPr/>
      <w:tcPr>
        <w:shd w:val="clear" w:color="auto" w:fill="3F4A75" w:themeFill="accent1"/>
      </w:tcPr>
    </w:tblStylePr>
    <w:tblStylePr w:type="firstCol">
      <w:pPr>
        <w:jc w:val="left"/>
      </w:pPr>
      <w:rPr>
        <w:rFonts w:ascii="Segoe UI Semibold" w:hAnsi="Segoe UI Semibold"/>
        <w:b w:val="0"/>
        <w:color w:val="F2F2F2" w:themeColor="background2"/>
        <w:sz w:val="18"/>
      </w:rPr>
      <w:tblPr/>
      <w:tcPr>
        <w:shd w:val="clear" w:color="auto" w:fill="3F4A75" w:themeFill="accent1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0B0298"/>
    <w:rPr>
      <w:rFonts w:ascii="Segoe UI" w:hAnsi="Segoe UI"/>
      <w:sz w:val="20"/>
      <w:szCs w:val="20"/>
      <w:lang w:val="en-AU"/>
    </w:rPr>
  </w:style>
  <w:style w:type="paragraph" w:customStyle="1" w:styleId="Sectionintroduction">
    <w:name w:val="Section introduction"/>
    <w:uiPriority w:val="21"/>
    <w:qFormat/>
    <w:rsid w:val="00A31A03"/>
    <w:pPr>
      <w:spacing w:before="120" w:after="120"/>
    </w:pPr>
    <w:rPr>
      <w:rFonts w:ascii="Arial" w:hAnsi="Arial"/>
      <w:b/>
      <w:color w:val="358189" w:themeColor="accent2"/>
      <w:sz w:val="21"/>
      <w:szCs w:val="21"/>
      <w:lang w:val="en-AU"/>
    </w:rPr>
  </w:style>
  <w:style w:type="character" w:customStyle="1" w:styleId="CaptionChar">
    <w:name w:val="Caption Char"/>
    <w:link w:val="Caption"/>
    <w:uiPriority w:val="35"/>
    <w:rsid w:val="00795437"/>
    <w:rPr>
      <w:rFonts w:ascii="Arial" w:hAnsi="Arial"/>
      <w:b/>
      <w:bCs/>
      <w:sz w:val="18"/>
      <w:szCs w:val="1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856872"/>
    <w:pPr>
      <w:tabs>
        <w:tab w:val="left" w:pos="851"/>
        <w:tab w:val="right" w:leader="dot" w:pos="8920"/>
      </w:tabs>
      <w:spacing w:after="100" w:line="240" w:lineRule="auto"/>
      <w:ind w:left="426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C19A6"/>
    <w:pPr>
      <w:tabs>
        <w:tab w:val="left" w:pos="426"/>
        <w:tab w:val="left" w:pos="1134"/>
        <w:tab w:val="right" w:leader="dot" w:pos="8920"/>
      </w:tabs>
      <w:spacing w:after="100" w:line="240" w:lineRule="auto"/>
    </w:pPr>
    <w:rPr>
      <w:noProof/>
      <w:lang w:val="en-US"/>
    </w:rPr>
  </w:style>
  <w:style w:type="paragraph" w:customStyle="1" w:styleId="Covertitle">
    <w:name w:val="Cover title"/>
    <w:basedOn w:val="Normal"/>
    <w:link w:val="CovertitleChar"/>
    <w:uiPriority w:val="99"/>
    <w:semiHidden/>
    <w:rsid w:val="00C50B0B"/>
    <w:pPr>
      <w:suppressAutoHyphens/>
      <w:spacing w:after="0" w:line="720" w:lineRule="exact"/>
    </w:pPr>
    <w:rPr>
      <w:rFonts w:eastAsia="Times New Roman" w:cs="Times New Roman"/>
      <w:color w:val="3F4A75" w:themeColor="text2"/>
      <w:sz w:val="84"/>
      <w:szCs w:val="19"/>
      <w:lang w:eastAsia="en-AU"/>
    </w:rPr>
  </w:style>
  <w:style w:type="character" w:customStyle="1" w:styleId="CovertitleChar">
    <w:name w:val="Cover title Char"/>
    <w:basedOn w:val="DefaultParagraphFont"/>
    <w:link w:val="Covertitle"/>
    <w:uiPriority w:val="99"/>
    <w:semiHidden/>
    <w:rsid w:val="00C50B0B"/>
    <w:rPr>
      <w:rFonts w:ascii="Segoe UI" w:eastAsia="Times New Roman" w:hAnsi="Segoe UI" w:cs="Times New Roman"/>
      <w:color w:val="3F4A75" w:themeColor="text2"/>
      <w:sz w:val="84"/>
      <w:szCs w:val="19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C50B0B"/>
    <w:rPr>
      <w:color w:val="808080"/>
    </w:rPr>
  </w:style>
  <w:style w:type="table" w:customStyle="1" w:styleId="Sectionintroductiontable">
    <w:name w:val="Section introduction table"/>
    <w:basedOn w:val="TableNormal"/>
    <w:uiPriority w:val="99"/>
    <w:rsid w:val="00815FD9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/>
      </w:pPr>
      <w:rPr>
        <w:rFonts w:ascii="Segoe UI Semilight" w:hAnsi="Segoe UI Semilight"/>
        <w:color w:val="F2F2F2" w:themeColor="background2"/>
        <w:sz w:val="21"/>
      </w:rPr>
      <w:tblPr/>
      <w:tcPr>
        <w:tcBorders>
          <w:top w:val="single" w:sz="8" w:space="0" w:color="F2F2F2" w:themeColor="background2"/>
          <w:left w:val="nil"/>
          <w:bottom w:val="single" w:sz="8" w:space="0" w:color="F2F2F2" w:themeColor="background2"/>
          <w:right w:val="nil"/>
        </w:tcBorders>
      </w:tcPr>
    </w:tblStylePr>
  </w:style>
  <w:style w:type="numbering" w:customStyle="1" w:styleId="Listnumberedmultilevel">
    <w:name w:val="List (numbered)_multilevel"/>
    <w:uiPriority w:val="99"/>
    <w:rsid w:val="00F660A8"/>
    <w:pPr>
      <w:numPr>
        <w:numId w:val="31"/>
      </w:numPr>
    </w:pPr>
  </w:style>
  <w:style w:type="numbering" w:customStyle="1" w:styleId="TableexpListnumberedmultilevel">
    <w:name w:val="Table exp List (numbered) multilevel"/>
    <w:uiPriority w:val="99"/>
    <w:rsid w:val="00F660A8"/>
    <w:pPr>
      <w:numPr>
        <w:numId w:val="25"/>
      </w:numPr>
    </w:pPr>
  </w:style>
  <w:style w:type="numbering" w:customStyle="1" w:styleId="TableNListnumberedmultilevel">
    <w:name w:val="Table N List (numbered) multilevel"/>
    <w:uiPriority w:val="99"/>
    <w:rsid w:val="00F660A8"/>
    <w:pPr>
      <w:numPr>
        <w:numId w:val="30"/>
      </w:numPr>
    </w:pPr>
  </w:style>
  <w:style w:type="table" w:customStyle="1" w:styleId="NousLongformcallout">
    <w:name w:val="Nous_Long form call out"/>
    <w:basedOn w:val="TableNormal"/>
    <w:uiPriority w:val="99"/>
    <w:rsid w:val="005F382F"/>
    <w:pPr>
      <w:spacing w:after="0" w:line="240" w:lineRule="auto"/>
    </w:pPr>
    <w:rPr>
      <w:color w:val="F2F2F2" w:themeColor="background2"/>
    </w:rPr>
    <w:tblPr>
      <w:tblBorders>
        <w:left w:val="single" w:sz="18" w:space="0" w:color="0078BF" w:themeColor="accent3"/>
      </w:tblBorders>
      <w:tblCellMar>
        <w:top w:w="113" w:type="dxa"/>
        <w:bottom w:w="113" w:type="dxa"/>
      </w:tblCellMar>
    </w:tblPr>
    <w:tcPr>
      <w:shd w:val="clear" w:color="auto" w:fill="3998B5" w:themeFill="accent5"/>
    </w:tcPr>
  </w:style>
  <w:style w:type="character" w:customStyle="1" w:styleId="TableNTextChar">
    <w:name w:val="Table N Text Char"/>
    <w:basedOn w:val="DefaultParagraphFont"/>
    <w:link w:val="TableNText"/>
    <w:uiPriority w:val="2"/>
    <w:rsid w:val="00410CD4"/>
    <w:rPr>
      <w:rFonts w:ascii="Segoe UI" w:hAnsi="Segoe UI"/>
      <w:sz w:val="17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E9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E9"/>
    <w:rPr>
      <w:rFonts w:ascii="Arial" w:hAnsi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DC5F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0027"/>
    <w:pPr>
      <w:spacing w:after="0" w:line="240" w:lineRule="auto"/>
    </w:pPr>
    <w:rPr>
      <w:rFonts w:ascii="Arial" w:hAnsi="Arial"/>
      <w:lang w:val="en-AU"/>
    </w:rPr>
  </w:style>
  <w:style w:type="character" w:styleId="Mention">
    <w:name w:val="Mention"/>
    <w:basedOn w:val="DefaultParagraphFont"/>
    <w:uiPriority w:val="99"/>
    <w:unhideWhenUsed/>
    <w:rsid w:val="002C24E0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01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1F9"/>
    <w:rPr>
      <w:rFonts w:ascii="Arial" w:hAnsi="Arial"/>
      <w:sz w:val="20"/>
      <w:szCs w:val="20"/>
      <w:lang w:val="en-AU"/>
    </w:rPr>
  </w:style>
  <w:style w:type="paragraph" w:customStyle="1" w:styleId="PolicyStatement">
    <w:name w:val="PolicyStatement"/>
    <w:basedOn w:val="Normal"/>
    <w:qFormat/>
    <w:rsid w:val="00291434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3F4A75" w:themeFill="text2"/>
      <w:spacing w:before="240" w:line="260" w:lineRule="auto"/>
      <w:ind w:left="227" w:right="227"/>
    </w:pPr>
    <w:rPr>
      <w:rFonts w:eastAsia="Times New Roman" w:cs="Times New Roman"/>
      <w:color w:val="FFFFFF" w:themeColor="background1"/>
      <w:szCs w:val="24"/>
    </w:rPr>
  </w:style>
  <w:style w:type="paragraph" w:styleId="ListBullet">
    <w:name w:val="List Bullet"/>
    <w:basedOn w:val="Normal"/>
    <w:uiPriority w:val="99"/>
    <w:unhideWhenUsed/>
    <w:rsid w:val="00795437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hw.gov.au/reports/mothers-babies/stillbirths-and-neonatal-death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ational-stillbirth-action-and-implementation-pla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ihw.gov.au/reports/mothers-babies/maternity-models-of-care-2021/contents/abou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hw.gov.au/reports/mothers-babies/australias-mothers-babies/contents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efault Theme">
  <a:themeElements>
    <a:clrScheme name="Health 2">
      <a:dk1>
        <a:sysClr val="windowText" lastClr="000000"/>
      </a:dk1>
      <a:lt1>
        <a:sysClr val="window" lastClr="FFFFFF"/>
      </a:lt1>
      <a:dk2>
        <a:srgbClr val="3F4A75"/>
      </a:dk2>
      <a:lt2>
        <a:srgbClr val="F2F2F2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3F4A75"/>
      </a:hlink>
      <a:folHlink>
        <a:srgbClr val="97A926"/>
      </a:folHlink>
    </a:clrScheme>
    <a:fontScheme name="Nous Font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3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 cap="rnd"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48EAD4158AE49B2C5B2609986DACF" ma:contentTypeVersion="6" ma:contentTypeDescription="Create a new document." ma:contentTypeScope="" ma:versionID="63debde284d3f2fffdcf8636c0f7807b">
  <xsd:schema xmlns:xsd="http://www.w3.org/2001/XMLSchema" xmlns:xs="http://www.w3.org/2001/XMLSchema" xmlns:p="http://schemas.microsoft.com/office/2006/metadata/properties" xmlns:ns2="ed0e681d-f07d-4fe3-a8c7-4fa07fc047f7" xmlns:ns3="8efa7cf9-b5c9-40ae-8fef-d8b5fa84cb5f" targetNamespace="http://schemas.microsoft.com/office/2006/metadata/properties" ma:root="true" ma:fieldsID="4ac3d5d97e9acd4ac708efd1f2c55d56" ns2:_="" ns3:_="">
    <xsd:import namespace="ed0e681d-f07d-4fe3-a8c7-4fa07fc047f7"/>
    <xsd:import namespace="8efa7cf9-b5c9-40ae-8fef-d8b5fa84c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681d-f07d-4fe3-a8c7-4fa07fc04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7cf9-b5c9-40ae-8fef-d8b5fa84c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F773B6-4A05-4F4C-A00F-1C904B55C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e681d-f07d-4fe3-a8c7-4fa07fc047f7"/>
    <ds:schemaRef ds:uri="8efa7cf9-b5c9-40ae-8fef-d8b5fa84c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5C921-58EB-4B7B-A167-27975A194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B4A30-4335-4615-B531-124E82602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1996</Words>
  <Characters>11522</Characters>
  <Application>Microsoft Office Word</Application>
  <DocSecurity>0</DocSecurity>
  <Lines>349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stillbirth action and implementation plan annual report 1, 2022</vt:lpstr>
    </vt:vector>
  </TitlesOfParts>
  <Company/>
  <LinksUpToDate>false</LinksUpToDate>
  <CharactersWithSpaces>13390</CharactersWithSpaces>
  <SharedDoc>false</SharedDoc>
  <HLinks>
    <vt:vector size="24" baseType="variant">
      <vt:variant>
        <vt:i4>3604542</vt:i4>
      </vt:variant>
      <vt:variant>
        <vt:i4>24</vt:i4>
      </vt:variant>
      <vt:variant>
        <vt:i4>0</vt:i4>
      </vt:variant>
      <vt:variant>
        <vt:i4>5</vt:i4>
      </vt:variant>
      <vt:variant>
        <vt:lpwstr>https://www.aihw.gov.au/reports/mothers-babies/maternity-models-of-care-2021/contents/about</vt:lpwstr>
      </vt:variant>
      <vt:variant>
        <vt:lpwstr/>
      </vt:variant>
      <vt:variant>
        <vt:i4>2621541</vt:i4>
      </vt:variant>
      <vt:variant>
        <vt:i4>21</vt:i4>
      </vt:variant>
      <vt:variant>
        <vt:i4>0</vt:i4>
      </vt:variant>
      <vt:variant>
        <vt:i4>5</vt:i4>
      </vt:variant>
      <vt:variant>
        <vt:lpwstr>https://www.aihw.gov.au/reports/mothers-babies/stillbirths-and-neonatal-deaths</vt:lpwstr>
      </vt:variant>
      <vt:variant>
        <vt:lpwstr/>
      </vt:variant>
      <vt:variant>
        <vt:i4>3932194</vt:i4>
      </vt:variant>
      <vt:variant>
        <vt:i4>18</vt:i4>
      </vt:variant>
      <vt:variant>
        <vt:i4>0</vt:i4>
      </vt:variant>
      <vt:variant>
        <vt:i4>5</vt:i4>
      </vt:variant>
      <vt:variant>
        <vt:lpwstr>https://www.aihw.gov.au/reports/mothers-babies/australias-mothers-babies/contents/about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https://www.health.gov.au/resources/publications/national-stillbirth-action-and-implementation-plan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stillbirth action and implementation plan annual report 1, 2022</dc:title>
  <dc:subject>Pregnancy</dc:subject>
  <dc:creator>Australian Government Department of Health and Aged Care</dc:creator>
  <cp:keywords>Pregnancy; Birth, Babies, Stillbirth</cp:keywords>
  <dc:description/>
  <cp:lastModifiedBy>Department of Health and Aged Care</cp:lastModifiedBy>
  <cp:revision>9</cp:revision>
  <cp:lastPrinted>2022-08-25T04:19:00Z</cp:lastPrinted>
  <dcterms:created xsi:type="dcterms:W3CDTF">2022-11-30T22:44:00Z</dcterms:created>
  <dcterms:modified xsi:type="dcterms:W3CDTF">2022-12-07T02:47:00Z</dcterms:modified>
</cp:coreProperties>
</file>