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A493" w14:textId="6529F433" w:rsidR="005F1B0A" w:rsidRPr="00B83B9F" w:rsidRDefault="009F63E4" w:rsidP="00A0404D">
      <w:pPr>
        <w:sectPr w:rsidR="005F1B0A" w:rsidRPr="00B83B9F" w:rsidSect="009F63E4">
          <w:type w:val="continuous"/>
          <w:pgSz w:w="11900" w:h="16840"/>
          <w:pgMar w:top="4990" w:right="680" w:bottom="692" w:left="680" w:header="709" w:footer="556" w:gutter="0"/>
          <w:pgNumType w:start="0"/>
          <w:cols w:space="708"/>
          <w:titlePg/>
          <w:docGrid w:linePitch="360"/>
        </w:sectPr>
      </w:pPr>
      <w:r w:rsidRPr="00B83B9F">
        <w:rPr>
          <w:noProof/>
        </w:rPr>
        <w:drawing>
          <wp:anchor distT="0" distB="0" distL="114300" distR="114300" simplePos="0" relativeHeight="251669504" behindDoc="0" locked="0" layoutInCell="1" allowOverlap="1" wp14:anchorId="6F5CE846" wp14:editId="4D07B0E4">
            <wp:simplePos x="0" y="0"/>
            <wp:positionH relativeFrom="page">
              <wp:align>left</wp:align>
            </wp:positionH>
            <wp:positionV relativeFrom="paragraph">
              <wp:posOffset>-3164205</wp:posOffset>
            </wp:positionV>
            <wp:extent cx="7556500" cy="2869565"/>
            <wp:effectExtent l="0" t="0" r="635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6500" cy="2869565"/>
                    </a:xfrm>
                    <a:prstGeom prst="rect">
                      <a:avLst/>
                    </a:prstGeom>
                  </pic:spPr>
                </pic:pic>
              </a:graphicData>
            </a:graphic>
            <wp14:sizeRelH relativeFrom="page">
              <wp14:pctWidth>0</wp14:pctWidth>
            </wp14:sizeRelH>
            <wp14:sizeRelV relativeFrom="page">
              <wp14:pctHeight>0</wp14:pctHeight>
            </wp14:sizeRelV>
          </wp:anchor>
        </w:drawing>
      </w:r>
      <w:r w:rsidRPr="00B83B9F">
        <w:rPr>
          <w:noProof/>
        </w:rPr>
        <w:drawing>
          <wp:anchor distT="0" distB="0" distL="114300" distR="114300" simplePos="0" relativeHeight="251665408" behindDoc="1" locked="0" layoutInCell="1" allowOverlap="1" wp14:anchorId="70D1BF19" wp14:editId="3B19FF02">
            <wp:simplePos x="0" y="0"/>
            <wp:positionH relativeFrom="page">
              <wp:align>right</wp:align>
            </wp:positionH>
            <wp:positionV relativeFrom="paragraph">
              <wp:posOffset>-3164205</wp:posOffset>
            </wp:positionV>
            <wp:extent cx="7645562" cy="298109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t="13809" b="27716"/>
                    <a:stretch/>
                  </pic:blipFill>
                  <pic:spPr bwMode="auto">
                    <a:xfrm>
                      <a:off x="0" y="0"/>
                      <a:ext cx="7645562" cy="29810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2A33C6" w14:textId="5DB88F82" w:rsidR="009956CC" w:rsidRPr="005A2122" w:rsidRDefault="009956CC" w:rsidP="005A2122">
      <w:pPr>
        <w:pStyle w:val="Heading1"/>
      </w:pPr>
      <w:r w:rsidRPr="00B83B9F">
        <w:t>Subsidies and Supplements under AN-ACC</w:t>
      </w:r>
    </w:p>
    <w:p w14:paraId="239793EF" w14:textId="2CBFFB8F" w:rsidR="009956CC" w:rsidRPr="005A2122" w:rsidRDefault="009956CC" w:rsidP="005A2122">
      <w:pPr>
        <w:pStyle w:val="Introduction"/>
      </w:pPr>
      <w:r w:rsidRPr="005A2122">
        <w:t>This fact sheet provides information on changes to subsidies and supplements under the Australian National Aged Care Classification (AN</w:t>
      </w:r>
      <w:r w:rsidRPr="005A2122">
        <w:noBreakHyphen/>
        <w:t>ACC).</w:t>
      </w:r>
    </w:p>
    <w:p w14:paraId="3932541B" w14:textId="423ECE5D" w:rsidR="009956CC" w:rsidRPr="005A2122" w:rsidRDefault="009956CC" w:rsidP="005A2122">
      <w:pPr>
        <w:pStyle w:val="Heading2"/>
      </w:pPr>
      <w:r w:rsidRPr="00B83B9F">
        <w:t>Overview</w:t>
      </w:r>
    </w:p>
    <w:p w14:paraId="7E7F8AA4" w14:textId="262242E4" w:rsidR="009956CC" w:rsidRPr="005A2122" w:rsidRDefault="009956CC" w:rsidP="005A2122">
      <w:r w:rsidRPr="005A2122">
        <w:t xml:space="preserve">The AN-ACC is a key component of the major aged care reforms </w:t>
      </w:r>
      <w:r w:rsidR="00635128" w:rsidRPr="005A2122">
        <w:t>being</w:t>
      </w:r>
      <w:r w:rsidRPr="005A2122">
        <w:t xml:space="preserve"> implemented in response to the final report of the Royal Commission into Aged Care Quality and Safety. AN-ACC provide</w:t>
      </w:r>
      <w:r w:rsidR="00635128" w:rsidRPr="005A2122">
        <w:t>s</w:t>
      </w:r>
      <w:r w:rsidRPr="005A2122">
        <w:t xml:space="preserve"> more equitable care funding to providers that better matches resident funding with the costs of delivering care enabling a more efficient, </w:t>
      </w:r>
      <w:proofErr w:type="gramStart"/>
      <w:r w:rsidRPr="005A2122">
        <w:t>transparent</w:t>
      </w:r>
      <w:proofErr w:type="gramEnd"/>
      <w:r w:rsidRPr="005A2122">
        <w:t xml:space="preserve"> and sustainable system.</w:t>
      </w:r>
    </w:p>
    <w:p w14:paraId="68C36DB6" w14:textId="1793EAD9" w:rsidR="009F63E4" w:rsidRPr="005A2122" w:rsidRDefault="00635128" w:rsidP="005A2122">
      <w:pPr>
        <w:pStyle w:val="Heading2"/>
      </w:pPr>
      <w:r w:rsidRPr="005A2122">
        <w:t>Subsidies and supplements</w:t>
      </w:r>
    </w:p>
    <w:p w14:paraId="48E174EE" w14:textId="77777777" w:rsidR="00635128" w:rsidRPr="005A2122" w:rsidRDefault="00635128" w:rsidP="005A2122">
      <w:r w:rsidRPr="005A2122">
        <w:t>Under AN-ACC, the subsidy paid to the provider consists of three components:</w:t>
      </w:r>
    </w:p>
    <w:p w14:paraId="0C4FA1C9" w14:textId="77777777" w:rsidR="00635128" w:rsidRPr="00B83B9F" w:rsidRDefault="00635128" w:rsidP="000E09A7">
      <w:pPr>
        <w:pStyle w:val="ListBullet"/>
      </w:pPr>
      <w:r w:rsidRPr="00B83B9F">
        <w:t>a fixed component (Base Care Tariff or BCT) to account for shared costs across all residents which vary by location and type of provider</w:t>
      </w:r>
    </w:p>
    <w:p w14:paraId="65FE4EE5" w14:textId="77777777" w:rsidR="00635128" w:rsidRPr="00B83B9F" w:rsidRDefault="00635128" w:rsidP="000E09A7">
      <w:pPr>
        <w:pStyle w:val="ListBullet"/>
      </w:pPr>
      <w:r w:rsidRPr="00B83B9F">
        <w:t>a variable component (classification funding) based on each resident’s individual care needs</w:t>
      </w:r>
    </w:p>
    <w:p w14:paraId="68258DD7" w14:textId="2B21A71A" w:rsidR="00635128" w:rsidRPr="00B83B9F" w:rsidRDefault="00635128" w:rsidP="00B83B9F">
      <w:pPr>
        <w:pStyle w:val="ListBullet"/>
        <w:spacing w:after="240"/>
      </w:pPr>
      <w:r w:rsidRPr="00B83B9F">
        <w:t>an adjustment payment, a one-off payment for when a new resident enters a facility.</w:t>
      </w:r>
    </w:p>
    <w:p w14:paraId="03BF6B78" w14:textId="63ED2E99" w:rsidR="00635128" w:rsidRPr="005A2122" w:rsidRDefault="00635128" w:rsidP="005A2122">
      <w:r w:rsidRPr="005A2122">
        <w:t>The AN-ACC funding rolls together the previous ACFI basic subsidy (that is, ACFI funding), the amounts that were provided through the Basic Daily Fee supplement, the homeless supplement, the viability supplement, and the additional funding for care minutes that commenced from 1 October 2022.</w:t>
      </w:r>
    </w:p>
    <w:p w14:paraId="618A7F75" w14:textId="451463D7" w:rsidR="00635128" w:rsidRPr="005A2122" w:rsidRDefault="00635128" w:rsidP="005A2122">
      <w:r w:rsidRPr="005A2122">
        <w:t xml:space="preserve">The Adjusted Subsidy Reduction ceased from the commencement of AN-ACC. As a result, services that were subject to the Adjusted Subsidy Reduction for all or some of their beds will receive an increase in funding and </w:t>
      </w:r>
      <w:r w:rsidR="00E07E8F" w:rsidRPr="005A2122">
        <w:t xml:space="preserve">are </w:t>
      </w:r>
      <w:r w:rsidRPr="005A2122">
        <w:t>now being funded on a consistent basis to other Australian Government funded aged care facilities.</w:t>
      </w:r>
    </w:p>
    <w:p w14:paraId="778A1901" w14:textId="7E6F44E1" w:rsidR="009F63E4" w:rsidRPr="005A2122" w:rsidRDefault="00635128" w:rsidP="005A2122">
      <w:pPr>
        <w:pStyle w:val="Heading2"/>
      </w:pPr>
      <w:bookmarkStart w:id="0" w:name="_Hlk113105841"/>
      <w:r w:rsidRPr="005A2122">
        <w:t>Changes to aged care subsidies and supplements</w:t>
      </w:r>
    </w:p>
    <w:p w14:paraId="6FF861BB" w14:textId="57BECB19" w:rsidR="00635128" w:rsidRPr="005A2122" w:rsidRDefault="00523527" w:rsidP="005A2122">
      <w:r w:rsidRPr="005A2122">
        <w:t>Table 1 outlines some of the subsidies and supplements that changed or ceased from 1 October 2022.</w:t>
      </w:r>
    </w:p>
    <w:p w14:paraId="0B957112" w14:textId="485A1990" w:rsidR="005A5B4A" w:rsidRPr="00B83B9F" w:rsidRDefault="005A5B4A" w:rsidP="005A2122">
      <w:pPr>
        <w:pStyle w:val="Caption"/>
      </w:pPr>
      <w:r w:rsidRPr="00B83B9F">
        <w:lastRenderedPageBreak/>
        <w:t xml:space="preserve">Table </w:t>
      </w:r>
      <w:fldSimple w:instr=" SEQ Table \* ARABIC ">
        <w:r w:rsidR="00543BDE">
          <w:rPr>
            <w:noProof/>
          </w:rPr>
          <w:t>1</w:t>
        </w:r>
      </w:fldSimple>
      <w:r w:rsidRPr="00B83B9F">
        <w:t xml:space="preserve"> Changes to subsidies and supplements under AN-ACC</w:t>
      </w:r>
    </w:p>
    <w:tbl>
      <w:tblPr>
        <w:tblStyle w:val="ListTable3"/>
        <w:tblW w:w="10485" w:type="dxa"/>
        <w:tblLook w:val="04A0" w:firstRow="1" w:lastRow="0" w:firstColumn="1" w:lastColumn="0" w:noHBand="0" w:noVBand="1"/>
        <w:tblDescription w:val="Changes to aged care subsidies and supplements"/>
      </w:tblPr>
      <w:tblGrid>
        <w:gridCol w:w="5098"/>
        <w:gridCol w:w="5387"/>
      </w:tblGrid>
      <w:tr w:rsidR="00B83B9F" w:rsidRPr="00B83B9F" w14:paraId="2F0BA66B" w14:textId="77777777" w:rsidTr="005A2122">
        <w:trPr>
          <w:cnfStyle w:val="100000000000" w:firstRow="1" w:lastRow="0" w:firstColumn="0" w:lastColumn="0" w:oddVBand="0" w:evenVBand="0" w:oddHBand="0" w:evenHBand="0" w:firstRowFirstColumn="0" w:firstRowLastColumn="0" w:lastRowFirstColumn="0" w:lastRowLastColumn="0"/>
          <w:trHeight w:val="737"/>
        </w:trPr>
        <w:tc>
          <w:tcPr>
            <w:cnfStyle w:val="001000000100" w:firstRow="0" w:lastRow="0" w:firstColumn="1" w:lastColumn="0" w:oddVBand="0" w:evenVBand="0" w:oddHBand="0" w:evenHBand="0" w:firstRowFirstColumn="1" w:firstRowLastColumn="0" w:lastRowFirstColumn="0" w:lastRowLastColumn="0"/>
            <w:tcW w:w="5098" w:type="dxa"/>
            <w:vAlign w:val="center"/>
          </w:tcPr>
          <w:p w14:paraId="330908FF" w14:textId="1E705DD7" w:rsidR="00730501" w:rsidRPr="005A2122" w:rsidRDefault="0015197B" w:rsidP="005A2122">
            <w:r w:rsidRPr="005A2122">
              <w:t xml:space="preserve">Previous </w:t>
            </w:r>
            <w:r w:rsidR="00523527" w:rsidRPr="005A2122">
              <w:t xml:space="preserve">subsidy or supplement </w:t>
            </w:r>
            <w:r w:rsidR="00730501" w:rsidRPr="005A2122">
              <w:t xml:space="preserve">under ACFI </w:t>
            </w:r>
          </w:p>
          <w:p w14:paraId="6E99E7C9" w14:textId="05187076" w:rsidR="00523527" w:rsidRPr="005A2122" w:rsidRDefault="00523527" w:rsidP="005A2122">
            <w:r w:rsidRPr="005A2122">
              <w:t>(</w:t>
            </w:r>
            <w:proofErr w:type="gramStart"/>
            <w:r w:rsidR="00730501" w:rsidRPr="005A2122">
              <w:t>to</w:t>
            </w:r>
            <w:proofErr w:type="gramEnd"/>
            <w:r w:rsidR="00730501" w:rsidRPr="005A2122">
              <w:t xml:space="preserve"> 30 September</w:t>
            </w:r>
            <w:r w:rsidRPr="005A2122">
              <w:t> 2022)</w:t>
            </w:r>
          </w:p>
        </w:tc>
        <w:tc>
          <w:tcPr>
            <w:tcW w:w="5387" w:type="dxa"/>
            <w:vAlign w:val="center"/>
          </w:tcPr>
          <w:p w14:paraId="215E05A7" w14:textId="77777777" w:rsidR="00523527" w:rsidRPr="005A2122" w:rsidRDefault="00523527" w:rsidP="005A2122">
            <w:pPr>
              <w:cnfStyle w:val="100000000000" w:firstRow="1" w:lastRow="0" w:firstColumn="0" w:lastColumn="0" w:oddVBand="0" w:evenVBand="0" w:oddHBand="0" w:evenHBand="0" w:firstRowFirstColumn="0" w:firstRowLastColumn="0" w:lastRowFirstColumn="0" w:lastRowLastColumn="0"/>
            </w:pPr>
            <w:r w:rsidRPr="005A2122">
              <w:t>Subsidy or supplement under AN-ACC (from 1 October 2022)</w:t>
            </w:r>
          </w:p>
        </w:tc>
      </w:tr>
      <w:tr w:rsidR="00B83B9F" w:rsidRPr="00B83B9F" w14:paraId="621CE534" w14:textId="77777777" w:rsidTr="005A212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98" w:type="dxa"/>
          </w:tcPr>
          <w:p w14:paraId="6CFC2D09" w14:textId="77777777" w:rsidR="00523527" w:rsidRPr="00B83B9F" w:rsidRDefault="00523527" w:rsidP="000E09A7">
            <w:pPr>
              <w:rPr>
                <w:bCs w:val="0"/>
              </w:rPr>
            </w:pPr>
            <w:r w:rsidRPr="00B83B9F">
              <w:t>ACFI basic subsidy rates</w:t>
            </w:r>
          </w:p>
        </w:tc>
        <w:tc>
          <w:tcPr>
            <w:tcW w:w="5387" w:type="dxa"/>
          </w:tcPr>
          <w:p w14:paraId="2158AE21" w14:textId="77777777" w:rsidR="00523527" w:rsidRPr="005A2122" w:rsidRDefault="00523527" w:rsidP="005A2122">
            <w:pPr>
              <w:cnfStyle w:val="000000100000" w:firstRow="0" w:lastRow="0" w:firstColumn="0" w:lastColumn="0" w:oddVBand="0" w:evenVBand="0" w:oddHBand="1" w:evenHBand="0" w:firstRowFirstColumn="0" w:firstRowLastColumn="0" w:lastRowFirstColumn="0" w:lastRowLastColumn="0"/>
            </w:pPr>
            <w:r w:rsidRPr="005A2122">
              <w:t xml:space="preserve">Replaced by AN-ACC basic subsidy rates (fixed, </w:t>
            </w:r>
            <w:proofErr w:type="gramStart"/>
            <w:r w:rsidRPr="005A2122">
              <w:t>variable</w:t>
            </w:r>
            <w:proofErr w:type="gramEnd"/>
            <w:r w:rsidRPr="005A2122">
              <w:t xml:space="preserve"> and one-off adjustment)</w:t>
            </w:r>
          </w:p>
        </w:tc>
      </w:tr>
      <w:tr w:rsidR="00B83B9F" w:rsidRPr="00B83B9F" w14:paraId="70083748" w14:textId="77777777" w:rsidTr="005A2122">
        <w:trPr>
          <w:trHeight w:val="454"/>
        </w:trPr>
        <w:tc>
          <w:tcPr>
            <w:cnfStyle w:val="001000000000" w:firstRow="0" w:lastRow="0" w:firstColumn="1" w:lastColumn="0" w:oddVBand="0" w:evenVBand="0" w:oddHBand="0" w:evenHBand="0" w:firstRowFirstColumn="0" w:firstRowLastColumn="0" w:lastRowFirstColumn="0" w:lastRowLastColumn="0"/>
            <w:tcW w:w="5098" w:type="dxa"/>
          </w:tcPr>
          <w:p w14:paraId="0991E518" w14:textId="77777777" w:rsidR="00523527" w:rsidRPr="00B83B9F" w:rsidRDefault="00523527" w:rsidP="00C8693C">
            <w:r w:rsidRPr="00B83B9F">
              <w:t>Residential Respite basic subsidy – Low</w:t>
            </w:r>
          </w:p>
        </w:tc>
        <w:tc>
          <w:tcPr>
            <w:tcW w:w="5387" w:type="dxa"/>
          </w:tcPr>
          <w:p w14:paraId="3D0E7E18" w14:textId="77777777" w:rsidR="00523527" w:rsidRPr="005A2122" w:rsidRDefault="00523527" w:rsidP="005A2122">
            <w:pPr>
              <w:cnfStyle w:val="000000000000" w:firstRow="0" w:lastRow="0" w:firstColumn="0" w:lastColumn="0" w:oddVBand="0" w:evenVBand="0" w:oddHBand="0" w:evenHBand="0" w:firstRowFirstColumn="0" w:firstRowLastColumn="0" w:lastRowFirstColumn="0" w:lastRowLastColumn="0"/>
            </w:pPr>
            <w:r w:rsidRPr="005A2122">
              <w:t>Replaced by Respite basic subsidy – Class 1 (independently mobile) + fixed funding component + fixed funding component</w:t>
            </w:r>
          </w:p>
        </w:tc>
      </w:tr>
      <w:tr w:rsidR="00B83B9F" w:rsidRPr="00B83B9F" w14:paraId="24C42110" w14:textId="77777777" w:rsidTr="005A212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98" w:type="dxa"/>
            <w:vMerge w:val="restart"/>
          </w:tcPr>
          <w:p w14:paraId="063DB9D3" w14:textId="77777777" w:rsidR="00523527" w:rsidRPr="00B83B9F" w:rsidRDefault="00523527" w:rsidP="00C8693C">
            <w:r w:rsidRPr="00B83B9F">
              <w:t>Residential Respite basic subsidy – High</w:t>
            </w:r>
          </w:p>
        </w:tc>
        <w:tc>
          <w:tcPr>
            <w:tcW w:w="5387" w:type="dxa"/>
          </w:tcPr>
          <w:p w14:paraId="090E8017" w14:textId="77777777" w:rsidR="00523527" w:rsidRPr="005A2122" w:rsidRDefault="00523527" w:rsidP="005A2122">
            <w:pPr>
              <w:cnfStyle w:val="000000100000" w:firstRow="0" w:lastRow="0" w:firstColumn="0" w:lastColumn="0" w:oddVBand="0" w:evenVBand="0" w:oddHBand="1" w:evenHBand="0" w:firstRowFirstColumn="0" w:firstRowLastColumn="0" w:lastRowFirstColumn="0" w:lastRowLastColumn="0"/>
            </w:pPr>
            <w:r w:rsidRPr="005A2122">
              <w:t>Replaced by Respite basic subsidy – Class 2 (assisted mobility) + fixed funding component</w:t>
            </w:r>
          </w:p>
          <w:p w14:paraId="0C549AD2" w14:textId="77777777" w:rsidR="00523527" w:rsidRPr="005A2122" w:rsidRDefault="00523527" w:rsidP="005A2122">
            <w:pPr>
              <w:cnfStyle w:val="000000100000" w:firstRow="0" w:lastRow="0" w:firstColumn="0" w:lastColumn="0" w:oddVBand="0" w:evenVBand="0" w:oddHBand="1" w:evenHBand="0" w:firstRowFirstColumn="0" w:firstRowLastColumn="0" w:lastRowFirstColumn="0" w:lastRowLastColumn="0"/>
            </w:pPr>
            <w:r w:rsidRPr="005A2122">
              <w:t>OR</w:t>
            </w:r>
          </w:p>
        </w:tc>
      </w:tr>
      <w:tr w:rsidR="00B83B9F" w:rsidRPr="00B83B9F" w14:paraId="0EECB95A" w14:textId="77777777" w:rsidTr="005A2122">
        <w:trPr>
          <w:trHeight w:val="454"/>
        </w:trPr>
        <w:tc>
          <w:tcPr>
            <w:cnfStyle w:val="001000000000" w:firstRow="0" w:lastRow="0" w:firstColumn="1" w:lastColumn="0" w:oddVBand="0" w:evenVBand="0" w:oddHBand="0" w:evenHBand="0" w:firstRowFirstColumn="0" w:firstRowLastColumn="0" w:lastRowFirstColumn="0" w:lastRowLastColumn="0"/>
            <w:tcW w:w="5098" w:type="dxa"/>
            <w:vMerge/>
          </w:tcPr>
          <w:p w14:paraId="13353430" w14:textId="77777777" w:rsidR="00523527" w:rsidRPr="00B83B9F" w:rsidRDefault="00523527" w:rsidP="00667C7C">
            <w:pPr>
              <w:spacing w:line="259" w:lineRule="auto"/>
              <w:rPr>
                <w:rFonts w:cs="Arial"/>
                <w:b w:val="0"/>
                <w:bCs w:val="0"/>
              </w:rPr>
            </w:pPr>
          </w:p>
        </w:tc>
        <w:tc>
          <w:tcPr>
            <w:tcW w:w="5387" w:type="dxa"/>
          </w:tcPr>
          <w:p w14:paraId="7B1FD2F3" w14:textId="77777777" w:rsidR="00523527" w:rsidRPr="005A2122" w:rsidRDefault="00523527" w:rsidP="005A2122">
            <w:pPr>
              <w:cnfStyle w:val="000000000000" w:firstRow="0" w:lastRow="0" w:firstColumn="0" w:lastColumn="0" w:oddVBand="0" w:evenVBand="0" w:oddHBand="0" w:evenHBand="0" w:firstRowFirstColumn="0" w:firstRowLastColumn="0" w:lastRowFirstColumn="0" w:lastRowLastColumn="0"/>
            </w:pPr>
            <w:r w:rsidRPr="005A2122">
              <w:t>Replaced by Respite Class – Class 3 (limited mobility) + fixed funding component</w:t>
            </w:r>
          </w:p>
        </w:tc>
      </w:tr>
      <w:tr w:rsidR="00B83B9F" w:rsidRPr="00B83B9F" w14:paraId="698E372E" w14:textId="77777777" w:rsidTr="005A212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98" w:type="dxa"/>
          </w:tcPr>
          <w:p w14:paraId="2A8F7BF3" w14:textId="77777777" w:rsidR="00523527" w:rsidRPr="00B83B9F" w:rsidRDefault="00523527" w:rsidP="000E09A7">
            <w:pPr>
              <w:rPr>
                <w:bCs w:val="0"/>
              </w:rPr>
            </w:pPr>
            <w:r w:rsidRPr="00B83B9F">
              <w:t xml:space="preserve">Respite Supplement (low, </w:t>
            </w:r>
            <w:proofErr w:type="gramStart"/>
            <w:r w:rsidRPr="00B83B9F">
              <w:t>high</w:t>
            </w:r>
            <w:proofErr w:type="gramEnd"/>
            <w:r w:rsidRPr="00B83B9F">
              <w:t xml:space="preserve"> and incentive)</w:t>
            </w:r>
          </w:p>
        </w:tc>
        <w:tc>
          <w:tcPr>
            <w:tcW w:w="5387" w:type="dxa"/>
          </w:tcPr>
          <w:p w14:paraId="5D92F357" w14:textId="77777777" w:rsidR="00523527" w:rsidRPr="005A2122" w:rsidRDefault="00523527" w:rsidP="005A2122">
            <w:pPr>
              <w:cnfStyle w:val="000000100000" w:firstRow="0" w:lastRow="0" w:firstColumn="0" w:lastColumn="0" w:oddVBand="0" w:evenVBand="0" w:oddHBand="1" w:evenHBand="0" w:firstRowFirstColumn="0" w:firstRowLastColumn="0" w:lastRowFirstColumn="0" w:lastRowLastColumn="0"/>
            </w:pPr>
            <w:r w:rsidRPr="005A2122">
              <w:t>Replaced by Respite Accommodation Supplement (paid at a rate equivalent to the maximum Accommodation supplement rate in the service providing the respite care)</w:t>
            </w:r>
          </w:p>
        </w:tc>
      </w:tr>
      <w:tr w:rsidR="00B83B9F" w:rsidRPr="00B83B9F" w14:paraId="7BC0624B" w14:textId="77777777" w:rsidTr="005A2122">
        <w:trPr>
          <w:trHeight w:val="454"/>
        </w:trPr>
        <w:tc>
          <w:tcPr>
            <w:cnfStyle w:val="001000000000" w:firstRow="0" w:lastRow="0" w:firstColumn="1" w:lastColumn="0" w:oddVBand="0" w:evenVBand="0" w:oddHBand="0" w:evenHBand="0" w:firstRowFirstColumn="0" w:firstRowLastColumn="0" w:lastRowFirstColumn="0" w:lastRowLastColumn="0"/>
            <w:tcW w:w="5098" w:type="dxa"/>
          </w:tcPr>
          <w:p w14:paraId="0FE7D31B" w14:textId="77777777" w:rsidR="00523527" w:rsidRPr="00B83B9F" w:rsidRDefault="00523527" w:rsidP="000E09A7">
            <w:pPr>
              <w:rPr>
                <w:bCs w:val="0"/>
              </w:rPr>
            </w:pPr>
            <w:r w:rsidRPr="00B83B9F">
              <w:t>Oxygen Supplement</w:t>
            </w:r>
          </w:p>
        </w:tc>
        <w:tc>
          <w:tcPr>
            <w:tcW w:w="5387" w:type="dxa"/>
          </w:tcPr>
          <w:p w14:paraId="4B9A5BCB" w14:textId="77777777" w:rsidR="00523527" w:rsidRPr="005A2122" w:rsidRDefault="00523527" w:rsidP="005A2122">
            <w:pPr>
              <w:cnfStyle w:val="000000000000" w:firstRow="0" w:lastRow="0" w:firstColumn="0" w:lastColumn="0" w:oddVBand="0" w:evenVBand="0" w:oddHBand="0" w:evenHBand="0" w:firstRowFirstColumn="0" w:firstRowLastColumn="0" w:lastRowFirstColumn="0" w:lastRowLastColumn="0"/>
            </w:pPr>
            <w:r w:rsidRPr="005A2122">
              <w:t>Oxygen Supplement</w:t>
            </w:r>
          </w:p>
        </w:tc>
      </w:tr>
      <w:tr w:rsidR="00B83B9F" w:rsidRPr="00B83B9F" w14:paraId="1E364782" w14:textId="77777777" w:rsidTr="005A212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98" w:type="dxa"/>
          </w:tcPr>
          <w:p w14:paraId="1E87D880" w14:textId="77777777" w:rsidR="00523527" w:rsidRPr="00B83B9F" w:rsidRDefault="00523527" w:rsidP="000E09A7">
            <w:pPr>
              <w:rPr>
                <w:bCs w:val="0"/>
              </w:rPr>
            </w:pPr>
            <w:r w:rsidRPr="00B83B9F">
              <w:t>Enteral Feeding Supplement – Bolus</w:t>
            </w:r>
          </w:p>
        </w:tc>
        <w:tc>
          <w:tcPr>
            <w:tcW w:w="5387" w:type="dxa"/>
          </w:tcPr>
          <w:p w14:paraId="5C8966B6" w14:textId="77777777" w:rsidR="00523527" w:rsidRPr="005A2122" w:rsidRDefault="00523527" w:rsidP="005A2122">
            <w:pPr>
              <w:cnfStyle w:val="000000100000" w:firstRow="0" w:lastRow="0" w:firstColumn="0" w:lastColumn="0" w:oddVBand="0" w:evenVBand="0" w:oddHBand="1" w:evenHBand="0" w:firstRowFirstColumn="0" w:firstRowLastColumn="0" w:lastRowFirstColumn="0" w:lastRowLastColumn="0"/>
            </w:pPr>
            <w:r w:rsidRPr="005A2122">
              <w:t>Enteral Feeding Supplement - Bolus</w:t>
            </w:r>
          </w:p>
        </w:tc>
      </w:tr>
      <w:tr w:rsidR="00B83B9F" w:rsidRPr="00B83B9F" w14:paraId="02B95E88" w14:textId="77777777" w:rsidTr="005A2122">
        <w:trPr>
          <w:trHeight w:val="454"/>
        </w:trPr>
        <w:tc>
          <w:tcPr>
            <w:cnfStyle w:val="001000000000" w:firstRow="0" w:lastRow="0" w:firstColumn="1" w:lastColumn="0" w:oddVBand="0" w:evenVBand="0" w:oddHBand="0" w:evenHBand="0" w:firstRowFirstColumn="0" w:firstRowLastColumn="0" w:lastRowFirstColumn="0" w:lastRowLastColumn="0"/>
            <w:tcW w:w="5098" w:type="dxa"/>
          </w:tcPr>
          <w:p w14:paraId="23621594" w14:textId="77777777" w:rsidR="00523527" w:rsidRPr="00B83B9F" w:rsidRDefault="00523527" w:rsidP="000E09A7">
            <w:pPr>
              <w:rPr>
                <w:bCs w:val="0"/>
              </w:rPr>
            </w:pPr>
            <w:r w:rsidRPr="00B83B9F">
              <w:t>Enteral Feeding Supplement – Non–bolus</w:t>
            </w:r>
          </w:p>
        </w:tc>
        <w:tc>
          <w:tcPr>
            <w:tcW w:w="5387" w:type="dxa"/>
          </w:tcPr>
          <w:p w14:paraId="04E28FF5" w14:textId="77777777" w:rsidR="00523527" w:rsidRPr="005A2122" w:rsidRDefault="00523527" w:rsidP="005A2122">
            <w:pPr>
              <w:cnfStyle w:val="000000000000" w:firstRow="0" w:lastRow="0" w:firstColumn="0" w:lastColumn="0" w:oddVBand="0" w:evenVBand="0" w:oddHBand="0" w:evenHBand="0" w:firstRowFirstColumn="0" w:firstRowLastColumn="0" w:lastRowFirstColumn="0" w:lastRowLastColumn="0"/>
            </w:pPr>
            <w:r w:rsidRPr="005A2122">
              <w:t>Enteral Feeding Supplement – Non-Bolus</w:t>
            </w:r>
          </w:p>
        </w:tc>
      </w:tr>
      <w:tr w:rsidR="00B83B9F" w:rsidRPr="00B83B9F" w14:paraId="3361A0D8" w14:textId="77777777" w:rsidTr="005A212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98" w:type="dxa"/>
          </w:tcPr>
          <w:p w14:paraId="1C6C478C" w14:textId="77777777" w:rsidR="00523527" w:rsidRPr="00B83B9F" w:rsidRDefault="00523527" w:rsidP="000E09A7">
            <w:pPr>
              <w:rPr>
                <w:bCs w:val="0"/>
              </w:rPr>
            </w:pPr>
            <w:r w:rsidRPr="00B83B9F">
              <w:t>Adjusted Subsidy Reduction</w:t>
            </w:r>
          </w:p>
        </w:tc>
        <w:tc>
          <w:tcPr>
            <w:tcW w:w="5387" w:type="dxa"/>
          </w:tcPr>
          <w:p w14:paraId="01018BED" w14:textId="77777777" w:rsidR="00523527" w:rsidRPr="005A2122" w:rsidRDefault="00523527" w:rsidP="005A2122">
            <w:pPr>
              <w:cnfStyle w:val="000000100000" w:firstRow="0" w:lastRow="0" w:firstColumn="0" w:lastColumn="0" w:oddVBand="0" w:evenVBand="0" w:oddHBand="1" w:evenHBand="0" w:firstRowFirstColumn="0" w:firstRowLastColumn="0" w:lastRowFirstColumn="0" w:lastRowLastColumn="0"/>
            </w:pPr>
            <w:r w:rsidRPr="005A2122">
              <w:t>Ceases</w:t>
            </w:r>
          </w:p>
        </w:tc>
      </w:tr>
      <w:tr w:rsidR="00B83B9F" w:rsidRPr="00B83B9F" w14:paraId="522805DB" w14:textId="77777777" w:rsidTr="005A2122">
        <w:trPr>
          <w:trHeight w:val="454"/>
        </w:trPr>
        <w:tc>
          <w:tcPr>
            <w:cnfStyle w:val="001000000000" w:firstRow="0" w:lastRow="0" w:firstColumn="1" w:lastColumn="0" w:oddVBand="0" w:evenVBand="0" w:oddHBand="0" w:evenHBand="0" w:firstRowFirstColumn="0" w:firstRowLastColumn="0" w:lastRowFirstColumn="0" w:lastRowLastColumn="0"/>
            <w:tcW w:w="5098" w:type="dxa"/>
          </w:tcPr>
          <w:p w14:paraId="43645C94" w14:textId="77777777" w:rsidR="00523527" w:rsidRPr="00B83B9F" w:rsidRDefault="00523527" w:rsidP="000E09A7">
            <w:pPr>
              <w:rPr>
                <w:bCs w:val="0"/>
              </w:rPr>
            </w:pPr>
            <w:r w:rsidRPr="00B83B9F">
              <w:t>Veterans’ Supplement</w:t>
            </w:r>
          </w:p>
        </w:tc>
        <w:tc>
          <w:tcPr>
            <w:tcW w:w="5387" w:type="dxa"/>
          </w:tcPr>
          <w:p w14:paraId="7C40847F" w14:textId="77777777" w:rsidR="00523527" w:rsidRPr="005A2122" w:rsidRDefault="00523527" w:rsidP="005A2122">
            <w:pPr>
              <w:cnfStyle w:val="000000000000" w:firstRow="0" w:lastRow="0" w:firstColumn="0" w:lastColumn="0" w:oddVBand="0" w:evenVBand="0" w:oddHBand="0" w:evenHBand="0" w:firstRowFirstColumn="0" w:firstRowLastColumn="0" w:lastRowFirstColumn="0" w:lastRowLastColumn="0"/>
            </w:pPr>
            <w:r w:rsidRPr="005A2122">
              <w:t>Veterans’ Supplement</w:t>
            </w:r>
          </w:p>
        </w:tc>
      </w:tr>
      <w:tr w:rsidR="00B83B9F" w:rsidRPr="00B83B9F" w14:paraId="3D36BED5" w14:textId="77777777" w:rsidTr="005A212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98" w:type="dxa"/>
          </w:tcPr>
          <w:p w14:paraId="64757700" w14:textId="77777777" w:rsidR="00523527" w:rsidRPr="00B83B9F" w:rsidRDefault="00523527" w:rsidP="000E09A7">
            <w:pPr>
              <w:rPr>
                <w:bCs w:val="0"/>
              </w:rPr>
            </w:pPr>
            <w:r w:rsidRPr="00B83B9F">
              <w:t>Homeless Supplement</w:t>
            </w:r>
          </w:p>
        </w:tc>
        <w:tc>
          <w:tcPr>
            <w:tcW w:w="5387" w:type="dxa"/>
          </w:tcPr>
          <w:p w14:paraId="0963300B" w14:textId="77777777" w:rsidR="00523527" w:rsidRPr="005A2122" w:rsidRDefault="00523527" w:rsidP="005A2122">
            <w:pPr>
              <w:cnfStyle w:val="000000100000" w:firstRow="0" w:lastRow="0" w:firstColumn="0" w:lastColumn="0" w:oddVBand="0" w:evenVBand="0" w:oddHBand="1" w:evenHBand="0" w:firstRowFirstColumn="0" w:firstRowLastColumn="0" w:lastRowFirstColumn="0" w:lastRowLastColumn="0"/>
            </w:pPr>
            <w:r w:rsidRPr="005A2122">
              <w:t>Ceases - funding rolled into AN-ACC which provides additional funding for services that specialise in caring for homeless care recipients</w:t>
            </w:r>
          </w:p>
        </w:tc>
      </w:tr>
      <w:tr w:rsidR="00B83B9F" w:rsidRPr="00B83B9F" w14:paraId="3C0C363F" w14:textId="77777777" w:rsidTr="005A2122">
        <w:trPr>
          <w:trHeight w:val="454"/>
        </w:trPr>
        <w:tc>
          <w:tcPr>
            <w:cnfStyle w:val="001000000000" w:firstRow="0" w:lastRow="0" w:firstColumn="1" w:lastColumn="0" w:oddVBand="0" w:evenVBand="0" w:oddHBand="0" w:evenHBand="0" w:firstRowFirstColumn="0" w:firstRowLastColumn="0" w:lastRowFirstColumn="0" w:lastRowLastColumn="0"/>
            <w:tcW w:w="5098" w:type="dxa"/>
          </w:tcPr>
          <w:p w14:paraId="7843CAFD" w14:textId="77777777" w:rsidR="00523527" w:rsidRPr="00B83B9F" w:rsidRDefault="00523527" w:rsidP="000E09A7">
            <w:r w:rsidRPr="00B83B9F">
              <w:t>Viability Supplement</w:t>
            </w:r>
          </w:p>
        </w:tc>
        <w:tc>
          <w:tcPr>
            <w:tcW w:w="5387" w:type="dxa"/>
          </w:tcPr>
          <w:p w14:paraId="5BCF5567" w14:textId="77777777" w:rsidR="00523527" w:rsidRPr="005A2122" w:rsidRDefault="00523527" w:rsidP="005A2122">
            <w:pPr>
              <w:cnfStyle w:val="000000000000" w:firstRow="0" w:lastRow="0" w:firstColumn="0" w:lastColumn="0" w:oddVBand="0" w:evenVBand="0" w:oddHBand="0" w:evenHBand="0" w:firstRowFirstColumn="0" w:firstRowLastColumn="0" w:lastRowFirstColumn="0" w:lastRowLastColumn="0"/>
            </w:pPr>
            <w:r w:rsidRPr="005A2122">
              <w:t>Ceases – funding rolled in to AN-ACC which provides additional funding for rural, remote, and very remote services; and for remote and very remote services that specialise in caring for indigenous care recipients</w:t>
            </w:r>
          </w:p>
        </w:tc>
      </w:tr>
      <w:tr w:rsidR="00B83B9F" w:rsidRPr="00B83B9F" w14:paraId="7F85BF54" w14:textId="77777777" w:rsidTr="005A212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98" w:type="dxa"/>
          </w:tcPr>
          <w:p w14:paraId="3B89E2F5" w14:textId="77777777" w:rsidR="00523527" w:rsidRPr="00B83B9F" w:rsidRDefault="00523527" w:rsidP="000E09A7">
            <w:pPr>
              <w:rPr>
                <w:bCs w:val="0"/>
              </w:rPr>
            </w:pPr>
            <w:r w:rsidRPr="00B83B9F">
              <w:t>2021 ($10 per day) Basic Daily Fee Supplement</w:t>
            </w:r>
          </w:p>
        </w:tc>
        <w:tc>
          <w:tcPr>
            <w:tcW w:w="5387" w:type="dxa"/>
          </w:tcPr>
          <w:p w14:paraId="33D4A334" w14:textId="77777777" w:rsidR="00523527" w:rsidRPr="005A2122" w:rsidRDefault="00523527" w:rsidP="005A2122">
            <w:pPr>
              <w:cnfStyle w:val="000000100000" w:firstRow="0" w:lastRow="0" w:firstColumn="0" w:lastColumn="0" w:oddVBand="0" w:evenVBand="0" w:oddHBand="1" w:evenHBand="0" w:firstRowFirstColumn="0" w:firstRowLastColumn="0" w:lastRowFirstColumn="0" w:lastRowLastColumn="0"/>
            </w:pPr>
            <w:r w:rsidRPr="005A2122">
              <w:t>Ceases – funding rolled into AN-ACC</w:t>
            </w:r>
          </w:p>
        </w:tc>
      </w:tr>
      <w:tr w:rsidR="00B83B9F" w:rsidRPr="00B83B9F" w14:paraId="649DC146" w14:textId="77777777" w:rsidTr="005A2122">
        <w:trPr>
          <w:trHeight w:val="454"/>
        </w:trPr>
        <w:tc>
          <w:tcPr>
            <w:cnfStyle w:val="001000000000" w:firstRow="0" w:lastRow="0" w:firstColumn="1" w:lastColumn="0" w:oddVBand="0" w:evenVBand="0" w:oddHBand="0" w:evenHBand="0" w:firstRowFirstColumn="0" w:firstRowLastColumn="0" w:lastRowFirstColumn="0" w:lastRowLastColumn="0"/>
            <w:tcW w:w="5098" w:type="dxa"/>
          </w:tcPr>
          <w:p w14:paraId="4909F79F" w14:textId="77777777" w:rsidR="00523527" w:rsidRPr="00B83B9F" w:rsidRDefault="00523527" w:rsidP="000E09A7">
            <w:pPr>
              <w:rPr>
                <w:bCs w:val="0"/>
              </w:rPr>
            </w:pPr>
            <w:r w:rsidRPr="00B83B9F">
              <w:t>Accommodation Supplement</w:t>
            </w:r>
          </w:p>
        </w:tc>
        <w:tc>
          <w:tcPr>
            <w:tcW w:w="5387" w:type="dxa"/>
          </w:tcPr>
          <w:p w14:paraId="1E6D5D37" w14:textId="77777777" w:rsidR="00523527" w:rsidRPr="005A2122" w:rsidRDefault="00523527" w:rsidP="005A2122">
            <w:pPr>
              <w:cnfStyle w:val="000000000000" w:firstRow="0" w:lastRow="0" w:firstColumn="0" w:lastColumn="0" w:oddVBand="0" w:evenVBand="0" w:oddHBand="0" w:evenHBand="0" w:firstRowFirstColumn="0" w:firstRowLastColumn="0" w:lastRowFirstColumn="0" w:lastRowLastColumn="0"/>
            </w:pPr>
            <w:r w:rsidRPr="005A2122">
              <w:t>Accommodation Supplement</w:t>
            </w:r>
          </w:p>
        </w:tc>
      </w:tr>
      <w:tr w:rsidR="00B83B9F" w:rsidRPr="00B83B9F" w14:paraId="5D7CCA56" w14:textId="77777777" w:rsidTr="005A212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98" w:type="dxa"/>
          </w:tcPr>
          <w:p w14:paraId="130C8069" w14:textId="77777777" w:rsidR="00523527" w:rsidRPr="00B83B9F" w:rsidRDefault="00523527" w:rsidP="000E09A7">
            <w:r w:rsidRPr="00B83B9F">
              <w:t>Concessional Resident Supplement</w:t>
            </w:r>
          </w:p>
        </w:tc>
        <w:tc>
          <w:tcPr>
            <w:tcW w:w="5387" w:type="dxa"/>
          </w:tcPr>
          <w:p w14:paraId="61A6F7C9" w14:textId="77777777" w:rsidR="00523527" w:rsidRPr="005A2122" w:rsidRDefault="00523527" w:rsidP="005A2122">
            <w:pPr>
              <w:cnfStyle w:val="000000100000" w:firstRow="0" w:lastRow="0" w:firstColumn="0" w:lastColumn="0" w:oddVBand="0" w:evenVBand="0" w:oddHBand="1" w:evenHBand="0" w:firstRowFirstColumn="0" w:firstRowLastColumn="0" w:lastRowFirstColumn="0" w:lastRowLastColumn="0"/>
            </w:pPr>
            <w:r w:rsidRPr="005A2122">
              <w:t>Concessional Resident Supplement</w:t>
            </w:r>
          </w:p>
        </w:tc>
      </w:tr>
      <w:tr w:rsidR="00B83B9F" w:rsidRPr="00B83B9F" w14:paraId="01E29BBB" w14:textId="77777777" w:rsidTr="005A2122">
        <w:trPr>
          <w:trHeight w:val="454"/>
        </w:trPr>
        <w:tc>
          <w:tcPr>
            <w:cnfStyle w:val="001000000000" w:firstRow="0" w:lastRow="0" w:firstColumn="1" w:lastColumn="0" w:oddVBand="0" w:evenVBand="0" w:oddHBand="0" w:evenHBand="0" w:firstRowFirstColumn="0" w:firstRowLastColumn="0" w:lastRowFirstColumn="0" w:lastRowLastColumn="0"/>
            <w:tcW w:w="5098" w:type="dxa"/>
          </w:tcPr>
          <w:p w14:paraId="176B29CC" w14:textId="77777777" w:rsidR="00523527" w:rsidRPr="00B83B9F" w:rsidRDefault="00523527" w:rsidP="000E09A7">
            <w:r w:rsidRPr="00B83B9F">
              <w:t>Charge Exempt Resident Supplement</w:t>
            </w:r>
          </w:p>
        </w:tc>
        <w:tc>
          <w:tcPr>
            <w:tcW w:w="5387" w:type="dxa"/>
          </w:tcPr>
          <w:p w14:paraId="052F47D0" w14:textId="77777777" w:rsidR="00523527" w:rsidRPr="005A2122" w:rsidRDefault="00523527" w:rsidP="005A2122">
            <w:pPr>
              <w:cnfStyle w:val="000000000000" w:firstRow="0" w:lastRow="0" w:firstColumn="0" w:lastColumn="0" w:oddVBand="0" w:evenVBand="0" w:oddHBand="0" w:evenHBand="0" w:firstRowFirstColumn="0" w:firstRowLastColumn="0" w:lastRowFirstColumn="0" w:lastRowLastColumn="0"/>
            </w:pPr>
            <w:r w:rsidRPr="005A2122">
              <w:t>Replaced by Concessional Resident Supplement</w:t>
            </w:r>
          </w:p>
        </w:tc>
      </w:tr>
      <w:tr w:rsidR="00B83B9F" w:rsidRPr="00B83B9F" w14:paraId="1CC09E26" w14:textId="77777777" w:rsidTr="005A212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98" w:type="dxa"/>
          </w:tcPr>
          <w:p w14:paraId="6D7D0C01" w14:textId="77777777" w:rsidR="00523527" w:rsidRPr="00B83B9F" w:rsidRDefault="00523527" w:rsidP="000E09A7">
            <w:r w:rsidRPr="00B83B9F">
              <w:t>Transitional Supplement</w:t>
            </w:r>
          </w:p>
        </w:tc>
        <w:tc>
          <w:tcPr>
            <w:tcW w:w="5387" w:type="dxa"/>
          </w:tcPr>
          <w:p w14:paraId="71426F9C" w14:textId="77777777" w:rsidR="00523527" w:rsidRPr="005A2122" w:rsidRDefault="00523527" w:rsidP="005A2122">
            <w:pPr>
              <w:cnfStyle w:val="000000100000" w:firstRow="0" w:lastRow="0" w:firstColumn="0" w:lastColumn="0" w:oddVBand="0" w:evenVBand="0" w:oddHBand="1" w:evenHBand="0" w:firstRowFirstColumn="0" w:firstRowLastColumn="0" w:lastRowFirstColumn="0" w:lastRowLastColumn="0"/>
            </w:pPr>
            <w:r w:rsidRPr="005A2122">
              <w:t>Replaced by Concessional Resident Supplement</w:t>
            </w:r>
          </w:p>
        </w:tc>
      </w:tr>
      <w:tr w:rsidR="00B83B9F" w:rsidRPr="00B83B9F" w14:paraId="65EB4E10" w14:textId="77777777" w:rsidTr="005A2122">
        <w:trPr>
          <w:trHeight w:val="454"/>
        </w:trPr>
        <w:tc>
          <w:tcPr>
            <w:cnfStyle w:val="001000000000" w:firstRow="0" w:lastRow="0" w:firstColumn="1" w:lastColumn="0" w:oddVBand="0" w:evenVBand="0" w:oddHBand="0" w:evenHBand="0" w:firstRowFirstColumn="0" w:firstRowLastColumn="0" w:lastRowFirstColumn="0" w:lastRowLastColumn="0"/>
            <w:tcW w:w="5098" w:type="dxa"/>
          </w:tcPr>
          <w:p w14:paraId="247FCFA1" w14:textId="77777777" w:rsidR="00523527" w:rsidRPr="00B83B9F" w:rsidRDefault="00523527" w:rsidP="000E09A7">
            <w:pPr>
              <w:rPr>
                <w:bCs w:val="0"/>
              </w:rPr>
            </w:pPr>
            <w:r w:rsidRPr="00B83B9F">
              <w:t>Pensioner Supplement</w:t>
            </w:r>
          </w:p>
        </w:tc>
        <w:tc>
          <w:tcPr>
            <w:tcW w:w="5387" w:type="dxa"/>
          </w:tcPr>
          <w:p w14:paraId="564D1353" w14:textId="77777777" w:rsidR="00523527" w:rsidRPr="005A2122" w:rsidRDefault="00523527" w:rsidP="005A2122">
            <w:pPr>
              <w:cnfStyle w:val="000000000000" w:firstRow="0" w:lastRow="0" w:firstColumn="0" w:lastColumn="0" w:oddVBand="0" w:evenVBand="0" w:oddHBand="0" w:evenHBand="0" w:firstRowFirstColumn="0" w:firstRowLastColumn="0" w:lastRowFirstColumn="0" w:lastRowLastColumn="0"/>
            </w:pPr>
            <w:r w:rsidRPr="005A2122">
              <w:t>Pensioner Supplement</w:t>
            </w:r>
          </w:p>
        </w:tc>
      </w:tr>
      <w:tr w:rsidR="00B83B9F" w:rsidRPr="00B83B9F" w14:paraId="5B0F2F3C" w14:textId="77777777" w:rsidTr="005A212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98" w:type="dxa"/>
          </w:tcPr>
          <w:p w14:paraId="0F1E9FC5" w14:textId="77777777" w:rsidR="00523527" w:rsidRPr="00B83B9F" w:rsidRDefault="00523527" w:rsidP="000E09A7">
            <w:pPr>
              <w:rPr>
                <w:bCs w:val="0"/>
              </w:rPr>
            </w:pPr>
            <w:r w:rsidRPr="00B83B9F">
              <w:t>Hardship Supplement</w:t>
            </w:r>
          </w:p>
        </w:tc>
        <w:tc>
          <w:tcPr>
            <w:tcW w:w="5387" w:type="dxa"/>
          </w:tcPr>
          <w:p w14:paraId="24E407E2" w14:textId="77777777" w:rsidR="00523527" w:rsidRPr="005A2122" w:rsidRDefault="00523527" w:rsidP="005A2122">
            <w:pPr>
              <w:cnfStyle w:val="000000100000" w:firstRow="0" w:lastRow="0" w:firstColumn="0" w:lastColumn="0" w:oddVBand="0" w:evenVBand="0" w:oddHBand="1" w:evenHBand="0" w:firstRowFirstColumn="0" w:firstRowLastColumn="0" w:lastRowFirstColumn="0" w:lastRowLastColumn="0"/>
            </w:pPr>
            <w:r w:rsidRPr="005A2122">
              <w:t>Hardship Supplement</w:t>
            </w:r>
          </w:p>
        </w:tc>
      </w:tr>
      <w:tr w:rsidR="00B83B9F" w:rsidRPr="00B83B9F" w14:paraId="1F026D22" w14:textId="77777777" w:rsidTr="005A2122">
        <w:trPr>
          <w:trHeight w:val="454"/>
        </w:trPr>
        <w:tc>
          <w:tcPr>
            <w:cnfStyle w:val="001000000000" w:firstRow="0" w:lastRow="0" w:firstColumn="1" w:lastColumn="0" w:oddVBand="0" w:evenVBand="0" w:oddHBand="0" w:evenHBand="0" w:firstRowFirstColumn="0" w:firstRowLastColumn="0" w:lastRowFirstColumn="0" w:lastRowLastColumn="0"/>
            <w:tcW w:w="5098" w:type="dxa"/>
          </w:tcPr>
          <w:p w14:paraId="7093EB3C" w14:textId="77777777" w:rsidR="00523527" w:rsidRPr="00B83B9F" w:rsidRDefault="00523527" w:rsidP="000E09A7">
            <w:pPr>
              <w:rPr>
                <w:bCs w:val="0"/>
              </w:rPr>
            </w:pPr>
            <w:r w:rsidRPr="00B83B9F">
              <w:t>Transitional Accommodation Supplement</w:t>
            </w:r>
          </w:p>
        </w:tc>
        <w:tc>
          <w:tcPr>
            <w:tcW w:w="5387" w:type="dxa"/>
          </w:tcPr>
          <w:p w14:paraId="75B43FD9" w14:textId="77777777" w:rsidR="00523527" w:rsidRPr="005A2122" w:rsidRDefault="00523527" w:rsidP="005A2122">
            <w:pPr>
              <w:cnfStyle w:val="000000000000" w:firstRow="0" w:lastRow="0" w:firstColumn="0" w:lastColumn="0" w:oddVBand="0" w:evenVBand="0" w:oddHBand="0" w:evenHBand="0" w:firstRowFirstColumn="0" w:firstRowLastColumn="0" w:lastRowFirstColumn="0" w:lastRowLastColumn="0"/>
            </w:pPr>
            <w:r w:rsidRPr="005A2122">
              <w:t>Transitional Accommodation Supplement</w:t>
            </w:r>
          </w:p>
        </w:tc>
      </w:tr>
      <w:tr w:rsidR="00B83B9F" w:rsidRPr="00B83B9F" w14:paraId="4C770374" w14:textId="77777777" w:rsidTr="005A212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98" w:type="dxa"/>
          </w:tcPr>
          <w:p w14:paraId="3B216A39" w14:textId="77777777" w:rsidR="00523527" w:rsidRPr="00B83B9F" w:rsidRDefault="00523527" w:rsidP="000E09A7">
            <w:pPr>
              <w:rPr>
                <w:bCs w:val="0"/>
              </w:rPr>
            </w:pPr>
            <w:r w:rsidRPr="00B83B9F">
              <w:t>Accommodation Charge Top-Up Supplement</w:t>
            </w:r>
          </w:p>
        </w:tc>
        <w:tc>
          <w:tcPr>
            <w:tcW w:w="5387" w:type="dxa"/>
          </w:tcPr>
          <w:p w14:paraId="0BF4E161" w14:textId="77777777" w:rsidR="00523527" w:rsidRPr="005A2122" w:rsidRDefault="00523527" w:rsidP="005A2122">
            <w:pPr>
              <w:cnfStyle w:val="000000100000" w:firstRow="0" w:lastRow="0" w:firstColumn="0" w:lastColumn="0" w:oddVBand="0" w:evenVBand="0" w:oddHBand="1" w:evenHBand="0" w:firstRowFirstColumn="0" w:firstRowLastColumn="0" w:lastRowFirstColumn="0" w:lastRowLastColumn="0"/>
            </w:pPr>
            <w:r w:rsidRPr="005A2122">
              <w:t>Accommodation Charge Top-Up Supplement</w:t>
            </w:r>
          </w:p>
        </w:tc>
      </w:tr>
      <w:tr w:rsidR="00B83B9F" w:rsidRPr="00B83B9F" w14:paraId="5A2CCE88" w14:textId="77777777" w:rsidTr="005A2122">
        <w:trPr>
          <w:trHeight w:val="454"/>
        </w:trPr>
        <w:tc>
          <w:tcPr>
            <w:cnfStyle w:val="001000000000" w:firstRow="0" w:lastRow="0" w:firstColumn="1" w:lastColumn="0" w:oddVBand="0" w:evenVBand="0" w:oddHBand="0" w:evenHBand="0" w:firstRowFirstColumn="0" w:firstRowLastColumn="0" w:lastRowFirstColumn="0" w:lastRowLastColumn="0"/>
            <w:tcW w:w="5098" w:type="dxa"/>
          </w:tcPr>
          <w:p w14:paraId="0CCC6258" w14:textId="77777777" w:rsidR="00523527" w:rsidRPr="00B83B9F" w:rsidRDefault="00523527" w:rsidP="000E09A7">
            <w:pPr>
              <w:rPr>
                <w:bCs w:val="0"/>
              </w:rPr>
            </w:pPr>
            <w:r w:rsidRPr="00B83B9F">
              <w:t>2012 Basic Daily Fee Supplement</w:t>
            </w:r>
          </w:p>
        </w:tc>
        <w:tc>
          <w:tcPr>
            <w:tcW w:w="5387" w:type="dxa"/>
          </w:tcPr>
          <w:p w14:paraId="17E57E59" w14:textId="77777777" w:rsidR="00523527" w:rsidRPr="005A2122" w:rsidRDefault="00523527" w:rsidP="005A2122">
            <w:pPr>
              <w:cnfStyle w:val="000000000000" w:firstRow="0" w:lastRow="0" w:firstColumn="0" w:lastColumn="0" w:oddVBand="0" w:evenVBand="0" w:oddHBand="0" w:evenHBand="0" w:firstRowFirstColumn="0" w:firstRowLastColumn="0" w:lastRowFirstColumn="0" w:lastRowLastColumn="0"/>
            </w:pPr>
            <w:r w:rsidRPr="005A2122">
              <w:t>2012 Basic Daily Fee Supplement</w:t>
            </w:r>
          </w:p>
        </w:tc>
      </w:tr>
    </w:tbl>
    <w:p w14:paraId="6B5E1342" w14:textId="77777777" w:rsidR="009F63E4" w:rsidRPr="005A2122" w:rsidRDefault="009F63E4" w:rsidP="005A2122">
      <w:pPr>
        <w:pStyle w:val="Heading2"/>
      </w:pPr>
      <w:r w:rsidRPr="005A2122">
        <w:lastRenderedPageBreak/>
        <w:t>More information and resources</w:t>
      </w:r>
    </w:p>
    <w:p w14:paraId="48CD16F9" w14:textId="4B9BC341" w:rsidR="005F1B0A" w:rsidRPr="005A2122" w:rsidRDefault="009F63E4" w:rsidP="00A0404D">
      <w:pPr>
        <w:pStyle w:val="NormalText"/>
      </w:pPr>
      <w:r w:rsidRPr="005A2122">
        <w:t xml:space="preserve">Further information about the AN-ACC funding model, including general information, is </w:t>
      </w:r>
      <w:r w:rsidR="00A937E1" w:rsidRPr="005A2122">
        <w:t xml:space="preserve">available on </w:t>
      </w:r>
      <w:r w:rsidR="00523527" w:rsidRPr="005A2122">
        <w:t xml:space="preserve">the Department of Health and Aged Care </w:t>
      </w:r>
      <w:hyperlink r:id="rId13" w:history="1">
        <w:r w:rsidRPr="005A2122">
          <w:rPr>
            <w:rStyle w:val="Hyperlink"/>
            <w:rFonts w:eastAsiaTheme="minorHAnsi"/>
          </w:rPr>
          <w:t>webpage</w:t>
        </w:r>
      </w:hyperlink>
      <w:r w:rsidRPr="005A2122">
        <w:t xml:space="preserve">. The following resources are also available </w:t>
      </w:r>
      <w:bookmarkEnd w:id="0"/>
      <w:r w:rsidR="00A937E1" w:rsidRPr="005A2122">
        <w:t xml:space="preserve">to stay informed. </w:t>
      </w:r>
    </w:p>
    <w:p w14:paraId="7D0B9A26" w14:textId="0AAB0C02" w:rsidR="0071305E" w:rsidRPr="00B83B9F" w:rsidRDefault="0071305E" w:rsidP="0071305E">
      <w:pPr>
        <w:pStyle w:val="Caption"/>
        <w:keepNext/>
        <w:rPr>
          <w:color w:val="auto"/>
        </w:rPr>
      </w:pPr>
      <w:r w:rsidRPr="00B83B9F">
        <w:rPr>
          <w:color w:val="auto"/>
        </w:rPr>
        <w:t xml:space="preserve">Table </w:t>
      </w:r>
      <w:r w:rsidRPr="00B83B9F">
        <w:rPr>
          <w:color w:val="auto"/>
        </w:rPr>
        <w:fldChar w:fldCharType="begin"/>
      </w:r>
      <w:r w:rsidRPr="00B83B9F">
        <w:rPr>
          <w:color w:val="auto"/>
        </w:rPr>
        <w:instrText xml:space="preserve"> SEQ Table \* ARABIC </w:instrText>
      </w:r>
      <w:r w:rsidRPr="00B83B9F">
        <w:rPr>
          <w:color w:val="auto"/>
        </w:rPr>
        <w:fldChar w:fldCharType="separate"/>
      </w:r>
      <w:r w:rsidR="00543BDE">
        <w:rPr>
          <w:noProof/>
          <w:color w:val="auto"/>
        </w:rPr>
        <w:t>2</w:t>
      </w:r>
      <w:r w:rsidRPr="00B83B9F">
        <w:rPr>
          <w:color w:val="auto"/>
        </w:rPr>
        <w:fldChar w:fldCharType="end"/>
      </w:r>
      <w:r w:rsidRPr="00B83B9F">
        <w:rPr>
          <w:color w:val="auto"/>
        </w:rPr>
        <w:t xml:space="preserve"> Aged care funding reform information sources</w:t>
      </w:r>
    </w:p>
    <w:tbl>
      <w:tblPr>
        <w:tblStyle w:val="ListTable3"/>
        <w:tblW w:w="10490" w:type="dxa"/>
        <w:tblLook w:val="04A0" w:firstRow="1" w:lastRow="0" w:firstColumn="1" w:lastColumn="0" w:noHBand="0" w:noVBand="1"/>
        <w:tblCaption w:val="Aged Care Table"/>
        <w:tblDescription w:val="Aged care funding reform information sources"/>
      </w:tblPr>
      <w:tblGrid>
        <w:gridCol w:w="3828"/>
        <w:gridCol w:w="6662"/>
      </w:tblGrid>
      <w:tr w:rsidR="00B83B9F" w:rsidRPr="00B83B9F" w14:paraId="3AD09FA1" w14:textId="77777777" w:rsidTr="005A2122">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3828" w:type="dxa"/>
          </w:tcPr>
          <w:p w14:paraId="62CEFB79" w14:textId="1EB1DD95" w:rsidR="00F5708A" w:rsidRPr="005A2122" w:rsidRDefault="00F5708A" w:rsidP="005A2122">
            <w:bookmarkStart w:id="1" w:name="_Hlk113108455"/>
            <w:bookmarkStart w:id="2" w:name="_Hlk113108679"/>
            <w:r w:rsidRPr="005A2122">
              <w:t>Information source</w:t>
            </w:r>
          </w:p>
        </w:tc>
        <w:tc>
          <w:tcPr>
            <w:tcW w:w="6662" w:type="dxa"/>
          </w:tcPr>
          <w:p w14:paraId="399240E7" w14:textId="67F54F9F" w:rsidR="00F5708A" w:rsidRPr="005A2122" w:rsidRDefault="00F5708A" w:rsidP="005A2122">
            <w:pPr>
              <w:cnfStyle w:val="100000000000" w:firstRow="1" w:lastRow="0" w:firstColumn="0" w:lastColumn="0" w:oddVBand="0" w:evenVBand="0" w:oddHBand="0" w:evenHBand="0" w:firstRowFirstColumn="0" w:firstRowLastColumn="0" w:lastRowFirstColumn="0" w:lastRowLastColumn="0"/>
            </w:pPr>
            <w:r w:rsidRPr="005A2122">
              <w:t>Description</w:t>
            </w:r>
          </w:p>
        </w:tc>
      </w:tr>
      <w:tr w:rsidR="00B83B9F" w:rsidRPr="00B83B9F" w14:paraId="674366EF" w14:textId="77777777" w:rsidTr="005A212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tcPr>
          <w:p w14:paraId="217DFB86" w14:textId="77777777" w:rsidR="00884B76" w:rsidRPr="005A2122" w:rsidRDefault="00884B76" w:rsidP="005A2122">
            <w:r w:rsidRPr="005A2122">
              <w:t>AN-ACC funding guide</w:t>
            </w:r>
          </w:p>
        </w:tc>
        <w:tc>
          <w:tcPr>
            <w:tcW w:w="6662" w:type="dxa"/>
          </w:tcPr>
          <w:p w14:paraId="7926F9A0" w14:textId="652C2642" w:rsidR="00884B76" w:rsidRPr="005A2122" w:rsidRDefault="00B83B9F" w:rsidP="005A2122">
            <w:pPr>
              <w:cnfStyle w:val="000000100000" w:firstRow="0" w:lastRow="0" w:firstColumn="0" w:lastColumn="0" w:oddVBand="0" w:evenVBand="0" w:oddHBand="1" w:evenHBand="0" w:firstRowFirstColumn="0" w:firstRowLastColumn="0" w:lastRowFirstColumn="0" w:lastRowLastColumn="0"/>
            </w:pPr>
            <w:r w:rsidRPr="005A2122">
              <w:t xml:space="preserve">Find information about the AN-ACC funding model </w:t>
            </w:r>
            <w:hyperlink r:id="rId14" w:history="1">
              <w:r w:rsidRPr="005A2122">
                <w:rPr>
                  <w:rStyle w:val="Hyperlink"/>
                </w:rPr>
                <w:t>here</w:t>
              </w:r>
            </w:hyperlink>
            <w:r w:rsidRPr="005A2122">
              <w:t xml:space="preserve">. </w:t>
            </w:r>
          </w:p>
        </w:tc>
      </w:tr>
      <w:tr w:rsidR="00B83B9F" w:rsidRPr="00B83B9F" w14:paraId="7D1DE8C6" w14:textId="77777777" w:rsidTr="005A2122">
        <w:trPr>
          <w:trHeight w:val="454"/>
        </w:trPr>
        <w:tc>
          <w:tcPr>
            <w:cnfStyle w:val="001000000000" w:firstRow="0" w:lastRow="0" w:firstColumn="1" w:lastColumn="0" w:oddVBand="0" w:evenVBand="0" w:oddHBand="0" w:evenHBand="0" w:firstRowFirstColumn="0" w:firstRowLastColumn="0" w:lastRowFirstColumn="0" w:lastRowLastColumn="0"/>
            <w:tcW w:w="3828" w:type="dxa"/>
          </w:tcPr>
          <w:p w14:paraId="6E4D20A5" w14:textId="77777777" w:rsidR="00F5708A" w:rsidRPr="005A2122" w:rsidRDefault="00F5708A" w:rsidP="005A2122">
            <w:r w:rsidRPr="005A2122">
              <w:t>Resources and factsheets</w:t>
            </w:r>
          </w:p>
        </w:tc>
        <w:tc>
          <w:tcPr>
            <w:tcW w:w="6662" w:type="dxa"/>
          </w:tcPr>
          <w:p w14:paraId="1FEA5DD1" w14:textId="2382487C" w:rsidR="00F5708A" w:rsidRPr="005A2122" w:rsidRDefault="005A2122" w:rsidP="005A2122">
            <w:pPr>
              <w:cnfStyle w:val="000000000000" w:firstRow="0" w:lastRow="0" w:firstColumn="0" w:lastColumn="0" w:oddVBand="0" w:evenVBand="0" w:oddHBand="0" w:evenHBand="0" w:firstRowFirstColumn="0" w:firstRowLastColumn="0" w:lastRowFirstColumn="0" w:lastRowLastColumn="0"/>
            </w:pPr>
            <w:hyperlink r:id="rId15" w:history="1">
              <w:r w:rsidR="00F5708A" w:rsidRPr="005A2122">
                <w:rPr>
                  <w:rStyle w:val="Hyperlink"/>
                </w:rPr>
                <w:t>Resources and factsheets</w:t>
              </w:r>
            </w:hyperlink>
            <w:r w:rsidR="00F5708A" w:rsidRPr="005A2122">
              <w:t xml:space="preserve"> can be located </w:t>
            </w:r>
            <w:r w:rsidR="00A0404D" w:rsidRPr="005A2122">
              <w:t>on the health website</w:t>
            </w:r>
            <w:r w:rsidR="00F5708A" w:rsidRPr="005A2122">
              <w:t>.</w:t>
            </w:r>
          </w:p>
        </w:tc>
      </w:tr>
      <w:tr w:rsidR="00B83B9F" w:rsidRPr="00B83B9F" w14:paraId="72B9812C" w14:textId="77777777" w:rsidTr="005A212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tcPr>
          <w:p w14:paraId="7088C8CA" w14:textId="77777777" w:rsidR="00F5708A" w:rsidRPr="005A2122" w:rsidRDefault="00F5708A" w:rsidP="005A2122">
            <w:r w:rsidRPr="005A2122">
              <w:t>Social media</w:t>
            </w:r>
          </w:p>
        </w:tc>
        <w:tc>
          <w:tcPr>
            <w:tcW w:w="6662" w:type="dxa"/>
          </w:tcPr>
          <w:p w14:paraId="4A8BDD66" w14:textId="77777777" w:rsidR="00F5708A" w:rsidRPr="005A2122" w:rsidRDefault="00F5708A" w:rsidP="005A2122">
            <w:pPr>
              <w:cnfStyle w:val="000000100000" w:firstRow="0" w:lastRow="0" w:firstColumn="0" w:lastColumn="0" w:oddVBand="0" w:evenVBand="0" w:oddHBand="1" w:evenHBand="0" w:firstRowFirstColumn="0" w:firstRowLastColumn="0" w:lastRowFirstColumn="0" w:lastRowLastColumn="0"/>
            </w:pPr>
            <w:r w:rsidRPr="005A2122">
              <w:t xml:space="preserve">Follow us on </w:t>
            </w:r>
            <w:hyperlink r:id="rId16" w:history="1">
              <w:r w:rsidRPr="005A2122">
                <w:rPr>
                  <w:rStyle w:val="Hyperlink"/>
                </w:rPr>
                <w:t>Facebook</w:t>
              </w:r>
            </w:hyperlink>
            <w:r w:rsidRPr="005A2122">
              <w:t xml:space="preserve">, </w:t>
            </w:r>
            <w:hyperlink r:id="rId17" w:history="1">
              <w:r w:rsidRPr="005A2122">
                <w:rPr>
                  <w:rStyle w:val="Hyperlink"/>
                </w:rPr>
                <w:t>Twitter</w:t>
              </w:r>
            </w:hyperlink>
            <w:r w:rsidRPr="005A2122">
              <w:t xml:space="preserve">, </w:t>
            </w:r>
            <w:hyperlink r:id="rId18" w:history="1">
              <w:r w:rsidRPr="005A2122">
                <w:rPr>
                  <w:rStyle w:val="Hyperlink"/>
                </w:rPr>
                <w:t>LinkedIn</w:t>
              </w:r>
            </w:hyperlink>
            <w:r w:rsidRPr="005A2122">
              <w:t xml:space="preserve"> and </w:t>
            </w:r>
            <w:hyperlink r:id="rId19" w:history="1">
              <w:r w:rsidRPr="005A2122">
                <w:rPr>
                  <w:rStyle w:val="Hyperlink"/>
                </w:rPr>
                <w:t>Instagram</w:t>
              </w:r>
            </w:hyperlink>
          </w:p>
        </w:tc>
      </w:tr>
      <w:tr w:rsidR="00B83B9F" w:rsidRPr="00B83B9F" w14:paraId="4284F866" w14:textId="77777777" w:rsidTr="005A2122">
        <w:trPr>
          <w:trHeight w:val="454"/>
        </w:trPr>
        <w:tc>
          <w:tcPr>
            <w:cnfStyle w:val="001000000000" w:firstRow="0" w:lastRow="0" w:firstColumn="1" w:lastColumn="0" w:oddVBand="0" w:evenVBand="0" w:oddHBand="0" w:evenHBand="0" w:firstRowFirstColumn="0" w:firstRowLastColumn="0" w:lastRowFirstColumn="0" w:lastRowLastColumn="0"/>
            <w:tcW w:w="3828" w:type="dxa"/>
          </w:tcPr>
          <w:p w14:paraId="519D5D22" w14:textId="77777777" w:rsidR="00F5708A" w:rsidRPr="005A2122" w:rsidRDefault="00F5708A" w:rsidP="005A2122">
            <w:r w:rsidRPr="005A2122">
              <w:t>Subscriptions</w:t>
            </w:r>
          </w:p>
        </w:tc>
        <w:tc>
          <w:tcPr>
            <w:tcW w:w="6662" w:type="dxa"/>
          </w:tcPr>
          <w:p w14:paraId="1D0ACDC6" w14:textId="65D159E0" w:rsidR="00F5708A" w:rsidRPr="005A2122" w:rsidRDefault="005A2122" w:rsidP="005A2122">
            <w:pPr>
              <w:cnfStyle w:val="000000000000" w:firstRow="0" w:lastRow="0" w:firstColumn="0" w:lastColumn="0" w:oddVBand="0" w:evenVBand="0" w:oddHBand="0" w:evenHBand="0" w:firstRowFirstColumn="0" w:firstRowLastColumn="0" w:lastRowFirstColumn="0" w:lastRowLastColumn="0"/>
            </w:pPr>
            <w:hyperlink r:id="rId20" w:history="1">
              <w:r w:rsidR="00F5708A" w:rsidRPr="005A2122">
                <w:rPr>
                  <w:rStyle w:val="Hyperlink"/>
                </w:rPr>
                <w:t>Subscribe to the department’s newsletters</w:t>
              </w:r>
            </w:hyperlink>
            <w:r w:rsidR="00F5708A" w:rsidRPr="005A2122">
              <w:t xml:space="preserve"> for aged care updates.</w:t>
            </w:r>
          </w:p>
        </w:tc>
      </w:tr>
      <w:tr w:rsidR="00B83B9F" w:rsidRPr="00B83B9F" w14:paraId="7122252A" w14:textId="77777777" w:rsidTr="005A212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828" w:type="dxa"/>
          </w:tcPr>
          <w:p w14:paraId="023A483C" w14:textId="77777777" w:rsidR="00F5708A" w:rsidRPr="005A2122" w:rsidRDefault="00F5708A" w:rsidP="005A2122">
            <w:r w:rsidRPr="005A2122">
              <w:t>Ageing and Aged Care Engagement Hub</w:t>
            </w:r>
          </w:p>
        </w:tc>
        <w:tc>
          <w:tcPr>
            <w:tcW w:w="6662" w:type="dxa"/>
          </w:tcPr>
          <w:p w14:paraId="10F1DDD9" w14:textId="77777777" w:rsidR="00F5708A" w:rsidRPr="005A2122" w:rsidRDefault="00F5708A" w:rsidP="005A2122">
            <w:pPr>
              <w:cnfStyle w:val="000000100000" w:firstRow="0" w:lastRow="0" w:firstColumn="0" w:lastColumn="0" w:oddVBand="0" w:evenVBand="0" w:oddHBand="1" w:evenHBand="0" w:firstRowFirstColumn="0" w:firstRowLastColumn="0" w:lastRowFirstColumn="0" w:lastRowLastColumn="0"/>
            </w:pPr>
            <w:r w:rsidRPr="005A2122">
              <w:t xml:space="preserve">Find current engagement activities and register your interest to be involved in workshops, focus groups, </w:t>
            </w:r>
            <w:proofErr w:type="gramStart"/>
            <w:r w:rsidRPr="005A2122">
              <w:t>webinars</w:t>
            </w:r>
            <w:proofErr w:type="gramEnd"/>
            <w:r w:rsidRPr="005A2122">
              <w:t xml:space="preserve"> and surveys</w:t>
            </w:r>
          </w:p>
          <w:p w14:paraId="29D87C37" w14:textId="77777777" w:rsidR="00F5708A" w:rsidRPr="005A2122" w:rsidRDefault="00F5708A" w:rsidP="005A2122">
            <w:pPr>
              <w:cnfStyle w:val="000000100000" w:firstRow="0" w:lastRow="0" w:firstColumn="0" w:lastColumn="0" w:oddVBand="0" w:evenVBand="0" w:oddHBand="1" w:evenHBand="0" w:firstRowFirstColumn="0" w:firstRowLastColumn="0" w:lastRowFirstColumn="0" w:lastRowLastColumn="0"/>
            </w:pPr>
            <w:r w:rsidRPr="005A2122">
              <w:t xml:space="preserve">Website: </w:t>
            </w:r>
            <w:hyperlink r:id="rId21" w:history="1">
              <w:r w:rsidRPr="005A2122">
                <w:rPr>
                  <w:rStyle w:val="Hyperlink"/>
                </w:rPr>
                <w:t>https://www.agedcareengagement.health.gov.au/</w:t>
              </w:r>
            </w:hyperlink>
          </w:p>
        </w:tc>
      </w:tr>
      <w:bookmarkEnd w:id="1"/>
      <w:tr w:rsidR="00B83B9F" w:rsidRPr="00B83B9F" w14:paraId="56C2FEE7" w14:textId="77777777" w:rsidTr="005A2122">
        <w:trPr>
          <w:trHeight w:val="815"/>
        </w:trPr>
        <w:tc>
          <w:tcPr>
            <w:cnfStyle w:val="001000000000" w:firstRow="0" w:lastRow="0" w:firstColumn="1" w:lastColumn="0" w:oddVBand="0" w:evenVBand="0" w:oddHBand="0" w:evenHBand="0" w:firstRowFirstColumn="0" w:firstRowLastColumn="0" w:lastRowFirstColumn="0" w:lastRowLastColumn="0"/>
            <w:tcW w:w="3828" w:type="dxa"/>
          </w:tcPr>
          <w:p w14:paraId="5F1EB258" w14:textId="77777777" w:rsidR="00F5708A" w:rsidRPr="005A2122" w:rsidRDefault="00F5708A" w:rsidP="005A2122">
            <w:r w:rsidRPr="005A2122">
              <w:t>My Aged Care service provider and assessor helpline</w:t>
            </w:r>
          </w:p>
        </w:tc>
        <w:tc>
          <w:tcPr>
            <w:tcW w:w="6662" w:type="dxa"/>
          </w:tcPr>
          <w:p w14:paraId="37ACCE7C" w14:textId="77777777" w:rsidR="00F5708A" w:rsidRPr="005A2122" w:rsidRDefault="00F5708A" w:rsidP="005A2122">
            <w:pPr>
              <w:cnfStyle w:val="000000000000" w:firstRow="0" w:lastRow="0" w:firstColumn="0" w:lastColumn="0" w:oddVBand="0" w:evenVBand="0" w:oddHBand="0" w:evenHBand="0" w:firstRowFirstColumn="0" w:firstRowLastColumn="0" w:lastRowFirstColumn="0" w:lastRowLastColumn="0"/>
            </w:pPr>
            <w:r w:rsidRPr="005A2122">
              <w:t>For help with the My Aged Care system or technical support for providers and assessors.</w:t>
            </w:r>
          </w:p>
          <w:p w14:paraId="7B7A2FD4" w14:textId="77777777" w:rsidR="00F5708A" w:rsidRPr="005A2122" w:rsidRDefault="00F5708A" w:rsidP="005A2122">
            <w:pPr>
              <w:cnfStyle w:val="000000000000" w:firstRow="0" w:lastRow="0" w:firstColumn="0" w:lastColumn="0" w:oddVBand="0" w:evenVBand="0" w:oddHBand="0" w:evenHBand="0" w:firstRowFirstColumn="0" w:firstRowLastColumn="0" w:lastRowFirstColumn="0" w:lastRowLastColumn="0"/>
            </w:pPr>
            <w:r w:rsidRPr="005A2122">
              <w:t>Phone: 1800 836 799</w:t>
            </w:r>
          </w:p>
          <w:p w14:paraId="1989CE7B" w14:textId="77777777" w:rsidR="00F5708A" w:rsidRPr="00B83B9F" w:rsidRDefault="00F5708A" w:rsidP="005A2122">
            <w:pPr>
              <w:cnfStyle w:val="000000000000" w:firstRow="0" w:lastRow="0" w:firstColumn="0" w:lastColumn="0" w:oddVBand="0" w:evenVBand="0" w:oddHBand="0" w:evenHBand="0" w:firstRowFirstColumn="0" w:firstRowLastColumn="0" w:lastRowFirstColumn="0" w:lastRowLastColumn="0"/>
            </w:pPr>
            <w:r w:rsidRPr="005A2122">
              <w:t>The helpline is available from 8:00am to 8:00pm Monday to Friday and 10:00am to 2:00pm Saturday, local time across Australia.</w:t>
            </w:r>
          </w:p>
        </w:tc>
      </w:tr>
    </w:tbl>
    <w:bookmarkEnd w:id="2"/>
    <w:p w14:paraId="3C5E8C35" w14:textId="2E76C2EF" w:rsidR="00F21AAD" w:rsidRPr="005A2122" w:rsidRDefault="00F5708A" w:rsidP="005A2122">
      <w:r w:rsidRPr="005A2122">
        <w:t xml:space="preserve">Last updated </w:t>
      </w:r>
      <w:r w:rsidR="00884D9F" w:rsidRPr="005A2122">
        <w:t xml:space="preserve">9 </w:t>
      </w:r>
      <w:r w:rsidR="00BC3C31" w:rsidRPr="005A2122">
        <w:t xml:space="preserve">December </w:t>
      </w:r>
      <w:r w:rsidRPr="005A2122">
        <w:t>2022</w:t>
      </w:r>
    </w:p>
    <w:sectPr w:rsidR="00F21AAD" w:rsidRPr="005A2122" w:rsidSect="009F63E4">
      <w:type w:val="continuous"/>
      <w:pgSz w:w="11900" w:h="16840"/>
      <w:pgMar w:top="1357" w:right="680" w:bottom="1088" w:left="680" w:header="709" w:footer="55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F26A8" w14:textId="77777777" w:rsidR="008A60E0" w:rsidRDefault="008A60E0" w:rsidP="001172BA">
      <w:r>
        <w:separator/>
      </w:r>
    </w:p>
  </w:endnote>
  <w:endnote w:type="continuationSeparator" w:id="0">
    <w:p w14:paraId="2AA140E0" w14:textId="77777777" w:rsidR="008A60E0" w:rsidRDefault="008A60E0" w:rsidP="0011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EC112" w14:textId="77777777" w:rsidR="008A60E0" w:rsidRDefault="008A60E0" w:rsidP="001172BA"/>
  </w:footnote>
  <w:footnote w:type="continuationSeparator" w:id="0">
    <w:p w14:paraId="3568B047" w14:textId="77777777" w:rsidR="008A60E0" w:rsidRDefault="008A60E0" w:rsidP="00117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DAB5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A6AB9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E3CCBC7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D9CCCD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166A1AC5"/>
    <w:multiLevelType w:val="multilevel"/>
    <w:tmpl w:val="D96C8A66"/>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1CEF23AA"/>
    <w:multiLevelType w:val="hybridMultilevel"/>
    <w:tmpl w:val="BDCE0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EE604D"/>
    <w:multiLevelType w:val="hybridMultilevel"/>
    <w:tmpl w:val="592E9F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F6F31DC"/>
    <w:multiLevelType w:val="multilevel"/>
    <w:tmpl w:val="884C6EE8"/>
    <w:lvl w:ilvl="0">
      <w:start w:val="1"/>
      <w:numFmt w:val="bullet"/>
      <w:pStyle w:val="ListBullet"/>
      <w:lvlText w:val="•"/>
      <w:lvlJc w:val="left"/>
      <w:pPr>
        <w:ind w:left="357"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2"/>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BA"/>
    <w:rsid w:val="00006510"/>
    <w:rsid w:val="000D414C"/>
    <w:rsid w:val="000E09A7"/>
    <w:rsid w:val="001172BA"/>
    <w:rsid w:val="0015197B"/>
    <w:rsid w:val="001B7E28"/>
    <w:rsid w:val="00226AD6"/>
    <w:rsid w:val="002513ED"/>
    <w:rsid w:val="00253052"/>
    <w:rsid w:val="00262749"/>
    <w:rsid w:val="00281727"/>
    <w:rsid w:val="002F3117"/>
    <w:rsid w:val="003964F2"/>
    <w:rsid w:val="003A6480"/>
    <w:rsid w:val="004436A5"/>
    <w:rsid w:val="004A6752"/>
    <w:rsid w:val="004D57DF"/>
    <w:rsid w:val="00523527"/>
    <w:rsid w:val="00543BDE"/>
    <w:rsid w:val="0054403F"/>
    <w:rsid w:val="005478E5"/>
    <w:rsid w:val="00554E05"/>
    <w:rsid w:val="005A2122"/>
    <w:rsid w:val="005A5B4A"/>
    <w:rsid w:val="005C6411"/>
    <w:rsid w:val="005E113C"/>
    <w:rsid w:val="005F02F2"/>
    <w:rsid w:val="005F1142"/>
    <w:rsid w:val="005F1B0A"/>
    <w:rsid w:val="00613770"/>
    <w:rsid w:val="00635128"/>
    <w:rsid w:val="00667C7C"/>
    <w:rsid w:val="00677B08"/>
    <w:rsid w:val="006A2EBC"/>
    <w:rsid w:val="006F1106"/>
    <w:rsid w:val="006F3531"/>
    <w:rsid w:val="0071305E"/>
    <w:rsid w:val="00730501"/>
    <w:rsid w:val="0074734B"/>
    <w:rsid w:val="007B097E"/>
    <w:rsid w:val="007D267A"/>
    <w:rsid w:val="00845C7B"/>
    <w:rsid w:val="0087505A"/>
    <w:rsid w:val="00884B76"/>
    <w:rsid w:val="00884D9F"/>
    <w:rsid w:val="0089454D"/>
    <w:rsid w:val="008A60E0"/>
    <w:rsid w:val="008E6824"/>
    <w:rsid w:val="00914504"/>
    <w:rsid w:val="00943FE8"/>
    <w:rsid w:val="009956CC"/>
    <w:rsid w:val="009C5D29"/>
    <w:rsid w:val="009C63E0"/>
    <w:rsid w:val="009F63E4"/>
    <w:rsid w:val="00A0404D"/>
    <w:rsid w:val="00A122CD"/>
    <w:rsid w:val="00A41F93"/>
    <w:rsid w:val="00A937E1"/>
    <w:rsid w:val="00AC66C4"/>
    <w:rsid w:val="00B116D0"/>
    <w:rsid w:val="00B20208"/>
    <w:rsid w:val="00B32AE9"/>
    <w:rsid w:val="00B4225A"/>
    <w:rsid w:val="00B83B9F"/>
    <w:rsid w:val="00BC3C31"/>
    <w:rsid w:val="00C8693C"/>
    <w:rsid w:val="00CC6377"/>
    <w:rsid w:val="00CC7CA2"/>
    <w:rsid w:val="00CE10B7"/>
    <w:rsid w:val="00D80789"/>
    <w:rsid w:val="00DB4DD7"/>
    <w:rsid w:val="00DE1F4E"/>
    <w:rsid w:val="00DF7056"/>
    <w:rsid w:val="00E07E8F"/>
    <w:rsid w:val="00E373F1"/>
    <w:rsid w:val="00EC25AC"/>
    <w:rsid w:val="00ED1FCA"/>
    <w:rsid w:val="00EF0853"/>
    <w:rsid w:val="00EF4741"/>
    <w:rsid w:val="00F2057E"/>
    <w:rsid w:val="00F21AAD"/>
    <w:rsid w:val="00F21E3D"/>
    <w:rsid w:val="00F5708A"/>
    <w:rsid w:val="00F768FA"/>
    <w:rsid w:val="00F93A30"/>
    <w:rsid w:val="00FD50D2"/>
    <w:rsid w:val="6CC8281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156135"/>
  <w15:chartTrackingRefBased/>
  <w15:docId w15:val="{5F931BE9-BC24-D44E-BC62-A67299F0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04D"/>
  </w:style>
  <w:style w:type="paragraph" w:styleId="Heading1">
    <w:name w:val="heading 1"/>
    <w:basedOn w:val="Normal"/>
    <w:next w:val="Normal"/>
    <w:link w:val="Heading1Char"/>
    <w:uiPriority w:val="9"/>
    <w:rsid w:val="005A2122"/>
    <w:pPr>
      <w:spacing w:before="120" w:after="120"/>
      <w:outlineLvl w:val="0"/>
    </w:pPr>
    <w:rPr>
      <w:rFonts w:ascii="Arial" w:eastAsia="Times New Roman" w:hAnsi="Arial"/>
      <w:b/>
      <w:color w:val="1E1644"/>
      <w:sz w:val="60"/>
      <w:szCs w:val="20"/>
      <w:lang w:eastAsia="en-GB"/>
    </w:rPr>
  </w:style>
  <w:style w:type="paragraph" w:styleId="Heading2">
    <w:name w:val="heading 2"/>
    <w:basedOn w:val="Heading1"/>
    <w:next w:val="Normal"/>
    <w:link w:val="Heading2Char"/>
    <w:uiPriority w:val="9"/>
    <w:unhideWhenUsed/>
    <w:qFormat/>
    <w:rsid w:val="005A2122"/>
    <w:pPr>
      <w:keepNext/>
      <w:spacing w:line="276" w:lineRule="auto"/>
      <w:outlineLvl w:val="1"/>
    </w:pPr>
    <w:rPr>
      <w:bCs/>
      <w:noProof/>
      <w:sz w:val="32"/>
      <w:szCs w:val="28"/>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2BA"/>
    <w:pPr>
      <w:tabs>
        <w:tab w:val="center" w:pos="4680"/>
        <w:tab w:val="right" w:pos="9360"/>
      </w:tabs>
    </w:pPr>
  </w:style>
  <w:style w:type="character" w:customStyle="1" w:styleId="HeaderChar">
    <w:name w:val="Header Char"/>
    <w:basedOn w:val="DefaultParagraphFont"/>
    <w:link w:val="Header"/>
    <w:uiPriority w:val="99"/>
    <w:rsid w:val="001172BA"/>
  </w:style>
  <w:style w:type="paragraph" w:styleId="Footer">
    <w:name w:val="footer"/>
    <w:basedOn w:val="Normal"/>
    <w:link w:val="FooterChar"/>
    <w:uiPriority w:val="99"/>
    <w:unhideWhenUsed/>
    <w:rsid w:val="001172BA"/>
    <w:pPr>
      <w:tabs>
        <w:tab w:val="center" w:pos="4680"/>
        <w:tab w:val="right" w:pos="9360"/>
      </w:tabs>
    </w:pPr>
  </w:style>
  <w:style w:type="character" w:customStyle="1" w:styleId="FooterChar">
    <w:name w:val="Footer Char"/>
    <w:basedOn w:val="DefaultParagraphFont"/>
    <w:link w:val="Footer"/>
    <w:uiPriority w:val="99"/>
    <w:rsid w:val="001172BA"/>
  </w:style>
  <w:style w:type="paragraph" w:customStyle="1" w:styleId="Introduction">
    <w:name w:val="Introduction"/>
    <w:basedOn w:val="Normal"/>
    <w:next w:val="Normal"/>
    <w:uiPriority w:val="5"/>
    <w:qFormat/>
    <w:rsid w:val="005A2122"/>
    <w:pPr>
      <w:spacing w:before="100" w:beforeAutospacing="1" w:after="240" w:line="276" w:lineRule="auto"/>
    </w:pPr>
    <w:rPr>
      <w:rFonts w:ascii="Arial" w:eastAsia="Times New Roman" w:hAnsi="Arial"/>
      <w:color w:val="1E1644"/>
      <w:sz w:val="32"/>
      <w:szCs w:val="20"/>
      <w:lang w:eastAsia="en-GB"/>
    </w:rPr>
  </w:style>
  <w:style w:type="character" w:styleId="Strong">
    <w:name w:val="Strong"/>
    <w:uiPriority w:val="22"/>
    <w:qFormat/>
    <w:rsid w:val="001172BA"/>
    <w:rPr>
      <w:b/>
      <w:bCs/>
      <w:spacing w:val="0"/>
    </w:rPr>
  </w:style>
  <w:style w:type="paragraph" w:customStyle="1" w:styleId="NormalText">
    <w:name w:val="Normal Text"/>
    <w:basedOn w:val="Normal"/>
    <w:qFormat/>
    <w:rsid w:val="005A2122"/>
    <w:pPr>
      <w:spacing w:before="120" w:after="120" w:line="288" w:lineRule="auto"/>
    </w:pPr>
    <w:rPr>
      <w:rFonts w:ascii="Arial" w:eastAsia="Times New Roman" w:hAnsi="Arial"/>
      <w:noProof/>
      <w:color w:val="1E1545" w:themeColor="text1"/>
      <w:sz w:val="22"/>
      <w:szCs w:val="20"/>
      <w:shd w:val="clear" w:color="auto" w:fill="FFFFFF"/>
      <w:lang w:eastAsia="en-GB"/>
    </w:rPr>
  </w:style>
  <w:style w:type="paragraph" w:styleId="FootnoteText">
    <w:name w:val="footnote text"/>
    <w:basedOn w:val="Normal"/>
    <w:link w:val="FootnoteTextChar"/>
    <w:uiPriority w:val="99"/>
    <w:unhideWhenUsed/>
    <w:rsid w:val="001172BA"/>
    <w:pPr>
      <w:ind w:left="680"/>
    </w:pPr>
    <w:rPr>
      <w:rFonts w:ascii="Arial" w:hAnsi="Arial"/>
      <w:color w:val="1E1545" w:themeColor="text1"/>
      <w:sz w:val="16"/>
      <w:szCs w:val="20"/>
      <w:lang w:eastAsia="en-US"/>
    </w:rPr>
  </w:style>
  <w:style w:type="character" w:customStyle="1" w:styleId="FootnoteTextChar">
    <w:name w:val="Footnote Text Char"/>
    <w:basedOn w:val="DefaultParagraphFont"/>
    <w:link w:val="FootnoteText"/>
    <w:uiPriority w:val="99"/>
    <w:rsid w:val="001172BA"/>
    <w:rPr>
      <w:rFonts w:ascii="Arial" w:hAnsi="Arial"/>
      <w:color w:val="1E1545" w:themeColor="text1"/>
      <w:sz w:val="16"/>
      <w:szCs w:val="20"/>
      <w:lang w:eastAsia="en-US"/>
    </w:rPr>
  </w:style>
  <w:style w:type="character" w:styleId="FootnoteReference">
    <w:name w:val="footnote reference"/>
    <w:basedOn w:val="DefaultParagraphFont"/>
    <w:uiPriority w:val="99"/>
    <w:semiHidden/>
    <w:unhideWhenUsed/>
    <w:rsid w:val="001172BA"/>
    <w:rPr>
      <w:rFonts w:ascii="Arial" w:hAnsi="Arial"/>
      <w:sz w:val="24"/>
      <w:vertAlign w:val="superscript"/>
    </w:rPr>
  </w:style>
  <w:style w:type="paragraph" w:styleId="ListBullet">
    <w:name w:val="List Bullet"/>
    <w:basedOn w:val="Normal"/>
    <w:uiPriority w:val="99"/>
    <w:unhideWhenUsed/>
    <w:qFormat/>
    <w:rsid w:val="000E09A7"/>
    <w:pPr>
      <w:numPr>
        <w:numId w:val="1"/>
      </w:numPr>
      <w:spacing w:after="80"/>
    </w:pPr>
    <w:rPr>
      <w:rFonts w:ascii="Arial" w:hAnsi="Arial"/>
      <w:szCs w:val="20"/>
    </w:rPr>
  </w:style>
  <w:style w:type="paragraph" w:styleId="ListBullet2">
    <w:name w:val="List Bullet 2"/>
    <w:basedOn w:val="Normal"/>
    <w:uiPriority w:val="99"/>
    <w:unhideWhenUsed/>
    <w:qFormat/>
    <w:rsid w:val="001172BA"/>
    <w:pPr>
      <w:numPr>
        <w:ilvl w:val="1"/>
        <w:numId w:val="1"/>
      </w:numPr>
      <w:spacing w:after="80"/>
      <w:ind w:left="1434"/>
    </w:pPr>
    <w:rPr>
      <w:rFonts w:ascii="Arial" w:hAnsi="Arial"/>
      <w:color w:val="1E1545" w:themeColor="text1"/>
      <w:szCs w:val="20"/>
    </w:rPr>
  </w:style>
  <w:style w:type="paragraph" w:styleId="ListBullet3">
    <w:name w:val="List Bullet 3"/>
    <w:basedOn w:val="Normal"/>
    <w:uiPriority w:val="99"/>
    <w:unhideWhenUsed/>
    <w:qFormat/>
    <w:rsid w:val="00DE1F4E"/>
    <w:pPr>
      <w:numPr>
        <w:ilvl w:val="2"/>
        <w:numId w:val="1"/>
      </w:numPr>
      <w:spacing w:after="80"/>
      <w:ind w:left="2160" w:hanging="181"/>
    </w:pPr>
    <w:rPr>
      <w:rFonts w:ascii="Arial" w:hAnsi="Arial"/>
      <w:color w:val="1E1545" w:themeColor="text1"/>
      <w:szCs w:val="20"/>
    </w:rPr>
  </w:style>
  <w:style w:type="paragraph" w:styleId="NoSpacing">
    <w:name w:val="No Spacing"/>
    <w:link w:val="NoSpacingChar"/>
    <w:uiPriority w:val="1"/>
    <w:qFormat/>
    <w:rsid w:val="005F1B0A"/>
    <w:rPr>
      <w:sz w:val="22"/>
      <w:szCs w:val="22"/>
      <w:lang w:val="en-US"/>
    </w:rPr>
  </w:style>
  <w:style w:type="character" w:customStyle="1" w:styleId="NoSpacingChar">
    <w:name w:val="No Spacing Char"/>
    <w:basedOn w:val="DefaultParagraphFont"/>
    <w:link w:val="NoSpacing"/>
    <w:uiPriority w:val="1"/>
    <w:rsid w:val="005F1B0A"/>
    <w:rPr>
      <w:sz w:val="22"/>
      <w:szCs w:val="22"/>
      <w:lang w:val="en-US"/>
    </w:rPr>
  </w:style>
  <w:style w:type="table" w:styleId="PlainTable2">
    <w:name w:val="Plain Table 2"/>
    <w:basedOn w:val="TableNormal"/>
    <w:uiPriority w:val="42"/>
    <w:rsid w:val="005F1B0A"/>
    <w:pPr>
      <w:ind w:left="2160"/>
    </w:pPr>
    <w:rPr>
      <w:sz w:val="20"/>
      <w:szCs w:val="20"/>
      <w:lang w:eastAsia="en-US"/>
    </w:rPr>
    <w:tblPr>
      <w:tblStyleRowBandSize w:val="1"/>
      <w:tblStyleColBandSize w:val="1"/>
      <w:tblBorders>
        <w:top w:val="single" w:sz="4" w:space="0" w:color="715DCD" w:themeColor="text1" w:themeTint="80"/>
        <w:bottom w:val="single" w:sz="4" w:space="0" w:color="715DCD" w:themeColor="text1" w:themeTint="80"/>
      </w:tblBorders>
    </w:tblPr>
    <w:tcPr>
      <w:shd w:val="clear" w:color="auto" w:fill="auto"/>
    </w:tcPr>
    <w:tblStylePr w:type="firstRow">
      <w:rPr>
        <w:b/>
        <w:bCs/>
      </w:rPr>
      <w:tblPr/>
      <w:tcPr>
        <w:tcBorders>
          <w:bottom w:val="single" w:sz="4" w:space="0" w:color="715DCD" w:themeColor="text1" w:themeTint="80"/>
        </w:tcBorders>
      </w:tcPr>
    </w:tblStylePr>
    <w:tblStylePr w:type="lastRow">
      <w:rPr>
        <w:b/>
        <w:bCs/>
      </w:rPr>
      <w:tblPr/>
      <w:tcPr>
        <w:tcBorders>
          <w:top w:val="single" w:sz="4" w:space="0" w:color="715DCD" w:themeColor="text1" w:themeTint="80"/>
        </w:tcBorders>
      </w:tcPr>
    </w:tblStylePr>
    <w:tblStylePr w:type="firstCol">
      <w:rPr>
        <w:b/>
        <w:bCs/>
      </w:rPr>
    </w:tblStylePr>
    <w:tblStylePr w:type="lastCol">
      <w:rPr>
        <w:b/>
        <w:bCs/>
      </w:rPr>
    </w:tblStylePr>
    <w:tblStylePr w:type="band1Vert">
      <w:tblPr/>
      <w:tcPr>
        <w:tcBorders>
          <w:left w:val="single" w:sz="4" w:space="0" w:color="715DCD" w:themeColor="text1" w:themeTint="80"/>
          <w:right w:val="single" w:sz="4" w:space="0" w:color="715DCD" w:themeColor="text1" w:themeTint="80"/>
        </w:tcBorders>
      </w:tcPr>
    </w:tblStylePr>
    <w:tblStylePr w:type="band2Vert">
      <w:tblPr/>
      <w:tcPr>
        <w:tcBorders>
          <w:left w:val="single" w:sz="4" w:space="0" w:color="715DCD" w:themeColor="text1" w:themeTint="80"/>
          <w:right w:val="single" w:sz="4" w:space="0" w:color="715DCD" w:themeColor="text1" w:themeTint="80"/>
        </w:tcBorders>
      </w:tcPr>
    </w:tblStylePr>
    <w:tblStylePr w:type="band1Horz">
      <w:tblPr/>
      <w:tcPr>
        <w:tcBorders>
          <w:top w:val="single" w:sz="4" w:space="0" w:color="715DCD" w:themeColor="text1" w:themeTint="80"/>
          <w:bottom w:val="single" w:sz="4" w:space="0" w:color="715DCD" w:themeColor="text1" w:themeTint="80"/>
        </w:tcBorders>
      </w:tcPr>
    </w:tblStylePr>
  </w:style>
  <w:style w:type="paragraph" w:styleId="ListNumber">
    <w:name w:val="List Number"/>
    <w:basedOn w:val="Normal"/>
    <w:uiPriority w:val="99"/>
    <w:unhideWhenUsed/>
    <w:qFormat/>
    <w:rsid w:val="005F1B0A"/>
    <w:pPr>
      <w:numPr>
        <w:numId w:val="3"/>
      </w:numPr>
      <w:spacing w:after="80"/>
    </w:pPr>
    <w:rPr>
      <w:rFonts w:ascii="Arial" w:hAnsi="Arial"/>
      <w:color w:val="1E1545" w:themeColor="text1"/>
      <w:szCs w:val="20"/>
    </w:rPr>
  </w:style>
  <w:style w:type="paragraph" w:styleId="ListNumber2">
    <w:name w:val="List Number 2"/>
    <w:basedOn w:val="Normal"/>
    <w:uiPriority w:val="99"/>
    <w:unhideWhenUsed/>
    <w:qFormat/>
    <w:rsid w:val="005F1B0A"/>
    <w:pPr>
      <w:numPr>
        <w:ilvl w:val="1"/>
        <w:numId w:val="3"/>
      </w:numPr>
      <w:spacing w:after="80"/>
    </w:pPr>
    <w:rPr>
      <w:rFonts w:ascii="Arial" w:hAnsi="Arial"/>
      <w:color w:val="1E1545" w:themeColor="text1"/>
      <w:szCs w:val="20"/>
    </w:rPr>
  </w:style>
  <w:style w:type="paragraph" w:styleId="ListNumber3">
    <w:name w:val="List Number 3"/>
    <w:basedOn w:val="Normal"/>
    <w:uiPriority w:val="99"/>
    <w:unhideWhenUsed/>
    <w:qFormat/>
    <w:rsid w:val="005F1B0A"/>
    <w:pPr>
      <w:numPr>
        <w:ilvl w:val="2"/>
        <w:numId w:val="3"/>
      </w:numPr>
      <w:spacing w:after="80"/>
    </w:pPr>
    <w:rPr>
      <w:rFonts w:ascii="Arial" w:hAnsi="Arial"/>
      <w:color w:val="1E1545" w:themeColor="text1"/>
      <w:szCs w:val="20"/>
    </w:rPr>
  </w:style>
  <w:style w:type="table" w:customStyle="1" w:styleId="PlainTable21">
    <w:name w:val="Plain Table 21"/>
    <w:basedOn w:val="TableNormal"/>
    <w:next w:val="PlainTable2"/>
    <w:uiPriority w:val="42"/>
    <w:rsid w:val="005F1B0A"/>
    <w:pPr>
      <w:ind w:left="2160"/>
    </w:pPr>
    <w:rPr>
      <w:sz w:val="20"/>
      <w:szCs w:val="20"/>
      <w:lang w:eastAsia="en-US"/>
    </w:rPr>
    <w:tblPr>
      <w:tblStyleRowBandSize w:val="1"/>
      <w:tblStyleColBandSize w:val="1"/>
      <w:tblBorders>
        <w:top w:val="single" w:sz="4" w:space="0" w:color="715DCD"/>
        <w:bottom w:val="single" w:sz="4" w:space="0" w:color="715DCD"/>
      </w:tblBorders>
    </w:tblPr>
    <w:tcPr>
      <w:shd w:val="clear" w:color="auto" w:fill="auto"/>
    </w:tcPr>
    <w:tblStylePr w:type="firstRow">
      <w:rPr>
        <w:b/>
        <w:bCs/>
      </w:rPr>
      <w:tblPr/>
      <w:tcPr>
        <w:tcBorders>
          <w:bottom w:val="single" w:sz="4" w:space="0" w:color="715DCD"/>
        </w:tcBorders>
      </w:tcPr>
    </w:tblStylePr>
    <w:tblStylePr w:type="lastRow">
      <w:rPr>
        <w:b/>
        <w:bCs/>
      </w:rPr>
      <w:tblPr/>
      <w:tcPr>
        <w:tcBorders>
          <w:top w:val="single" w:sz="4" w:space="0" w:color="715DCD"/>
        </w:tcBorders>
      </w:tcPr>
    </w:tblStylePr>
    <w:tblStylePr w:type="firstCol">
      <w:rPr>
        <w:b/>
        <w:bCs/>
      </w:rPr>
    </w:tblStylePr>
    <w:tblStylePr w:type="lastCol">
      <w:rPr>
        <w:b/>
        <w:bCs/>
      </w:rPr>
    </w:tblStylePr>
    <w:tblStylePr w:type="band1Vert">
      <w:tblPr/>
      <w:tcPr>
        <w:tcBorders>
          <w:left w:val="single" w:sz="4" w:space="0" w:color="715DCD"/>
          <w:right w:val="single" w:sz="4" w:space="0" w:color="715DCD"/>
        </w:tcBorders>
      </w:tcPr>
    </w:tblStylePr>
    <w:tblStylePr w:type="band2Vert">
      <w:tblPr/>
      <w:tcPr>
        <w:tcBorders>
          <w:left w:val="single" w:sz="4" w:space="0" w:color="715DCD"/>
          <w:right w:val="single" w:sz="4" w:space="0" w:color="715DCD"/>
        </w:tcBorders>
      </w:tcPr>
    </w:tblStylePr>
    <w:tblStylePr w:type="band1Horz">
      <w:tblPr/>
      <w:tcPr>
        <w:tcBorders>
          <w:top w:val="single" w:sz="4" w:space="0" w:color="715DCD"/>
          <w:bottom w:val="single" w:sz="4" w:space="0" w:color="715DCD"/>
        </w:tcBorders>
      </w:tcPr>
    </w:tblStylePr>
  </w:style>
  <w:style w:type="paragraph" w:styleId="BalloonText">
    <w:name w:val="Balloon Text"/>
    <w:basedOn w:val="Normal"/>
    <w:link w:val="BalloonTextChar"/>
    <w:uiPriority w:val="99"/>
    <w:semiHidden/>
    <w:unhideWhenUsed/>
    <w:rsid w:val="009C63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63E0"/>
    <w:rPr>
      <w:rFonts w:ascii="Times New Roman" w:hAnsi="Times New Roman" w:cs="Times New Roman"/>
      <w:sz w:val="18"/>
      <w:szCs w:val="18"/>
    </w:rPr>
  </w:style>
  <w:style w:type="paragraph" w:customStyle="1" w:styleId="Quoteorcalloutbox">
    <w:name w:val="Quote or call out box"/>
    <w:basedOn w:val="Normal"/>
    <w:qFormat/>
    <w:rsid w:val="005A2122"/>
    <w:pPr>
      <w:keepNext/>
      <w:pBdr>
        <w:top w:val="single" w:sz="8" w:space="1" w:color="2AB1BB" w:themeColor="accent1"/>
        <w:bottom w:val="single" w:sz="8" w:space="1" w:color="2AB1BB" w:themeColor="accent1"/>
      </w:pBdr>
      <w:spacing w:before="120" w:after="120" w:line="276" w:lineRule="auto"/>
      <w:outlineLvl w:val="2"/>
    </w:pPr>
    <w:rPr>
      <w:rFonts w:ascii="Arial" w:eastAsia="Times New Roman" w:hAnsi="Arial"/>
      <w:b/>
      <w:bCs/>
      <w:noProof/>
      <w:color w:val="1E1644"/>
      <w:shd w:val="clear" w:color="auto" w:fill="FFFFFF"/>
      <w:lang w:eastAsia="en-GB"/>
    </w:rPr>
  </w:style>
  <w:style w:type="table" w:styleId="TableGrid">
    <w:name w:val="Table Grid"/>
    <w:basedOn w:val="TableNormal"/>
    <w:uiPriority w:val="39"/>
    <w:rsid w:val="006F3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A2122"/>
    <w:rPr>
      <w:rFonts w:ascii="Arial" w:eastAsia="Times New Roman" w:hAnsi="Arial"/>
      <w:b/>
      <w:color w:val="1E1644"/>
      <w:sz w:val="60"/>
      <w:szCs w:val="20"/>
      <w:lang w:eastAsia="en-GB"/>
    </w:rPr>
  </w:style>
  <w:style w:type="paragraph" w:styleId="Title">
    <w:name w:val="Title"/>
    <w:basedOn w:val="Normal"/>
    <w:next w:val="Normal"/>
    <w:link w:val="TitleChar"/>
    <w:uiPriority w:val="10"/>
    <w:qFormat/>
    <w:rsid w:val="00B116D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6D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A2122"/>
    <w:rPr>
      <w:rFonts w:ascii="Arial" w:eastAsia="Times New Roman" w:hAnsi="Arial"/>
      <w:b/>
      <w:bCs/>
      <w:noProof/>
      <w:color w:val="1E1644"/>
      <w:sz w:val="32"/>
      <w:szCs w:val="28"/>
      <w:lang w:eastAsia="en-GB"/>
    </w:rPr>
  </w:style>
  <w:style w:type="character" w:styleId="Hyperlink">
    <w:name w:val="Hyperlink"/>
    <w:basedOn w:val="DefaultParagraphFont"/>
    <w:uiPriority w:val="99"/>
    <w:unhideWhenUsed/>
    <w:rsid w:val="005A2122"/>
    <w:rPr>
      <w:color w:val="0070C0"/>
      <w:u w:val="single"/>
    </w:rPr>
  </w:style>
  <w:style w:type="character" w:styleId="CommentReference">
    <w:name w:val="annotation reference"/>
    <w:basedOn w:val="DefaultParagraphFont"/>
    <w:uiPriority w:val="99"/>
    <w:semiHidden/>
    <w:unhideWhenUsed/>
    <w:rsid w:val="009F63E4"/>
    <w:rPr>
      <w:sz w:val="16"/>
      <w:szCs w:val="16"/>
    </w:rPr>
  </w:style>
  <w:style w:type="paragraph" w:styleId="CommentText">
    <w:name w:val="annotation text"/>
    <w:basedOn w:val="Normal"/>
    <w:link w:val="CommentTextChar"/>
    <w:uiPriority w:val="99"/>
    <w:semiHidden/>
    <w:unhideWhenUsed/>
    <w:rsid w:val="009F63E4"/>
    <w:pPr>
      <w:keepLines/>
      <w:spacing w:before="120"/>
    </w:pPr>
    <w:rPr>
      <w:rFonts w:ascii="Segoe UI" w:eastAsiaTheme="minorHAnsi" w:hAnsi="Segoe UI" w:cs="Times New Roman (Body CS)"/>
      <w:spacing w:val="-3"/>
      <w:sz w:val="20"/>
      <w:szCs w:val="20"/>
      <w:lang w:eastAsia="en-US"/>
    </w:rPr>
  </w:style>
  <w:style w:type="character" w:customStyle="1" w:styleId="CommentTextChar">
    <w:name w:val="Comment Text Char"/>
    <w:basedOn w:val="DefaultParagraphFont"/>
    <w:link w:val="CommentText"/>
    <w:uiPriority w:val="99"/>
    <w:semiHidden/>
    <w:rsid w:val="009F63E4"/>
    <w:rPr>
      <w:rFonts w:ascii="Segoe UI" w:eastAsiaTheme="minorHAnsi" w:hAnsi="Segoe UI" w:cs="Times New Roman (Body CS)"/>
      <w:spacing w:val="-3"/>
      <w:sz w:val="20"/>
      <w:szCs w:val="20"/>
      <w:lang w:eastAsia="en-US"/>
    </w:rPr>
  </w:style>
  <w:style w:type="table" w:customStyle="1" w:styleId="AgedCare1">
    <w:name w:val="Aged Care 1"/>
    <w:basedOn w:val="TableNormal"/>
    <w:uiPriority w:val="99"/>
    <w:rsid w:val="00F5708A"/>
    <w:pPr>
      <w:snapToGrid w:val="0"/>
      <w:jc w:val="center"/>
    </w:pPr>
    <w:rPr>
      <w:rFonts w:ascii="Segoe UI" w:eastAsiaTheme="minorHAnsi" w:hAnsi="Segoe UI" w:cs="Times New Roman (Body CS)"/>
      <w:sz w:val="20"/>
      <w:lang w:eastAsia="en-US"/>
    </w:rPr>
    <w:tblPr>
      <w:tblStyleRowBandSize w:val="1"/>
      <w:tblStyleColBandSize w:val="1"/>
      <w:tblBorders>
        <w:bottom w:val="single" w:sz="4" w:space="0" w:color="2AB1BB" w:themeColor="accent1"/>
        <w:insideH w:val="single" w:sz="4" w:space="0" w:color="2AB1BB" w:themeColor="accent1"/>
      </w:tblBorders>
    </w:tblPr>
    <w:tcPr>
      <w:shd w:val="clear" w:color="auto" w:fill="auto"/>
    </w:tcPr>
    <w:tblStylePr w:type="firstRow">
      <w:pPr>
        <w:wordWrap/>
        <w:spacing w:line="240" w:lineRule="auto"/>
        <w:jc w:val="center"/>
      </w:pPr>
      <w:rPr>
        <w:rFonts w:ascii="Segoe UI" w:hAnsi="Segoe UI"/>
        <w:b/>
        <w:i w:val="0"/>
        <w:color w:val="2AB1BB" w:themeColor="accent1"/>
        <w:sz w:val="20"/>
      </w:rPr>
    </w:tblStylePr>
    <w:tblStylePr w:type="firstCol">
      <w:pPr>
        <w:wordWrap/>
        <w:spacing w:line="240" w:lineRule="auto"/>
        <w:jc w:val="left"/>
      </w:pPr>
      <w:rPr>
        <w:rFonts w:ascii="Segoe UI" w:hAnsi="Segoe UI"/>
        <w:b/>
        <w:i w:val="0"/>
        <w:color w:val="2AB1BB" w:themeColor="accent1"/>
        <w:sz w:val="20"/>
      </w:rPr>
    </w:tblStylePr>
  </w:style>
  <w:style w:type="paragraph" w:styleId="Caption">
    <w:name w:val="caption"/>
    <w:basedOn w:val="Normal"/>
    <w:next w:val="Normal"/>
    <w:uiPriority w:val="35"/>
    <w:unhideWhenUsed/>
    <w:qFormat/>
    <w:rsid w:val="005A2122"/>
    <w:pPr>
      <w:spacing w:after="200"/>
    </w:pPr>
    <w:rPr>
      <w:rFonts w:ascii="Arial" w:hAnsi="Arial"/>
      <w:b/>
      <w:iCs/>
      <w:color w:val="1E1545" w:themeColor="text2"/>
      <w:sz w:val="20"/>
      <w:szCs w:val="18"/>
    </w:rPr>
  </w:style>
  <w:style w:type="table" w:styleId="ListTable3-Accent1">
    <w:name w:val="List Table 3 Accent 1"/>
    <w:basedOn w:val="TableNormal"/>
    <w:uiPriority w:val="48"/>
    <w:rsid w:val="00DF7056"/>
    <w:tblPr>
      <w:tblStyleRowBandSize w:val="1"/>
      <w:tblStyleColBandSize w:val="1"/>
      <w:tblBorders>
        <w:top w:val="single" w:sz="4" w:space="0" w:color="2AB1BB" w:themeColor="accent1"/>
        <w:left w:val="single" w:sz="4" w:space="0" w:color="2AB1BB" w:themeColor="accent1"/>
        <w:bottom w:val="single" w:sz="4" w:space="0" w:color="2AB1BB" w:themeColor="accent1"/>
        <w:right w:val="single" w:sz="4" w:space="0" w:color="2AB1BB" w:themeColor="accent1"/>
      </w:tblBorders>
    </w:tblPr>
    <w:tblStylePr w:type="firstRow">
      <w:rPr>
        <w:b/>
        <w:bCs/>
        <w:color w:val="FFFFFF" w:themeColor="background1"/>
      </w:rPr>
      <w:tblPr/>
      <w:tcPr>
        <w:shd w:val="clear" w:color="auto" w:fill="2AB1BB" w:themeFill="accent1"/>
      </w:tcPr>
    </w:tblStylePr>
    <w:tblStylePr w:type="lastRow">
      <w:rPr>
        <w:b/>
        <w:bCs/>
      </w:rPr>
      <w:tblPr/>
      <w:tcPr>
        <w:tcBorders>
          <w:top w:val="double" w:sz="4" w:space="0" w:color="2AB1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AB1BB" w:themeColor="accent1"/>
          <w:right w:val="single" w:sz="4" w:space="0" w:color="2AB1BB" w:themeColor="accent1"/>
        </w:tcBorders>
      </w:tcPr>
    </w:tblStylePr>
    <w:tblStylePr w:type="band1Horz">
      <w:tblPr/>
      <w:tcPr>
        <w:tcBorders>
          <w:top w:val="single" w:sz="4" w:space="0" w:color="2AB1BB" w:themeColor="accent1"/>
          <w:bottom w:val="single" w:sz="4" w:space="0" w:color="2AB1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AB1BB" w:themeColor="accent1"/>
          <w:left w:val="nil"/>
        </w:tcBorders>
      </w:tcPr>
    </w:tblStylePr>
    <w:tblStylePr w:type="swCell">
      <w:tblPr/>
      <w:tcPr>
        <w:tcBorders>
          <w:top w:val="double" w:sz="4" w:space="0" w:color="2AB1BB" w:themeColor="accent1"/>
          <w:right w:val="nil"/>
        </w:tcBorders>
      </w:tcPr>
    </w:tblStylePr>
  </w:style>
  <w:style w:type="character" w:styleId="UnresolvedMention">
    <w:name w:val="Unresolved Mention"/>
    <w:basedOn w:val="DefaultParagraphFont"/>
    <w:uiPriority w:val="99"/>
    <w:semiHidden/>
    <w:unhideWhenUsed/>
    <w:rsid w:val="00F5708A"/>
    <w:rPr>
      <w:color w:val="605E5C"/>
      <w:shd w:val="clear" w:color="auto" w:fill="E1DFDD"/>
    </w:rPr>
  </w:style>
  <w:style w:type="table" w:styleId="ListTable3">
    <w:name w:val="List Table 3"/>
    <w:basedOn w:val="TableSimple1"/>
    <w:uiPriority w:val="48"/>
    <w:rsid w:val="005A2122"/>
    <w:rPr>
      <w:rFonts w:ascii="Arial" w:hAnsi="Arial"/>
      <w:sz w:val="22"/>
      <w:szCs w:val="20"/>
      <w:lang w:eastAsia="en-AU"/>
    </w:rPr>
    <w:tblPr>
      <w:tblStyleRowBandSize w:val="1"/>
      <w:tblStyleColBandSize w:val="1"/>
      <w:tblBorders>
        <w:top w:val="single" w:sz="4" w:space="0" w:color="auto"/>
        <w:left w:val="single" w:sz="4" w:space="0" w:color="auto"/>
        <w:bottom w:val="single" w:sz="4" w:space="0" w:color="auto"/>
        <w:right w:val="single" w:sz="4" w:space="0" w:color="auto"/>
        <w:insideV w:val="single" w:sz="4" w:space="0" w:color="auto"/>
      </w:tblBorders>
    </w:tblPr>
    <w:tcPr>
      <w:shd w:val="clear" w:color="auto" w:fill="FFFFFF" w:themeFill="background1"/>
    </w:tcPr>
    <w:tblStylePr w:type="firstRow">
      <w:rPr>
        <w:b/>
        <w:bCs/>
        <w:color w:val="FFFFFF" w:themeColor="background1"/>
      </w:rPr>
      <w:tblPr/>
      <w:tcPr>
        <w:tcBorders>
          <w:bottom w:val="single" w:sz="6" w:space="0" w:color="008000"/>
          <w:tl2br w:val="none" w:sz="0" w:space="0" w:color="auto"/>
          <w:tr2bl w:val="none" w:sz="0" w:space="0" w:color="auto"/>
        </w:tcBorders>
        <w:shd w:val="clear" w:color="auto" w:fill="1E1545" w:themeFill="text1"/>
      </w:tcPr>
    </w:tblStylePr>
    <w:tblStylePr w:type="lastRow">
      <w:rPr>
        <w:b/>
        <w:bCs/>
      </w:rPr>
      <w:tblPr/>
      <w:tcPr>
        <w:tcBorders>
          <w:top w:val="double" w:sz="4" w:space="0" w:color="1E1545" w:themeColor="text1"/>
          <w:tl2br w:val="none" w:sz="0" w:space="0" w:color="auto"/>
          <w:tr2bl w:val="none" w:sz="0" w:space="0" w:color="auto"/>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1545" w:themeColor="text1"/>
          <w:right w:val="single" w:sz="4" w:space="0" w:color="1E1545" w:themeColor="text1"/>
        </w:tcBorders>
      </w:tcPr>
    </w:tblStylePr>
    <w:tblStylePr w:type="band1Horz">
      <w:tblPr/>
      <w:tcPr>
        <w:tcBorders>
          <w:top w:val="single" w:sz="4" w:space="0" w:color="1E1545" w:themeColor="text1"/>
          <w:bottom w:val="single" w:sz="4" w:space="0" w:color="1E1545"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1545" w:themeColor="text1"/>
          <w:left w:val="nil"/>
        </w:tcBorders>
      </w:tcPr>
    </w:tblStylePr>
    <w:tblStylePr w:type="swCell">
      <w:tblPr/>
      <w:tcPr>
        <w:tcBorders>
          <w:top w:val="double" w:sz="4" w:space="0" w:color="1E1545" w:themeColor="text1"/>
          <w:right w:val="nil"/>
        </w:tcBorders>
      </w:tcPr>
    </w:tblStylePr>
  </w:style>
  <w:style w:type="character" w:styleId="FollowedHyperlink">
    <w:name w:val="FollowedHyperlink"/>
    <w:basedOn w:val="DefaultParagraphFont"/>
    <w:uiPriority w:val="99"/>
    <w:semiHidden/>
    <w:unhideWhenUsed/>
    <w:rsid w:val="00A0404D"/>
    <w:rPr>
      <w:color w:val="78BE43" w:themeColor="followedHyperlink"/>
      <w:u w:val="single"/>
    </w:rPr>
  </w:style>
  <w:style w:type="table" w:styleId="TableSimple1">
    <w:name w:val="Table Simple 1"/>
    <w:basedOn w:val="TableNormal"/>
    <w:uiPriority w:val="99"/>
    <w:semiHidden/>
    <w:unhideWhenUsed/>
    <w:rsid w:val="00FD50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CommentSubject">
    <w:name w:val="annotation subject"/>
    <w:basedOn w:val="CommentText"/>
    <w:next w:val="CommentText"/>
    <w:link w:val="CommentSubjectChar"/>
    <w:uiPriority w:val="99"/>
    <w:semiHidden/>
    <w:unhideWhenUsed/>
    <w:rsid w:val="001B7E28"/>
    <w:pPr>
      <w:keepLines w:val="0"/>
      <w:spacing w:before="0"/>
    </w:pPr>
    <w:rPr>
      <w:rFonts w:asciiTheme="minorHAnsi" w:eastAsiaTheme="minorEastAsia" w:hAnsiTheme="minorHAnsi" w:cstheme="minorBidi"/>
      <w:b/>
      <w:bCs/>
      <w:spacing w:val="0"/>
      <w:lang w:eastAsia="zh-CN"/>
    </w:rPr>
  </w:style>
  <w:style w:type="character" w:customStyle="1" w:styleId="CommentSubjectChar">
    <w:name w:val="Comment Subject Char"/>
    <w:basedOn w:val="CommentTextChar"/>
    <w:link w:val="CommentSubject"/>
    <w:uiPriority w:val="99"/>
    <w:semiHidden/>
    <w:rsid w:val="001B7E28"/>
    <w:rPr>
      <w:rFonts w:ascii="Segoe UI" w:eastAsiaTheme="minorHAnsi" w:hAnsi="Segoe UI" w:cs="Times New Roman (Body CS)"/>
      <w:b/>
      <w:bCs/>
      <w:spacing w:val="-3"/>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AN-ACC" TargetMode="External"/><Relationship Id="rId18" Type="http://schemas.openxmlformats.org/officeDocument/2006/relationships/hyperlink" Target="https://www.linkedin.com/company/dept-of-health-gov-au/" TargetMode="External"/><Relationship Id="rId3" Type="http://schemas.openxmlformats.org/officeDocument/2006/relationships/customXml" Target="../customXml/item3.xml"/><Relationship Id="rId21" Type="http://schemas.openxmlformats.org/officeDocument/2006/relationships/hyperlink" Target="https://www.agedcareengagement.health.gov.au/"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twitter.com/healthgovau" TargetMode="External"/><Relationship Id="rId2" Type="http://schemas.openxmlformats.org/officeDocument/2006/relationships/customXml" Target="../customXml/item2.xml"/><Relationship Id="rId16" Type="http://schemas.openxmlformats.org/officeDocument/2006/relationships/hyperlink" Target="https://www.facebook.com/healthgovau" TargetMode="External"/><Relationship Id="rId20" Type="http://schemas.openxmlformats.org/officeDocument/2006/relationships/hyperlink" Target="https://www.health.gov.au/using-our-websites/subscriptions/subscribe-to-the-aged-care-sector-newsletters-and-aler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gov.au/resources/collections/funding-reform-resourc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stagram.com/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the-australian-national-aged-care-classification-an-acc-funding-guide" TargetMode="External"/><Relationship Id="rId22" Type="http://schemas.openxmlformats.org/officeDocument/2006/relationships/fontTable" Target="fontTable.xml"/></Relationships>
</file>

<file path=word/theme/theme1.xml><?xml version="1.0" encoding="utf-8"?>
<a:theme xmlns:a="http://schemas.openxmlformats.org/drawingml/2006/main" name="DHAC">
  <a:themeElements>
    <a:clrScheme name="DHAC">
      <a:dk1>
        <a:srgbClr val="1E1545"/>
      </a:dk1>
      <a:lt1>
        <a:sysClr val="window" lastClr="FFFFFF"/>
      </a:lt1>
      <a:dk2>
        <a:srgbClr val="1E1545"/>
      </a:dk2>
      <a:lt2>
        <a:srgbClr val="EEEEEE"/>
      </a:lt2>
      <a:accent1>
        <a:srgbClr val="2AB1BB"/>
      </a:accent1>
      <a:accent2>
        <a:srgbClr val="78BE43"/>
      </a:accent2>
      <a:accent3>
        <a:srgbClr val="8C5AA5"/>
      </a:accent3>
      <a:accent4>
        <a:srgbClr val="DA576C"/>
      </a:accent4>
      <a:accent5>
        <a:srgbClr val="F26A2B"/>
      </a:accent5>
      <a:accent6>
        <a:srgbClr val="F4B223"/>
      </a:accent6>
      <a:hlink>
        <a:srgbClr val="2AB1BB"/>
      </a:hlink>
      <a:folHlink>
        <a:srgbClr val="78BE43"/>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14F027F7E83640BE1E5FE0BE50EFB5" ma:contentTypeVersion="0" ma:contentTypeDescription="Create a new document." ma:contentTypeScope="" ma:versionID="ee5d632581622ddd54480d9ebb23d1d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F5545-A15F-4956-9E8D-62AB5A4966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6AD2CC-CE30-49FA-BF0C-1E7736464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E2264A6-1F82-4C6B-ADAE-4DED7A790BD7}">
  <ds:schemaRefs>
    <ds:schemaRef ds:uri="http://schemas.microsoft.com/sharepoint/v3/contenttype/forms"/>
  </ds:schemaRefs>
</ds:datastoreItem>
</file>

<file path=customXml/itemProps4.xml><?xml version="1.0" encoding="utf-8"?>
<ds:datastoreItem xmlns:ds="http://schemas.openxmlformats.org/officeDocument/2006/customXml" ds:itemID="{4BF4B7DA-5069-5746-A9D1-52DCE3414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4970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Subsidies and Supplements under AN-ACC</vt:lpstr>
    </vt:vector>
  </TitlesOfParts>
  <Manager/>
  <Company/>
  <LinksUpToDate>false</LinksUpToDate>
  <CharactersWithSpaces>5830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Subsidies and Supplements under AN-ACC</dc:title>
  <dc:subject>Aged care</dc:subject>
  <dc:creator>Australian Government Department of Health and Aged Care</dc:creator>
  <cp:keywords>AN-ACC, subisidies, aged care, supplements, subsidies and supplements</cp:keywords>
  <dc:description/>
  <cp:lastModifiedBy>Department of Health and Aged Care</cp:lastModifiedBy>
  <cp:revision>2</cp:revision>
  <cp:lastPrinted>2022-12-08T04:19:00Z</cp:lastPrinted>
  <dcterms:created xsi:type="dcterms:W3CDTF">2022-12-08T07:33:00Z</dcterms:created>
  <dcterms:modified xsi:type="dcterms:W3CDTF">2022-12-08T07:33:00Z</dcterms:modified>
  <cp:category/>
</cp:coreProperties>
</file>