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87518" w14:textId="4540DF53" w:rsidR="009968B1" w:rsidRDefault="009968B1" w:rsidP="009968B1">
      <w:pPr>
        <w:ind w:left="-142" w:right="-359" w:hanging="425"/>
        <w:jc w:val="center"/>
        <w:rPr>
          <w:rFonts w:cstheme="minorHAnsi"/>
          <w:b/>
          <w:sz w:val="44"/>
          <w:szCs w:val="44"/>
        </w:rPr>
      </w:pPr>
      <w:r>
        <w:rPr>
          <w:rFonts w:cstheme="minorHAnsi"/>
          <w:noProof/>
          <w:lang w:eastAsia="en-AU"/>
        </w:rPr>
        <w:drawing>
          <wp:inline distT="0" distB="0" distL="0" distR="0" wp14:anchorId="07F28F84" wp14:editId="56825EC6">
            <wp:extent cx="1685925" cy="1123950"/>
            <wp:effectExtent l="0" t="0" r="9525" b="0"/>
            <wp:docPr id="2" name="Picture 2" descr="Australian Government&#10;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10;Department of Healt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5925" cy="1123950"/>
                    </a:xfrm>
                    <a:prstGeom prst="rect">
                      <a:avLst/>
                    </a:prstGeom>
                    <a:noFill/>
                    <a:ln>
                      <a:noFill/>
                    </a:ln>
                  </pic:spPr>
                </pic:pic>
              </a:graphicData>
            </a:graphic>
          </wp:inline>
        </w:drawing>
      </w:r>
    </w:p>
    <w:p w14:paraId="4B31181F" w14:textId="77777777" w:rsidR="009968B1" w:rsidRDefault="009968B1" w:rsidP="009968B1">
      <w:pPr>
        <w:ind w:left="-142" w:right="-359" w:hanging="425"/>
        <w:jc w:val="center"/>
        <w:rPr>
          <w:rFonts w:cstheme="minorHAnsi"/>
          <w:b/>
          <w:sz w:val="44"/>
          <w:szCs w:val="44"/>
        </w:rPr>
      </w:pPr>
    </w:p>
    <w:p w14:paraId="35774796" w14:textId="77777777" w:rsidR="009968B1" w:rsidRDefault="009968B1" w:rsidP="009968B1">
      <w:pPr>
        <w:ind w:left="-142" w:right="-359" w:hanging="425"/>
        <w:jc w:val="center"/>
        <w:rPr>
          <w:rFonts w:cstheme="minorHAnsi"/>
          <w:b/>
          <w:sz w:val="44"/>
          <w:szCs w:val="44"/>
        </w:rPr>
      </w:pPr>
      <w:r>
        <w:rPr>
          <w:rFonts w:cstheme="minorHAnsi"/>
          <w:b/>
          <w:sz w:val="44"/>
          <w:szCs w:val="44"/>
        </w:rPr>
        <w:t>Seventh Community Pharmacy Agreement (7CPA)</w:t>
      </w:r>
    </w:p>
    <w:p w14:paraId="3C0215AB" w14:textId="77777777" w:rsidR="009968B1" w:rsidRDefault="009968B1" w:rsidP="009968B1">
      <w:pPr>
        <w:ind w:left="-142" w:right="-359" w:hanging="425"/>
        <w:jc w:val="center"/>
        <w:rPr>
          <w:rFonts w:cstheme="minorHAnsi"/>
          <w:b/>
          <w:sz w:val="36"/>
          <w:szCs w:val="36"/>
        </w:rPr>
      </w:pPr>
      <w:r>
        <w:rPr>
          <w:rFonts w:cstheme="minorHAnsi"/>
          <w:b/>
          <w:sz w:val="36"/>
          <w:szCs w:val="36"/>
        </w:rPr>
        <w:t>Key Performance Measures and Monitoring Arrangements</w:t>
      </w:r>
    </w:p>
    <w:p w14:paraId="3706023C" w14:textId="77777777" w:rsidR="009968B1" w:rsidRDefault="009968B1" w:rsidP="009968B1">
      <w:pPr>
        <w:ind w:left="-142" w:right="-359" w:hanging="425"/>
        <w:jc w:val="center"/>
        <w:rPr>
          <w:rFonts w:cstheme="minorHAnsi"/>
        </w:rPr>
      </w:pPr>
      <w:r>
        <w:rPr>
          <w:rFonts w:cstheme="minorHAnsi"/>
        </w:rPr>
        <w:t>February 2022</w:t>
      </w:r>
    </w:p>
    <w:p w14:paraId="7C908BB7" w14:textId="77777777" w:rsidR="009968B1" w:rsidRDefault="009968B1" w:rsidP="009968B1">
      <w:pPr>
        <w:ind w:left="-142" w:right="-359" w:hanging="425"/>
        <w:rPr>
          <w:rFonts w:cstheme="minorHAnsi"/>
        </w:rPr>
      </w:pPr>
    </w:p>
    <w:p w14:paraId="504CD61A" w14:textId="77777777" w:rsidR="009968B1" w:rsidRDefault="009968B1" w:rsidP="009968B1">
      <w:pPr>
        <w:ind w:left="-142" w:right="-359" w:hanging="425"/>
        <w:jc w:val="right"/>
        <w:rPr>
          <w:rFonts w:cstheme="minorHAnsi"/>
          <w:b/>
          <w:bCs/>
        </w:rPr>
      </w:pPr>
      <w:r>
        <w:rPr>
          <w:rFonts w:cstheme="minorHAnsi"/>
          <w:b/>
          <w:bCs/>
        </w:rPr>
        <w:t>Approved by The Hon. Greg Hunt MP, Minister for Health and Aged Care</w:t>
      </w:r>
    </w:p>
    <w:p w14:paraId="2EBE8F91" w14:textId="77777777" w:rsidR="009968B1" w:rsidRDefault="009968B1" w:rsidP="009968B1">
      <w:pPr>
        <w:spacing w:after="0"/>
        <w:ind w:left="-142" w:right="-357" w:hanging="425"/>
        <w:rPr>
          <w:rFonts w:cstheme="minorHAnsi"/>
          <w:b/>
          <w:bCs/>
        </w:rPr>
      </w:pPr>
    </w:p>
    <w:p w14:paraId="5F968BA2" w14:textId="77777777" w:rsidR="009968B1" w:rsidRDefault="009968B1" w:rsidP="009968B1">
      <w:pPr>
        <w:spacing w:after="0"/>
        <w:ind w:left="-142" w:right="-357" w:hanging="425"/>
        <w:rPr>
          <w:rFonts w:cstheme="minorHAnsi"/>
          <w:b/>
          <w:bCs/>
        </w:rPr>
      </w:pPr>
      <w:r>
        <w:rPr>
          <w:rFonts w:cstheme="minorHAnsi"/>
          <w:b/>
          <w:bCs/>
        </w:rPr>
        <w:t>Notes</w:t>
      </w:r>
    </w:p>
    <w:p w14:paraId="2D77BD83" w14:textId="77777777" w:rsidR="009968B1" w:rsidRDefault="009968B1" w:rsidP="009968B1">
      <w:pPr>
        <w:pStyle w:val="ListParagraph"/>
        <w:numPr>
          <w:ilvl w:val="0"/>
          <w:numId w:val="1"/>
        </w:numPr>
        <w:spacing w:after="120" w:line="256" w:lineRule="auto"/>
        <w:ind w:left="-142" w:right="-357" w:hanging="425"/>
        <w:rPr>
          <w:rFonts w:cstheme="minorHAnsi"/>
        </w:rPr>
      </w:pPr>
      <w:r>
        <w:rPr>
          <w:rFonts w:cstheme="minorHAnsi"/>
        </w:rPr>
        <w:t>This document contains approved Key Performance Measures (KPM) for the Seventh Community Pharmacy Agreement.</w:t>
      </w:r>
    </w:p>
    <w:p w14:paraId="65AE2780" w14:textId="77777777" w:rsidR="009968B1" w:rsidRDefault="009968B1" w:rsidP="009968B1">
      <w:pPr>
        <w:pStyle w:val="ListParagraph"/>
        <w:numPr>
          <w:ilvl w:val="0"/>
          <w:numId w:val="1"/>
        </w:numPr>
        <w:spacing w:before="120" w:after="120" w:line="256" w:lineRule="auto"/>
        <w:ind w:left="-142" w:right="-359" w:hanging="425"/>
        <w:rPr>
          <w:rFonts w:cstheme="minorHAnsi"/>
        </w:rPr>
      </w:pPr>
      <w:r>
        <w:rPr>
          <w:rFonts w:cstheme="minorHAnsi"/>
        </w:rPr>
        <w:t>Data collection for these KPMs are within existing processes and currently available resources, with no additional costs to Government.</w:t>
      </w:r>
    </w:p>
    <w:p w14:paraId="652E3C54" w14:textId="77777777" w:rsidR="009968B1" w:rsidRDefault="009968B1" w:rsidP="009968B1">
      <w:pPr>
        <w:pStyle w:val="ListParagraph"/>
        <w:numPr>
          <w:ilvl w:val="0"/>
          <w:numId w:val="1"/>
        </w:numPr>
        <w:spacing w:before="120" w:after="120" w:line="256" w:lineRule="auto"/>
        <w:ind w:left="-142" w:right="-359" w:hanging="425"/>
        <w:rPr>
          <w:rFonts w:cstheme="minorHAnsi"/>
        </w:rPr>
      </w:pPr>
      <w:r>
        <w:rPr>
          <w:rFonts w:cstheme="minorHAnsi"/>
        </w:rPr>
        <w:t>KPM reports will be completed on a biannual basis, subject to the availability of the required data.</w:t>
      </w:r>
    </w:p>
    <w:p w14:paraId="39CD52C2" w14:textId="77777777" w:rsidR="009968B1" w:rsidRDefault="009968B1" w:rsidP="009968B1">
      <w:pPr>
        <w:pStyle w:val="ListParagraph"/>
        <w:numPr>
          <w:ilvl w:val="0"/>
          <w:numId w:val="1"/>
        </w:numPr>
        <w:spacing w:before="120" w:after="120" w:line="256" w:lineRule="auto"/>
        <w:ind w:left="-142" w:right="-359" w:hanging="425"/>
        <w:rPr>
          <w:rFonts w:cstheme="minorHAnsi"/>
        </w:rPr>
      </w:pPr>
      <w:r>
        <w:rPr>
          <w:rFonts w:cstheme="minorHAnsi"/>
        </w:rPr>
        <w:t>Following the completion of a full data collection cycle, the Department of Health will consult with the Pharmacy Guild of Australia, Pharmaceutical Society of Australia, Consumers Health Forum of Australia, the National Aboriginal Community Controlled Health Organisation, and other relevant stakeholders to review these KPMs.</w:t>
      </w:r>
    </w:p>
    <w:p w14:paraId="14ECBA11" w14:textId="77777777" w:rsidR="009968B1" w:rsidRDefault="009968B1" w:rsidP="009968B1">
      <w:pPr>
        <w:pStyle w:val="ListParagraph"/>
        <w:numPr>
          <w:ilvl w:val="0"/>
          <w:numId w:val="1"/>
        </w:numPr>
        <w:spacing w:before="120" w:after="120" w:line="256" w:lineRule="auto"/>
        <w:ind w:left="-142" w:right="-359" w:hanging="425"/>
        <w:rPr>
          <w:rFonts w:cstheme="minorHAnsi"/>
        </w:rPr>
      </w:pPr>
      <w:r>
        <w:rPr>
          <w:rFonts w:cstheme="minorHAnsi"/>
        </w:rPr>
        <w:t>Whereas one of the objectives of the 7CPA is to advance data collection to inform outcomes and improve services delivered, limited health outcomes data has been collected for some measures and programs funded under the 7CPA.</w:t>
      </w:r>
    </w:p>
    <w:p w14:paraId="58AACCA1" w14:textId="77777777" w:rsidR="009968B1" w:rsidRDefault="009968B1" w:rsidP="009968B1">
      <w:pPr>
        <w:rPr>
          <w:rFonts w:cstheme="minorHAnsi"/>
          <w:b/>
          <w:bCs/>
        </w:rPr>
      </w:pPr>
      <w:r>
        <w:rPr>
          <w:rFonts w:cstheme="minorHAnsi"/>
          <w:b/>
          <w:bCs/>
        </w:rPr>
        <w:br w:type="page"/>
      </w:r>
    </w:p>
    <w:tbl>
      <w:tblPr>
        <w:tblStyle w:val="TableGrid"/>
        <w:tblW w:w="0" w:type="auto"/>
        <w:tblInd w:w="-856" w:type="dxa"/>
        <w:tblLook w:val="04A0" w:firstRow="1" w:lastRow="0" w:firstColumn="1" w:lastColumn="0" w:noHBand="0" w:noVBand="1"/>
      </w:tblPr>
      <w:tblGrid>
        <w:gridCol w:w="3119"/>
        <w:gridCol w:w="2672"/>
        <w:gridCol w:w="7251"/>
        <w:gridCol w:w="1762"/>
      </w:tblGrid>
      <w:tr w:rsidR="009968B1" w14:paraId="59352DE1" w14:textId="77777777" w:rsidTr="009968B1">
        <w:trPr>
          <w:cantSplit/>
          <w:tblHeader/>
        </w:trPr>
        <w:tc>
          <w:tcPr>
            <w:tcW w:w="311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B792E02" w14:textId="77777777" w:rsidR="009968B1" w:rsidRDefault="009968B1">
            <w:pPr>
              <w:pStyle w:val="ListParagraph"/>
              <w:ind w:left="0"/>
              <w:rPr>
                <w:rFonts w:cstheme="minorHAnsi"/>
                <w:b/>
                <w:bCs/>
              </w:rPr>
            </w:pPr>
            <w:r>
              <w:rPr>
                <w:rFonts w:cstheme="minorHAnsi"/>
                <w:b/>
                <w:bCs/>
              </w:rPr>
              <w:lastRenderedPageBreak/>
              <w:t xml:space="preserve">Pharmacy activities / programs </w:t>
            </w:r>
          </w:p>
        </w:tc>
        <w:tc>
          <w:tcPr>
            <w:tcW w:w="267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2E6BD52" w14:textId="77777777" w:rsidR="009968B1" w:rsidRDefault="009968B1">
            <w:pPr>
              <w:pStyle w:val="ListParagraph"/>
              <w:ind w:left="0" w:right="21"/>
              <w:rPr>
                <w:rFonts w:cstheme="minorHAnsi"/>
                <w:b/>
                <w:bCs/>
              </w:rPr>
            </w:pPr>
            <w:r>
              <w:rPr>
                <w:rFonts w:cstheme="minorHAnsi"/>
                <w:b/>
                <w:bCs/>
              </w:rPr>
              <w:t>Outputs and Measures</w:t>
            </w:r>
          </w:p>
        </w:tc>
        <w:tc>
          <w:tcPr>
            <w:tcW w:w="72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8F9CE47" w14:textId="77777777" w:rsidR="009968B1" w:rsidRDefault="009968B1">
            <w:pPr>
              <w:pStyle w:val="ListParagraph"/>
              <w:ind w:left="0" w:right="2"/>
              <w:rPr>
                <w:rFonts w:cstheme="minorHAnsi"/>
                <w:b/>
                <w:bCs/>
              </w:rPr>
            </w:pPr>
            <w:r>
              <w:rPr>
                <w:rFonts w:cstheme="minorHAnsi"/>
                <w:b/>
                <w:bCs/>
              </w:rPr>
              <w:t>Indicators and required data</w:t>
            </w:r>
          </w:p>
        </w:tc>
        <w:tc>
          <w:tcPr>
            <w:tcW w:w="176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26B4B51" w14:textId="77777777" w:rsidR="009968B1" w:rsidRDefault="009968B1">
            <w:pPr>
              <w:pStyle w:val="ListParagraph"/>
              <w:ind w:left="0"/>
              <w:rPr>
                <w:rFonts w:cstheme="minorHAnsi"/>
                <w:b/>
                <w:bCs/>
              </w:rPr>
            </w:pPr>
            <w:r>
              <w:rPr>
                <w:rFonts w:cstheme="minorHAnsi"/>
                <w:b/>
                <w:bCs/>
              </w:rPr>
              <w:t>Responsibility</w:t>
            </w:r>
          </w:p>
        </w:tc>
      </w:tr>
      <w:tr w:rsidR="009968B1" w14:paraId="0E1C6200" w14:textId="77777777" w:rsidTr="009968B1">
        <w:trPr>
          <w:cantSplit/>
          <w:trHeight w:val="440"/>
        </w:trPr>
        <w:tc>
          <w:tcPr>
            <w:tcW w:w="0" w:type="auto"/>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82DE734" w14:textId="77777777" w:rsidR="009968B1" w:rsidRDefault="009968B1" w:rsidP="009968B1">
            <w:pPr>
              <w:pStyle w:val="ListParagraph"/>
              <w:numPr>
                <w:ilvl w:val="0"/>
                <w:numId w:val="2"/>
              </w:numPr>
              <w:ind w:right="140"/>
              <w:rPr>
                <w:rFonts w:cstheme="minorHAnsi"/>
                <w:bCs/>
              </w:rPr>
            </w:pPr>
            <w:r>
              <w:rPr>
                <w:rFonts w:cstheme="minorHAnsi"/>
                <w:b/>
                <w:bCs/>
              </w:rPr>
              <w:t xml:space="preserve">Demonstrate transparency and accountability while supplying Pharmaceutical Benefits Scheme (PBS) medicines for all Australians.    </w:t>
            </w:r>
          </w:p>
          <w:p w14:paraId="440BA742" w14:textId="77777777" w:rsidR="009968B1" w:rsidRDefault="009968B1">
            <w:pPr>
              <w:pStyle w:val="ListParagraph"/>
              <w:ind w:left="390" w:right="140"/>
              <w:rPr>
                <w:rFonts w:cstheme="minorHAnsi"/>
                <w:bCs/>
              </w:rPr>
            </w:pPr>
            <w:r>
              <w:rPr>
                <w:rFonts w:cstheme="minorHAnsi"/>
                <w:i/>
                <w:iCs/>
              </w:rPr>
              <w:t>(7CPA, Item D, Page 4)</w:t>
            </w:r>
            <w:r>
              <w:rPr>
                <w:rFonts w:cstheme="minorHAnsi"/>
                <w:i/>
                <w:iCs/>
                <w:vertAlign w:val="superscript"/>
              </w:rPr>
              <w:t>1</w:t>
            </w:r>
          </w:p>
        </w:tc>
      </w:tr>
      <w:tr w:rsidR="009968B1" w14:paraId="36578E5B" w14:textId="77777777" w:rsidTr="009968B1">
        <w:trPr>
          <w:cantSplit/>
        </w:trPr>
        <w:tc>
          <w:tcPr>
            <w:tcW w:w="3119" w:type="dxa"/>
            <w:tcBorders>
              <w:top w:val="single" w:sz="4" w:space="0" w:color="auto"/>
              <w:left w:val="single" w:sz="4" w:space="0" w:color="auto"/>
              <w:bottom w:val="single" w:sz="4" w:space="0" w:color="auto"/>
              <w:right w:val="single" w:sz="4" w:space="0" w:color="auto"/>
            </w:tcBorders>
          </w:tcPr>
          <w:p w14:paraId="71E8575D" w14:textId="77777777" w:rsidR="009968B1" w:rsidRDefault="009968B1" w:rsidP="009968B1">
            <w:pPr>
              <w:pStyle w:val="ListParagraph"/>
              <w:numPr>
                <w:ilvl w:val="0"/>
                <w:numId w:val="3"/>
              </w:numPr>
              <w:rPr>
                <w:rFonts w:cstheme="minorHAnsi"/>
              </w:rPr>
            </w:pPr>
            <w:r>
              <w:rPr>
                <w:rFonts w:cstheme="minorHAnsi"/>
              </w:rPr>
              <w:t xml:space="preserve">Provision of pharmaceutical benefits in accordance with applicable laws, regulations, professional standards, </w:t>
            </w:r>
            <w:proofErr w:type="gramStart"/>
            <w:r>
              <w:rPr>
                <w:rFonts w:cstheme="minorHAnsi"/>
              </w:rPr>
              <w:t>codes</w:t>
            </w:r>
            <w:proofErr w:type="gramEnd"/>
            <w:r>
              <w:rPr>
                <w:rFonts w:cstheme="minorHAnsi"/>
              </w:rPr>
              <w:t xml:space="preserve"> and other requirements </w:t>
            </w:r>
          </w:p>
          <w:p w14:paraId="796C81EB" w14:textId="77777777" w:rsidR="009968B1" w:rsidRDefault="009968B1">
            <w:pPr>
              <w:rPr>
                <w:rFonts w:cstheme="minorHAnsi"/>
              </w:rPr>
            </w:pPr>
          </w:p>
          <w:p w14:paraId="52C10D61" w14:textId="77777777" w:rsidR="009968B1" w:rsidRDefault="009968B1">
            <w:pPr>
              <w:rPr>
                <w:rFonts w:cstheme="minorHAnsi"/>
                <w:b/>
                <w:bCs/>
                <w:i/>
                <w:iCs/>
              </w:rPr>
            </w:pPr>
            <w:r>
              <w:rPr>
                <w:rFonts w:cstheme="minorHAnsi"/>
                <w:i/>
                <w:iCs/>
              </w:rPr>
              <w:t>(7CPA, Clause 7).</w:t>
            </w:r>
          </w:p>
        </w:tc>
        <w:tc>
          <w:tcPr>
            <w:tcW w:w="2672" w:type="dxa"/>
            <w:tcBorders>
              <w:top w:val="single" w:sz="4" w:space="0" w:color="auto"/>
              <w:left w:val="single" w:sz="4" w:space="0" w:color="auto"/>
              <w:bottom w:val="single" w:sz="4" w:space="0" w:color="auto"/>
              <w:right w:val="single" w:sz="4" w:space="0" w:color="auto"/>
            </w:tcBorders>
          </w:tcPr>
          <w:p w14:paraId="532B2990" w14:textId="77777777" w:rsidR="009968B1" w:rsidRDefault="009968B1">
            <w:pPr>
              <w:ind w:right="21"/>
              <w:rPr>
                <w:rFonts w:cstheme="minorHAnsi"/>
                <w:bCs/>
              </w:rPr>
            </w:pPr>
            <w:r>
              <w:rPr>
                <w:rFonts w:cstheme="minorHAnsi"/>
              </w:rPr>
              <w:t>PBS</w:t>
            </w:r>
            <w:r>
              <w:rPr>
                <w:rFonts w:cstheme="minorHAnsi"/>
                <w:bCs/>
              </w:rPr>
              <w:t xml:space="preserve"> </w:t>
            </w:r>
            <w:r>
              <w:rPr>
                <w:rFonts w:cstheme="minorHAnsi"/>
              </w:rPr>
              <w:t>Prescriptions</w:t>
            </w:r>
            <w:r>
              <w:rPr>
                <w:rFonts w:cstheme="minorHAnsi"/>
                <w:bCs/>
              </w:rPr>
              <w:t xml:space="preserve"> and Expenditure.</w:t>
            </w:r>
          </w:p>
          <w:p w14:paraId="39E665A9" w14:textId="77777777" w:rsidR="009968B1" w:rsidRDefault="009968B1">
            <w:pPr>
              <w:ind w:right="21"/>
              <w:rPr>
                <w:rFonts w:cstheme="minorHAnsi"/>
                <w:bCs/>
              </w:rPr>
            </w:pPr>
          </w:p>
          <w:p w14:paraId="56D6D0E5" w14:textId="77777777" w:rsidR="009968B1" w:rsidRDefault="009968B1">
            <w:pPr>
              <w:ind w:right="21"/>
              <w:rPr>
                <w:rFonts w:cstheme="minorHAnsi"/>
                <w:bCs/>
              </w:rPr>
            </w:pPr>
            <w:r>
              <w:rPr>
                <w:rFonts w:cstheme="minorHAnsi"/>
              </w:rPr>
              <w:t>Compliance</w:t>
            </w:r>
            <w:r>
              <w:rPr>
                <w:rFonts w:cstheme="minorHAnsi"/>
                <w:bCs/>
              </w:rPr>
              <w:t xml:space="preserve"> by community </w:t>
            </w:r>
            <w:r>
              <w:rPr>
                <w:rFonts w:cstheme="minorHAnsi"/>
              </w:rPr>
              <w:t>pharmacies</w:t>
            </w:r>
            <w:r>
              <w:rPr>
                <w:rFonts w:cstheme="minorHAnsi"/>
                <w:bCs/>
              </w:rPr>
              <w:t xml:space="preserve"> of all relevant requirements when dispensing PBS or RPBS medicines.</w:t>
            </w:r>
          </w:p>
          <w:p w14:paraId="0A18CC7E" w14:textId="77777777" w:rsidR="009968B1" w:rsidRDefault="009968B1">
            <w:pPr>
              <w:pStyle w:val="ListParagraph"/>
              <w:ind w:left="0" w:right="21"/>
              <w:rPr>
                <w:rFonts w:cstheme="minorHAnsi"/>
                <w:b/>
                <w:bCs/>
              </w:rPr>
            </w:pPr>
          </w:p>
        </w:tc>
        <w:tc>
          <w:tcPr>
            <w:tcW w:w="7251" w:type="dxa"/>
            <w:tcBorders>
              <w:top w:val="single" w:sz="4" w:space="0" w:color="auto"/>
              <w:left w:val="single" w:sz="4" w:space="0" w:color="auto"/>
              <w:bottom w:val="single" w:sz="4" w:space="0" w:color="auto"/>
              <w:right w:val="single" w:sz="4" w:space="0" w:color="auto"/>
            </w:tcBorders>
          </w:tcPr>
          <w:p w14:paraId="7469B571" w14:textId="77777777" w:rsidR="009968B1" w:rsidRDefault="009968B1">
            <w:pPr>
              <w:ind w:right="2"/>
              <w:rPr>
                <w:rFonts w:cstheme="minorHAnsi"/>
              </w:rPr>
            </w:pPr>
            <w:r>
              <w:rPr>
                <w:rFonts w:cstheme="minorHAnsi"/>
              </w:rPr>
              <w:t>Total PBS Prescriptions and Expenditure by:</w:t>
            </w:r>
          </w:p>
          <w:p w14:paraId="1662AEAF" w14:textId="77777777" w:rsidR="009968B1" w:rsidRDefault="009968B1" w:rsidP="009968B1">
            <w:pPr>
              <w:pStyle w:val="ListParagraph"/>
              <w:numPr>
                <w:ilvl w:val="0"/>
                <w:numId w:val="4"/>
              </w:numPr>
              <w:ind w:right="2"/>
              <w:rPr>
                <w:rFonts w:cstheme="minorHAnsi"/>
              </w:rPr>
            </w:pPr>
            <w:r>
              <w:rPr>
                <w:rFonts w:cstheme="minorHAnsi"/>
              </w:rPr>
              <w:t>PBS and RPBS.</w:t>
            </w:r>
          </w:p>
          <w:p w14:paraId="62D42226" w14:textId="77777777" w:rsidR="009968B1" w:rsidRDefault="009968B1" w:rsidP="009968B1">
            <w:pPr>
              <w:pStyle w:val="ListParagraph"/>
              <w:numPr>
                <w:ilvl w:val="0"/>
                <w:numId w:val="4"/>
              </w:numPr>
              <w:ind w:right="2"/>
              <w:rPr>
                <w:rFonts w:cstheme="minorHAnsi"/>
              </w:rPr>
            </w:pPr>
            <w:r>
              <w:rPr>
                <w:rFonts w:cstheme="minorHAnsi"/>
              </w:rPr>
              <w:t xml:space="preserve">Patient categories. </w:t>
            </w:r>
          </w:p>
          <w:p w14:paraId="7F2EFCF1" w14:textId="77777777" w:rsidR="009968B1" w:rsidRDefault="009968B1" w:rsidP="009968B1">
            <w:pPr>
              <w:pStyle w:val="ListParagraph"/>
              <w:numPr>
                <w:ilvl w:val="0"/>
                <w:numId w:val="4"/>
              </w:numPr>
              <w:ind w:right="2"/>
              <w:rPr>
                <w:rFonts w:cstheme="minorHAnsi"/>
              </w:rPr>
            </w:pPr>
            <w:r>
              <w:rPr>
                <w:rFonts w:cstheme="minorHAnsi"/>
              </w:rPr>
              <w:t xml:space="preserve">Remuneration for pharmacies and wholesalers, Patient Contribution, Government Cost. </w:t>
            </w:r>
          </w:p>
          <w:p w14:paraId="48AAB465" w14:textId="77777777" w:rsidR="009968B1" w:rsidRDefault="009968B1" w:rsidP="009968B1">
            <w:pPr>
              <w:pStyle w:val="ListParagraph"/>
              <w:numPr>
                <w:ilvl w:val="0"/>
                <w:numId w:val="4"/>
              </w:numPr>
              <w:ind w:right="2"/>
              <w:rPr>
                <w:rFonts w:cstheme="minorHAnsi"/>
              </w:rPr>
            </w:pPr>
            <w:r>
              <w:rPr>
                <w:rFonts w:cstheme="minorHAnsi"/>
              </w:rPr>
              <w:t xml:space="preserve">Discounted prescriptions by up to $1, and non-discounted prescriptions. </w:t>
            </w:r>
          </w:p>
          <w:p w14:paraId="57D7507F" w14:textId="77777777" w:rsidR="009968B1" w:rsidRDefault="009968B1" w:rsidP="009968B1">
            <w:pPr>
              <w:pStyle w:val="ListParagraph"/>
              <w:numPr>
                <w:ilvl w:val="0"/>
                <w:numId w:val="4"/>
              </w:numPr>
              <w:ind w:right="2"/>
              <w:rPr>
                <w:rFonts w:cstheme="minorHAnsi"/>
              </w:rPr>
            </w:pPr>
            <w:r>
              <w:rPr>
                <w:rFonts w:cstheme="minorHAnsi"/>
              </w:rPr>
              <w:t>Over Co-payment prescriptions, and under Co-payment prescriptions.</w:t>
            </w:r>
          </w:p>
          <w:p w14:paraId="7A37EEC0" w14:textId="77777777" w:rsidR="009968B1" w:rsidRDefault="009968B1" w:rsidP="009968B1">
            <w:pPr>
              <w:pStyle w:val="ListParagraph"/>
              <w:numPr>
                <w:ilvl w:val="0"/>
                <w:numId w:val="4"/>
              </w:numPr>
              <w:ind w:right="2"/>
              <w:rPr>
                <w:rFonts w:cstheme="minorHAnsi"/>
              </w:rPr>
            </w:pPr>
            <w:r>
              <w:rPr>
                <w:rFonts w:cstheme="minorHAnsi"/>
              </w:rPr>
              <w:t>PBS items supplied in bulk versus those individual clients for the Remote Area Aboriginal Health Services.</w:t>
            </w:r>
          </w:p>
          <w:p w14:paraId="4ECF3B0D" w14:textId="77777777" w:rsidR="009968B1" w:rsidRDefault="009968B1" w:rsidP="009968B1">
            <w:pPr>
              <w:pStyle w:val="ListParagraph"/>
              <w:numPr>
                <w:ilvl w:val="0"/>
                <w:numId w:val="4"/>
              </w:numPr>
              <w:ind w:right="2"/>
              <w:rPr>
                <w:rFonts w:cstheme="minorHAnsi"/>
              </w:rPr>
            </w:pPr>
            <w:r>
              <w:rPr>
                <w:rFonts w:cstheme="minorHAnsi"/>
              </w:rPr>
              <w:t>Approved community pharmacies.</w:t>
            </w:r>
          </w:p>
          <w:p w14:paraId="7F1952F0" w14:textId="77777777" w:rsidR="009968B1" w:rsidRDefault="009968B1" w:rsidP="009968B1">
            <w:pPr>
              <w:pStyle w:val="ListParagraph"/>
              <w:numPr>
                <w:ilvl w:val="0"/>
                <w:numId w:val="4"/>
              </w:numPr>
              <w:ind w:right="2"/>
              <w:rPr>
                <w:rFonts w:cstheme="minorHAnsi"/>
              </w:rPr>
            </w:pPr>
            <w:r>
              <w:rPr>
                <w:rFonts w:cstheme="minorHAnsi"/>
              </w:rPr>
              <w:t>States and Territories.</w:t>
            </w:r>
          </w:p>
          <w:p w14:paraId="098FACA3" w14:textId="77777777" w:rsidR="009968B1" w:rsidRDefault="009968B1">
            <w:pPr>
              <w:pStyle w:val="ListParagraph"/>
              <w:ind w:left="314" w:right="2"/>
              <w:rPr>
                <w:rFonts w:cstheme="minorHAnsi"/>
              </w:rPr>
            </w:pPr>
          </w:p>
          <w:p w14:paraId="67DEAEF9" w14:textId="77777777" w:rsidR="009968B1" w:rsidRDefault="009968B1">
            <w:pPr>
              <w:ind w:left="43" w:right="2"/>
              <w:rPr>
                <w:rFonts w:cstheme="minorHAnsi"/>
              </w:rPr>
            </w:pPr>
            <w:r>
              <w:rPr>
                <w:rFonts w:cstheme="minorHAnsi"/>
              </w:rPr>
              <w:t xml:space="preserve">Refer to </w:t>
            </w:r>
          </w:p>
          <w:p w14:paraId="64EB646A" w14:textId="77777777" w:rsidR="009968B1" w:rsidRDefault="009968B1" w:rsidP="009968B1">
            <w:pPr>
              <w:pStyle w:val="ListParagraph"/>
              <w:numPr>
                <w:ilvl w:val="0"/>
                <w:numId w:val="5"/>
              </w:numPr>
              <w:ind w:right="2"/>
              <w:rPr>
                <w:rFonts w:cstheme="minorHAnsi"/>
                <w:bCs/>
              </w:rPr>
            </w:pPr>
            <w:r>
              <w:rPr>
                <w:rFonts w:cstheme="minorHAnsi"/>
              </w:rPr>
              <w:t>Selected tables in the</w:t>
            </w:r>
            <w:r>
              <w:rPr>
                <w:rFonts w:cstheme="minorHAnsi"/>
                <w:bCs/>
                <w:color w:val="0070C0"/>
              </w:rPr>
              <w:t xml:space="preserve"> </w:t>
            </w:r>
            <w:hyperlink r:id="rId8" w:history="1">
              <w:r>
                <w:rPr>
                  <w:rStyle w:val="Hyperlink"/>
                  <w:rFonts w:cstheme="minorHAnsi"/>
                  <w:bCs/>
                  <w:color w:val="0070C0"/>
                </w:rPr>
                <w:t>Annual PBS Prescriptions and Expenditure</w:t>
              </w:r>
            </w:hyperlink>
            <w:r>
              <w:rPr>
                <w:rFonts w:cstheme="minorHAnsi"/>
                <w:bCs/>
              </w:rPr>
              <w:t xml:space="preserve"> for 2019-20.</w:t>
            </w:r>
          </w:p>
          <w:p w14:paraId="35782E2B" w14:textId="77777777" w:rsidR="009968B1" w:rsidRDefault="009968B1">
            <w:pPr>
              <w:ind w:right="2"/>
              <w:rPr>
                <w:rFonts w:cstheme="minorHAnsi"/>
                <w:bCs/>
              </w:rPr>
            </w:pPr>
          </w:p>
          <w:p w14:paraId="5E900488" w14:textId="77777777" w:rsidR="009968B1" w:rsidRDefault="009968B1">
            <w:pPr>
              <w:ind w:right="2"/>
              <w:rPr>
                <w:rFonts w:cstheme="minorHAnsi"/>
              </w:rPr>
            </w:pPr>
            <w:r>
              <w:rPr>
                <w:rFonts w:cstheme="minorHAnsi"/>
              </w:rPr>
              <w:t>Web links:</w:t>
            </w:r>
          </w:p>
          <w:p w14:paraId="560AB83C" w14:textId="77777777" w:rsidR="009968B1" w:rsidRDefault="00045917" w:rsidP="009968B1">
            <w:pPr>
              <w:pStyle w:val="ListParagraph"/>
              <w:numPr>
                <w:ilvl w:val="0"/>
                <w:numId w:val="5"/>
              </w:numPr>
              <w:ind w:right="2"/>
              <w:rPr>
                <w:rFonts w:cstheme="minorHAnsi"/>
                <w:bCs/>
              </w:rPr>
            </w:pPr>
            <w:hyperlink r:id="rId9" w:history="1">
              <w:r w:rsidR="009968B1">
                <w:rPr>
                  <w:rStyle w:val="Hyperlink"/>
                  <w:rFonts w:cstheme="minorHAnsi"/>
                  <w:bCs/>
                </w:rPr>
                <w:t>https://www.pbs.gov.au/info/statistics/expenditure-prescriptions/pbs-expenditure-and-prescriptions</w:t>
              </w:r>
            </w:hyperlink>
          </w:p>
          <w:p w14:paraId="744AC609" w14:textId="77777777" w:rsidR="009968B1" w:rsidRDefault="00045917" w:rsidP="009968B1">
            <w:pPr>
              <w:pStyle w:val="ListParagraph"/>
              <w:numPr>
                <w:ilvl w:val="0"/>
                <w:numId w:val="5"/>
              </w:numPr>
              <w:ind w:right="2"/>
              <w:rPr>
                <w:rFonts w:cstheme="minorHAnsi"/>
                <w:bCs/>
              </w:rPr>
            </w:pPr>
            <w:hyperlink r:id="rId10" w:history="1">
              <w:r w:rsidR="009968B1">
                <w:rPr>
                  <w:rStyle w:val="Hyperlink"/>
                  <w:rFonts w:cstheme="minorHAnsi"/>
                  <w:bCs/>
                </w:rPr>
                <w:t>https://www.aihw.gov.au/reports/australias-health/medicines-in-the-health-system</w:t>
              </w:r>
            </w:hyperlink>
          </w:p>
          <w:p w14:paraId="739C4B37" w14:textId="77777777" w:rsidR="009968B1" w:rsidRDefault="00045917" w:rsidP="009968B1">
            <w:pPr>
              <w:pStyle w:val="ListParagraph"/>
              <w:numPr>
                <w:ilvl w:val="0"/>
                <w:numId w:val="5"/>
              </w:numPr>
              <w:ind w:right="2"/>
              <w:rPr>
                <w:rFonts w:cstheme="minorHAnsi"/>
                <w:bCs/>
              </w:rPr>
            </w:pPr>
            <w:hyperlink r:id="rId11" w:history="1">
              <w:r w:rsidR="009968B1">
                <w:rPr>
                  <w:rStyle w:val="Hyperlink"/>
                  <w:rFonts w:cstheme="minorHAnsi"/>
                  <w:bCs/>
                </w:rPr>
                <w:t>https://www.abs.gov.au/AUSSTATS/abs@.nsf/mf/4364.0.55.015</w:t>
              </w:r>
            </w:hyperlink>
          </w:p>
        </w:tc>
        <w:tc>
          <w:tcPr>
            <w:tcW w:w="1762" w:type="dxa"/>
            <w:tcBorders>
              <w:top w:val="single" w:sz="4" w:space="0" w:color="auto"/>
              <w:left w:val="single" w:sz="4" w:space="0" w:color="auto"/>
              <w:bottom w:val="single" w:sz="4" w:space="0" w:color="auto"/>
              <w:right w:val="single" w:sz="4" w:space="0" w:color="auto"/>
            </w:tcBorders>
            <w:hideMark/>
          </w:tcPr>
          <w:p w14:paraId="4DFE783D" w14:textId="77777777" w:rsidR="009968B1" w:rsidRDefault="009968B1">
            <w:pPr>
              <w:pStyle w:val="ListParagraph"/>
              <w:ind w:left="0"/>
              <w:rPr>
                <w:rFonts w:cstheme="minorHAnsi"/>
                <w:b/>
                <w:bCs/>
              </w:rPr>
            </w:pPr>
            <w:r>
              <w:rPr>
                <w:rFonts w:cstheme="minorHAnsi"/>
                <w:bCs/>
              </w:rPr>
              <w:t>The Department</w:t>
            </w:r>
          </w:p>
        </w:tc>
      </w:tr>
      <w:tr w:rsidR="009968B1" w14:paraId="24AB34EC" w14:textId="77777777" w:rsidTr="009968B1">
        <w:trPr>
          <w:cantSplit/>
        </w:trPr>
        <w:tc>
          <w:tcPr>
            <w:tcW w:w="14804"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7FD1CDD" w14:textId="77777777" w:rsidR="009968B1" w:rsidRDefault="009968B1" w:rsidP="009968B1">
            <w:pPr>
              <w:pStyle w:val="ListParagraph"/>
              <w:keepNext/>
              <w:numPr>
                <w:ilvl w:val="0"/>
                <w:numId w:val="6"/>
              </w:numPr>
              <w:ind w:right="140"/>
              <w:rPr>
                <w:rFonts w:cstheme="minorHAnsi"/>
                <w:bCs/>
              </w:rPr>
            </w:pPr>
            <w:r>
              <w:rPr>
                <w:rFonts w:cstheme="minorHAnsi"/>
                <w:b/>
                <w:bCs/>
              </w:rPr>
              <w:lastRenderedPageBreak/>
              <w:t xml:space="preserve">Demonstrate transparency and accountability while supplying Pharmaceutical Benefits Scheme (PBS) medicines for all Australians.    </w:t>
            </w:r>
          </w:p>
          <w:p w14:paraId="24492207" w14:textId="77777777" w:rsidR="009968B1" w:rsidRDefault="009968B1">
            <w:pPr>
              <w:keepNext/>
              <w:ind w:left="30"/>
              <w:rPr>
                <w:rFonts w:cstheme="minorHAnsi"/>
                <w:bCs/>
              </w:rPr>
            </w:pPr>
            <w:r>
              <w:rPr>
                <w:rFonts w:cstheme="minorHAnsi"/>
                <w:i/>
                <w:iCs/>
              </w:rPr>
              <w:t>(7CPA, Item D, Page 4)</w:t>
            </w:r>
            <w:r>
              <w:rPr>
                <w:rFonts w:cstheme="minorHAnsi"/>
                <w:i/>
                <w:iCs/>
                <w:vertAlign w:val="superscript"/>
              </w:rPr>
              <w:t>1</w:t>
            </w:r>
          </w:p>
        </w:tc>
      </w:tr>
      <w:tr w:rsidR="009968B1" w14:paraId="6E43959B" w14:textId="77777777" w:rsidTr="009968B1">
        <w:trPr>
          <w:cantSplit/>
        </w:trPr>
        <w:tc>
          <w:tcPr>
            <w:tcW w:w="3119" w:type="dxa"/>
            <w:tcBorders>
              <w:top w:val="single" w:sz="4" w:space="0" w:color="auto"/>
              <w:left w:val="single" w:sz="4" w:space="0" w:color="auto"/>
              <w:bottom w:val="single" w:sz="4" w:space="0" w:color="auto"/>
              <w:right w:val="single" w:sz="4" w:space="0" w:color="auto"/>
            </w:tcBorders>
          </w:tcPr>
          <w:p w14:paraId="5719F50F" w14:textId="77777777" w:rsidR="009968B1" w:rsidRDefault="009968B1" w:rsidP="009968B1">
            <w:pPr>
              <w:pStyle w:val="ListParagraph"/>
              <w:numPr>
                <w:ilvl w:val="0"/>
                <w:numId w:val="3"/>
              </w:numPr>
              <w:rPr>
                <w:rFonts w:cstheme="minorHAnsi"/>
              </w:rPr>
            </w:pPr>
            <w:r>
              <w:rPr>
                <w:rFonts w:cstheme="minorHAnsi"/>
              </w:rPr>
              <w:t xml:space="preserve">Transparency of charges </w:t>
            </w:r>
          </w:p>
          <w:p w14:paraId="19DB2A8D" w14:textId="77777777" w:rsidR="009968B1" w:rsidRDefault="009968B1">
            <w:pPr>
              <w:pStyle w:val="ListParagraph"/>
              <w:ind w:left="0"/>
              <w:rPr>
                <w:rFonts w:cstheme="minorHAnsi"/>
              </w:rPr>
            </w:pPr>
          </w:p>
          <w:p w14:paraId="07FC1E7F" w14:textId="77777777" w:rsidR="009968B1" w:rsidRDefault="009968B1">
            <w:pPr>
              <w:rPr>
                <w:rFonts w:cstheme="minorHAnsi"/>
              </w:rPr>
            </w:pPr>
            <w:r>
              <w:rPr>
                <w:rFonts w:cstheme="minorHAnsi"/>
                <w:i/>
                <w:iCs/>
              </w:rPr>
              <w:t>(7CPA, Clause 4.3).</w:t>
            </w:r>
          </w:p>
        </w:tc>
        <w:tc>
          <w:tcPr>
            <w:tcW w:w="2672" w:type="dxa"/>
            <w:tcBorders>
              <w:top w:val="single" w:sz="4" w:space="0" w:color="auto"/>
              <w:left w:val="single" w:sz="4" w:space="0" w:color="auto"/>
              <w:bottom w:val="single" w:sz="4" w:space="0" w:color="auto"/>
              <w:right w:val="single" w:sz="4" w:space="0" w:color="auto"/>
            </w:tcBorders>
          </w:tcPr>
          <w:p w14:paraId="6E2A953F" w14:textId="77777777" w:rsidR="009968B1" w:rsidRDefault="009968B1">
            <w:pPr>
              <w:ind w:right="21"/>
              <w:rPr>
                <w:rFonts w:cstheme="minorHAnsi"/>
              </w:rPr>
            </w:pPr>
            <w:r>
              <w:rPr>
                <w:rFonts w:cstheme="minorHAnsi"/>
              </w:rPr>
              <w:t>Pharmacies provide information to consumers before dispensing a Pharmaceutical Benefit on:</w:t>
            </w:r>
          </w:p>
          <w:p w14:paraId="72AC8B0B" w14:textId="77777777" w:rsidR="009968B1" w:rsidRDefault="009968B1" w:rsidP="009968B1">
            <w:pPr>
              <w:pStyle w:val="ListParagraph"/>
              <w:numPr>
                <w:ilvl w:val="0"/>
                <w:numId w:val="7"/>
              </w:numPr>
              <w:ind w:right="21"/>
              <w:rPr>
                <w:rFonts w:cstheme="minorHAnsi"/>
              </w:rPr>
            </w:pPr>
            <w:r>
              <w:rPr>
                <w:rFonts w:cstheme="minorHAnsi"/>
              </w:rPr>
              <w:t>Safety Net Recording Fee</w:t>
            </w:r>
          </w:p>
          <w:p w14:paraId="605F1A42" w14:textId="77777777" w:rsidR="009968B1" w:rsidRDefault="009968B1" w:rsidP="009968B1">
            <w:pPr>
              <w:pStyle w:val="ListParagraph"/>
              <w:numPr>
                <w:ilvl w:val="0"/>
                <w:numId w:val="7"/>
              </w:numPr>
              <w:ind w:right="21"/>
              <w:rPr>
                <w:rFonts w:cstheme="minorHAnsi"/>
              </w:rPr>
            </w:pPr>
            <w:r>
              <w:rPr>
                <w:rFonts w:cstheme="minorHAnsi"/>
              </w:rPr>
              <w:t>Additional Patient Charge to be charged.</w:t>
            </w:r>
          </w:p>
          <w:p w14:paraId="3B7F3A28" w14:textId="77777777" w:rsidR="009968B1" w:rsidRDefault="009968B1" w:rsidP="009968B1">
            <w:pPr>
              <w:pStyle w:val="ListParagraph"/>
              <w:numPr>
                <w:ilvl w:val="0"/>
                <w:numId w:val="7"/>
              </w:numPr>
              <w:ind w:right="21"/>
              <w:rPr>
                <w:rFonts w:cstheme="minorHAnsi"/>
              </w:rPr>
            </w:pPr>
            <w:r>
              <w:rPr>
                <w:rFonts w:cstheme="minorHAnsi"/>
              </w:rPr>
              <w:t>Additional Patient Charge is not Commonwealth initiated</w:t>
            </w:r>
          </w:p>
          <w:p w14:paraId="1AE6E4C1" w14:textId="77777777" w:rsidR="009968B1" w:rsidRDefault="009968B1">
            <w:pPr>
              <w:pStyle w:val="ListParagraph"/>
              <w:ind w:left="360" w:right="21"/>
              <w:rPr>
                <w:rFonts w:cstheme="minorHAnsi"/>
              </w:rPr>
            </w:pPr>
          </w:p>
          <w:p w14:paraId="26E279E3" w14:textId="77777777" w:rsidR="009968B1" w:rsidRDefault="009968B1">
            <w:pPr>
              <w:ind w:right="21"/>
              <w:rPr>
                <w:rFonts w:cstheme="minorHAnsi"/>
              </w:rPr>
            </w:pPr>
            <w:r>
              <w:rPr>
                <w:rFonts w:cstheme="minorHAnsi"/>
              </w:rPr>
              <w:t>Total cost of Pharmaceutical Benefits to consumer.</w:t>
            </w:r>
          </w:p>
        </w:tc>
        <w:tc>
          <w:tcPr>
            <w:tcW w:w="7251" w:type="dxa"/>
            <w:tcBorders>
              <w:top w:val="single" w:sz="4" w:space="0" w:color="auto"/>
              <w:left w:val="single" w:sz="4" w:space="0" w:color="auto"/>
              <w:bottom w:val="single" w:sz="4" w:space="0" w:color="auto"/>
              <w:right w:val="single" w:sz="4" w:space="0" w:color="auto"/>
            </w:tcBorders>
          </w:tcPr>
          <w:p w14:paraId="596AAEAA" w14:textId="77777777" w:rsidR="009968B1" w:rsidRDefault="009968B1">
            <w:pPr>
              <w:ind w:right="2"/>
              <w:rPr>
                <w:rFonts w:cstheme="minorHAnsi"/>
              </w:rPr>
            </w:pPr>
            <w:r>
              <w:rPr>
                <w:rFonts w:cstheme="minorHAnsi"/>
              </w:rPr>
              <w:t>While developing arrangements for transparency of charges:</w:t>
            </w:r>
          </w:p>
          <w:p w14:paraId="6CBB883F" w14:textId="77777777" w:rsidR="009968B1" w:rsidRDefault="009968B1" w:rsidP="009968B1">
            <w:pPr>
              <w:pStyle w:val="ListParagraph"/>
              <w:numPr>
                <w:ilvl w:val="0"/>
                <w:numId w:val="8"/>
              </w:numPr>
              <w:ind w:right="2"/>
              <w:rPr>
                <w:rFonts w:cstheme="minorHAnsi"/>
              </w:rPr>
            </w:pPr>
            <w:r>
              <w:rPr>
                <w:rFonts w:cstheme="minorHAnsi"/>
              </w:rPr>
              <w:t>Regular reports on progress made by relevant 7CPA stakeholders – Reports presented at the biannual 7CPA governance committee meetings.</w:t>
            </w:r>
          </w:p>
          <w:p w14:paraId="7166C694" w14:textId="77777777" w:rsidR="009968B1" w:rsidRDefault="009968B1">
            <w:pPr>
              <w:ind w:right="2"/>
              <w:rPr>
                <w:rFonts w:cstheme="minorHAnsi"/>
              </w:rPr>
            </w:pPr>
          </w:p>
          <w:p w14:paraId="0EDD18F9" w14:textId="77777777" w:rsidR="009968B1" w:rsidRDefault="009968B1">
            <w:pPr>
              <w:ind w:right="2"/>
              <w:rPr>
                <w:rFonts w:cstheme="minorHAnsi"/>
              </w:rPr>
            </w:pPr>
          </w:p>
        </w:tc>
        <w:tc>
          <w:tcPr>
            <w:tcW w:w="1762" w:type="dxa"/>
            <w:tcBorders>
              <w:top w:val="single" w:sz="4" w:space="0" w:color="auto"/>
              <w:left w:val="single" w:sz="4" w:space="0" w:color="auto"/>
              <w:bottom w:val="single" w:sz="4" w:space="0" w:color="auto"/>
              <w:right w:val="single" w:sz="4" w:space="0" w:color="auto"/>
            </w:tcBorders>
          </w:tcPr>
          <w:p w14:paraId="5313D003" w14:textId="77777777" w:rsidR="009968B1" w:rsidRDefault="009968B1">
            <w:pPr>
              <w:ind w:left="30"/>
              <w:rPr>
                <w:rFonts w:cstheme="minorHAnsi"/>
                <w:bCs/>
              </w:rPr>
            </w:pPr>
            <w:r>
              <w:rPr>
                <w:rFonts w:cstheme="minorHAnsi"/>
                <w:bCs/>
              </w:rPr>
              <w:t xml:space="preserve">CHF </w:t>
            </w:r>
          </w:p>
          <w:p w14:paraId="3A1FEED6" w14:textId="77777777" w:rsidR="009968B1" w:rsidRDefault="009968B1">
            <w:pPr>
              <w:ind w:left="30"/>
              <w:rPr>
                <w:rFonts w:cstheme="minorHAnsi"/>
                <w:bCs/>
              </w:rPr>
            </w:pPr>
            <w:r>
              <w:rPr>
                <w:rFonts w:cstheme="minorHAnsi"/>
                <w:bCs/>
              </w:rPr>
              <w:t>PGA</w:t>
            </w:r>
          </w:p>
          <w:p w14:paraId="761A6939" w14:textId="77777777" w:rsidR="009968B1" w:rsidRDefault="009968B1">
            <w:pPr>
              <w:ind w:left="30"/>
              <w:rPr>
                <w:rFonts w:cstheme="minorHAnsi"/>
                <w:bCs/>
              </w:rPr>
            </w:pPr>
          </w:p>
        </w:tc>
      </w:tr>
      <w:tr w:rsidR="009968B1" w14:paraId="089F3207" w14:textId="77777777" w:rsidTr="009968B1">
        <w:trPr>
          <w:cantSplit/>
        </w:trPr>
        <w:tc>
          <w:tcPr>
            <w:tcW w:w="3119" w:type="dxa"/>
            <w:tcBorders>
              <w:top w:val="single" w:sz="4" w:space="0" w:color="auto"/>
              <w:left w:val="single" w:sz="4" w:space="0" w:color="auto"/>
              <w:bottom w:val="single" w:sz="4" w:space="0" w:color="auto"/>
              <w:right w:val="single" w:sz="4" w:space="0" w:color="auto"/>
            </w:tcBorders>
          </w:tcPr>
          <w:p w14:paraId="31CF5CB6" w14:textId="77777777" w:rsidR="009968B1" w:rsidRDefault="009968B1" w:rsidP="009968B1">
            <w:pPr>
              <w:pStyle w:val="ListParagraph"/>
              <w:numPr>
                <w:ilvl w:val="0"/>
                <w:numId w:val="3"/>
              </w:numPr>
              <w:rPr>
                <w:rFonts w:cstheme="minorHAnsi"/>
              </w:rPr>
            </w:pPr>
            <w:r>
              <w:rPr>
                <w:rFonts w:cstheme="minorHAnsi"/>
              </w:rPr>
              <w:t xml:space="preserve">Closing the Gap (CTG) PBS </w:t>
            </w:r>
            <w:r>
              <w:rPr>
                <w:rFonts w:cstheme="minorHAnsi"/>
              </w:rPr>
              <w:br/>
              <w:t xml:space="preserve">Co-Payment Program </w:t>
            </w:r>
          </w:p>
          <w:p w14:paraId="7B248044" w14:textId="77777777" w:rsidR="009968B1" w:rsidRDefault="009968B1">
            <w:pPr>
              <w:pStyle w:val="ListParagraph"/>
              <w:ind w:left="0"/>
              <w:rPr>
                <w:rFonts w:cstheme="minorHAnsi"/>
              </w:rPr>
            </w:pPr>
          </w:p>
          <w:p w14:paraId="42599BDA" w14:textId="77777777" w:rsidR="009968B1" w:rsidRDefault="009968B1">
            <w:pPr>
              <w:pStyle w:val="ListParagraph"/>
              <w:ind w:left="0"/>
              <w:rPr>
                <w:rFonts w:cstheme="minorHAnsi"/>
              </w:rPr>
            </w:pPr>
            <w:r>
              <w:rPr>
                <w:rFonts w:cstheme="minorHAnsi"/>
                <w:i/>
                <w:iCs/>
              </w:rPr>
              <w:t>(7CPA, Clause 10).</w:t>
            </w:r>
          </w:p>
        </w:tc>
        <w:tc>
          <w:tcPr>
            <w:tcW w:w="2672" w:type="dxa"/>
            <w:tcBorders>
              <w:top w:val="single" w:sz="4" w:space="0" w:color="auto"/>
              <w:left w:val="single" w:sz="4" w:space="0" w:color="auto"/>
              <w:bottom w:val="single" w:sz="4" w:space="0" w:color="auto"/>
              <w:right w:val="single" w:sz="4" w:space="0" w:color="auto"/>
            </w:tcBorders>
          </w:tcPr>
          <w:p w14:paraId="02BCCA73" w14:textId="77777777" w:rsidR="009968B1" w:rsidRDefault="009968B1">
            <w:pPr>
              <w:ind w:right="21"/>
              <w:rPr>
                <w:rFonts w:cstheme="minorHAnsi"/>
              </w:rPr>
            </w:pPr>
            <w:r>
              <w:rPr>
                <w:rFonts w:cstheme="minorHAnsi"/>
              </w:rPr>
              <w:t xml:space="preserve">Reform of the CTG - PBS Co-payment Program </w:t>
            </w:r>
          </w:p>
          <w:p w14:paraId="1FAF3F7F" w14:textId="77777777" w:rsidR="009968B1" w:rsidRDefault="009968B1">
            <w:pPr>
              <w:pStyle w:val="ListParagraph"/>
              <w:ind w:left="360" w:right="21"/>
              <w:rPr>
                <w:rFonts w:cstheme="minorHAnsi"/>
              </w:rPr>
            </w:pPr>
          </w:p>
          <w:p w14:paraId="2123BAF1" w14:textId="77777777" w:rsidR="009968B1" w:rsidRDefault="009968B1">
            <w:pPr>
              <w:ind w:right="21"/>
              <w:rPr>
                <w:rFonts w:cstheme="minorHAnsi"/>
              </w:rPr>
            </w:pPr>
            <w:r>
              <w:rPr>
                <w:rFonts w:cstheme="minorHAnsi"/>
              </w:rPr>
              <w:t>(Note: 7CPA funding covers CTG - PBS expansion program activities for the period 2020-21 to 2024-25).</w:t>
            </w:r>
          </w:p>
        </w:tc>
        <w:tc>
          <w:tcPr>
            <w:tcW w:w="7251" w:type="dxa"/>
            <w:tcBorders>
              <w:top w:val="single" w:sz="4" w:space="0" w:color="auto"/>
              <w:left w:val="single" w:sz="4" w:space="0" w:color="auto"/>
              <w:bottom w:val="single" w:sz="4" w:space="0" w:color="auto"/>
              <w:right w:val="single" w:sz="4" w:space="0" w:color="auto"/>
            </w:tcBorders>
          </w:tcPr>
          <w:p w14:paraId="72C764D2" w14:textId="77777777" w:rsidR="009968B1" w:rsidRDefault="009968B1">
            <w:pPr>
              <w:ind w:right="2"/>
              <w:rPr>
                <w:rFonts w:cstheme="minorHAnsi"/>
              </w:rPr>
            </w:pPr>
            <w:r>
              <w:rPr>
                <w:rFonts w:cstheme="minorHAnsi"/>
              </w:rPr>
              <w:t>Total number of:</w:t>
            </w:r>
          </w:p>
          <w:p w14:paraId="6673D21C" w14:textId="77777777" w:rsidR="009968B1" w:rsidRDefault="009968B1" w:rsidP="009968B1">
            <w:pPr>
              <w:pStyle w:val="ListParagraph"/>
              <w:numPr>
                <w:ilvl w:val="0"/>
                <w:numId w:val="8"/>
              </w:numPr>
              <w:ind w:right="2"/>
              <w:rPr>
                <w:rFonts w:cstheme="minorHAnsi"/>
              </w:rPr>
            </w:pPr>
            <w:r>
              <w:rPr>
                <w:rFonts w:cstheme="minorHAnsi"/>
              </w:rPr>
              <w:t>PBS items and expenditure on the program (2020-21).</w:t>
            </w:r>
          </w:p>
          <w:p w14:paraId="045065E6" w14:textId="77777777" w:rsidR="009968B1" w:rsidRDefault="009968B1" w:rsidP="009968B1">
            <w:pPr>
              <w:pStyle w:val="ListParagraph"/>
              <w:numPr>
                <w:ilvl w:val="0"/>
                <w:numId w:val="8"/>
              </w:numPr>
              <w:ind w:right="2"/>
              <w:rPr>
                <w:rFonts w:cstheme="minorHAnsi"/>
              </w:rPr>
            </w:pPr>
            <w:r>
              <w:rPr>
                <w:rFonts w:cstheme="minorHAnsi"/>
              </w:rPr>
              <w:t>PBS items processed and paid for under the program across States and Territories (2020-21).</w:t>
            </w:r>
          </w:p>
          <w:p w14:paraId="1B61E759" w14:textId="77777777" w:rsidR="009968B1" w:rsidRDefault="009968B1">
            <w:pPr>
              <w:ind w:right="2"/>
              <w:rPr>
                <w:rFonts w:cstheme="minorHAnsi"/>
              </w:rPr>
            </w:pPr>
          </w:p>
        </w:tc>
        <w:tc>
          <w:tcPr>
            <w:tcW w:w="1762" w:type="dxa"/>
            <w:tcBorders>
              <w:top w:val="single" w:sz="4" w:space="0" w:color="auto"/>
              <w:left w:val="single" w:sz="4" w:space="0" w:color="auto"/>
              <w:bottom w:val="single" w:sz="4" w:space="0" w:color="auto"/>
              <w:right w:val="single" w:sz="4" w:space="0" w:color="auto"/>
            </w:tcBorders>
          </w:tcPr>
          <w:p w14:paraId="15F4FD0E" w14:textId="77777777" w:rsidR="009968B1" w:rsidRDefault="009968B1">
            <w:pPr>
              <w:ind w:left="30"/>
              <w:rPr>
                <w:rFonts w:cstheme="minorHAnsi"/>
                <w:bCs/>
              </w:rPr>
            </w:pPr>
            <w:r>
              <w:rPr>
                <w:rFonts w:cstheme="minorHAnsi"/>
                <w:bCs/>
              </w:rPr>
              <w:t xml:space="preserve">NACCHO </w:t>
            </w:r>
          </w:p>
          <w:p w14:paraId="729CACA4" w14:textId="77777777" w:rsidR="009968B1" w:rsidRDefault="009968B1">
            <w:pPr>
              <w:ind w:left="30"/>
              <w:rPr>
                <w:rFonts w:cstheme="minorHAnsi"/>
                <w:bCs/>
              </w:rPr>
            </w:pPr>
            <w:r>
              <w:rPr>
                <w:rFonts w:cstheme="minorHAnsi"/>
                <w:bCs/>
              </w:rPr>
              <w:t>The Department</w:t>
            </w:r>
          </w:p>
          <w:p w14:paraId="7F98165F" w14:textId="77777777" w:rsidR="009968B1" w:rsidRDefault="009968B1">
            <w:pPr>
              <w:ind w:left="30"/>
              <w:rPr>
                <w:rFonts w:cstheme="minorHAnsi"/>
                <w:bCs/>
              </w:rPr>
            </w:pPr>
          </w:p>
        </w:tc>
      </w:tr>
      <w:tr w:rsidR="009968B1" w14:paraId="18ED8CA9" w14:textId="77777777" w:rsidTr="009968B1">
        <w:trPr>
          <w:cantSplit/>
        </w:trPr>
        <w:tc>
          <w:tcPr>
            <w:tcW w:w="3119" w:type="dxa"/>
            <w:tcBorders>
              <w:top w:val="single" w:sz="4" w:space="0" w:color="auto"/>
              <w:left w:val="single" w:sz="4" w:space="0" w:color="auto"/>
              <w:bottom w:val="single" w:sz="4" w:space="0" w:color="auto"/>
              <w:right w:val="single" w:sz="4" w:space="0" w:color="auto"/>
            </w:tcBorders>
          </w:tcPr>
          <w:p w14:paraId="5E4EDF3A" w14:textId="77777777" w:rsidR="009968B1" w:rsidRDefault="009968B1" w:rsidP="009968B1">
            <w:pPr>
              <w:pStyle w:val="ListParagraph"/>
              <w:numPr>
                <w:ilvl w:val="0"/>
                <w:numId w:val="3"/>
              </w:numPr>
              <w:rPr>
                <w:rFonts w:cstheme="minorHAnsi"/>
              </w:rPr>
            </w:pPr>
            <w:r>
              <w:rPr>
                <w:rFonts w:cstheme="minorHAnsi"/>
              </w:rPr>
              <w:t>Support the uptake of electronic prescription arrangements</w:t>
            </w:r>
          </w:p>
          <w:p w14:paraId="12D6A61D" w14:textId="77777777" w:rsidR="009968B1" w:rsidRDefault="009968B1">
            <w:pPr>
              <w:pStyle w:val="ListParagraph"/>
              <w:ind w:left="0"/>
              <w:rPr>
                <w:rFonts w:cstheme="minorHAnsi"/>
              </w:rPr>
            </w:pPr>
          </w:p>
          <w:p w14:paraId="4FAF6B8B" w14:textId="77777777" w:rsidR="009968B1" w:rsidRDefault="009968B1">
            <w:pPr>
              <w:pStyle w:val="ListParagraph"/>
              <w:ind w:left="0"/>
              <w:rPr>
                <w:rFonts w:cstheme="minorHAnsi"/>
              </w:rPr>
            </w:pPr>
            <w:r>
              <w:rPr>
                <w:rFonts w:cstheme="minorHAnsi"/>
                <w:i/>
                <w:iCs/>
              </w:rPr>
              <w:t>(7CPA, Clause 9.4).</w:t>
            </w:r>
          </w:p>
        </w:tc>
        <w:tc>
          <w:tcPr>
            <w:tcW w:w="2672" w:type="dxa"/>
            <w:tcBorders>
              <w:top w:val="single" w:sz="4" w:space="0" w:color="auto"/>
              <w:left w:val="single" w:sz="4" w:space="0" w:color="auto"/>
              <w:bottom w:val="single" w:sz="4" w:space="0" w:color="auto"/>
              <w:right w:val="single" w:sz="4" w:space="0" w:color="auto"/>
            </w:tcBorders>
          </w:tcPr>
          <w:p w14:paraId="17BD9881" w14:textId="77777777" w:rsidR="009968B1" w:rsidRDefault="009968B1">
            <w:pPr>
              <w:rPr>
                <w:rFonts w:cstheme="minorHAnsi"/>
              </w:rPr>
            </w:pPr>
            <w:r>
              <w:rPr>
                <w:rFonts w:cstheme="minorHAnsi"/>
              </w:rPr>
              <w:t>Electronic prescription Fee (EPF) paid to pharmacies.</w:t>
            </w:r>
          </w:p>
          <w:p w14:paraId="5F903AA5" w14:textId="77777777" w:rsidR="009968B1" w:rsidRDefault="009968B1">
            <w:pPr>
              <w:pStyle w:val="ListParagraph"/>
              <w:ind w:left="311"/>
              <w:rPr>
                <w:rFonts w:cstheme="minorHAnsi"/>
              </w:rPr>
            </w:pPr>
          </w:p>
          <w:p w14:paraId="3B26A51B" w14:textId="77777777" w:rsidR="009968B1" w:rsidRDefault="009968B1">
            <w:pPr>
              <w:rPr>
                <w:rFonts w:cstheme="minorHAnsi"/>
                <w:bCs/>
              </w:rPr>
            </w:pPr>
            <w:r>
              <w:rPr>
                <w:rFonts w:cstheme="minorHAnsi"/>
                <w:bCs/>
              </w:rPr>
              <w:t>Note: EPF will transition to funding Exchange Infrastructure Providers.</w:t>
            </w:r>
          </w:p>
        </w:tc>
        <w:tc>
          <w:tcPr>
            <w:tcW w:w="7251" w:type="dxa"/>
            <w:tcBorders>
              <w:top w:val="single" w:sz="4" w:space="0" w:color="auto"/>
              <w:left w:val="single" w:sz="4" w:space="0" w:color="auto"/>
              <w:bottom w:val="single" w:sz="4" w:space="0" w:color="auto"/>
              <w:right w:val="single" w:sz="4" w:space="0" w:color="auto"/>
            </w:tcBorders>
            <w:hideMark/>
          </w:tcPr>
          <w:p w14:paraId="5498DC7E" w14:textId="77777777" w:rsidR="009968B1" w:rsidRDefault="009968B1">
            <w:pPr>
              <w:ind w:right="2"/>
              <w:rPr>
                <w:rFonts w:cstheme="minorHAnsi"/>
              </w:rPr>
            </w:pPr>
            <w:r>
              <w:rPr>
                <w:rFonts w:cstheme="minorHAnsi"/>
              </w:rPr>
              <w:t>Total e</w:t>
            </w:r>
            <w:r>
              <w:rPr>
                <w:rFonts w:cstheme="minorHAnsi"/>
                <w:color w:val="000000" w:themeColor="text1"/>
              </w:rPr>
              <w:t>xpenditure on electronic prescription fees.</w:t>
            </w:r>
          </w:p>
        </w:tc>
        <w:tc>
          <w:tcPr>
            <w:tcW w:w="1762" w:type="dxa"/>
            <w:tcBorders>
              <w:top w:val="single" w:sz="4" w:space="0" w:color="auto"/>
              <w:left w:val="single" w:sz="4" w:space="0" w:color="auto"/>
              <w:bottom w:val="single" w:sz="4" w:space="0" w:color="auto"/>
              <w:right w:val="single" w:sz="4" w:space="0" w:color="auto"/>
            </w:tcBorders>
          </w:tcPr>
          <w:p w14:paraId="074FA5E5" w14:textId="77777777" w:rsidR="009968B1" w:rsidRDefault="009968B1">
            <w:pPr>
              <w:pStyle w:val="ListParagraph"/>
              <w:ind w:left="0" w:right="-359"/>
              <w:rPr>
                <w:rFonts w:cstheme="minorHAnsi"/>
                <w:bCs/>
              </w:rPr>
            </w:pPr>
            <w:r>
              <w:rPr>
                <w:rFonts w:cstheme="minorHAnsi"/>
                <w:bCs/>
              </w:rPr>
              <w:t>The Department</w:t>
            </w:r>
          </w:p>
          <w:p w14:paraId="159BE6AF" w14:textId="77777777" w:rsidR="009968B1" w:rsidRDefault="009968B1">
            <w:pPr>
              <w:ind w:left="30"/>
              <w:rPr>
                <w:rFonts w:cstheme="minorHAnsi"/>
                <w:bCs/>
              </w:rPr>
            </w:pPr>
          </w:p>
        </w:tc>
      </w:tr>
      <w:tr w:rsidR="009968B1" w14:paraId="69B76A80" w14:textId="77777777" w:rsidTr="009968B1">
        <w:trPr>
          <w:cantSplit/>
        </w:trPr>
        <w:tc>
          <w:tcPr>
            <w:tcW w:w="0" w:type="auto"/>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14:paraId="6C39F500" w14:textId="77777777" w:rsidR="009968B1" w:rsidRDefault="009968B1" w:rsidP="009968B1">
            <w:pPr>
              <w:pStyle w:val="ListParagraph"/>
              <w:keepNext/>
              <w:numPr>
                <w:ilvl w:val="0"/>
                <w:numId w:val="6"/>
              </w:numPr>
              <w:ind w:right="-359"/>
              <w:rPr>
                <w:rFonts w:cstheme="minorHAnsi"/>
                <w:b/>
              </w:rPr>
            </w:pPr>
            <w:r>
              <w:rPr>
                <w:rFonts w:cstheme="minorHAnsi"/>
                <w:b/>
              </w:rPr>
              <w:lastRenderedPageBreak/>
              <w:t>Continue to supply NDSS products through community pharmacies</w:t>
            </w:r>
          </w:p>
          <w:p w14:paraId="0678F764" w14:textId="77777777" w:rsidR="009968B1" w:rsidRDefault="009968B1">
            <w:pPr>
              <w:pStyle w:val="ListParagraph"/>
              <w:keepNext/>
              <w:ind w:left="391" w:right="-357"/>
              <w:rPr>
                <w:rFonts w:cstheme="minorHAnsi"/>
                <w:bCs/>
                <w:i/>
                <w:iCs/>
              </w:rPr>
            </w:pPr>
            <w:r>
              <w:rPr>
                <w:rFonts w:cstheme="minorHAnsi"/>
                <w:bCs/>
                <w:i/>
                <w:iCs/>
              </w:rPr>
              <w:t>(7CPA, Clause 6.1)</w:t>
            </w:r>
            <w:r>
              <w:rPr>
                <w:rFonts w:cstheme="minorHAnsi"/>
                <w:bCs/>
                <w:i/>
                <w:iCs/>
                <w:vertAlign w:val="superscript"/>
              </w:rPr>
              <w:t>2</w:t>
            </w:r>
          </w:p>
        </w:tc>
      </w:tr>
      <w:tr w:rsidR="009968B1" w14:paraId="6EEE854E" w14:textId="77777777" w:rsidTr="009968B1">
        <w:trPr>
          <w:cantSplit/>
        </w:trPr>
        <w:tc>
          <w:tcPr>
            <w:tcW w:w="3119" w:type="dxa"/>
            <w:tcBorders>
              <w:top w:val="single" w:sz="4" w:space="0" w:color="auto"/>
              <w:left w:val="single" w:sz="4" w:space="0" w:color="auto"/>
              <w:bottom w:val="single" w:sz="4" w:space="0" w:color="auto"/>
              <w:right w:val="single" w:sz="4" w:space="0" w:color="auto"/>
            </w:tcBorders>
          </w:tcPr>
          <w:p w14:paraId="3C7DB307" w14:textId="77777777" w:rsidR="009968B1" w:rsidRDefault="009968B1">
            <w:pPr>
              <w:rPr>
                <w:rFonts w:cstheme="minorHAnsi"/>
              </w:rPr>
            </w:pPr>
            <w:r>
              <w:rPr>
                <w:rFonts w:cstheme="minorHAnsi"/>
              </w:rPr>
              <w:t xml:space="preserve">The National Diabetes Services Scheme (NDSS) </w:t>
            </w:r>
          </w:p>
          <w:p w14:paraId="3D49D70E" w14:textId="77777777" w:rsidR="009968B1" w:rsidRDefault="009968B1">
            <w:pPr>
              <w:rPr>
                <w:rFonts w:cstheme="minorHAnsi"/>
              </w:rPr>
            </w:pPr>
          </w:p>
          <w:p w14:paraId="54CC00D0" w14:textId="77777777" w:rsidR="009968B1" w:rsidRDefault="009968B1">
            <w:pPr>
              <w:rPr>
                <w:rFonts w:cstheme="minorHAnsi"/>
                <w:i/>
                <w:iCs/>
              </w:rPr>
            </w:pPr>
            <w:r>
              <w:rPr>
                <w:rFonts w:cstheme="minorHAnsi"/>
                <w:i/>
                <w:iCs/>
              </w:rPr>
              <w:t>(7CPA, Clause 6 and 8).</w:t>
            </w:r>
          </w:p>
          <w:p w14:paraId="31480567" w14:textId="77777777" w:rsidR="009968B1" w:rsidRDefault="009968B1">
            <w:pPr>
              <w:pStyle w:val="ListParagraph"/>
              <w:ind w:left="0"/>
              <w:rPr>
                <w:rFonts w:cstheme="minorHAnsi"/>
              </w:rPr>
            </w:pPr>
          </w:p>
        </w:tc>
        <w:tc>
          <w:tcPr>
            <w:tcW w:w="2672" w:type="dxa"/>
            <w:tcBorders>
              <w:top w:val="single" w:sz="4" w:space="0" w:color="auto"/>
              <w:left w:val="single" w:sz="4" w:space="0" w:color="auto"/>
              <w:bottom w:val="single" w:sz="4" w:space="0" w:color="auto"/>
              <w:right w:val="single" w:sz="4" w:space="0" w:color="auto"/>
            </w:tcBorders>
          </w:tcPr>
          <w:p w14:paraId="33041217" w14:textId="77777777" w:rsidR="009968B1" w:rsidRDefault="009968B1">
            <w:pPr>
              <w:rPr>
                <w:rFonts w:cstheme="minorHAnsi"/>
              </w:rPr>
            </w:pPr>
            <w:r>
              <w:rPr>
                <w:rFonts w:cstheme="minorHAnsi"/>
              </w:rPr>
              <w:t>Approved community pharmacy Access Points receive a payment of $1 plus GST for each NDSS product pack supplied to registrants.</w:t>
            </w:r>
          </w:p>
          <w:p w14:paraId="3E36D5BF" w14:textId="77777777" w:rsidR="009968B1" w:rsidRDefault="009968B1">
            <w:pPr>
              <w:rPr>
                <w:rFonts w:cstheme="minorHAnsi"/>
                <w:b/>
              </w:rPr>
            </w:pPr>
          </w:p>
          <w:p w14:paraId="58B2CE9C" w14:textId="77777777" w:rsidR="009968B1" w:rsidRDefault="009968B1">
            <w:pPr>
              <w:rPr>
                <w:rFonts w:cstheme="minorHAnsi"/>
              </w:rPr>
            </w:pPr>
            <w:r>
              <w:rPr>
                <w:rFonts w:cstheme="minorHAnsi"/>
              </w:rPr>
              <w:t>Community Service Obligation Distributors (CSODs) receive a payment of $1 plus GST for each NDSS product pack delivered to NDSS Access Points.</w:t>
            </w:r>
          </w:p>
        </w:tc>
        <w:tc>
          <w:tcPr>
            <w:tcW w:w="7251" w:type="dxa"/>
            <w:tcBorders>
              <w:top w:val="single" w:sz="4" w:space="0" w:color="auto"/>
              <w:left w:val="single" w:sz="4" w:space="0" w:color="auto"/>
              <w:bottom w:val="single" w:sz="4" w:space="0" w:color="auto"/>
              <w:right w:val="single" w:sz="4" w:space="0" w:color="auto"/>
            </w:tcBorders>
          </w:tcPr>
          <w:p w14:paraId="5EAD28C9" w14:textId="77777777" w:rsidR="009968B1" w:rsidRDefault="009968B1">
            <w:pPr>
              <w:ind w:right="2"/>
              <w:rPr>
                <w:rFonts w:cstheme="minorHAnsi"/>
              </w:rPr>
            </w:pPr>
            <w:r>
              <w:rPr>
                <w:rFonts w:cstheme="minorHAnsi"/>
              </w:rPr>
              <w:t>Total number of:</w:t>
            </w:r>
          </w:p>
          <w:p w14:paraId="3402995C" w14:textId="77777777" w:rsidR="009968B1" w:rsidRDefault="009968B1" w:rsidP="009968B1">
            <w:pPr>
              <w:pStyle w:val="ListParagraph"/>
              <w:numPr>
                <w:ilvl w:val="0"/>
                <w:numId w:val="9"/>
              </w:numPr>
              <w:rPr>
                <w:rFonts w:cstheme="minorHAnsi"/>
                <w:bCs/>
              </w:rPr>
            </w:pPr>
            <w:r>
              <w:rPr>
                <w:rFonts w:cstheme="minorHAnsi"/>
              </w:rPr>
              <w:t>NDSS</w:t>
            </w:r>
            <w:r>
              <w:rPr>
                <w:rFonts w:cstheme="minorHAnsi"/>
                <w:bCs/>
              </w:rPr>
              <w:t xml:space="preserve"> registrants.</w:t>
            </w:r>
          </w:p>
          <w:p w14:paraId="62C23F4D" w14:textId="77777777" w:rsidR="009968B1" w:rsidRDefault="009968B1" w:rsidP="009968B1">
            <w:pPr>
              <w:pStyle w:val="ListParagraph"/>
              <w:numPr>
                <w:ilvl w:val="0"/>
                <w:numId w:val="9"/>
              </w:numPr>
              <w:rPr>
                <w:rFonts w:cstheme="minorHAnsi"/>
                <w:bCs/>
              </w:rPr>
            </w:pPr>
            <w:r>
              <w:rPr>
                <w:rFonts w:cstheme="minorHAnsi"/>
                <w:bCs/>
              </w:rPr>
              <w:t>Community pharmacy Access Points.</w:t>
            </w:r>
          </w:p>
          <w:p w14:paraId="510367DB" w14:textId="77777777" w:rsidR="009968B1" w:rsidRDefault="009968B1">
            <w:pPr>
              <w:ind w:left="43"/>
              <w:rPr>
                <w:rFonts w:cstheme="minorHAnsi"/>
                <w:bCs/>
              </w:rPr>
            </w:pPr>
          </w:p>
          <w:p w14:paraId="0AB41235" w14:textId="77777777" w:rsidR="009968B1" w:rsidRDefault="009968B1">
            <w:pPr>
              <w:ind w:right="2"/>
              <w:rPr>
                <w:rFonts w:cstheme="minorHAnsi"/>
              </w:rPr>
            </w:pPr>
            <w:r>
              <w:rPr>
                <w:rFonts w:cstheme="minorHAnsi"/>
              </w:rPr>
              <w:t>Total NDSS handling fees paid to community pharmacy Access Points.</w:t>
            </w:r>
          </w:p>
          <w:p w14:paraId="392B1FF8" w14:textId="77777777" w:rsidR="009968B1" w:rsidRDefault="009968B1">
            <w:pPr>
              <w:ind w:right="2"/>
              <w:rPr>
                <w:rFonts w:cstheme="minorHAnsi"/>
              </w:rPr>
            </w:pPr>
          </w:p>
        </w:tc>
        <w:tc>
          <w:tcPr>
            <w:tcW w:w="1762" w:type="dxa"/>
            <w:tcBorders>
              <w:top w:val="single" w:sz="4" w:space="0" w:color="auto"/>
              <w:left w:val="single" w:sz="4" w:space="0" w:color="auto"/>
              <w:bottom w:val="single" w:sz="4" w:space="0" w:color="auto"/>
              <w:right w:val="single" w:sz="4" w:space="0" w:color="auto"/>
            </w:tcBorders>
          </w:tcPr>
          <w:p w14:paraId="46764715" w14:textId="77777777" w:rsidR="009968B1" w:rsidRDefault="009968B1">
            <w:pPr>
              <w:pStyle w:val="ListParagraph"/>
              <w:ind w:left="0" w:right="-359"/>
              <w:rPr>
                <w:rFonts w:cstheme="minorHAnsi"/>
                <w:bCs/>
              </w:rPr>
            </w:pPr>
            <w:r>
              <w:rPr>
                <w:rFonts w:cstheme="minorHAnsi"/>
                <w:bCs/>
              </w:rPr>
              <w:t>The Department</w:t>
            </w:r>
          </w:p>
          <w:p w14:paraId="4291D03D" w14:textId="77777777" w:rsidR="009968B1" w:rsidRDefault="009968B1">
            <w:pPr>
              <w:pStyle w:val="ListParagraph"/>
              <w:ind w:left="0" w:right="-359"/>
              <w:rPr>
                <w:rFonts w:cstheme="minorHAnsi"/>
                <w:bCs/>
              </w:rPr>
            </w:pPr>
          </w:p>
        </w:tc>
      </w:tr>
      <w:tr w:rsidR="009968B1" w14:paraId="6B3769D1" w14:textId="77777777" w:rsidTr="009968B1">
        <w:trPr>
          <w:cantSplit/>
          <w:trHeight w:val="442"/>
        </w:trPr>
        <w:tc>
          <w:tcPr>
            <w:tcW w:w="0" w:type="auto"/>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F7CF6AC" w14:textId="77777777" w:rsidR="009968B1" w:rsidRDefault="009968B1" w:rsidP="009968B1">
            <w:pPr>
              <w:pStyle w:val="ListParagraph"/>
              <w:numPr>
                <w:ilvl w:val="0"/>
                <w:numId w:val="6"/>
              </w:numPr>
              <w:ind w:right="140"/>
              <w:rPr>
                <w:bCs/>
              </w:rPr>
            </w:pPr>
            <w:r>
              <w:rPr>
                <w:rFonts w:cstheme="minorHAnsi"/>
                <w:b/>
                <w:bCs/>
              </w:rPr>
              <w:t xml:space="preserve">Support professional initiatives for pharmacists to better fulfil their current scope of practice.    </w:t>
            </w:r>
          </w:p>
          <w:p w14:paraId="08100FB6" w14:textId="77777777" w:rsidR="009968B1" w:rsidRDefault="009968B1">
            <w:pPr>
              <w:pStyle w:val="ListParagraph"/>
              <w:ind w:left="390" w:right="140"/>
              <w:rPr>
                <w:bCs/>
              </w:rPr>
            </w:pPr>
            <w:r>
              <w:rPr>
                <w:rFonts w:cstheme="minorHAnsi"/>
                <w:i/>
                <w:iCs/>
              </w:rPr>
              <w:t>(7CPA, Item E, Page 4)</w:t>
            </w:r>
            <w:r>
              <w:rPr>
                <w:rFonts w:cstheme="minorHAnsi"/>
                <w:i/>
                <w:iCs/>
                <w:vertAlign w:val="superscript"/>
              </w:rPr>
              <w:t>3</w:t>
            </w:r>
            <w:r>
              <w:rPr>
                <w:rFonts w:cstheme="minorHAnsi"/>
                <w:i/>
                <w:iCs/>
              </w:rPr>
              <w:t>.</w:t>
            </w:r>
          </w:p>
        </w:tc>
      </w:tr>
      <w:tr w:rsidR="009968B1" w14:paraId="637C6351" w14:textId="77777777" w:rsidTr="009968B1">
        <w:trPr>
          <w:cantSplit/>
        </w:trPr>
        <w:tc>
          <w:tcPr>
            <w:tcW w:w="3119" w:type="dxa"/>
            <w:tcBorders>
              <w:top w:val="single" w:sz="4" w:space="0" w:color="auto"/>
              <w:left w:val="single" w:sz="4" w:space="0" w:color="auto"/>
              <w:bottom w:val="single" w:sz="4" w:space="0" w:color="auto"/>
              <w:right w:val="single" w:sz="4" w:space="0" w:color="auto"/>
            </w:tcBorders>
          </w:tcPr>
          <w:p w14:paraId="47E379AD" w14:textId="77777777" w:rsidR="009968B1" w:rsidRDefault="009968B1" w:rsidP="009968B1">
            <w:pPr>
              <w:pStyle w:val="ListParagraph"/>
              <w:numPr>
                <w:ilvl w:val="0"/>
                <w:numId w:val="10"/>
              </w:numPr>
            </w:pPr>
            <w:r>
              <w:t xml:space="preserve">Pharmaceutical Society of Australia (PSA) </w:t>
            </w:r>
            <w:hyperlink r:id="rId12" w:history="1">
              <w:r>
                <w:rPr>
                  <w:rStyle w:val="Hyperlink"/>
                </w:rPr>
                <w:t>Professional Practice Standards</w:t>
              </w:r>
            </w:hyperlink>
            <w:r>
              <w:rPr>
                <w:vertAlign w:val="superscript"/>
              </w:rPr>
              <w:t>4</w:t>
            </w:r>
            <w:r>
              <w:t xml:space="preserve"> (PPS), Practice Guidelines, and Code of Ethics (</w:t>
            </w:r>
            <w:proofErr w:type="spellStart"/>
            <w:r>
              <w:t>CoE</w:t>
            </w:r>
            <w:proofErr w:type="spellEnd"/>
            <w:r>
              <w:t>)</w:t>
            </w:r>
          </w:p>
          <w:p w14:paraId="7CBFBA56" w14:textId="77777777" w:rsidR="009968B1" w:rsidRDefault="009968B1"/>
          <w:p w14:paraId="625C62EF" w14:textId="77777777" w:rsidR="009968B1" w:rsidRDefault="009968B1">
            <w:pPr>
              <w:rPr>
                <w:i/>
                <w:iCs/>
              </w:rPr>
            </w:pPr>
            <w:r>
              <w:rPr>
                <w:i/>
                <w:iCs/>
              </w:rPr>
              <w:t>(7CPA, Clause 14).</w:t>
            </w:r>
          </w:p>
        </w:tc>
        <w:tc>
          <w:tcPr>
            <w:tcW w:w="2672" w:type="dxa"/>
            <w:tcBorders>
              <w:top w:val="single" w:sz="4" w:space="0" w:color="auto"/>
              <w:left w:val="single" w:sz="4" w:space="0" w:color="auto"/>
              <w:bottom w:val="single" w:sz="4" w:space="0" w:color="auto"/>
              <w:right w:val="single" w:sz="4" w:space="0" w:color="auto"/>
            </w:tcBorders>
          </w:tcPr>
          <w:p w14:paraId="0D4C6808" w14:textId="77777777" w:rsidR="009968B1" w:rsidRDefault="009968B1">
            <w:pPr>
              <w:rPr>
                <w:bCs/>
              </w:rPr>
            </w:pPr>
            <w:r>
              <w:rPr>
                <w:bCs/>
              </w:rPr>
              <w:t xml:space="preserve">Maintain and encourage practice in </w:t>
            </w:r>
            <w:r>
              <w:t>keeping</w:t>
            </w:r>
            <w:r>
              <w:rPr>
                <w:bCs/>
              </w:rPr>
              <w:t xml:space="preserve"> with up-to-date </w:t>
            </w:r>
            <w:r>
              <w:t>Professional</w:t>
            </w:r>
            <w:r>
              <w:rPr>
                <w:bCs/>
              </w:rPr>
              <w:t xml:space="preserve"> </w:t>
            </w:r>
            <w:r>
              <w:t>Practice</w:t>
            </w:r>
            <w:r>
              <w:rPr>
                <w:bCs/>
              </w:rPr>
              <w:t xml:space="preserve"> Standards and Code of Ethics for pharmacists.</w:t>
            </w:r>
          </w:p>
          <w:p w14:paraId="473FC263" w14:textId="77777777" w:rsidR="009968B1" w:rsidRDefault="009968B1">
            <w:pPr>
              <w:rPr>
                <w:rFonts w:cstheme="minorHAnsi"/>
              </w:rPr>
            </w:pPr>
          </w:p>
        </w:tc>
        <w:tc>
          <w:tcPr>
            <w:tcW w:w="7251" w:type="dxa"/>
            <w:tcBorders>
              <w:top w:val="single" w:sz="4" w:space="0" w:color="auto"/>
              <w:left w:val="single" w:sz="4" w:space="0" w:color="auto"/>
              <w:bottom w:val="single" w:sz="4" w:space="0" w:color="auto"/>
              <w:right w:val="single" w:sz="4" w:space="0" w:color="auto"/>
            </w:tcBorders>
          </w:tcPr>
          <w:p w14:paraId="741134BE" w14:textId="77777777" w:rsidR="009968B1" w:rsidRDefault="009968B1">
            <w:pPr>
              <w:ind w:right="2"/>
              <w:rPr>
                <w:rFonts w:cstheme="minorHAnsi"/>
              </w:rPr>
            </w:pPr>
            <w:r>
              <w:rPr>
                <w:rFonts w:cstheme="minorHAnsi"/>
              </w:rPr>
              <w:t>Progress report on:</w:t>
            </w:r>
          </w:p>
          <w:p w14:paraId="532142A0" w14:textId="77777777" w:rsidR="009968B1" w:rsidRDefault="009968B1" w:rsidP="009968B1">
            <w:pPr>
              <w:pStyle w:val="ListParagraph"/>
              <w:numPr>
                <w:ilvl w:val="0"/>
                <w:numId w:val="11"/>
              </w:numPr>
            </w:pPr>
            <w:r>
              <w:t xml:space="preserve">Timely updates made to the PPS and </w:t>
            </w:r>
            <w:proofErr w:type="spellStart"/>
            <w:r>
              <w:t>CoE</w:t>
            </w:r>
            <w:proofErr w:type="spellEnd"/>
            <w:r>
              <w:t>, where warranted.</w:t>
            </w:r>
          </w:p>
          <w:p w14:paraId="3E05D9A7" w14:textId="77777777" w:rsidR="009968B1" w:rsidRDefault="009968B1" w:rsidP="009968B1">
            <w:pPr>
              <w:pStyle w:val="ListParagraph"/>
              <w:numPr>
                <w:ilvl w:val="0"/>
                <w:numId w:val="11"/>
              </w:numPr>
              <w:rPr>
                <w:rFonts w:ascii="Times New Roman" w:hAnsi="Times New Roman" w:cs="Times New Roman"/>
                <w:bCs/>
              </w:rPr>
            </w:pPr>
            <w:r>
              <w:t>Adherence</w:t>
            </w:r>
            <w:r>
              <w:rPr>
                <w:bCs/>
              </w:rPr>
              <w:t xml:space="preserve"> to the PPS and </w:t>
            </w:r>
            <w:proofErr w:type="spellStart"/>
            <w:r>
              <w:rPr>
                <w:bCs/>
              </w:rPr>
              <w:t>CoE</w:t>
            </w:r>
            <w:proofErr w:type="spellEnd"/>
            <w:r>
              <w:rPr>
                <w:bCs/>
              </w:rPr>
              <w:t>.</w:t>
            </w:r>
          </w:p>
          <w:p w14:paraId="017BBA3B" w14:textId="77777777" w:rsidR="009968B1" w:rsidRDefault="009968B1">
            <w:pPr>
              <w:ind w:right="2"/>
              <w:rPr>
                <w:rFonts w:cstheme="minorHAnsi"/>
              </w:rPr>
            </w:pPr>
          </w:p>
        </w:tc>
        <w:tc>
          <w:tcPr>
            <w:tcW w:w="1762" w:type="dxa"/>
            <w:tcBorders>
              <w:top w:val="single" w:sz="4" w:space="0" w:color="auto"/>
              <w:left w:val="single" w:sz="4" w:space="0" w:color="auto"/>
              <w:bottom w:val="single" w:sz="4" w:space="0" w:color="auto"/>
              <w:right w:val="single" w:sz="4" w:space="0" w:color="auto"/>
            </w:tcBorders>
          </w:tcPr>
          <w:p w14:paraId="02A425C1" w14:textId="77777777" w:rsidR="009968B1" w:rsidRDefault="009968B1">
            <w:pPr>
              <w:rPr>
                <w:bCs/>
              </w:rPr>
            </w:pPr>
            <w:r>
              <w:rPr>
                <w:bCs/>
              </w:rPr>
              <w:t>PBA</w:t>
            </w:r>
          </w:p>
          <w:p w14:paraId="6E49190E" w14:textId="77777777" w:rsidR="009968B1" w:rsidRDefault="009968B1">
            <w:pPr>
              <w:rPr>
                <w:bCs/>
              </w:rPr>
            </w:pPr>
            <w:r>
              <w:rPr>
                <w:bCs/>
              </w:rPr>
              <w:t>PGA</w:t>
            </w:r>
          </w:p>
          <w:p w14:paraId="05531F6B" w14:textId="77777777" w:rsidR="009968B1" w:rsidRDefault="009968B1">
            <w:pPr>
              <w:rPr>
                <w:bCs/>
              </w:rPr>
            </w:pPr>
            <w:r>
              <w:rPr>
                <w:bCs/>
              </w:rPr>
              <w:t>PSA</w:t>
            </w:r>
          </w:p>
          <w:p w14:paraId="60E8F142" w14:textId="77777777" w:rsidR="009968B1" w:rsidRDefault="009968B1">
            <w:pPr>
              <w:pStyle w:val="ListParagraph"/>
              <w:ind w:left="0" w:right="-359"/>
              <w:rPr>
                <w:rFonts w:cstheme="minorHAnsi"/>
                <w:bCs/>
              </w:rPr>
            </w:pPr>
          </w:p>
        </w:tc>
      </w:tr>
      <w:tr w:rsidR="009968B1" w14:paraId="586BC79D" w14:textId="77777777" w:rsidTr="009968B1">
        <w:trPr>
          <w:cantSplit/>
          <w:trHeight w:val="2098"/>
        </w:trPr>
        <w:tc>
          <w:tcPr>
            <w:tcW w:w="3119" w:type="dxa"/>
            <w:tcBorders>
              <w:top w:val="single" w:sz="4" w:space="0" w:color="auto"/>
              <w:left w:val="single" w:sz="4" w:space="0" w:color="auto"/>
              <w:bottom w:val="single" w:sz="4" w:space="0" w:color="auto"/>
              <w:right w:val="single" w:sz="4" w:space="0" w:color="auto"/>
            </w:tcBorders>
            <w:hideMark/>
          </w:tcPr>
          <w:p w14:paraId="35FAFB4F" w14:textId="77777777" w:rsidR="009968B1" w:rsidRDefault="009968B1" w:rsidP="009968B1">
            <w:pPr>
              <w:pStyle w:val="ListParagraph"/>
              <w:numPr>
                <w:ilvl w:val="0"/>
                <w:numId w:val="10"/>
              </w:numPr>
            </w:pPr>
            <w:r>
              <w:t>Accreditation of pharmacists for undertaking medication reviews:</w:t>
            </w:r>
          </w:p>
          <w:p w14:paraId="7887DA37" w14:textId="77777777" w:rsidR="009968B1" w:rsidRDefault="009968B1" w:rsidP="009968B1">
            <w:pPr>
              <w:pStyle w:val="ListParagraph"/>
              <w:numPr>
                <w:ilvl w:val="0"/>
                <w:numId w:val="12"/>
              </w:numPr>
              <w:spacing w:before="60"/>
              <w:rPr>
                <w:rFonts w:eastAsia="Calibri"/>
              </w:rPr>
            </w:pPr>
            <w:r>
              <w:rPr>
                <w:rFonts w:eastAsia="Calibri"/>
              </w:rPr>
              <w:t>Home Medicines Reviews (HMR).</w:t>
            </w:r>
          </w:p>
          <w:p w14:paraId="0ECB6BFD" w14:textId="77777777" w:rsidR="009968B1" w:rsidRDefault="009968B1" w:rsidP="009968B1">
            <w:pPr>
              <w:pStyle w:val="ListParagraph"/>
              <w:numPr>
                <w:ilvl w:val="0"/>
                <w:numId w:val="12"/>
              </w:numPr>
              <w:spacing w:before="60"/>
            </w:pPr>
            <w:r>
              <w:rPr>
                <w:rFonts w:eastAsia="Calibri"/>
              </w:rPr>
              <w:t>Residential</w:t>
            </w:r>
            <w:r>
              <w:t xml:space="preserve"> Medication Management Reviews (RMMR).</w:t>
            </w:r>
          </w:p>
        </w:tc>
        <w:tc>
          <w:tcPr>
            <w:tcW w:w="2672" w:type="dxa"/>
            <w:tcBorders>
              <w:top w:val="single" w:sz="4" w:space="0" w:color="auto"/>
              <w:left w:val="single" w:sz="4" w:space="0" w:color="auto"/>
              <w:bottom w:val="single" w:sz="4" w:space="0" w:color="auto"/>
              <w:right w:val="single" w:sz="4" w:space="0" w:color="auto"/>
            </w:tcBorders>
          </w:tcPr>
          <w:p w14:paraId="2CFA9411" w14:textId="77777777" w:rsidR="009968B1" w:rsidRDefault="009968B1">
            <w:pPr>
              <w:rPr>
                <w:bCs/>
              </w:rPr>
            </w:pPr>
            <w:r>
              <w:t>Accredited</w:t>
            </w:r>
            <w:r>
              <w:rPr>
                <w:bCs/>
              </w:rPr>
              <w:t xml:space="preserve"> pharmacists provide </w:t>
            </w:r>
            <w:r>
              <w:t>medication</w:t>
            </w:r>
            <w:r>
              <w:rPr>
                <w:bCs/>
              </w:rPr>
              <w:t xml:space="preserve"> </w:t>
            </w:r>
            <w:r>
              <w:t>management</w:t>
            </w:r>
            <w:r>
              <w:rPr>
                <w:bCs/>
              </w:rPr>
              <w:t xml:space="preserve"> reviews.</w:t>
            </w:r>
          </w:p>
          <w:p w14:paraId="240F0AC6" w14:textId="77777777" w:rsidR="009968B1" w:rsidRDefault="009968B1">
            <w:pPr>
              <w:rPr>
                <w:rFonts w:cstheme="minorHAnsi"/>
              </w:rPr>
            </w:pPr>
          </w:p>
        </w:tc>
        <w:tc>
          <w:tcPr>
            <w:tcW w:w="7251" w:type="dxa"/>
            <w:tcBorders>
              <w:top w:val="single" w:sz="4" w:space="0" w:color="auto"/>
              <w:left w:val="single" w:sz="4" w:space="0" w:color="auto"/>
              <w:bottom w:val="single" w:sz="4" w:space="0" w:color="auto"/>
              <w:right w:val="single" w:sz="4" w:space="0" w:color="auto"/>
            </w:tcBorders>
          </w:tcPr>
          <w:p w14:paraId="701D030D" w14:textId="77777777" w:rsidR="009968B1" w:rsidRDefault="009968B1">
            <w:pPr>
              <w:ind w:right="2"/>
              <w:rPr>
                <w:rFonts w:cstheme="minorHAnsi"/>
              </w:rPr>
            </w:pPr>
            <w:r>
              <w:rPr>
                <w:rFonts w:cstheme="minorHAnsi"/>
              </w:rPr>
              <w:t>Total number of accredited pharmacists for each of HMR and RMMR.</w:t>
            </w:r>
          </w:p>
          <w:p w14:paraId="240B019C" w14:textId="77777777" w:rsidR="009968B1" w:rsidRDefault="009968B1">
            <w:pPr>
              <w:ind w:right="2"/>
              <w:rPr>
                <w:rFonts w:cstheme="minorHAnsi"/>
              </w:rPr>
            </w:pPr>
          </w:p>
          <w:p w14:paraId="55498920" w14:textId="77777777" w:rsidR="009968B1" w:rsidRDefault="009968B1">
            <w:pPr>
              <w:ind w:right="2"/>
              <w:rPr>
                <w:rFonts w:cstheme="minorHAnsi"/>
              </w:rPr>
            </w:pPr>
            <w:r>
              <w:rPr>
                <w:bCs/>
              </w:rPr>
              <w:t xml:space="preserve">Percentage of registered pharmacists accredited to undertake HMR/RMMR as a percentage of all registered </w:t>
            </w:r>
            <w:r>
              <w:t>pharmacists</w:t>
            </w:r>
            <w:r>
              <w:rPr>
                <w:bCs/>
              </w:rPr>
              <w:t>.</w:t>
            </w:r>
          </w:p>
        </w:tc>
        <w:tc>
          <w:tcPr>
            <w:tcW w:w="1762" w:type="dxa"/>
            <w:tcBorders>
              <w:top w:val="single" w:sz="4" w:space="0" w:color="auto"/>
              <w:left w:val="single" w:sz="4" w:space="0" w:color="auto"/>
              <w:bottom w:val="single" w:sz="4" w:space="0" w:color="auto"/>
              <w:right w:val="single" w:sz="4" w:space="0" w:color="auto"/>
            </w:tcBorders>
          </w:tcPr>
          <w:p w14:paraId="011E6719" w14:textId="77777777" w:rsidR="009968B1" w:rsidRDefault="009968B1">
            <w:pPr>
              <w:rPr>
                <w:bCs/>
              </w:rPr>
            </w:pPr>
            <w:r>
              <w:rPr>
                <w:bCs/>
              </w:rPr>
              <w:t xml:space="preserve">AACP </w:t>
            </w:r>
          </w:p>
          <w:p w14:paraId="0665CEBA" w14:textId="77777777" w:rsidR="009968B1" w:rsidRDefault="009968B1">
            <w:pPr>
              <w:rPr>
                <w:bCs/>
              </w:rPr>
            </w:pPr>
            <w:r>
              <w:rPr>
                <w:bCs/>
              </w:rPr>
              <w:t>PBA</w:t>
            </w:r>
          </w:p>
          <w:p w14:paraId="0AB8623B" w14:textId="77777777" w:rsidR="009968B1" w:rsidRDefault="009968B1">
            <w:pPr>
              <w:rPr>
                <w:bCs/>
              </w:rPr>
            </w:pPr>
            <w:r>
              <w:rPr>
                <w:bCs/>
              </w:rPr>
              <w:t>PGA</w:t>
            </w:r>
          </w:p>
          <w:p w14:paraId="5E9D3A4C" w14:textId="77777777" w:rsidR="009968B1" w:rsidRDefault="009968B1">
            <w:pPr>
              <w:rPr>
                <w:bCs/>
              </w:rPr>
            </w:pPr>
            <w:r>
              <w:rPr>
                <w:bCs/>
              </w:rPr>
              <w:t>PSA</w:t>
            </w:r>
          </w:p>
          <w:p w14:paraId="50D24D68" w14:textId="77777777" w:rsidR="009968B1" w:rsidRDefault="009968B1">
            <w:pPr>
              <w:rPr>
                <w:bCs/>
              </w:rPr>
            </w:pPr>
            <w:r>
              <w:rPr>
                <w:bCs/>
              </w:rPr>
              <w:t>SHPA</w:t>
            </w:r>
          </w:p>
          <w:p w14:paraId="2EF06BFE" w14:textId="77777777" w:rsidR="009968B1" w:rsidRDefault="009968B1">
            <w:pPr>
              <w:rPr>
                <w:bCs/>
              </w:rPr>
            </w:pPr>
          </w:p>
        </w:tc>
      </w:tr>
      <w:tr w:rsidR="009968B1" w14:paraId="22578D1D" w14:textId="77777777" w:rsidTr="009968B1">
        <w:trPr>
          <w:cantSplit/>
          <w:trHeight w:val="442"/>
        </w:trPr>
        <w:tc>
          <w:tcPr>
            <w:tcW w:w="0" w:type="auto"/>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9D5B1CB" w14:textId="77777777" w:rsidR="009968B1" w:rsidRDefault="009968B1" w:rsidP="009968B1">
            <w:pPr>
              <w:pStyle w:val="ListParagraph"/>
              <w:keepNext/>
              <w:numPr>
                <w:ilvl w:val="0"/>
                <w:numId w:val="6"/>
              </w:numPr>
              <w:ind w:left="385" w:right="142" w:hanging="357"/>
              <w:rPr>
                <w:rFonts w:cstheme="minorHAnsi"/>
              </w:rPr>
            </w:pPr>
            <w:r>
              <w:rPr>
                <w:b/>
                <w:bCs/>
              </w:rPr>
              <w:lastRenderedPageBreak/>
              <w:t xml:space="preserve">Ensure all Australians have access to pharmacy services and programs that support the safe and quality use of medicines.    </w:t>
            </w:r>
          </w:p>
          <w:p w14:paraId="561297D4" w14:textId="77777777" w:rsidR="009968B1" w:rsidRDefault="009968B1">
            <w:pPr>
              <w:pStyle w:val="ListParagraph"/>
              <w:keepNext/>
              <w:ind w:left="385" w:right="142"/>
              <w:rPr>
                <w:rFonts w:cstheme="minorHAnsi"/>
              </w:rPr>
            </w:pPr>
            <w:r>
              <w:rPr>
                <w:rFonts w:cstheme="minorHAnsi"/>
                <w:i/>
              </w:rPr>
              <w:t>(7CPA, Item F1, Page 4)</w:t>
            </w:r>
            <w:r>
              <w:rPr>
                <w:rFonts w:cstheme="minorHAnsi"/>
                <w:i/>
                <w:vertAlign w:val="superscript"/>
              </w:rPr>
              <w:t>5</w:t>
            </w:r>
            <w:r>
              <w:rPr>
                <w:rFonts w:cstheme="minorHAnsi"/>
                <w:i/>
              </w:rPr>
              <w:t>.</w:t>
            </w:r>
          </w:p>
        </w:tc>
      </w:tr>
      <w:tr w:rsidR="009968B1" w14:paraId="4D7315CB" w14:textId="77777777" w:rsidTr="009968B1">
        <w:trPr>
          <w:cantSplit/>
        </w:trPr>
        <w:tc>
          <w:tcPr>
            <w:tcW w:w="3119" w:type="dxa"/>
            <w:tcBorders>
              <w:top w:val="single" w:sz="4" w:space="0" w:color="auto"/>
              <w:left w:val="single" w:sz="4" w:space="0" w:color="auto"/>
              <w:bottom w:val="single" w:sz="4" w:space="0" w:color="auto"/>
              <w:right w:val="single" w:sz="4" w:space="0" w:color="auto"/>
            </w:tcBorders>
            <w:hideMark/>
          </w:tcPr>
          <w:p w14:paraId="13CD56FF" w14:textId="77777777" w:rsidR="009968B1" w:rsidRDefault="009968B1">
            <w:pPr>
              <w:rPr>
                <w:rFonts w:cstheme="minorHAnsi"/>
              </w:rPr>
            </w:pPr>
            <w:r>
              <w:rPr>
                <w:rFonts w:cstheme="minorHAnsi"/>
              </w:rPr>
              <w:t>Community Pharmacy Programs including:</w:t>
            </w:r>
          </w:p>
          <w:p w14:paraId="478F36B9" w14:textId="77777777" w:rsidR="009968B1" w:rsidRDefault="009968B1" w:rsidP="009968B1">
            <w:pPr>
              <w:pStyle w:val="ListParagraph"/>
              <w:numPr>
                <w:ilvl w:val="0"/>
                <w:numId w:val="13"/>
              </w:numPr>
              <w:rPr>
                <w:rFonts w:cstheme="minorHAnsi"/>
              </w:rPr>
            </w:pPr>
            <w:r>
              <w:rPr>
                <w:rFonts w:cstheme="minorHAnsi"/>
              </w:rPr>
              <w:t xml:space="preserve">Dose Administration </w:t>
            </w:r>
            <w:proofErr w:type="gramStart"/>
            <w:r>
              <w:rPr>
                <w:rFonts w:cstheme="minorHAnsi"/>
              </w:rPr>
              <w:t>Aids;</w:t>
            </w:r>
            <w:proofErr w:type="gramEnd"/>
          </w:p>
          <w:p w14:paraId="5C3338FD" w14:textId="77777777" w:rsidR="009968B1" w:rsidRDefault="009968B1" w:rsidP="009968B1">
            <w:pPr>
              <w:pStyle w:val="ListParagraph"/>
              <w:numPr>
                <w:ilvl w:val="0"/>
                <w:numId w:val="13"/>
              </w:numPr>
              <w:rPr>
                <w:rFonts w:cstheme="minorHAnsi"/>
              </w:rPr>
            </w:pPr>
            <w:r>
              <w:rPr>
                <w:rFonts w:cstheme="minorHAnsi"/>
              </w:rPr>
              <w:t xml:space="preserve">Indigenous Dose Administration </w:t>
            </w:r>
            <w:proofErr w:type="gramStart"/>
            <w:r>
              <w:rPr>
                <w:rFonts w:cstheme="minorHAnsi"/>
              </w:rPr>
              <w:t>Aids;</w:t>
            </w:r>
            <w:proofErr w:type="gramEnd"/>
          </w:p>
          <w:p w14:paraId="341E1D53" w14:textId="77777777" w:rsidR="009968B1" w:rsidRDefault="009968B1" w:rsidP="009968B1">
            <w:pPr>
              <w:pStyle w:val="ListParagraph"/>
              <w:numPr>
                <w:ilvl w:val="0"/>
                <w:numId w:val="13"/>
              </w:numPr>
              <w:rPr>
                <w:rFonts w:cstheme="minorHAnsi"/>
              </w:rPr>
            </w:pPr>
            <w:r>
              <w:rPr>
                <w:rFonts w:cstheme="minorHAnsi"/>
              </w:rPr>
              <w:t xml:space="preserve">Staged </w:t>
            </w:r>
            <w:proofErr w:type="gramStart"/>
            <w:r>
              <w:rPr>
                <w:rFonts w:cstheme="minorHAnsi"/>
              </w:rPr>
              <w:t>Supply;</w:t>
            </w:r>
            <w:proofErr w:type="gramEnd"/>
          </w:p>
          <w:p w14:paraId="0257C3B6" w14:textId="77777777" w:rsidR="009968B1" w:rsidRDefault="009968B1" w:rsidP="009968B1">
            <w:pPr>
              <w:pStyle w:val="ListParagraph"/>
              <w:numPr>
                <w:ilvl w:val="0"/>
                <w:numId w:val="13"/>
              </w:numPr>
              <w:rPr>
                <w:rFonts w:cstheme="minorHAnsi"/>
              </w:rPr>
            </w:pPr>
            <w:proofErr w:type="gramStart"/>
            <w:r>
              <w:rPr>
                <w:rFonts w:cstheme="minorHAnsi"/>
              </w:rPr>
              <w:t>HMR;</w:t>
            </w:r>
            <w:proofErr w:type="gramEnd"/>
          </w:p>
          <w:p w14:paraId="7BFBC653" w14:textId="77777777" w:rsidR="009968B1" w:rsidRDefault="009968B1" w:rsidP="009968B1">
            <w:pPr>
              <w:pStyle w:val="ListParagraph"/>
              <w:numPr>
                <w:ilvl w:val="0"/>
                <w:numId w:val="13"/>
              </w:numPr>
              <w:rPr>
                <w:rFonts w:cstheme="minorHAnsi"/>
              </w:rPr>
            </w:pPr>
            <w:proofErr w:type="gramStart"/>
            <w:r>
              <w:rPr>
                <w:rFonts w:cstheme="minorHAnsi"/>
              </w:rPr>
              <w:t>RMMR;</w:t>
            </w:r>
            <w:proofErr w:type="gramEnd"/>
          </w:p>
          <w:p w14:paraId="04F45A9D" w14:textId="77777777" w:rsidR="009968B1" w:rsidRDefault="009968B1" w:rsidP="009968B1">
            <w:pPr>
              <w:pStyle w:val="ListParagraph"/>
              <w:numPr>
                <w:ilvl w:val="0"/>
                <w:numId w:val="13"/>
              </w:numPr>
              <w:rPr>
                <w:rFonts w:cstheme="minorHAnsi"/>
              </w:rPr>
            </w:pPr>
            <w:r>
              <w:rPr>
                <w:rFonts w:cstheme="minorHAnsi"/>
              </w:rPr>
              <w:t xml:space="preserve">Quality Use of Medicines in Residential Aged Care </w:t>
            </w:r>
            <w:proofErr w:type="gramStart"/>
            <w:r>
              <w:rPr>
                <w:rFonts w:cstheme="minorHAnsi"/>
              </w:rPr>
              <w:t>Facilities;</w:t>
            </w:r>
            <w:proofErr w:type="gramEnd"/>
          </w:p>
          <w:p w14:paraId="2D44F834" w14:textId="77777777" w:rsidR="009968B1" w:rsidRDefault="009968B1" w:rsidP="009968B1">
            <w:pPr>
              <w:pStyle w:val="ListParagraph"/>
              <w:numPr>
                <w:ilvl w:val="0"/>
                <w:numId w:val="13"/>
              </w:numPr>
              <w:rPr>
                <w:rFonts w:cstheme="minorHAnsi"/>
              </w:rPr>
            </w:pPr>
            <w:proofErr w:type="spellStart"/>
            <w:r>
              <w:rPr>
                <w:rFonts w:cstheme="minorHAnsi"/>
              </w:rPr>
              <w:t>MedsCheck</w:t>
            </w:r>
            <w:proofErr w:type="spellEnd"/>
            <w:r>
              <w:rPr>
                <w:rFonts w:cstheme="minorHAnsi"/>
              </w:rPr>
              <w:t xml:space="preserve"> and Diabetes </w:t>
            </w:r>
            <w:proofErr w:type="spellStart"/>
            <w:proofErr w:type="gramStart"/>
            <w:r>
              <w:rPr>
                <w:rFonts w:cstheme="minorHAnsi"/>
              </w:rPr>
              <w:t>MedsCheck</w:t>
            </w:r>
            <w:proofErr w:type="spellEnd"/>
            <w:r>
              <w:rPr>
                <w:rFonts w:cstheme="minorHAnsi"/>
              </w:rPr>
              <w:t>;</w:t>
            </w:r>
            <w:proofErr w:type="gramEnd"/>
          </w:p>
          <w:p w14:paraId="49F29B16" w14:textId="77777777" w:rsidR="009968B1" w:rsidRDefault="009968B1" w:rsidP="009968B1">
            <w:pPr>
              <w:pStyle w:val="ListParagraph"/>
              <w:numPr>
                <w:ilvl w:val="0"/>
                <w:numId w:val="13"/>
              </w:numPr>
              <w:rPr>
                <w:rFonts w:cstheme="minorHAnsi"/>
                <w:b/>
                <w:bCs/>
              </w:rPr>
            </w:pPr>
            <w:r>
              <w:rPr>
                <w:rFonts w:cstheme="minorHAnsi"/>
              </w:rPr>
              <w:t>Indigenous Health Services Pharmacy Support (IHSPS) Program</w:t>
            </w:r>
          </w:p>
        </w:tc>
        <w:tc>
          <w:tcPr>
            <w:tcW w:w="2672" w:type="dxa"/>
            <w:tcBorders>
              <w:top w:val="single" w:sz="4" w:space="0" w:color="auto"/>
              <w:left w:val="single" w:sz="4" w:space="0" w:color="auto"/>
              <w:bottom w:val="single" w:sz="4" w:space="0" w:color="auto"/>
              <w:right w:val="single" w:sz="4" w:space="0" w:color="auto"/>
            </w:tcBorders>
            <w:hideMark/>
          </w:tcPr>
          <w:p w14:paraId="7B347DAB" w14:textId="77777777" w:rsidR="009968B1" w:rsidRDefault="009968B1">
            <w:r>
              <w:t>Access</w:t>
            </w:r>
            <w:r>
              <w:rPr>
                <w:bCs/>
              </w:rPr>
              <w:t xml:space="preserve"> to and expenditure on Community </w:t>
            </w:r>
            <w:r>
              <w:t>Pharmacy</w:t>
            </w:r>
            <w:r>
              <w:rPr>
                <w:bCs/>
              </w:rPr>
              <w:t xml:space="preserve"> Programs.</w:t>
            </w:r>
          </w:p>
        </w:tc>
        <w:tc>
          <w:tcPr>
            <w:tcW w:w="7251" w:type="dxa"/>
            <w:tcBorders>
              <w:top w:val="single" w:sz="4" w:space="0" w:color="auto"/>
              <w:left w:val="single" w:sz="4" w:space="0" w:color="auto"/>
              <w:bottom w:val="single" w:sz="4" w:space="0" w:color="auto"/>
              <w:right w:val="single" w:sz="4" w:space="0" w:color="auto"/>
            </w:tcBorders>
          </w:tcPr>
          <w:p w14:paraId="27C611CB" w14:textId="77777777" w:rsidR="009968B1" w:rsidRDefault="009968B1">
            <w:pPr>
              <w:ind w:left="43"/>
            </w:pPr>
            <w:r>
              <w:t>Total number of services and amount of expenditure for each Community Pharmacy Program (whether continuing or new) reported monthly (or quarterly for programs based on quarterly payments).</w:t>
            </w:r>
          </w:p>
          <w:p w14:paraId="74A55835" w14:textId="77777777" w:rsidR="009968B1" w:rsidRDefault="009968B1">
            <w:pPr>
              <w:ind w:left="43"/>
            </w:pPr>
          </w:p>
          <w:p w14:paraId="0635E3B1" w14:textId="77777777" w:rsidR="009968B1" w:rsidRDefault="009968B1">
            <w:pPr>
              <w:ind w:left="43"/>
            </w:pPr>
            <w:r>
              <w:t>Total number of services for each pharmacy program reported monthly (or quarterly for quarterly based programs).</w:t>
            </w:r>
          </w:p>
          <w:p w14:paraId="5C6CA948" w14:textId="77777777" w:rsidR="009968B1" w:rsidRDefault="009968B1" w:rsidP="009968B1">
            <w:pPr>
              <w:pStyle w:val="ListParagraph"/>
              <w:numPr>
                <w:ilvl w:val="0"/>
                <w:numId w:val="14"/>
              </w:numPr>
            </w:pPr>
            <w:r>
              <w:t xml:space="preserve">Refer to: </w:t>
            </w:r>
            <w:hyperlink r:id="rId13" w:history="1">
              <w:r>
                <w:rPr>
                  <w:rStyle w:val="Hyperlink"/>
                </w:rPr>
                <w:t>https://www1.health.gov.au/internet/main/publishing.nsf/</w:t>
              </w:r>
              <w:r>
                <w:rPr>
                  <w:color w:val="0563C1" w:themeColor="hyperlink"/>
                  <w:u w:val="single"/>
                </w:rPr>
                <w:br/>
              </w:r>
              <w:r>
                <w:rPr>
                  <w:rStyle w:val="Hyperlink"/>
                </w:rPr>
                <w:t>Content/pharmacy-programs-data</w:t>
              </w:r>
            </w:hyperlink>
          </w:p>
          <w:p w14:paraId="4FA720E6" w14:textId="77777777" w:rsidR="009968B1" w:rsidRDefault="009968B1"/>
          <w:p w14:paraId="59A5E70D" w14:textId="77777777" w:rsidR="009968B1" w:rsidRDefault="009968B1">
            <w:pPr>
              <w:ind w:left="43"/>
            </w:pPr>
            <w:r>
              <w:t>Total number of Indigenous Health Services approved by the Government to participate in the IHSPS program across States and Territories (commencing in 2021-22).</w:t>
            </w:r>
          </w:p>
          <w:p w14:paraId="4C9DD336" w14:textId="77777777" w:rsidR="009968B1" w:rsidRDefault="009968B1">
            <w:pPr>
              <w:ind w:right="2"/>
              <w:rPr>
                <w:rFonts w:cstheme="minorHAnsi"/>
              </w:rPr>
            </w:pPr>
          </w:p>
        </w:tc>
        <w:tc>
          <w:tcPr>
            <w:tcW w:w="1762" w:type="dxa"/>
            <w:tcBorders>
              <w:top w:val="single" w:sz="4" w:space="0" w:color="auto"/>
              <w:left w:val="single" w:sz="4" w:space="0" w:color="auto"/>
              <w:bottom w:val="single" w:sz="4" w:space="0" w:color="auto"/>
              <w:right w:val="single" w:sz="4" w:space="0" w:color="auto"/>
            </w:tcBorders>
          </w:tcPr>
          <w:p w14:paraId="5DBC9143" w14:textId="77777777" w:rsidR="009968B1" w:rsidRDefault="009968B1">
            <w:pPr>
              <w:pStyle w:val="ListParagraph"/>
              <w:ind w:left="0" w:right="-359"/>
              <w:rPr>
                <w:rFonts w:cstheme="minorHAnsi"/>
              </w:rPr>
            </w:pPr>
            <w:r>
              <w:rPr>
                <w:rFonts w:cstheme="minorHAnsi"/>
              </w:rPr>
              <w:t>NACCHO</w:t>
            </w:r>
          </w:p>
          <w:p w14:paraId="261D9E98" w14:textId="77777777" w:rsidR="009968B1" w:rsidRDefault="009968B1">
            <w:pPr>
              <w:pStyle w:val="ListParagraph"/>
              <w:ind w:left="0" w:right="-359"/>
              <w:rPr>
                <w:rFonts w:cstheme="minorHAnsi"/>
              </w:rPr>
            </w:pPr>
            <w:r>
              <w:rPr>
                <w:rFonts w:cstheme="minorHAnsi"/>
              </w:rPr>
              <w:t xml:space="preserve">PGA </w:t>
            </w:r>
          </w:p>
          <w:p w14:paraId="5959EC3B" w14:textId="77777777" w:rsidR="009968B1" w:rsidRDefault="009968B1">
            <w:pPr>
              <w:pStyle w:val="ListParagraph"/>
              <w:ind w:left="0" w:right="-359"/>
              <w:rPr>
                <w:rFonts w:cstheme="minorHAnsi"/>
              </w:rPr>
            </w:pPr>
            <w:r>
              <w:rPr>
                <w:rFonts w:cstheme="minorHAnsi"/>
              </w:rPr>
              <w:t>The Department</w:t>
            </w:r>
          </w:p>
          <w:p w14:paraId="69C88A6B" w14:textId="77777777" w:rsidR="009968B1" w:rsidRDefault="009968B1">
            <w:pPr>
              <w:rPr>
                <w:bCs/>
              </w:rPr>
            </w:pPr>
          </w:p>
        </w:tc>
      </w:tr>
      <w:tr w:rsidR="009968B1" w14:paraId="0F13F164" w14:textId="77777777" w:rsidTr="009968B1">
        <w:trPr>
          <w:cantSplit/>
          <w:trHeight w:val="442"/>
        </w:trPr>
        <w:tc>
          <w:tcPr>
            <w:tcW w:w="0" w:type="auto"/>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317EE4D" w14:textId="77777777" w:rsidR="009968B1" w:rsidRDefault="009968B1" w:rsidP="009968B1">
            <w:pPr>
              <w:pStyle w:val="ListParagraph"/>
              <w:keepNext/>
              <w:numPr>
                <w:ilvl w:val="0"/>
                <w:numId w:val="6"/>
              </w:numPr>
              <w:ind w:left="385" w:right="142" w:hanging="357"/>
              <w:rPr>
                <w:b/>
                <w:bCs/>
              </w:rPr>
            </w:pPr>
            <w:r>
              <w:rPr>
                <w:b/>
                <w:bCs/>
              </w:rPr>
              <w:t xml:space="preserve">Support access to medicines and pharmacy services for people in regional, </w:t>
            </w:r>
            <w:proofErr w:type="gramStart"/>
            <w:r>
              <w:rPr>
                <w:b/>
                <w:bCs/>
              </w:rPr>
              <w:t>rural</w:t>
            </w:r>
            <w:proofErr w:type="gramEnd"/>
            <w:r>
              <w:rPr>
                <w:b/>
                <w:bCs/>
              </w:rPr>
              <w:t xml:space="preserve"> and remote areas.    </w:t>
            </w:r>
          </w:p>
          <w:p w14:paraId="581DECD8" w14:textId="77777777" w:rsidR="009968B1" w:rsidRDefault="009968B1">
            <w:pPr>
              <w:pStyle w:val="ListParagraph"/>
              <w:keepNext/>
              <w:ind w:left="385" w:right="142"/>
              <w:rPr>
                <w:b/>
                <w:bCs/>
              </w:rPr>
            </w:pPr>
            <w:r>
              <w:rPr>
                <w:i/>
                <w:iCs/>
              </w:rPr>
              <w:t>(7CPA, Clause 9)</w:t>
            </w:r>
            <w:r>
              <w:rPr>
                <w:i/>
                <w:iCs/>
                <w:vertAlign w:val="superscript"/>
              </w:rPr>
              <w:t>6</w:t>
            </w:r>
            <w:r>
              <w:rPr>
                <w:i/>
                <w:iCs/>
              </w:rPr>
              <w:t>.</w:t>
            </w:r>
          </w:p>
        </w:tc>
      </w:tr>
      <w:tr w:rsidR="009968B1" w14:paraId="67769951" w14:textId="77777777" w:rsidTr="009968B1">
        <w:trPr>
          <w:cantSplit/>
        </w:trPr>
        <w:tc>
          <w:tcPr>
            <w:tcW w:w="3119" w:type="dxa"/>
            <w:tcBorders>
              <w:top w:val="single" w:sz="4" w:space="0" w:color="auto"/>
              <w:left w:val="single" w:sz="4" w:space="0" w:color="auto"/>
              <w:bottom w:val="single" w:sz="4" w:space="0" w:color="auto"/>
              <w:right w:val="single" w:sz="4" w:space="0" w:color="auto"/>
            </w:tcBorders>
          </w:tcPr>
          <w:p w14:paraId="0B20316B" w14:textId="77777777" w:rsidR="009968B1" w:rsidRDefault="009968B1">
            <w:r>
              <w:t>Regional Pharmacy Maintenance Allowance (RPMA) for eligible pharmacy owners.</w:t>
            </w:r>
          </w:p>
          <w:p w14:paraId="6D14902A" w14:textId="77777777" w:rsidR="009968B1" w:rsidRDefault="009968B1"/>
          <w:p w14:paraId="48EB813C" w14:textId="77777777" w:rsidR="009968B1" w:rsidRDefault="009968B1">
            <w:r>
              <w:t>Rural Workforce Programs.</w:t>
            </w:r>
          </w:p>
        </w:tc>
        <w:tc>
          <w:tcPr>
            <w:tcW w:w="2672" w:type="dxa"/>
            <w:tcBorders>
              <w:top w:val="single" w:sz="4" w:space="0" w:color="auto"/>
              <w:left w:val="single" w:sz="4" w:space="0" w:color="auto"/>
              <w:bottom w:val="single" w:sz="4" w:space="0" w:color="auto"/>
              <w:right w:val="single" w:sz="4" w:space="0" w:color="auto"/>
            </w:tcBorders>
          </w:tcPr>
          <w:p w14:paraId="0DC9BCE2" w14:textId="77777777" w:rsidR="009968B1" w:rsidRDefault="009968B1">
            <w:r>
              <w:t>Access to and expenditure on RPMA.</w:t>
            </w:r>
          </w:p>
          <w:p w14:paraId="0F5FD4AA" w14:textId="77777777" w:rsidR="009968B1" w:rsidRDefault="009968B1"/>
          <w:p w14:paraId="6A6E37D3" w14:textId="77777777" w:rsidR="009968B1" w:rsidRDefault="009968B1">
            <w:r>
              <w:t>Access</w:t>
            </w:r>
            <w:r>
              <w:rPr>
                <w:bCs/>
              </w:rPr>
              <w:t xml:space="preserve"> to and expenditure on rural workforce programs.</w:t>
            </w:r>
          </w:p>
        </w:tc>
        <w:tc>
          <w:tcPr>
            <w:tcW w:w="7251" w:type="dxa"/>
            <w:tcBorders>
              <w:top w:val="single" w:sz="4" w:space="0" w:color="auto"/>
              <w:left w:val="single" w:sz="4" w:space="0" w:color="auto"/>
              <w:bottom w:val="single" w:sz="4" w:space="0" w:color="auto"/>
              <w:right w:val="single" w:sz="4" w:space="0" w:color="auto"/>
            </w:tcBorders>
          </w:tcPr>
          <w:p w14:paraId="21609117" w14:textId="77777777" w:rsidR="009968B1" w:rsidRDefault="009968B1">
            <w:r>
              <w:t>Number of participants in each program.</w:t>
            </w:r>
          </w:p>
          <w:p w14:paraId="10AAE75D" w14:textId="77777777" w:rsidR="009968B1" w:rsidRDefault="009968B1"/>
          <w:p w14:paraId="077AA39F" w14:textId="77777777" w:rsidR="009968B1" w:rsidRDefault="009968B1">
            <w:pPr>
              <w:ind w:right="2"/>
              <w:rPr>
                <w:rFonts w:cstheme="minorHAnsi"/>
              </w:rPr>
            </w:pPr>
            <w:r>
              <w:t>Total expenditure for each program.</w:t>
            </w:r>
          </w:p>
        </w:tc>
        <w:tc>
          <w:tcPr>
            <w:tcW w:w="1762" w:type="dxa"/>
            <w:tcBorders>
              <w:top w:val="single" w:sz="4" w:space="0" w:color="auto"/>
              <w:left w:val="single" w:sz="4" w:space="0" w:color="auto"/>
              <w:bottom w:val="single" w:sz="4" w:space="0" w:color="auto"/>
              <w:right w:val="single" w:sz="4" w:space="0" w:color="auto"/>
            </w:tcBorders>
            <w:hideMark/>
          </w:tcPr>
          <w:p w14:paraId="06E3AD28" w14:textId="77777777" w:rsidR="009968B1" w:rsidRDefault="009968B1">
            <w:pPr>
              <w:ind w:left="30"/>
              <w:rPr>
                <w:bCs/>
              </w:rPr>
            </w:pPr>
            <w:r>
              <w:rPr>
                <w:bCs/>
              </w:rPr>
              <w:t xml:space="preserve">The </w:t>
            </w:r>
            <w:r>
              <w:t>Department</w:t>
            </w:r>
          </w:p>
        </w:tc>
      </w:tr>
    </w:tbl>
    <w:p w14:paraId="4BE4A4B2" w14:textId="77777777" w:rsidR="009968B1" w:rsidRDefault="009968B1" w:rsidP="009968B1">
      <w:pPr>
        <w:pStyle w:val="ListParagraph"/>
        <w:ind w:left="-142" w:right="-359" w:hanging="425"/>
        <w:rPr>
          <w:rFonts w:cstheme="minorHAnsi"/>
          <w:b/>
          <w:bCs/>
        </w:rPr>
      </w:pPr>
    </w:p>
    <w:p w14:paraId="1D8F2C90" w14:textId="77777777" w:rsidR="009968B1" w:rsidRDefault="009968B1" w:rsidP="009968B1">
      <w:pPr>
        <w:pStyle w:val="ListParagraph"/>
        <w:ind w:left="-142" w:right="-359" w:hanging="425"/>
        <w:rPr>
          <w:rFonts w:cstheme="minorHAnsi"/>
          <w:b/>
          <w:bCs/>
        </w:rPr>
      </w:pPr>
      <w:r>
        <w:rPr>
          <w:rFonts w:cstheme="minorHAnsi"/>
          <w:b/>
          <w:bCs/>
        </w:rPr>
        <w:br w:type="column"/>
      </w:r>
      <w:r>
        <w:rPr>
          <w:rFonts w:cstheme="minorHAnsi"/>
          <w:b/>
          <w:bCs/>
        </w:rPr>
        <w:lastRenderedPageBreak/>
        <w:t>Footnotes</w:t>
      </w:r>
    </w:p>
    <w:p w14:paraId="18AD595F" w14:textId="77777777" w:rsidR="009968B1" w:rsidRDefault="009968B1" w:rsidP="009968B1">
      <w:pPr>
        <w:pStyle w:val="ListParagraph"/>
        <w:numPr>
          <w:ilvl w:val="0"/>
          <w:numId w:val="15"/>
        </w:numPr>
        <w:spacing w:line="256" w:lineRule="auto"/>
        <w:ind w:right="-359"/>
        <w:rPr>
          <w:rFonts w:cstheme="minorHAnsi"/>
          <w:b/>
          <w:bCs/>
        </w:rPr>
      </w:pPr>
      <w:r>
        <w:t>7CPA, Item D, Page 4: “The Australian Government is seeking to continually improve transparency and accountability for the use of funds in relation to the Pharmaceutical Benefits Scheme, including through this Agreement. Developments such as increased visibility of measures being funded under this Agreement and an enhanced consultation framework represent examples of such improvement”.</w:t>
      </w:r>
    </w:p>
    <w:p w14:paraId="4D4A48CF" w14:textId="77777777" w:rsidR="009968B1" w:rsidRDefault="00045917" w:rsidP="009968B1">
      <w:pPr>
        <w:ind w:right="-359"/>
      </w:pPr>
      <w:hyperlink r:id="rId14" w:history="1">
        <w:r w:rsidR="009968B1">
          <w:rPr>
            <w:rStyle w:val="Hyperlink"/>
          </w:rPr>
          <w:t>www.pbs.gov.au/info/general/seventh-community-pharmacy-agreement</w:t>
        </w:r>
      </w:hyperlink>
    </w:p>
    <w:p w14:paraId="35D808FD" w14:textId="77777777" w:rsidR="009968B1" w:rsidRDefault="009968B1" w:rsidP="009968B1">
      <w:pPr>
        <w:pStyle w:val="ListParagraph"/>
        <w:numPr>
          <w:ilvl w:val="0"/>
          <w:numId w:val="15"/>
        </w:numPr>
        <w:spacing w:line="256" w:lineRule="auto"/>
        <w:ind w:left="-210" w:right="-357" w:hanging="357"/>
      </w:pPr>
      <w:r>
        <w:t>7CPA, Clause 6.1, page 13: “The Commonwealth intends that the arrangements for the supply and delivery of products under the NDSS to Approved Pharmacists through the established CSO distribution network will continue during the Term”.</w:t>
      </w:r>
    </w:p>
    <w:p w14:paraId="3BDD98F1" w14:textId="77777777" w:rsidR="009968B1" w:rsidRDefault="009968B1" w:rsidP="009968B1">
      <w:pPr>
        <w:pStyle w:val="ListParagraph"/>
        <w:numPr>
          <w:ilvl w:val="0"/>
          <w:numId w:val="15"/>
        </w:numPr>
        <w:spacing w:line="256" w:lineRule="auto"/>
        <w:ind w:left="-210" w:hanging="357"/>
      </w:pPr>
      <w:r>
        <w:t xml:space="preserve">7CPA, Item </w:t>
      </w:r>
      <w:r>
        <w:rPr>
          <w:iCs/>
        </w:rPr>
        <w:t>E, Page 4: “The Australian Government supports initiatives that allow pharmacists to better fulfil their current scope of practice”.</w:t>
      </w:r>
    </w:p>
    <w:p w14:paraId="3F4136E2" w14:textId="77777777" w:rsidR="009968B1" w:rsidRDefault="00045917" w:rsidP="009968B1">
      <w:pPr>
        <w:pStyle w:val="ListParagraph"/>
        <w:numPr>
          <w:ilvl w:val="0"/>
          <w:numId w:val="15"/>
        </w:numPr>
        <w:spacing w:line="256" w:lineRule="auto"/>
        <w:ind w:left="-210" w:right="-357" w:hanging="357"/>
        <w:rPr>
          <w:rStyle w:val="Hyperlink"/>
        </w:rPr>
      </w:pPr>
      <w:hyperlink r:id="rId15" w:history="1">
        <w:r w:rsidR="009968B1">
          <w:rPr>
            <w:rStyle w:val="Hyperlink"/>
          </w:rPr>
          <w:t>https://my.psa.org.au/s/article/Professional-Practice-Standards</w:t>
        </w:r>
      </w:hyperlink>
    </w:p>
    <w:p w14:paraId="43E35411" w14:textId="77777777" w:rsidR="009968B1" w:rsidRDefault="009968B1" w:rsidP="009968B1">
      <w:pPr>
        <w:pStyle w:val="ListParagraph"/>
        <w:numPr>
          <w:ilvl w:val="0"/>
          <w:numId w:val="15"/>
        </w:numPr>
        <w:spacing w:line="256" w:lineRule="auto"/>
        <w:ind w:left="-210" w:right="-357" w:hanging="357"/>
      </w:pPr>
      <w:r>
        <w:t>7CPA, Clause F1, Page 4: “ensuring Australians have access to patient focused, outcome oriented professional pharmacy services and programs that support the safe and quality use of medicines”.</w:t>
      </w:r>
    </w:p>
    <w:p w14:paraId="031CF376" w14:textId="18B9F327" w:rsidR="009968B1" w:rsidRPr="009968B1" w:rsidRDefault="009968B1" w:rsidP="009968B1">
      <w:pPr>
        <w:pStyle w:val="ListParagraph"/>
        <w:numPr>
          <w:ilvl w:val="0"/>
          <w:numId w:val="15"/>
        </w:numPr>
        <w:spacing w:line="256" w:lineRule="auto"/>
        <w:ind w:left="-210" w:right="-357" w:hanging="357"/>
      </w:pPr>
      <w:r>
        <w:t xml:space="preserve">7CPA, Clause 9.3.2.(c), page 15: “The Commonwealth and the Guild intend to make changes to Community Pharmacy Programs to support … greater access to PBS and RPBS </w:t>
      </w:r>
      <w:r>
        <w:rPr>
          <w:rFonts w:eastAsia="Calibri"/>
          <w:lang w:eastAsia="zh-CN"/>
        </w:rPr>
        <w:t>medicines and advice about the use of medicines for Australians in regional, rural and remote areas”.</w:t>
      </w:r>
    </w:p>
    <w:p w14:paraId="30B1CB4D" w14:textId="77777777" w:rsidR="009968B1" w:rsidRDefault="009968B1" w:rsidP="009968B1">
      <w:pPr>
        <w:pStyle w:val="ListParagraph"/>
        <w:spacing w:line="256" w:lineRule="auto"/>
        <w:ind w:left="-210" w:right="-357"/>
      </w:pPr>
    </w:p>
    <w:p w14:paraId="08B49CD5" w14:textId="77777777" w:rsidR="009968B1" w:rsidRDefault="009968B1" w:rsidP="009968B1">
      <w:pPr>
        <w:pStyle w:val="ListParagraph"/>
        <w:ind w:left="-567" w:right="-357"/>
        <w:rPr>
          <w:rFonts w:eastAsia="Calibri"/>
          <w:lang w:eastAsia="zh-CN"/>
        </w:rPr>
      </w:pPr>
      <w:r>
        <w:rPr>
          <w:rFonts w:cstheme="minorHAnsi"/>
          <w:b/>
          <w:bCs/>
        </w:rPr>
        <w:t>Abbreviations</w:t>
      </w:r>
    </w:p>
    <w:p w14:paraId="13F15C3E" w14:textId="77777777" w:rsidR="009968B1" w:rsidRDefault="009968B1" w:rsidP="009968B1">
      <w:pPr>
        <w:pStyle w:val="ListParagraph"/>
        <w:ind w:left="-567" w:right="-357"/>
        <w:rPr>
          <w:rFonts w:eastAsia="Calibri"/>
          <w:lang w:eastAsia="zh-CN"/>
        </w:rPr>
      </w:pPr>
      <w:r>
        <w:rPr>
          <w:rFonts w:eastAsia="Calibri"/>
          <w:lang w:eastAsia="zh-CN"/>
        </w:rPr>
        <w:t>AACP = Australian Association of Consultant Pharmacy</w:t>
      </w:r>
    </w:p>
    <w:p w14:paraId="2D6C7E39" w14:textId="77777777" w:rsidR="009968B1" w:rsidRDefault="009968B1" w:rsidP="009968B1">
      <w:pPr>
        <w:pStyle w:val="ListParagraph"/>
        <w:ind w:left="-567" w:right="-357"/>
        <w:rPr>
          <w:rFonts w:eastAsia="Calibri"/>
          <w:lang w:eastAsia="zh-CN"/>
        </w:rPr>
      </w:pPr>
      <w:r>
        <w:rPr>
          <w:rFonts w:eastAsia="Calibri"/>
          <w:lang w:eastAsia="zh-CN"/>
        </w:rPr>
        <w:t>CHF = Consumers Health Forum of Australia</w:t>
      </w:r>
    </w:p>
    <w:p w14:paraId="363314C8" w14:textId="77777777" w:rsidR="009968B1" w:rsidRDefault="009968B1" w:rsidP="009968B1">
      <w:pPr>
        <w:pStyle w:val="ListParagraph"/>
        <w:ind w:left="-567" w:right="-357"/>
        <w:rPr>
          <w:rFonts w:eastAsia="Calibri"/>
          <w:lang w:eastAsia="zh-CN"/>
        </w:rPr>
      </w:pPr>
      <w:r>
        <w:rPr>
          <w:rFonts w:eastAsia="Calibri"/>
          <w:lang w:eastAsia="zh-CN"/>
        </w:rPr>
        <w:t xml:space="preserve">NACCHO = National Aboriginal Community Controlled Health Organisation </w:t>
      </w:r>
    </w:p>
    <w:p w14:paraId="60B10419" w14:textId="77777777" w:rsidR="009968B1" w:rsidRDefault="009968B1" w:rsidP="009968B1">
      <w:pPr>
        <w:pStyle w:val="ListParagraph"/>
        <w:ind w:left="-567" w:right="-357"/>
        <w:rPr>
          <w:rFonts w:eastAsia="Calibri"/>
          <w:lang w:eastAsia="zh-CN"/>
        </w:rPr>
      </w:pPr>
      <w:r>
        <w:rPr>
          <w:rFonts w:eastAsia="Calibri"/>
          <w:lang w:eastAsia="zh-CN"/>
        </w:rPr>
        <w:t xml:space="preserve">PBA = Pharmacy Board of Australia </w:t>
      </w:r>
    </w:p>
    <w:p w14:paraId="01F72786" w14:textId="77777777" w:rsidR="009968B1" w:rsidRDefault="009968B1" w:rsidP="009968B1">
      <w:pPr>
        <w:pStyle w:val="ListParagraph"/>
        <w:ind w:left="-567" w:right="-357"/>
        <w:rPr>
          <w:rFonts w:eastAsia="Calibri"/>
          <w:lang w:eastAsia="zh-CN"/>
        </w:rPr>
      </w:pPr>
      <w:r>
        <w:rPr>
          <w:rFonts w:eastAsia="Calibri"/>
          <w:lang w:eastAsia="zh-CN"/>
        </w:rPr>
        <w:t xml:space="preserve">PGA = The Pharmacy Guild of Australia </w:t>
      </w:r>
    </w:p>
    <w:p w14:paraId="01B3FD80" w14:textId="77777777" w:rsidR="009968B1" w:rsidRDefault="009968B1" w:rsidP="009968B1">
      <w:pPr>
        <w:pStyle w:val="ListParagraph"/>
        <w:ind w:left="-567" w:right="-357"/>
        <w:rPr>
          <w:rFonts w:eastAsia="Calibri"/>
          <w:lang w:eastAsia="zh-CN"/>
        </w:rPr>
      </w:pPr>
      <w:r>
        <w:rPr>
          <w:rFonts w:eastAsia="Calibri"/>
          <w:lang w:eastAsia="zh-CN"/>
        </w:rPr>
        <w:t>PSA = The Pharmaceutical Society of Australia</w:t>
      </w:r>
    </w:p>
    <w:p w14:paraId="7110C55B" w14:textId="77777777" w:rsidR="009968B1" w:rsidRDefault="009968B1" w:rsidP="009968B1">
      <w:pPr>
        <w:pStyle w:val="ListParagraph"/>
        <w:ind w:left="-567" w:right="-357"/>
        <w:rPr>
          <w:rFonts w:eastAsia="Calibri"/>
          <w:lang w:eastAsia="zh-CN"/>
        </w:rPr>
      </w:pPr>
      <w:r>
        <w:rPr>
          <w:rFonts w:eastAsia="Calibri"/>
          <w:lang w:eastAsia="zh-CN"/>
        </w:rPr>
        <w:t>SHPA = Society of Hospital Pharmacists of Australia</w:t>
      </w:r>
    </w:p>
    <w:p w14:paraId="2B702B31" w14:textId="77777777" w:rsidR="009968B1" w:rsidRDefault="009968B1" w:rsidP="009968B1">
      <w:pPr>
        <w:pStyle w:val="ListParagraph"/>
        <w:ind w:left="-567" w:right="-357"/>
        <w:rPr>
          <w:rFonts w:eastAsia="Calibri"/>
          <w:lang w:eastAsia="zh-CN"/>
        </w:rPr>
      </w:pPr>
      <w:r>
        <w:rPr>
          <w:rFonts w:eastAsia="Calibri"/>
          <w:lang w:eastAsia="zh-CN"/>
        </w:rPr>
        <w:t>The Department = The Department of Health</w:t>
      </w:r>
    </w:p>
    <w:p w14:paraId="0935C1CF" w14:textId="77777777" w:rsidR="009968B1" w:rsidRDefault="009968B1" w:rsidP="009968B1">
      <w:pPr>
        <w:pStyle w:val="ListParagraph"/>
        <w:ind w:left="-567" w:right="-357"/>
      </w:pPr>
    </w:p>
    <w:p w14:paraId="026413AE" w14:textId="2848B272" w:rsidR="00A873B5" w:rsidRPr="009968B1" w:rsidRDefault="00A873B5" w:rsidP="009968B1"/>
    <w:sectPr w:rsidR="00A873B5" w:rsidRPr="009968B1" w:rsidSect="00FB02FD">
      <w:headerReference w:type="default" r:id="rId16"/>
      <w:footerReference w:type="default" r:id="rId17"/>
      <w:pgSz w:w="16838" w:h="11906" w:orient="landscape"/>
      <w:pgMar w:top="851" w:right="1440" w:bottom="426" w:left="1440"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A9A55" w14:textId="77777777" w:rsidR="00477C2C" w:rsidRDefault="00477C2C" w:rsidP="00477C2C">
      <w:pPr>
        <w:spacing w:after="0" w:line="240" w:lineRule="auto"/>
      </w:pPr>
      <w:r>
        <w:separator/>
      </w:r>
    </w:p>
  </w:endnote>
  <w:endnote w:type="continuationSeparator" w:id="0">
    <w:p w14:paraId="70C76E87" w14:textId="77777777" w:rsidR="00477C2C" w:rsidRDefault="00477C2C" w:rsidP="00477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809468"/>
      <w:docPartObj>
        <w:docPartGallery w:val="Page Numbers (Bottom of Page)"/>
        <w:docPartUnique/>
      </w:docPartObj>
    </w:sdtPr>
    <w:sdtEndPr>
      <w:rPr>
        <w:noProof/>
      </w:rPr>
    </w:sdtEndPr>
    <w:sdtContent>
      <w:p w14:paraId="781A5D89" w14:textId="16059ACC" w:rsidR="00FB02FD" w:rsidRDefault="00FB02F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1C761C" w14:textId="77777777" w:rsidR="00FB02FD" w:rsidRDefault="00FB0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6572D" w14:textId="77777777" w:rsidR="00477C2C" w:rsidRDefault="00477C2C" w:rsidP="00477C2C">
      <w:pPr>
        <w:spacing w:after="0" w:line="240" w:lineRule="auto"/>
      </w:pPr>
      <w:r>
        <w:separator/>
      </w:r>
    </w:p>
  </w:footnote>
  <w:footnote w:type="continuationSeparator" w:id="0">
    <w:p w14:paraId="4E38B09B" w14:textId="77777777" w:rsidR="00477C2C" w:rsidRDefault="00477C2C" w:rsidP="00477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EA178" w14:textId="052228FE" w:rsidR="00477C2C" w:rsidRPr="00477C2C" w:rsidRDefault="00477C2C" w:rsidP="005E018C">
    <w:pPr>
      <w:pStyle w:val="Header"/>
      <w:ind w:left="-567" w:right="-501"/>
      <w:jc w:val="right"/>
      <w:rPr>
        <w:rFonts w:cstheme="minorHAnsi"/>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2A79"/>
    <w:multiLevelType w:val="multilevel"/>
    <w:tmpl w:val="093CA4A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297C69"/>
    <w:multiLevelType w:val="hybridMultilevel"/>
    <w:tmpl w:val="386252C2"/>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15:restartNumberingAfterBreak="0">
    <w:nsid w:val="0B7D7914"/>
    <w:multiLevelType w:val="hybridMultilevel"/>
    <w:tmpl w:val="92BE13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5FD33B9"/>
    <w:multiLevelType w:val="multilevel"/>
    <w:tmpl w:val="093CA4A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3B6757"/>
    <w:multiLevelType w:val="hybridMultilevel"/>
    <w:tmpl w:val="1E7CF254"/>
    <w:lvl w:ilvl="0" w:tplc="591CEA68">
      <w:start w:val="1"/>
      <w:numFmt w:val="decimal"/>
      <w:lvlText w:val="%1."/>
      <w:lvlJc w:val="left"/>
      <w:pPr>
        <w:ind w:left="390" w:hanging="360"/>
      </w:pPr>
      <w:rPr>
        <w:b/>
      </w:rPr>
    </w:lvl>
    <w:lvl w:ilvl="1" w:tplc="0C090019">
      <w:start w:val="1"/>
      <w:numFmt w:val="lowerLetter"/>
      <w:lvlText w:val="%2."/>
      <w:lvlJc w:val="left"/>
      <w:pPr>
        <w:ind w:left="1110" w:hanging="360"/>
      </w:pPr>
    </w:lvl>
    <w:lvl w:ilvl="2" w:tplc="0C09001B">
      <w:start w:val="1"/>
      <w:numFmt w:val="lowerRoman"/>
      <w:lvlText w:val="%3."/>
      <w:lvlJc w:val="right"/>
      <w:pPr>
        <w:ind w:left="1830" w:hanging="180"/>
      </w:pPr>
    </w:lvl>
    <w:lvl w:ilvl="3" w:tplc="0C09000F">
      <w:start w:val="1"/>
      <w:numFmt w:val="decimal"/>
      <w:lvlText w:val="%4."/>
      <w:lvlJc w:val="left"/>
      <w:pPr>
        <w:ind w:left="2550" w:hanging="360"/>
      </w:pPr>
    </w:lvl>
    <w:lvl w:ilvl="4" w:tplc="0C090019">
      <w:start w:val="1"/>
      <w:numFmt w:val="lowerLetter"/>
      <w:lvlText w:val="%5."/>
      <w:lvlJc w:val="left"/>
      <w:pPr>
        <w:ind w:left="3270" w:hanging="360"/>
      </w:pPr>
    </w:lvl>
    <w:lvl w:ilvl="5" w:tplc="0C09001B">
      <w:start w:val="1"/>
      <w:numFmt w:val="lowerRoman"/>
      <w:lvlText w:val="%6."/>
      <w:lvlJc w:val="right"/>
      <w:pPr>
        <w:ind w:left="3990" w:hanging="180"/>
      </w:pPr>
    </w:lvl>
    <w:lvl w:ilvl="6" w:tplc="0C09000F">
      <w:start w:val="1"/>
      <w:numFmt w:val="decimal"/>
      <w:lvlText w:val="%7."/>
      <w:lvlJc w:val="left"/>
      <w:pPr>
        <w:ind w:left="4710" w:hanging="360"/>
      </w:pPr>
    </w:lvl>
    <w:lvl w:ilvl="7" w:tplc="0C090019">
      <w:start w:val="1"/>
      <w:numFmt w:val="lowerLetter"/>
      <w:lvlText w:val="%8."/>
      <w:lvlJc w:val="left"/>
      <w:pPr>
        <w:ind w:left="5430" w:hanging="360"/>
      </w:pPr>
    </w:lvl>
    <w:lvl w:ilvl="8" w:tplc="0C09001B">
      <w:start w:val="1"/>
      <w:numFmt w:val="lowerRoman"/>
      <w:lvlText w:val="%9."/>
      <w:lvlJc w:val="right"/>
      <w:pPr>
        <w:ind w:left="6150" w:hanging="180"/>
      </w:pPr>
    </w:lvl>
  </w:abstractNum>
  <w:abstractNum w:abstractNumId="5" w15:restartNumberingAfterBreak="0">
    <w:nsid w:val="36661A63"/>
    <w:multiLevelType w:val="multilevel"/>
    <w:tmpl w:val="093CA4A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15E6481"/>
    <w:multiLevelType w:val="hybridMultilevel"/>
    <w:tmpl w:val="15641360"/>
    <w:lvl w:ilvl="0" w:tplc="1008660A">
      <w:start w:val="1"/>
      <w:numFmt w:val="decimal"/>
      <w:lvlText w:val="%1."/>
      <w:lvlJc w:val="left"/>
      <w:pPr>
        <w:ind w:left="390" w:hanging="36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7" w15:restartNumberingAfterBreak="0">
    <w:nsid w:val="480E7990"/>
    <w:multiLevelType w:val="hybridMultilevel"/>
    <w:tmpl w:val="7B7EFC16"/>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8" w15:restartNumberingAfterBreak="0">
    <w:nsid w:val="4E850789"/>
    <w:multiLevelType w:val="multilevel"/>
    <w:tmpl w:val="093CA4A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9DE5D3B"/>
    <w:multiLevelType w:val="multilevel"/>
    <w:tmpl w:val="093CA4A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0001921"/>
    <w:multiLevelType w:val="hybridMultilevel"/>
    <w:tmpl w:val="863415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65BB7912"/>
    <w:multiLevelType w:val="multilevel"/>
    <w:tmpl w:val="093CA4A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99D0B50"/>
    <w:multiLevelType w:val="hybridMultilevel"/>
    <w:tmpl w:val="7E888B54"/>
    <w:lvl w:ilvl="0" w:tplc="84A41368">
      <w:start w:val="1"/>
      <w:numFmt w:val="decimal"/>
      <w:lvlText w:val="%1."/>
      <w:lvlJc w:val="left"/>
      <w:pPr>
        <w:ind w:left="-207" w:hanging="360"/>
      </w:pPr>
      <w:rPr>
        <w:rFonts w:cstheme="minorBidi" w:hint="default"/>
        <w:b w:val="0"/>
        <w:color w:val="auto"/>
        <w:sz w:val="22"/>
        <w:szCs w:val="24"/>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13" w15:restartNumberingAfterBreak="0">
    <w:nsid w:val="6A2F54C8"/>
    <w:multiLevelType w:val="multilevel"/>
    <w:tmpl w:val="093CA4A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08033FB"/>
    <w:multiLevelType w:val="hybridMultilevel"/>
    <w:tmpl w:val="7B4CB2E0"/>
    <w:lvl w:ilvl="0" w:tplc="0C09000F">
      <w:start w:val="1"/>
      <w:numFmt w:val="decimal"/>
      <w:lvlText w:val="%1."/>
      <w:lvlJc w:val="left"/>
      <w:pPr>
        <w:ind w:left="-344" w:hanging="360"/>
      </w:pPr>
      <w:rPr>
        <w:color w:val="auto"/>
      </w:rPr>
    </w:lvl>
    <w:lvl w:ilvl="1" w:tplc="0C090019" w:tentative="1">
      <w:start w:val="1"/>
      <w:numFmt w:val="lowerLetter"/>
      <w:lvlText w:val="%2."/>
      <w:lvlJc w:val="left"/>
      <w:pPr>
        <w:ind w:left="1456" w:hanging="360"/>
      </w:pPr>
    </w:lvl>
    <w:lvl w:ilvl="2" w:tplc="0C09001B" w:tentative="1">
      <w:start w:val="1"/>
      <w:numFmt w:val="lowerRoman"/>
      <w:lvlText w:val="%3."/>
      <w:lvlJc w:val="right"/>
      <w:pPr>
        <w:ind w:left="2176" w:hanging="180"/>
      </w:pPr>
    </w:lvl>
    <w:lvl w:ilvl="3" w:tplc="0C09000F" w:tentative="1">
      <w:start w:val="1"/>
      <w:numFmt w:val="decimal"/>
      <w:lvlText w:val="%4."/>
      <w:lvlJc w:val="left"/>
      <w:pPr>
        <w:ind w:left="2896" w:hanging="360"/>
      </w:pPr>
    </w:lvl>
    <w:lvl w:ilvl="4" w:tplc="0C090019" w:tentative="1">
      <w:start w:val="1"/>
      <w:numFmt w:val="lowerLetter"/>
      <w:lvlText w:val="%5."/>
      <w:lvlJc w:val="left"/>
      <w:pPr>
        <w:ind w:left="3616" w:hanging="360"/>
      </w:pPr>
    </w:lvl>
    <w:lvl w:ilvl="5" w:tplc="0C09001B" w:tentative="1">
      <w:start w:val="1"/>
      <w:numFmt w:val="lowerRoman"/>
      <w:lvlText w:val="%6."/>
      <w:lvlJc w:val="right"/>
      <w:pPr>
        <w:ind w:left="4336" w:hanging="180"/>
      </w:pPr>
    </w:lvl>
    <w:lvl w:ilvl="6" w:tplc="0C09000F" w:tentative="1">
      <w:start w:val="1"/>
      <w:numFmt w:val="decimal"/>
      <w:lvlText w:val="%7."/>
      <w:lvlJc w:val="left"/>
      <w:pPr>
        <w:ind w:left="5056" w:hanging="360"/>
      </w:pPr>
    </w:lvl>
    <w:lvl w:ilvl="7" w:tplc="0C090019" w:tentative="1">
      <w:start w:val="1"/>
      <w:numFmt w:val="lowerLetter"/>
      <w:lvlText w:val="%8."/>
      <w:lvlJc w:val="left"/>
      <w:pPr>
        <w:ind w:left="5776" w:hanging="360"/>
      </w:pPr>
    </w:lvl>
    <w:lvl w:ilvl="8" w:tplc="0C09001B" w:tentative="1">
      <w:start w:val="1"/>
      <w:numFmt w:val="lowerRoman"/>
      <w:lvlText w:val="%9."/>
      <w:lvlJc w:val="right"/>
      <w:pPr>
        <w:ind w:left="6496"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0"/>
  </w:num>
  <w:num w:numId="14">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2C"/>
    <w:rsid w:val="00045917"/>
    <w:rsid w:val="00081E9A"/>
    <w:rsid w:val="000B27E8"/>
    <w:rsid w:val="000F280C"/>
    <w:rsid w:val="001919B2"/>
    <w:rsid w:val="00223599"/>
    <w:rsid w:val="00280050"/>
    <w:rsid w:val="00433292"/>
    <w:rsid w:val="00466686"/>
    <w:rsid w:val="00477994"/>
    <w:rsid w:val="00477C2C"/>
    <w:rsid w:val="004B3B5C"/>
    <w:rsid w:val="005B2096"/>
    <w:rsid w:val="005C5C06"/>
    <w:rsid w:val="005E018C"/>
    <w:rsid w:val="006838DC"/>
    <w:rsid w:val="007F01C6"/>
    <w:rsid w:val="00961A14"/>
    <w:rsid w:val="009968B1"/>
    <w:rsid w:val="009A7223"/>
    <w:rsid w:val="009F7854"/>
    <w:rsid w:val="00A46439"/>
    <w:rsid w:val="00A873B5"/>
    <w:rsid w:val="00AF48FC"/>
    <w:rsid w:val="00B01A5A"/>
    <w:rsid w:val="00B64CE7"/>
    <w:rsid w:val="00C16B46"/>
    <w:rsid w:val="00F14D6C"/>
    <w:rsid w:val="00F35843"/>
    <w:rsid w:val="00FB02FD"/>
    <w:rsid w:val="00FD4A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F9B9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C2C"/>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C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C2C"/>
  </w:style>
  <w:style w:type="paragraph" w:styleId="Footer">
    <w:name w:val="footer"/>
    <w:basedOn w:val="Normal"/>
    <w:link w:val="FooterChar"/>
    <w:uiPriority w:val="99"/>
    <w:unhideWhenUsed/>
    <w:rsid w:val="00477C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C2C"/>
  </w:style>
  <w:style w:type="paragraph" w:styleId="ListParagraph">
    <w:name w:val="List Paragraph"/>
    <w:basedOn w:val="Normal"/>
    <w:uiPriority w:val="34"/>
    <w:qFormat/>
    <w:rsid w:val="00477C2C"/>
    <w:pPr>
      <w:ind w:left="720"/>
      <w:contextualSpacing/>
    </w:pPr>
  </w:style>
  <w:style w:type="paragraph" w:styleId="FootnoteText">
    <w:name w:val="footnote text"/>
    <w:basedOn w:val="Normal"/>
    <w:link w:val="FootnoteTextChar"/>
    <w:uiPriority w:val="99"/>
    <w:semiHidden/>
    <w:unhideWhenUsed/>
    <w:rsid w:val="00477C2C"/>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77C2C"/>
    <w:rPr>
      <w:sz w:val="20"/>
      <w:szCs w:val="20"/>
    </w:rPr>
  </w:style>
  <w:style w:type="table" w:styleId="TableGrid">
    <w:name w:val="Table Grid"/>
    <w:basedOn w:val="TableNormal"/>
    <w:uiPriority w:val="39"/>
    <w:rsid w:val="005E0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018C"/>
    <w:rPr>
      <w:color w:val="0563C1" w:themeColor="hyperlink"/>
      <w:u w:val="single"/>
    </w:rPr>
  </w:style>
  <w:style w:type="character" w:styleId="FootnoteReference">
    <w:name w:val="footnote reference"/>
    <w:basedOn w:val="DefaultParagraphFont"/>
    <w:uiPriority w:val="99"/>
    <w:semiHidden/>
    <w:unhideWhenUsed/>
    <w:rsid w:val="009A7223"/>
    <w:rPr>
      <w:vertAlign w:val="superscript"/>
    </w:rPr>
  </w:style>
  <w:style w:type="character" w:styleId="UnresolvedMention">
    <w:name w:val="Unresolved Mention"/>
    <w:basedOn w:val="DefaultParagraphFont"/>
    <w:uiPriority w:val="99"/>
    <w:semiHidden/>
    <w:unhideWhenUsed/>
    <w:rsid w:val="000B27E8"/>
    <w:rPr>
      <w:color w:val="605E5C"/>
      <w:shd w:val="clear" w:color="auto" w:fill="E1DFDD"/>
    </w:rPr>
  </w:style>
  <w:style w:type="character" w:styleId="FollowedHyperlink">
    <w:name w:val="FollowedHyperlink"/>
    <w:basedOn w:val="DefaultParagraphFont"/>
    <w:uiPriority w:val="99"/>
    <w:semiHidden/>
    <w:unhideWhenUsed/>
    <w:rsid w:val="00B01A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30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fo/statistics/expenditure-prescriptions/pb-expenditure-and-prescriptions-report-1-july-2019" TargetMode="External"/><Relationship Id="rId13" Type="http://schemas.openxmlformats.org/officeDocument/2006/relationships/hyperlink" Target="https://www1.health.gov.au/internet/main/publishing.nsf/Content/pharmacy-programs-dat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y.psa.org.au/servlet/fileField?entityId=ka10o0000001DYHAA2&amp;field=PDF_File_Member_Content__Body__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bs.gov.au/AUSSTATS/abs@.nsf/mf/4364.0.55.015" TargetMode="External"/><Relationship Id="rId5" Type="http://schemas.openxmlformats.org/officeDocument/2006/relationships/footnotes" Target="footnotes.xml"/><Relationship Id="rId15" Type="http://schemas.openxmlformats.org/officeDocument/2006/relationships/hyperlink" Target="https://my.psa.org.au/s/article/Professional-Practice-Standards" TargetMode="External"/><Relationship Id="rId10" Type="http://schemas.openxmlformats.org/officeDocument/2006/relationships/hyperlink" Target="https://www.aihw.gov.au/reports/australias-health/medicines-in-the-health-syste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bs.gov.au/info/statistics/expenditure-prescriptions/pbs-expenditure-and-prescriptions" TargetMode="External"/><Relationship Id="rId14" Type="http://schemas.openxmlformats.org/officeDocument/2006/relationships/hyperlink" Target="file:///C:/Users/PITTMI/AppData/Roaming/Hewlett-Packard/HP%20TRIM/Offline%20Records%20(A7)/Finalisation%20~%20BENEFITS%20&amp;%20ACCESS%20-%20Implementation/www.pbs.gov.au/info/general/seventh-community-pharmacy-agre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1486</Words>
  <Characters>8075</Characters>
  <Application>Microsoft Office Word</Application>
  <DocSecurity>0</DocSecurity>
  <Lines>207</Lines>
  <Paragraphs>115</Paragraphs>
  <ScaleCrop>false</ScaleCrop>
  <HeadingPairs>
    <vt:vector size="2" baseType="variant">
      <vt:variant>
        <vt:lpstr>Title</vt:lpstr>
      </vt:variant>
      <vt:variant>
        <vt:i4>1</vt:i4>
      </vt:variant>
    </vt:vector>
  </HeadingPairs>
  <TitlesOfParts>
    <vt:vector size="1" baseType="lpstr">
      <vt:lpstr>Seventh Community Pharmacy Agreement key performance measures and monitoring agreements</vt:lpstr>
    </vt:vector>
  </TitlesOfParts>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Seventh Community Pharmacy Agreement key performance measures and monitoring agreements</dc:title>
  <dc:subject>pharmacy care; primary care</dc:subject>
  <dc:creator>Australian Government Department of Health and Aged Care</dc:creator>
  <cp:keywords>pharmacy care; primary care; pharmacists</cp:keywords>
  <dc:description/>
  <cp:lastModifiedBy/>
  <cp:revision>1</cp:revision>
  <dcterms:created xsi:type="dcterms:W3CDTF">2022-10-17T04:34:00Z</dcterms:created>
  <dcterms:modified xsi:type="dcterms:W3CDTF">2022-10-17T05:52:00Z</dcterms:modified>
</cp:coreProperties>
</file>