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footer4.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56B885B" w14:textId="2A67BBED" w:rsidR="00557469" w:rsidRPr="001D06E6" w:rsidRDefault="003F1AED" w:rsidP="00A92D8A">
      <w:pPr>
        <w:pStyle w:val="Title"/>
      </w:pPr>
      <w:bookmarkStart w:id="0" w:name="_Hlk53743263"/>
      <w:proofErr w:type="spellStart"/>
      <w:r w:rsidRPr="001D06E6">
        <w:t>ReMInDAR</w:t>
      </w:r>
      <w:proofErr w:type="spellEnd"/>
      <w:r w:rsidRPr="001D06E6">
        <w:t xml:space="preserve"> </w:t>
      </w:r>
      <w:r w:rsidR="00A92D8A" w:rsidRPr="001D06E6">
        <w:t>–</w:t>
      </w:r>
      <w:r w:rsidR="00F42B1D" w:rsidRPr="001D06E6">
        <w:t xml:space="preserve"> </w:t>
      </w:r>
      <w:r w:rsidR="00557469" w:rsidRPr="001D06E6">
        <w:t xml:space="preserve">Reducing </w:t>
      </w:r>
      <w:r w:rsidR="00DF7550" w:rsidRPr="001D06E6">
        <w:t>Medicine-induced</w:t>
      </w:r>
      <w:r w:rsidRPr="001D06E6">
        <w:t xml:space="preserve"> Deterioration and Adverse Reactions Trial</w:t>
      </w:r>
      <w:bookmarkEnd w:id="0"/>
    </w:p>
    <w:p w14:paraId="61EC68EB" w14:textId="5D2FD268" w:rsidR="00557469" w:rsidRPr="001D06E6" w:rsidRDefault="00557469" w:rsidP="00A92D8A">
      <w:pPr>
        <w:pStyle w:val="Subtitle"/>
      </w:pPr>
      <w:r w:rsidRPr="001D06E6">
        <w:t>Assessment report</w:t>
      </w:r>
    </w:p>
    <w:p w14:paraId="0EA7D1FA" w14:textId="2A94E8F8" w:rsidR="002369C7" w:rsidRPr="001D06E6" w:rsidRDefault="002369C7" w:rsidP="00A92D8A">
      <w:pPr>
        <w:rPr>
          <w:color w:val="FFFFFF" w:themeColor="background1"/>
        </w:rPr>
      </w:pPr>
      <w:r w:rsidRPr="001D06E6">
        <w:rPr>
          <w:color w:val="FFFFFF" w:themeColor="background1"/>
        </w:rPr>
        <w:t>Commercial in Confidence</w:t>
      </w:r>
    </w:p>
    <w:p w14:paraId="1A75AFD6" w14:textId="77777777" w:rsidR="00557469" w:rsidRPr="001D06E6" w:rsidRDefault="00557469" w:rsidP="00A92D8A">
      <w:pPr>
        <w:rPr>
          <w:color w:val="FFFFFF" w:themeColor="background1"/>
        </w:rPr>
      </w:pPr>
      <w:r w:rsidRPr="001D06E6">
        <w:rPr>
          <w:color w:val="FFFFFF" w:themeColor="background1"/>
        </w:rPr>
        <w:t>31 March 2021</w:t>
      </w:r>
    </w:p>
    <w:p w14:paraId="35A605DB" w14:textId="77777777" w:rsidR="00557469" w:rsidRPr="001D06E6" w:rsidRDefault="00557469" w:rsidP="00A92D8A">
      <w:pPr>
        <w:rPr>
          <w:color w:val="FFFFFF" w:themeColor="background1"/>
        </w:rPr>
      </w:pPr>
      <w:r w:rsidRPr="001D06E6">
        <w:rPr>
          <w:color w:val="FFFFFF" w:themeColor="background1"/>
        </w:rPr>
        <w:t>MSAC application no. TBC</w:t>
      </w:r>
    </w:p>
    <w:p w14:paraId="7B1BA498" w14:textId="53D8431C" w:rsidR="00557469" w:rsidRPr="001D06E6" w:rsidRDefault="00557469" w:rsidP="00A92D8A">
      <w:pPr>
        <w:rPr>
          <w:color w:val="FFFFFF" w:themeColor="background1"/>
        </w:rPr>
      </w:pPr>
      <w:r w:rsidRPr="001D06E6">
        <w:rPr>
          <w:color w:val="FFFFFF" w:themeColor="background1"/>
        </w:rPr>
        <w:t>Prepared by the Quality Use of Medicines and Pharmacy Research Centre, University of South Australia</w:t>
      </w:r>
    </w:p>
    <w:p w14:paraId="60920935" w14:textId="77777777" w:rsidR="00EB4DCD" w:rsidRPr="00047426" w:rsidRDefault="003A7C8F" w:rsidP="007501B9">
      <w:r w:rsidRPr="00183E4D">
        <w:br w:type="page"/>
      </w:r>
      <w:bookmarkStart w:id="1" w:name="_Toc192054741"/>
      <w:bookmarkStart w:id="2" w:name="_Toc206489930"/>
      <w:bookmarkStart w:id="3" w:name="_Toc206494639"/>
      <w:bookmarkStart w:id="4" w:name="_Toc214339152"/>
      <w:bookmarkStart w:id="5" w:name="_Toc237759553"/>
      <w:bookmarkStart w:id="6" w:name="_Toc356462688"/>
      <w:bookmarkStart w:id="7" w:name="_Toc356462742"/>
      <w:bookmarkStart w:id="8" w:name="_Toc356462997"/>
      <w:bookmarkStart w:id="9" w:name="_Ref360694627"/>
      <w:bookmarkStart w:id="10" w:name="_Toc379117342"/>
      <w:bookmarkStart w:id="11" w:name="_Toc379118055"/>
      <w:bookmarkStart w:id="12" w:name="_Toc379118243"/>
      <w:bookmarkStart w:id="13" w:name="_Toc381796424"/>
      <w:r w:rsidR="00EB4DCD" w:rsidRPr="00FC79BA">
        <w:rPr>
          <w:lang w:eastAsia="zh-TW"/>
        </w:rPr>
        <w:lastRenderedPageBreak/>
        <w:t xml:space="preserve">© </w:t>
      </w:r>
      <w:r w:rsidR="003F1AED" w:rsidRPr="00047426">
        <w:rPr>
          <w:lang w:eastAsia="zh-TW"/>
        </w:rPr>
        <w:t>University of South Australia</w:t>
      </w:r>
      <w:r w:rsidR="00EB4DCD" w:rsidRPr="00047426">
        <w:rPr>
          <w:lang w:eastAsia="zh-TW"/>
        </w:rPr>
        <w:t xml:space="preserve"> 20</w:t>
      </w:r>
      <w:r w:rsidR="003F1AED" w:rsidRPr="00047426">
        <w:rPr>
          <w:lang w:eastAsia="zh-TW"/>
        </w:rPr>
        <w:t>21</w:t>
      </w:r>
    </w:p>
    <w:p w14:paraId="5D7822F9" w14:textId="2A2324CA" w:rsidR="00EB4DCD" w:rsidRPr="00047426" w:rsidRDefault="00EB4DCD" w:rsidP="007501B9">
      <w:r w:rsidRPr="00047426">
        <w:t>Enquiries about the content of the report should be emailed to</w:t>
      </w:r>
      <w:r w:rsidR="003F1AED" w:rsidRPr="00047426">
        <w:t xml:space="preserve"> Professor Libby Roughead, </w:t>
      </w:r>
      <w:hyperlink r:id="rId8" w:history="1">
        <w:r w:rsidR="00A92D8A" w:rsidRPr="008915CF">
          <w:rPr>
            <w:rStyle w:val="Hyperlink"/>
          </w:rPr>
          <w:t>libby.roughead@unisa.edu.au</w:t>
        </w:r>
      </w:hyperlink>
      <w:r w:rsidR="00A92D8A">
        <w:t>.</w:t>
      </w:r>
    </w:p>
    <w:p w14:paraId="64E299CC" w14:textId="6148D3A2" w:rsidR="00EB4DCD" w:rsidRPr="00047426" w:rsidRDefault="00EB4DCD" w:rsidP="007501B9">
      <w:pPr>
        <w:rPr>
          <w:lang w:eastAsia="zh-TW"/>
        </w:rPr>
      </w:pPr>
      <w:r w:rsidRPr="00047426">
        <w:t>The technical information in this document is used by the Medical Services Advisory Committee (MSAC) to inform its deliberations. MSAC is an independent committee which has been established to provide advice to the Minister for Health on the strength of evidence available on</w:t>
      </w:r>
      <w:r w:rsidRPr="00047426">
        <w:rPr>
          <w:lang w:eastAsia="zh-TW"/>
        </w:rPr>
        <w:t xml:space="preserve"> new and existing medical technologies and procedures in terms of their safety, </w:t>
      </w:r>
      <w:proofErr w:type="gramStart"/>
      <w:r w:rsidRPr="00047426">
        <w:rPr>
          <w:lang w:eastAsia="zh-TW"/>
        </w:rPr>
        <w:t>effectiveness</w:t>
      </w:r>
      <w:proofErr w:type="gramEnd"/>
      <w:r w:rsidRPr="00047426">
        <w:rPr>
          <w:lang w:eastAsia="zh-TW"/>
        </w:rPr>
        <w:t xml:space="preserve"> and cost effectiveness. This advice will help to inform government decisions about which medical services should </w:t>
      </w:r>
      <w:r w:rsidR="00EE5471" w:rsidRPr="00047426">
        <w:rPr>
          <w:lang w:eastAsia="zh-TW"/>
        </w:rPr>
        <w:t xml:space="preserve">attract funding under </w:t>
      </w:r>
      <w:r w:rsidR="005F4A1A">
        <w:rPr>
          <w:lang w:eastAsia="zh-TW"/>
        </w:rPr>
        <w:t>MBS</w:t>
      </w:r>
      <w:r w:rsidR="00EE5471" w:rsidRPr="00047426">
        <w:rPr>
          <w:lang w:eastAsia="zh-TW"/>
        </w:rPr>
        <w:t>.</w:t>
      </w:r>
    </w:p>
    <w:p w14:paraId="6433242A" w14:textId="77777777" w:rsidR="00EB4DCD" w:rsidRPr="00F42B1D" w:rsidRDefault="00EB4DCD" w:rsidP="007501B9">
      <w:pPr>
        <w:rPr>
          <w:lang w:eastAsia="zh-TW"/>
        </w:rPr>
      </w:pPr>
      <w:r w:rsidRPr="00F42B1D">
        <w:rPr>
          <w:lang w:eastAsia="zh-TW"/>
        </w:rPr>
        <w:t>MSAC’s advice does not necessarily reflect the views of all individuals who parti</w:t>
      </w:r>
      <w:r w:rsidR="00EE5471" w:rsidRPr="00F42B1D">
        <w:rPr>
          <w:lang w:eastAsia="zh-TW"/>
        </w:rPr>
        <w:t>cipated in the MSAC evaluation.</w:t>
      </w:r>
    </w:p>
    <w:p w14:paraId="18FF3F2B" w14:textId="0348ABAD" w:rsidR="00EE5471" w:rsidRPr="00047426" w:rsidRDefault="00EE5471" w:rsidP="007501B9">
      <w:r w:rsidRPr="00047426">
        <w:t xml:space="preserve">The chief investigators for the </w:t>
      </w:r>
      <w:proofErr w:type="spellStart"/>
      <w:r w:rsidRPr="00047426">
        <w:t>ReMInDAR</w:t>
      </w:r>
      <w:proofErr w:type="spellEnd"/>
      <w:r w:rsidRPr="00047426">
        <w:t xml:space="preserve"> trial are Prof Elizabeth</w:t>
      </w:r>
      <w:r w:rsidR="002369C7">
        <w:t xml:space="preserve"> (Libby)</w:t>
      </w:r>
      <w:r w:rsidRPr="00047426">
        <w:t xml:space="preserve"> E. Roughead (</w:t>
      </w:r>
      <w:proofErr w:type="spellStart"/>
      <w:r w:rsidRPr="00047426">
        <w:t>UniSA</w:t>
      </w:r>
      <w:proofErr w:type="spellEnd"/>
      <w:r w:rsidRPr="00047426">
        <w:t>), A/Prof Nicole Pratt (</w:t>
      </w:r>
      <w:proofErr w:type="spellStart"/>
      <w:r w:rsidRPr="00047426">
        <w:t>UniSA</w:t>
      </w:r>
      <w:proofErr w:type="spellEnd"/>
      <w:r w:rsidRPr="00047426">
        <w:t>), A/Prof Gaynor Parfitt (</w:t>
      </w:r>
      <w:proofErr w:type="spellStart"/>
      <w:r w:rsidRPr="00047426">
        <w:t>UniSA</w:t>
      </w:r>
      <w:proofErr w:type="spellEnd"/>
      <w:r w:rsidRPr="00047426">
        <w:t>), Dr Renly Lim (</w:t>
      </w:r>
      <w:proofErr w:type="spellStart"/>
      <w:r w:rsidRPr="00047426">
        <w:t>UniSA</w:t>
      </w:r>
      <w:proofErr w:type="spellEnd"/>
      <w:r w:rsidRPr="00047426">
        <w:t xml:space="preserve">), Prof Debra </w:t>
      </w:r>
      <w:proofErr w:type="spellStart"/>
      <w:r w:rsidRPr="00047426">
        <w:t>Rowett</w:t>
      </w:r>
      <w:proofErr w:type="spellEnd"/>
      <w:r w:rsidRPr="00047426">
        <w:t xml:space="preserve"> (</w:t>
      </w:r>
      <w:proofErr w:type="spellStart"/>
      <w:r w:rsidRPr="00047426">
        <w:t>UniSA</w:t>
      </w:r>
      <w:proofErr w:type="spellEnd"/>
      <w:r w:rsidRPr="00047426">
        <w:t>), Dr Lisa Kalisch-</w:t>
      </w:r>
      <w:proofErr w:type="spellStart"/>
      <w:r w:rsidRPr="00047426">
        <w:t>Ellett</w:t>
      </w:r>
      <w:proofErr w:type="spellEnd"/>
      <w:r w:rsidRPr="00047426">
        <w:t xml:space="preserve"> (</w:t>
      </w:r>
      <w:proofErr w:type="spellStart"/>
      <w:r w:rsidRPr="00047426">
        <w:t>UniSA</w:t>
      </w:r>
      <w:proofErr w:type="spellEnd"/>
      <w:r w:rsidRPr="00047426">
        <w:t xml:space="preserve">), Prof Luke </w:t>
      </w:r>
      <w:proofErr w:type="spellStart"/>
      <w:r w:rsidRPr="00047426">
        <w:t>Bereznicki</w:t>
      </w:r>
      <w:proofErr w:type="spellEnd"/>
      <w:r w:rsidRPr="00047426">
        <w:t xml:space="preserve"> (</w:t>
      </w:r>
      <w:proofErr w:type="spellStart"/>
      <w:r w:rsidRPr="00047426">
        <w:t>UTas</w:t>
      </w:r>
      <w:proofErr w:type="spellEnd"/>
      <w:r w:rsidRPr="00047426">
        <w:t xml:space="preserve">), Prof Tracy Merlin (AHTA), Ms Megan </w:t>
      </w:r>
      <w:proofErr w:type="spellStart"/>
      <w:r w:rsidRPr="00047426">
        <w:t>Corlis</w:t>
      </w:r>
      <w:proofErr w:type="spellEnd"/>
      <w:r w:rsidRPr="00047426">
        <w:t xml:space="preserve"> (Helping Hand Inc), </w:t>
      </w:r>
      <w:r w:rsidR="00604A70">
        <w:t xml:space="preserve">Ms </w:t>
      </w:r>
      <w:r w:rsidRPr="00047426">
        <w:t xml:space="preserve">Ai Choo Kang (Southern Cross Care SA, </w:t>
      </w:r>
      <w:proofErr w:type="gramStart"/>
      <w:r w:rsidRPr="00047426">
        <w:t>NT</w:t>
      </w:r>
      <w:proofErr w:type="gramEnd"/>
      <w:r w:rsidRPr="00047426">
        <w:t xml:space="preserve"> and Vic) and </w:t>
      </w:r>
      <w:r w:rsidR="00604A70">
        <w:t xml:space="preserve">Mr </w:t>
      </w:r>
      <w:r w:rsidRPr="00047426">
        <w:t>Joseph Whitehouse (</w:t>
      </w:r>
      <w:proofErr w:type="spellStart"/>
      <w:r w:rsidRPr="00047426">
        <w:t>PharmIC</w:t>
      </w:r>
      <w:proofErr w:type="spellEnd"/>
      <w:r w:rsidRPr="00047426">
        <w:t>)</w:t>
      </w:r>
      <w:r w:rsidR="007501B9">
        <w:t xml:space="preserve">. </w:t>
      </w:r>
      <w:r w:rsidR="009C787D" w:rsidRPr="00047426">
        <w:t xml:space="preserve">The </w:t>
      </w:r>
      <w:r w:rsidRPr="00047426">
        <w:t>project team</w:t>
      </w:r>
      <w:r w:rsidR="009C787D" w:rsidRPr="00047426">
        <w:t>, research partners, clinical governance groups and acknowledgements</w:t>
      </w:r>
      <w:r w:rsidRPr="00047426">
        <w:t xml:space="preserve"> are listed in </w:t>
      </w:r>
      <w:r w:rsidR="009C787D" w:rsidRPr="00047426">
        <w:t>Appendix A</w:t>
      </w:r>
      <w:r w:rsidR="003E4D0A">
        <w:t>.</w:t>
      </w:r>
    </w:p>
    <w:p w14:paraId="13271B48" w14:textId="02656DE2" w:rsidR="00EB4DCD" w:rsidRPr="00047426" w:rsidRDefault="00EB4DCD" w:rsidP="007501B9">
      <w:r w:rsidRPr="00047426">
        <w:t>This work is copyright</w:t>
      </w:r>
      <w:r w:rsidR="007501B9">
        <w:t xml:space="preserve">. </w:t>
      </w:r>
      <w:r w:rsidRPr="00047426">
        <w:t xml:space="preserve">You may download, display, print and reproduce this material in unaltered form only (retaining this notice) for your personal, non-commercial use or use within your organisation. Apart from any use as permitted under the Copyright Act 1968, all other rights are reserved. Requests and inquiries concerning reproduction and rights should be addressed to Commonwealth Copyright Administration, Attorney-General's Department, Robert Garran Offices, National Circuit, Barton ACT 2600 or posted at </w:t>
      </w:r>
      <w:hyperlink r:id="rId9" w:tooltip="Link to the Australian Government's Attorney General's website." w:history="1">
        <w:r w:rsidRPr="00047426">
          <w:rPr>
            <w:color w:val="0000FF"/>
            <w:u w:val="single"/>
            <w:lang w:eastAsia="zh-TW"/>
          </w:rPr>
          <w:t>http://www.ag.gov.au/</w:t>
        </w:r>
      </w:hyperlink>
      <w:r w:rsidRPr="00047426">
        <w:rPr>
          <w:color w:val="0000FF"/>
          <w:lang w:eastAsia="zh-TW"/>
        </w:rPr>
        <w:t>.</w:t>
      </w:r>
    </w:p>
    <w:p w14:paraId="5E4E57A5" w14:textId="77777777" w:rsidR="00EB4DCD" w:rsidRPr="00047426" w:rsidRDefault="00EB4DCD" w:rsidP="007501B9">
      <w:r w:rsidRPr="00047426">
        <w:t>The suggested citation for this document is</w:t>
      </w:r>
      <w:r w:rsidR="00EE5471" w:rsidRPr="00047426">
        <w:t>:</w:t>
      </w:r>
    </w:p>
    <w:p w14:paraId="7E854182" w14:textId="64406E0D" w:rsidR="00EB4DCD" w:rsidRPr="00047426" w:rsidRDefault="0073066E" w:rsidP="007501B9">
      <w:r w:rsidRPr="00047426">
        <w:t xml:space="preserve">Roughead EE, Pratt N, Parfitt G, Lim R, </w:t>
      </w:r>
      <w:proofErr w:type="spellStart"/>
      <w:r w:rsidRPr="00047426">
        <w:t>Rowett</w:t>
      </w:r>
      <w:proofErr w:type="spellEnd"/>
      <w:r w:rsidRPr="00047426">
        <w:t xml:space="preserve"> D, Kalisch-</w:t>
      </w:r>
      <w:proofErr w:type="spellStart"/>
      <w:r w:rsidRPr="00047426">
        <w:t>Ellett</w:t>
      </w:r>
      <w:proofErr w:type="spellEnd"/>
      <w:r w:rsidRPr="00047426">
        <w:t xml:space="preserve"> L, </w:t>
      </w:r>
      <w:proofErr w:type="spellStart"/>
      <w:r w:rsidRPr="00047426">
        <w:t>Bereznicki</w:t>
      </w:r>
      <w:proofErr w:type="spellEnd"/>
      <w:r w:rsidRPr="00047426">
        <w:t xml:space="preserve"> L, Merlin T, </w:t>
      </w:r>
      <w:proofErr w:type="spellStart"/>
      <w:r w:rsidRPr="00047426">
        <w:t>Corlis</w:t>
      </w:r>
      <w:proofErr w:type="spellEnd"/>
      <w:r w:rsidRPr="00047426">
        <w:t xml:space="preserve"> M, Kang</w:t>
      </w:r>
      <w:r w:rsidR="00536D02" w:rsidRPr="00047426">
        <w:t xml:space="preserve"> AC,</w:t>
      </w:r>
      <w:r w:rsidRPr="00047426">
        <w:t xml:space="preserve"> Whitehouse J</w:t>
      </w:r>
      <w:r w:rsidR="00EB4DCD" w:rsidRPr="00047426">
        <w:t xml:space="preserve">. </w:t>
      </w:r>
      <w:proofErr w:type="spellStart"/>
      <w:r w:rsidR="00C17418" w:rsidRPr="00047426">
        <w:t>ReMInDAR</w:t>
      </w:r>
      <w:proofErr w:type="spellEnd"/>
      <w:r w:rsidR="00C17418" w:rsidRPr="00047426">
        <w:t xml:space="preserve"> -</w:t>
      </w:r>
      <w:r w:rsidR="00047426" w:rsidRPr="00047426">
        <w:t xml:space="preserve"> </w:t>
      </w:r>
      <w:r w:rsidR="00C17418" w:rsidRPr="00047426">
        <w:t xml:space="preserve">Reducing </w:t>
      </w:r>
      <w:r w:rsidR="00DF7550" w:rsidRPr="00047426">
        <w:t>Medicine-induced</w:t>
      </w:r>
      <w:r w:rsidR="00C17418" w:rsidRPr="00047426">
        <w:t xml:space="preserve"> Deterioration and Adverse Reactions Trial.</w:t>
      </w:r>
      <w:r w:rsidR="00C17418" w:rsidRPr="00047426">
        <w:rPr>
          <w:i/>
        </w:rPr>
        <w:t xml:space="preserve"> </w:t>
      </w:r>
      <w:r w:rsidR="00EB4DCD" w:rsidRPr="00047426">
        <w:t xml:space="preserve">MSAC Application </w:t>
      </w:r>
      <w:r w:rsidR="00536D02" w:rsidRPr="00047426">
        <w:t>TBC</w:t>
      </w:r>
      <w:r w:rsidR="00EB4DCD" w:rsidRPr="00047426">
        <w:t>, Assessment Report. Commonweal</w:t>
      </w:r>
      <w:r w:rsidR="00EE5471" w:rsidRPr="00047426">
        <w:t>th of Australia, Canberra, ACT.</w:t>
      </w:r>
    </w:p>
    <w:p w14:paraId="592F1FFF" w14:textId="3AF5843D" w:rsidR="004C6CA6" w:rsidRPr="00183E4D" w:rsidRDefault="004C6CA6" w:rsidP="007501B9">
      <w:pPr>
        <w:sectPr w:rsidR="004C6CA6" w:rsidRPr="00183E4D" w:rsidSect="00557469">
          <w:headerReference w:type="first" r:id="rId10"/>
          <w:footerReference w:type="first" r:id="rId11"/>
          <w:type w:val="oddPage"/>
          <w:pgSz w:w="11907" w:h="16840" w:code="9"/>
          <w:pgMar w:top="1440" w:right="1440" w:bottom="1440" w:left="1440" w:header="578" w:footer="578" w:gutter="0"/>
          <w:pgNumType w:start="1"/>
          <w:cols w:space="720"/>
          <w:noEndnote/>
          <w:titlePg/>
        </w:sectPr>
      </w:pPr>
    </w:p>
    <w:p w14:paraId="7FEB5891" w14:textId="3D3B677D" w:rsidR="008F59A8" w:rsidRPr="005A313E" w:rsidRDefault="008F59A8" w:rsidP="005A313E">
      <w:pPr>
        <w:rPr>
          <w:b/>
          <w:bCs/>
          <w:color w:val="3F4A75"/>
          <w:sz w:val="44"/>
          <w:szCs w:val="44"/>
        </w:rPr>
      </w:pPr>
      <w:bookmarkStart w:id="14" w:name="_Toc395200735"/>
      <w:bookmarkStart w:id="15" w:name="_Toc399247190"/>
      <w:bookmarkStart w:id="16" w:name="_Toc402884709"/>
      <w:bookmarkStart w:id="17" w:name="_Ref421189612"/>
      <w:r w:rsidRPr="005A313E">
        <w:rPr>
          <w:b/>
          <w:bCs/>
          <w:color w:val="3F4A75"/>
          <w:sz w:val="44"/>
          <w:szCs w:val="44"/>
        </w:rPr>
        <w:lastRenderedPageBreak/>
        <w:t>Contents</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sdt>
      <w:sdtPr>
        <w:rPr>
          <w:b/>
          <w:noProof w:val="0"/>
        </w:rPr>
        <w:id w:val="660663472"/>
        <w:docPartObj>
          <w:docPartGallery w:val="Table of Contents"/>
          <w:docPartUnique/>
        </w:docPartObj>
      </w:sdtPr>
      <w:sdtEndPr>
        <w:rPr>
          <w:b w:val="0"/>
        </w:rPr>
      </w:sdtEndPr>
      <w:sdtContent>
        <w:p w14:paraId="4D96939E" w14:textId="0FDB4E97" w:rsidR="00C25F89" w:rsidRDefault="0005577A">
          <w:pPr>
            <w:pStyle w:val="TOC2"/>
            <w:rPr>
              <w:rFonts w:asciiTheme="minorHAnsi" w:eastAsiaTheme="minorEastAsia" w:hAnsiTheme="minorHAnsi" w:cstheme="minorBidi"/>
            </w:rPr>
          </w:pPr>
          <w:r>
            <w:rPr>
              <w:b/>
            </w:rPr>
            <w:fldChar w:fldCharType="begin"/>
          </w:r>
          <w:r>
            <w:instrText xml:space="preserve"> TOC \o "1-3" \h \z \u </w:instrText>
          </w:r>
          <w:r>
            <w:rPr>
              <w:b/>
            </w:rPr>
            <w:fldChar w:fldCharType="separate"/>
          </w:r>
          <w:hyperlink w:anchor="_Toc117758206" w:history="1">
            <w:r w:rsidR="00C25F89" w:rsidRPr="00D40579">
              <w:rPr>
                <w:rStyle w:val="Hyperlink"/>
              </w:rPr>
              <w:t>Tables</w:t>
            </w:r>
            <w:r w:rsidR="00C25F89">
              <w:rPr>
                <w:webHidden/>
              </w:rPr>
              <w:tab/>
            </w:r>
            <w:r w:rsidR="00C25F89">
              <w:rPr>
                <w:webHidden/>
              </w:rPr>
              <w:fldChar w:fldCharType="begin"/>
            </w:r>
            <w:r w:rsidR="00C25F89">
              <w:rPr>
                <w:webHidden/>
              </w:rPr>
              <w:instrText xml:space="preserve"> PAGEREF _Toc117758206 \h </w:instrText>
            </w:r>
            <w:r w:rsidR="00C25F89">
              <w:rPr>
                <w:webHidden/>
              </w:rPr>
            </w:r>
            <w:r w:rsidR="00C25F89">
              <w:rPr>
                <w:webHidden/>
              </w:rPr>
              <w:fldChar w:fldCharType="separate"/>
            </w:r>
            <w:r w:rsidR="00C25F89">
              <w:rPr>
                <w:webHidden/>
              </w:rPr>
              <w:t>vii</w:t>
            </w:r>
            <w:r w:rsidR="00C25F89">
              <w:rPr>
                <w:webHidden/>
              </w:rPr>
              <w:fldChar w:fldCharType="end"/>
            </w:r>
          </w:hyperlink>
        </w:p>
        <w:p w14:paraId="24A9F92E" w14:textId="42053DDF" w:rsidR="00C25F89" w:rsidRDefault="00612340">
          <w:pPr>
            <w:pStyle w:val="TOC2"/>
            <w:rPr>
              <w:rFonts w:asciiTheme="minorHAnsi" w:eastAsiaTheme="minorEastAsia" w:hAnsiTheme="minorHAnsi" w:cstheme="minorBidi"/>
            </w:rPr>
          </w:pPr>
          <w:hyperlink w:anchor="_Toc117758207" w:history="1">
            <w:r w:rsidR="00C25F89" w:rsidRPr="00D40579">
              <w:rPr>
                <w:rStyle w:val="Hyperlink"/>
              </w:rPr>
              <w:t>Boxes</w:t>
            </w:r>
            <w:r w:rsidR="00C25F89">
              <w:rPr>
                <w:webHidden/>
              </w:rPr>
              <w:tab/>
            </w:r>
            <w:r w:rsidR="00C25F89">
              <w:rPr>
                <w:webHidden/>
              </w:rPr>
              <w:fldChar w:fldCharType="begin"/>
            </w:r>
            <w:r w:rsidR="00C25F89">
              <w:rPr>
                <w:webHidden/>
              </w:rPr>
              <w:instrText xml:space="preserve"> PAGEREF _Toc117758207 \h </w:instrText>
            </w:r>
            <w:r w:rsidR="00C25F89">
              <w:rPr>
                <w:webHidden/>
              </w:rPr>
            </w:r>
            <w:r w:rsidR="00C25F89">
              <w:rPr>
                <w:webHidden/>
              </w:rPr>
              <w:fldChar w:fldCharType="separate"/>
            </w:r>
            <w:r w:rsidR="00C25F89">
              <w:rPr>
                <w:webHidden/>
              </w:rPr>
              <w:t>viii</w:t>
            </w:r>
            <w:r w:rsidR="00C25F89">
              <w:rPr>
                <w:webHidden/>
              </w:rPr>
              <w:fldChar w:fldCharType="end"/>
            </w:r>
          </w:hyperlink>
        </w:p>
        <w:p w14:paraId="27C918F4" w14:textId="108A9240" w:rsidR="00C25F89" w:rsidRDefault="00612340">
          <w:pPr>
            <w:pStyle w:val="TOC2"/>
            <w:rPr>
              <w:rFonts w:asciiTheme="minorHAnsi" w:eastAsiaTheme="minorEastAsia" w:hAnsiTheme="minorHAnsi" w:cstheme="minorBidi"/>
            </w:rPr>
          </w:pPr>
          <w:hyperlink w:anchor="_Toc117758208" w:history="1">
            <w:r w:rsidR="00C25F89" w:rsidRPr="00D40579">
              <w:rPr>
                <w:rStyle w:val="Hyperlink"/>
              </w:rPr>
              <w:t>Figures</w:t>
            </w:r>
            <w:r w:rsidR="00C25F89">
              <w:rPr>
                <w:webHidden/>
              </w:rPr>
              <w:tab/>
            </w:r>
            <w:r w:rsidR="00C25F89">
              <w:rPr>
                <w:webHidden/>
              </w:rPr>
              <w:fldChar w:fldCharType="begin"/>
            </w:r>
            <w:r w:rsidR="00C25F89">
              <w:rPr>
                <w:webHidden/>
              </w:rPr>
              <w:instrText xml:space="preserve"> PAGEREF _Toc117758208 \h </w:instrText>
            </w:r>
            <w:r w:rsidR="00C25F89">
              <w:rPr>
                <w:webHidden/>
              </w:rPr>
            </w:r>
            <w:r w:rsidR="00C25F89">
              <w:rPr>
                <w:webHidden/>
              </w:rPr>
              <w:fldChar w:fldCharType="separate"/>
            </w:r>
            <w:r w:rsidR="00C25F89">
              <w:rPr>
                <w:webHidden/>
              </w:rPr>
              <w:t>viii</w:t>
            </w:r>
            <w:r w:rsidR="00C25F89">
              <w:rPr>
                <w:webHidden/>
              </w:rPr>
              <w:fldChar w:fldCharType="end"/>
            </w:r>
          </w:hyperlink>
        </w:p>
        <w:p w14:paraId="68CF07CE" w14:textId="79B77688" w:rsidR="00C25F89" w:rsidRDefault="00612340">
          <w:pPr>
            <w:pStyle w:val="TOC1"/>
            <w:rPr>
              <w:rFonts w:asciiTheme="minorHAnsi" w:eastAsiaTheme="minorEastAsia" w:hAnsiTheme="minorHAnsi" w:cstheme="minorBidi"/>
              <w:b w:val="0"/>
            </w:rPr>
          </w:pPr>
          <w:hyperlink w:anchor="_Toc117758209" w:history="1">
            <w:r w:rsidR="00C25F89" w:rsidRPr="00D40579">
              <w:rPr>
                <w:rStyle w:val="Hyperlink"/>
              </w:rPr>
              <w:t>Acronyms and Abbreviations</w:t>
            </w:r>
            <w:r w:rsidR="00C25F89">
              <w:rPr>
                <w:webHidden/>
              </w:rPr>
              <w:tab/>
            </w:r>
            <w:r w:rsidR="00C25F89">
              <w:rPr>
                <w:webHidden/>
              </w:rPr>
              <w:fldChar w:fldCharType="begin"/>
            </w:r>
            <w:r w:rsidR="00C25F89">
              <w:rPr>
                <w:webHidden/>
              </w:rPr>
              <w:instrText xml:space="preserve"> PAGEREF _Toc117758209 \h </w:instrText>
            </w:r>
            <w:r w:rsidR="00C25F89">
              <w:rPr>
                <w:webHidden/>
              </w:rPr>
            </w:r>
            <w:r w:rsidR="00C25F89">
              <w:rPr>
                <w:webHidden/>
              </w:rPr>
              <w:fldChar w:fldCharType="separate"/>
            </w:r>
            <w:r w:rsidR="00C25F89">
              <w:rPr>
                <w:webHidden/>
              </w:rPr>
              <w:t>1</w:t>
            </w:r>
            <w:r w:rsidR="00C25F89">
              <w:rPr>
                <w:webHidden/>
              </w:rPr>
              <w:fldChar w:fldCharType="end"/>
            </w:r>
          </w:hyperlink>
        </w:p>
        <w:p w14:paraId="696B4865" w14:textId="78301147" w:rsidR="00C25F89" w:rsidRDefault="00612340">
          <w:pPr>
            <w:pStyle w:val="TOC1"/>
            <w:rPr>
              <w:rFonts w:asciiTheme="minorHAnsi" w:eastAsiaTheme="minorEastAsia" w:hAnsiTheme="minorHAnsi" w:cstheme="minorBidi"/>
              <w:b w:val="0"/>
            </w:rPr>
          </w:pPr>
          <w:hyperlink w:anchor="_Toc117758210" w:history="1">
            <w:r w:rsidR="00C25F89" w:rsidRPr="00D40579">
              <w:rPr>
                <w:rStyle w:val="Hyperlink"/>
              </w:rPr>
              <w:t>Executive Summary</w:t>
            </w:r>
            <w:r w:rsidR="00C25F89">
              <w:rPr>
                <w:webHidden/>
              </w:rPr>
              <w:tab/>
            </w:r>
            <w:r w:rsidR="00C25F89">
              <w:rPr>
                <w:webHidden/>
              </w:rPr>
              <w:fldChar w:fldCharType="begin"/>
            </w:r>
            <w:r w:rsidR="00C25F89">
              <w:rPr>
                <w:webHidden/>
              </w:rPr>
              <w:instrText xml:space="preserve"> PAGEREF _Toc117758210 \h </w:instrText>
            </w:r>
            <w:r w:rsidR="00C25F89">
              <w:rPr>
                <w:webHidden/>
              </w:rPr>
            </w:r>
            <w:r w:rsidR="00C25F89">
              <w:rPr>
                <w:webHidden/>
              </w:rPr>
              <w:fldChar w:fldCharType="separate"/>
            </w:r>
            <w:r w:rsidR="00C25F89">
              <w:rPr>
                <w:webHidden/>
              </w:rPr>
              <w:t>2</w:t>
            </w:r>
            <w:r w:rsidR="00C25F89">
              <w:rPr>
                <w:webHidden/>
              </w:rPr>
              <w:fldChar w:fldCharType="end"/>
            </w:r>
          </w:hyperlink>
        </w:p>
        <w:p w14:paraId="53C52D5F" w14:textId="7CBBCA2C" w:rsidR="00C25F89" w:rsidRDefault="00612340">
          <w:pPr>
            <w:pStyle w:val="TOC2"/>
            <w:tabs>
              <w:tab w:val="left" w:pos="1760"/>
            </w:tabs>
            <w:rPr>
              <w:rFonts w:asciiTheme="minorHAnsi" w:eastAsiaTheme="minorEastAsia" w:hAnsiTheme="minorHAnsi" w:cstheme="minorBidi"/>
            </w:rPr>
          </w:pPr>
          <w:hyperlink w:anchor="_Toc117758211" w:history="1">
            <w:r w:rsidR="00C25F89" w:rsidRPr="00D40579">
              <w:rPr>
                <w:rStyle w:val="Hyperlink"/>
              </w:rPr>
              <w:t>ES.1.</w:t>
            </w:r>
            <w:r w:rsidR="00C25F89">
              <w:rPr>
                <w:rFonts w:asciiTheme="minorHAnsi" w:eastAsiaTheme="minorEastAsia" w:hAnsiTheme="minorHAnsi" w:cstheme="minorBidi"/>
              </w:rPr>
              <w:tab/>
            </w:r>
            <w:r w:rsidR="00C25F89" w:rsidRPr="00D40579">
              <w:rPr>
                <w:rStyle w:val="Hyperlink"/>
              </w:rPr>
              <w:t>Alignment with agreed PICO Confirmation</w:t>
            </w:r>
            <w:r w:rsidR="00C25F89">
              <w:rPr>
                <w:webHidden/>
              </w:rPr>
              <w:tab/>
            </w:r>
            <w:r w:rsidR="00C25F89">
              <w:rPr>
                <w:webHidden/>
              </w:rPr>
              <w:fldChar w:fldCharType="begin"/>
            </w:r>
            <w:r w:rsidR="00C25F89">
              <w:rPr>
                <w:webHidden/>
              </w:rPr>
              <w:instrText xml:space="preserve"> PAGEREF _Toc117758211 \h </w:instrText>
            </w:r>
            <w:r w:rsidR="00C25F89">
              <w:rPr>
                <w:webHidden/>
              </w:rPr>
            </w:r>
            <w:r w:rsidR="00C25F89">
              <w:rPr>
                <w:webHidden/>
              </w:rPr>
              <w:fldChar w:fldCharType="separate"/>
            </w:r>
            <w:r w:rsidR="00C25F89">
              <w:rPr>
                <w:webHidden/>
              </w:rPr>
              <w:t>2</w:t>
            </w:r>
            <w:r w:rsidR="00C25F89">
              <w:rPr>
                <w:webHidden/>
              </w:rPr>
              <w:fldChar w:fldCharType="end"/>
            </w:r>
          </w:hyperlink>
        </w:p>
        <w:p w14:paraId="4E6A77D1" w14:textId="23BA70BC" w:rsidR="00C25F89" w:rsidRDefault="00612340">
          <w:pPr>
            <w:pStyle w:val="TOC2"/>
            <w:tabs>
              <w:tab w:val="left" w:pos="1760"/>
            </w:tabs>
            <w:rPr>
              <w:rFonts w:asciiTheme="minorHAnsi" w:eastAsiaTheme="minorEastAsia" w:hAnsiTheme="minorHAnsi" w:cstheme="minorBidi"/>
            </w:rPr>
          </w:pPr>
          <w:hyperlink w:anchor="_Toc117758212" w:history="1">
            <w:r w:rsidR="00C25F89" w:rsidRPr="00D40579">
              <w:rPr>
                <w:rStyle w:val="Hyperlink"/>
              </w:rPr>
              <w:t>ES.2.</w:t>
            </w:r>
            <w:r w:rsidR="00C25F89">
              <w:rPr>
                <w:rFonts w:asciiTheme="minorHAnsi" w:eastAsiaTheme="minorEastAsia" w:hAnsiTheme="minorHAnsi" w:cstheme="minorBidi"/>
              </w:rPr>
              <w:tab/>
            </w:r>
            <w:r w:rsidR="00C25F89" w:rsidRPr="00D40579">
              <w:rPr>
                <w:rStyle w:val="Hyperlink"/>
              </w:rPr>
              <w:t>Proposed Medical Service</w:t>
            </w:r>
            <w:r w:rsidR="00C25F89">
              <w:rPr>
                <w:webHidden/>
              </w:rPr>
              <w:tab/>
            </w:r>
            <w:r w:rsidR="00C25F89">
              <w:rPr>
                <w:webHidden/>
              </w:rPr>
              <w:fldChar w:fldCharType="begin"/>
            </w:r>
            <w:r w:rsidR="00C25F89">
              <w:rPr>
                <w:webHidden/>
              </w:rPr>
              <w:instrText xml:space="preserve"> PAGEREF _Toc117758212 \h </w:instrText>
            </w:r>
            <w:r w:rsidR="00C25F89">
              <w:rPr>
                <w:webHidden/>
              </w:rPr>
            </w:r>
            <w:r w:rsidR="00C25F89">
              <w:rPr>
                <w:webHidden/>
              </w:rPr>
              <w:fldChar w:fldCharType="separate"/>
            </w:r>
            <w:r w:rsidR="00C25F89">
              <w:rPr>
                <w:webHidden/>
              </w:rPr>
              <w:t>2</w:t>
            </w:r>
            <w:r w:rsidR="00C25F89">
              <w:rPr>
                <w:webHidden/>
              </w:rPr>
              <w:fldChar w:fldCharType="end"/>
            </w:r>
          </w:hyperlink>
        </w:p>
        <w:p w14:paraId="658372C0" w14:textId="4F96696A" w:rsidR="00C25F89" w:rsidRDefault="00612340">
          <w:pPr>
            <w:pStyle w:val="TOC2"/>
            <w:tabs>
              <w:tab w:val="left" w:pos="1760"/>
            </w:tabs>
            <w:rPr>
              <w:rFonts w:asciiTheme="minorHAnsi" w:eastAsiaTheme="minorEastAsia" w:hAnsiTheme="minorHAnsi" w:cstheme="minorBidi"/>
            </w:rPr>
          </w:pPr>
          <w:hyperlink w:anchor="_Toc117758213" w:history="1">
            <w:r w:rsidR="00C25F89" w:rsidRPr="00D40579">
              <w:rPr>
                <w:rStyle w:val="Hyperlink"/>
              </w:rPr>
              <w:t>ES.3.</w:t>
            </w:r>
            <w:r w:rsidR="00C25F89">
              <w:rPr>
                <w:rFonts w:asciiTheme="minorHAnsi" w:eastAsiaTheme="minorEastAsia" w:hAnsiTheme="minorHAnsi" w:cstheme="minorBidi"/>
              </w:rPr>
              <w:tab/>
            </w:r>
            <w:r w:rsidR="00C25F89" w:rsidRPr="00D40579">
              <w:rPr>
                <w:rStyle w:val="Hyperlink"/>
              </w:rPr>
              <w:t>Proposal for Public Funding</w:t>
            </w:r>
            <w:r w:rsidR="00C25F89">
              <w:rPr>
                <w:webHidden/>
              </w:rPr>
              <w:tab/>
            </w:r>
            <w:r w:rsidR="00C25F89">
              <w:rPr>
                <w:webHidden/>
              </w:rPr>
              <w:fldChar w:fldCharType="begin"/>
            </w:r>
            <w:r w:rsidR="00C25F89">
              <w:rPr>
                <w:webHidden/>
              </w:rPr>
              <w:instrText xml:space="preserve"> PAGEREF _Toc117758213 \h </w:instrText>
            </w:r>
            <w:r w:rsidR="00C25F89">
              <w:rPr>
                <w:webHidden/>
              </w:rPr>
            </w:r>
            <w:r w:rsidR="00C25F89">
              <w:rPr>
                <w:webHidden/>
              </w:rPr>
              <w:fldChar w:fldCharType="separate"/>
            </w:r>
            <w:r w:rsidR="00C25F89">
              <w:rPr>
                <w:webHidden/>
              </w:rPr>
              <w:t>3</w:t>
            </w:r>
            <w:r w:rsidR="00C25F89">
              <w:rPr>
                <w:webHidden/>
              </w:rPr>
              <w:fldChar w:fldCharType="end"/>
            </w:r>
          </w:hyperlink>
        </w:p>
        <w:p w14:paraId="7ED62A2E" w14:textId="1A96A7E8" w:rsidR="00C25F89" w:rsidRDefault="00612340">
          <w:pPr>
            <w:pStyle w:val="TOC2"/>
            <w:tabs>
              <w:tab w:val="left" w:pos="1760"/>
            </w:tabs>
            <w:rPr>
              <w:rFonts w:asciiTheme="minorHAnsi" w:eastAsiaTheme="minorEastAsia" w:hAnsiTheme="minorHAnsi" w:cstheme="minorBidi"/>
            </w:rPr>
          </w:pPr>
          <w:hyperlink w:anchor="_Toc117758214" w:history="1">
            <w:r w:rsidR="00C25F89" w:rsidRPr="00D40579">
              <w:rPr>
                <w:rStyle w:val="Hyperlink"/>
              </w:rPr>
              <w:t>ES.4.</w:t>
            </w:r>
            <w:r w:rsidR="00C25F89">
              <w:rPr>
                <w:rFonts w:asciiTheme="minorHAnsi" w:eastAsiaTheme="minorEastAsia" w:hAnsiTheme="minorHAnsi" w:cstheme="minorBidi"/>
              </w:rPr>
              <w:tab/>
            </w:r>
            <w:r w:rsidR="00C25F89" w:rsidRPr="00D40579">
              <w:rPr>
                <w:rStyle w:val="Hyperlink"/>
              </w:rPr>
              <w:t>Population</w:t>
            </w:r>
            <w:r w:rsidR="00C25F89">
              <w:rPr>
                <w:webHidden/>
              </w:rPr>
              <w:tab/>
            </w:r>
            <w:r w:rsidR="00C25F89">
              <w:rPr>
                <w:webHidden/>
              </w:rPr>
              <w:fldChar w:fldCharType="begin"/>
            </w:r>
            <w:r w:rsidR="00C25F89">
              <w:rPr>
                <w:webHidden/>
              </w:rPr>
              <w:instrText xml:space="preserve"> PAGEREF _Toc117758214 \h </w:instrText>
            </w:r>
            <w:r w:rsidR="00C25F89">
              <w:rPr>
                <w:webHidden/>
              </w:rPr>
            </w:r>
            <w:r w:rsidR="00C25F89">
              <w:rPr>
                <w:webHidden/>
              </w:rPr>
              <w:fldChar w:fldCharType="separate"/>
            </w:r>
            <w:r w:rsidR="00C25F89">
              <w:rPr>
                <w:webHidden/>
              </w:rPr>
              <w:t>3</w:t>
            </w:r>
            <w:r w:rsidR="00C25F89">
              <w:rPr>
                <w:webHidden/>
              </w:rPr>
              <w:fldChar w:fldCharType="end"/>
            </w:r>
          </w:hyperlink>
        </w:p>
        <w:p w14:paraId="791D1F44" w14:textId="3E5AA7F6" w:rsidR="00C25F89" w:rsidRDefault="00612340">
          <w:pPr>
            <w:pStyle w:val="TOC2"/>
            <w:tabs>
              <w:tab w:val="left" w:pos="1760"/>
            </w:tabs>
            <w:rPr>
              <w:rFonts w:asciiTheme="minorHAnsi" w:eastAsiaTheme="minorEastAsia" w:hAnsiTheme="minorHAnsi" w:cstheme="minorBidi"/>
            </w:rPr>
          </w:pPr>
          <w:hyperlink w:anchor="_Toc117758215" w:history="1">
            <w:r w:rsidR="00C25F89" w:rsidRPr="00D40579">
              <w:rPr>
                <w:rStyle w:val="Hyperlink"/>
              </w:rPr>
              <w:t>ES.5.</w:t>
            </w:r>
            <w:r w:rsidR="00C25F89">
              <w:rPr>
                <w:rFonts w:asciiTheme="minorHAnsi" w:eastAsiaTheme="minorEastAsia" w:hAnsiTheme="minorHAnsi" w:cstheme="minorBidi"/>
              </w:rPr>
              <w:tab/>
            </w:r>
            <w:r w:rsidR="00C25F89" w:rsidRPr="00D40579">
              <w:rPr>
                <w:rStyle w:val="Hyperlink"/>
              </w:rPr>
              <w:t>Comparator Details</w:t>
            </w:r>
            <w:r w:rsidR="00C25F89">
              <w:rPr>
                <w:webHidden/>
              </w:rPr>
              <w:tab/>
            </w:r>
            <w:r w:rsidR="00C25F89">
              <w:rPr>
                <w:webHidden/>
              </w:rPr>
              <w:fldChar w:fldCharType="begin"/>
            </w:r>
            <w:r w:rsidR="00C25F89">
              <w:rPr>
                <w:webHidden/>
              </w:rPr>
              <w:instrText xml:space="preserve"> PAGEREF _Toc117758215 \h </w:instrText>
            </w:r>
            <w:r w:rsidR="00C25F89">
              <w:rPr>
                <w:webHidden/>
              </w:rPr>
            </w:r>
            <w:r w:rsidR="00C25F89">
              <w:rPr>
                <w:webHidden/>
              </w:rPr>
              <w:fldChar w:fldCharType="separate"/>
            </w:r>
            <w:r w:rsidR="00C25F89">
              <w:rPr>
                <w:webHidden/>
              </w:rPr>
              <w:t>3</w:t>
            </w:r>
            <w:r w:rsidR="00C25F89">
              <w:rPr>
                <w:webHidden/>
              </w:rPr>
              <w:fldChar w:fldCharType="end"/>
            </w:r>
          </w:hyperlink>
        </w:p>
        <w:p w14:paraId="6D457DF2" w14:textId="58A6BE59" w:rsidR="00C25F89" w:rsidRDefault="00612340">
          <w:pPr>
            <w:pStyle w:val="TOC2"/>
            <w:tabs>
              <w:tab w:val="left" w:pos="1760"/>
            </w:tabs>
            <w:rPr>
              <w:rFonts w:asciiTheme="minorHAnsi" w:eastAsiaTheme="minorEastAsia" w:hAnsiTheme="minorHAnsi" w:cstheme="minorBidi"/>
            </w:rPr>
          </w:pPr>
          <w:hyperlink w:anchor="_Toc117758216" w:history="1">
            <w:r w:rsidR="00C25F89" w:rsidRPr="00D40579">
              <w:rPr>
                <w:rStyle w:val="Hyperlink"/>
              </w:rPr>
              <w:t>ES.6.</w:t>
            </w:r>
            <w:r w:rsidR="00C25F89">
              <w:rPr>
                <w:rFonts w:asciiTheme="minorHAnsi" w:eastAsiaTheme="minorEastAsia" w:hAnsiTheme="minorHAnsi" w:cstheme="minorBidi"/>
              </w:rPr>
              <w:tab/>
            </w:r>
            <w:r w:rsidR="00C25F89" w:rsidRPr="00D40579">
              <w:rPr>
                <w:rStyle w:val="Hyperlink"/>
              </w:rPr>
              <w:t>Clinical management algorithm</w:t>
            </w:r>
            <w:r w:rsidR="00C25F89">
              <w:rPr>
                <w:webHidden/>
              </w:rPr>
              <w:tab/>
            </w:r>
            <w:r w:rsidR="00C25F89">
              <w:rPr>
                <w:webHidden/>
              </w:rPr>
              <w:fldChar w:fldCharType="begin"/>
            </w:r>
            <w:r w:rsidR="00C25F89">
              <w:rPr>
                <w:webHidden/>
              </w:rPr>
              <w:instrText xml:space="preserve"> PAGEREF _Toc117758216 \h </w:instrText>
            </w:r>
            <w:r w:rsidR="00C25F89">
              <w:rPr>
                <w:webHidden/>
              </w:rPr>
            </w:r>
            <w:r w:rsidR="00C25F89">
              <w:rPr>
                <w:webHidden/>
              </w:rPr>
              <w:fldChar w:fldCharType="separate"/>
            </w:r>
            <w:r w:rsidR="00C25F89">
              <w:rPr>
                <w:webHidden/>
              </w:rPr>
              <w:t>3</w:t>
            </w:r>
            <w:r w:rsidR="00C25F89">
              <w:rPr>
                <w:webHidden/>
              </w:rPr>
              <w:fldChar w:fldCharType="end"/>
            </w:r>
          </w:hyperlink>
        </w:p>
        <w:p w14:paraId="1DFD8BB3" w14:textId="4EE21C67" w:rsidR="00C25F89" w:rsidRDefault="00612340">
          <w:pPr>
            <w:pStyle w:val="TOC2"/>
            <w:tabs>
              <w:tab w:val="left" w:pos="1760"/>
            </w:tabs>
            <w:rPr>
              <w:rFonts w:asciiTheme="minorHAnsi" w:eastAsiaTheme="minorEastAsia" w:hAnsiTheme="minorHAnsi" w:cstheme="minorBidi"/>
            </w:rPr>
          </w:pPr>
          <w:hyperlink w:anchor="_Toc117758217" w:history="1">
            <w:r w:rsidR="00C25F89" w:rsidRPr="00D40579">
              <w:rPr>
                <w:rStyle w:val="Hyperlink"/>
              </w:rPr>
              <w:t>ES.7</w:t>
            </w:r>
            <w:r w:rsidR="00C25F89">
              <w:rPr>
                <w:rFonts w:asciiTheme="minorHAnsi" w:eastAsiaTheme="minorEastAsia" w:hAnsiTheme="minorHAnsi" w:cstheme="minorBidi"/>
              </w:rPr>
              <w:tab/>
            </w:r>
            <w:r w:rsidR="00C25F89" w:rsidRPr="00D40579">
              <w:rPr>
                <w:rStyle w:val="Hyperlink"/>
              </w:rPr>
              <w:t>Key Differences in the Delivery of the Proposed Medical Service and the Main Comparator</w:t>
            </w:r>
            <w:r w:rsidR="00C25F89">
              <w:rPr>
                <w:webHidden/>
              </w:rPr>
              <w:tab/>
            </w:r>
            <w:r w:rsidR="00C25F89">
              <w:rPr>
                <w:webHidden/>
              </w:rPr>
              <w:fldChar w:fldCharType="begin"/>
            </w:r>
            <w:r w:rsidR="00C25F89">
              <w:rPr>
                <w:webHidden/>
              </w:rPr>
              <w:instrText xml:space="preserve"> PAGEREF _Toc117758217 \h </w:instrText>
            </w:r>
            <w:r w:rsidR="00C25F89">
              <w:rPr>
                <w:webHidden/>
              </w:rPr>
            </w:r>
            <w:r w:rsidR="00C25F89">
              <w:rPr>
                <w:webHidden/>
              </w:rPr>
              <w:fldChar w:fldCharType="separate"/>
            </w:r>
            <w:r w:rsidR="00C25F89">
              <w:rPr>
                <w:webHidden/>
              </w:rPr>
              <w:t>5</w:t>
            </w:r>
            <w:r w:rsidR="00C25F89">
              <w:rPr>
                <w:webHidden/>
              </w:rPr>
              <w:fldChar w:fldCharType="end"/>
            </w:r>
          </w:hyperlink>
        </w:p>
        <w:p w14:paraId="22E52354" w14:textId="6D18EC19" w:rsidR="00C25F89" w:rsidRDefault="00612340">
          <w:pPr>
            <w:pStyle w:val="TOC2"/>
            <w:tabs>
              <w:tab w:val="left" w:pos="1760"/>
            </w:tabs>
            <w:rPr>
              <w:rFonts w:asciiTheme="minorHAnsi" w:eastAsiaTheme="minorEastAsia" w:hAnsiTheme="minorHAnsi" w:cstheme="minorBidi"/>
            </w:rPr>
          </w:pPr>
          <w:hyperlink w:anchor="_Toc117758218" w:history="1">
            <w:r w:rsidR="00C25F89" w:rsidRPr="00D40579">
              <w:rPr>
                <w:rStyle w:val="Hyperlink"/>
              </w:rPr>
              <w:t>ES.8</w:t>
            </w:r>
            <w:r w:rsidR="00C25F89">
              <w:rPr>
                <w:rFonts w:asciiTheme="minorHAnsi" w:eastAsiaTheme="minorEastAsia" w:hAnsiTheme="minorHAnsi" w:cstheme="minorBidi"/>
              </w:rPr>
              <w:tab/>
            </w:r>
            <w:r w:rsidR="00C25F89" w:rsidRPr="00D40579">
              <w:rPr>
                <w:rStyle w:val="Hyperlink"/>
              </w:rPr>
              <w:t>Clinical Claim</w:t>
            </w:r>
            <w:r w:rsidR="00C25F89">
              <w:rPr>
                <w:webHidden/>
              </w:rPr>
              <w:tab/>
            </w:r>
            <w:r w:rsidR="00C25F89">
              <w:rPr>
                <w:webHidden/>
              </w:rPr>
              <w:fldChar w:fldCharType="begin"/>
            </w:r>
            <w:r w:rsidR="00C25F89">
              <w:rPr>
                <w:webHidden/>
              </w:rPr>
              <w:instrText xml:space="preserve"> PAGEREF _Toc117758218 \h </w:instrText>
            </w:r>
            <w:r w:rsidR="00C25F89">
              <w:rPr>
                <w:webHidden/>
              </w:rPr>
            </w:r>
            <w:r w:rsidR="00C25F89">
              <w:rPr>
                <w:webHidden/>
              </w:rPr>
              <w:fldChar w:fldCharType="separate"/>
            </w:r>
            <w:r w:rsidR="00C25F89">
              <w:rPr>
                <w:webHidden/>
              </w:rPr>
              <w:t>6</w:t>
            </w:r>
            <w:r w:rsidR="00C25F89">
              <w:rPr>
                <w:webHidden/>
              </w:rPr>
              <w:fldChar w:fldCharType="end"/>
            </w:r>
          </w:hyperlink>
        </w:p>
        <w:p w14:paraId="4B890410" w14:textId="0D4C28C1" w:rsidR="00C25F89" w:rsidRDefault="00612340">
          <w:pPr>
            <w:pStyle w:val="TOC2"/>
            <w:tabs>
              <w:tab w:val="left" w:pos="1760"/>
            </w:tabs>
            <w:rPr>
              <w:rFonts w:asciiTheme="minorHAnsi" w:eastAsiaTheme="minorEastAsia" w:hAnsiTheme="minorHAnsi" w:cstheme="minorBidi"/>
            </w:rPr>
          </w:pPr>
          <w:hyperlink w:anchor="_Toc117758219" w:history="1">
            <w:r w:rsidR="00C25F89" w:rsidRPr="00D40579">
              <w:rPr>
                <w:rStyle w:val="Hyperlink"/>
              </w:rPr>
              <w:t>ES.9</w:t>
            </w:r>
            <w:r w:rsidR="00C25F89">
              <w:rPr>
                <w:rFonts w:asciiTheme="minorHAnsi" w:eastAsiaTheme="minorEastAsia" w:hAnsiTheme="minorHAnsi" w:cstheme="minorBidi"/>
              </w:rPr>
              <w:tab/>
            </w:r>
            <w:r w:rsidR="00C25F89" w:rsidRPr="00D40579">
              <w:rPr>
                <w:rStyle w:val="Hyperlink"/>
              </w:rPr>
              <w:t>Results</w:t>
            </w:r>
            <w:r w:rsidR="00C25F89">
              <w:rPr>
                <w:webHidden/>
              </w:rPr>
              <w:tab/>
            </w:r>
            <w:r w:rsidR="00C25F89">
              <w:rPr>
                <w:webHidden/>
              </w:rPr>
              <w:fldChar w:fldCharType="begin"/>
            </w:r>
            <w:r w:rsidR="00C25F89">
              <w:rPr>
                <w:webHidden/>
              </w:rPr>
              <w:instrText xml:space="preserve"> PAGEREF _Toc117758219 \h </w:instrText>
            </w:r>
            <w:r w:rsidR="00C25F89">
              <w:rPr>
                <w:webHidden/>
              </w:rPr>
            </w:r>
            <w:r w:rsidR="00C25F89">
              <w:rPr>
                <w:webHidden/>
              </w:rPr>
              <w:fldChar w:fldCharType="separate"/>
            </w:r>
            <w:r w:rsidR="00C25F89">
              <w:rPr>
                <w:webHidden/>
              </w:rPr>
              <w:t>6</w:t>
            </w:r>
            <w:r w:rsidR="00C25F89">
              <w:rPr>
                <w:webHidden/>
              </w:rPr>
              <w:fldChar w:fldCharType="end"/>
            </w:r>
          </w:hyperlink>
        </w:p>
        <w:p w14:paraId="626DBCA4" w14:textId="2804AAFB" w:rsidR="00C25F89" w:rsidRDefault="00612340">
          <w:pPr>
            <w:pStyle w:val="TOC3"/>
            <w:tabs>
              <w:tab w:val="left" w:pos="2298"/>
            </w:tabs>
            <w:rPr>
              <w:rFonts w:asciiTheme="minorHAnsi" w:eastAsiaTheme="minorEastAsia" w:hAnsiTheme="minorHAnsi" w:cstheme="minorBidi"/>
            </w:rPr>
          </w:pPr>
          <w:hyperlink w:anchor="_Toc117758220" w:history="1">
            <w:r w:rsidR="00C25F89" w:rsidRPr="00D40579">
              <w:rPr>
                <w:rStyle w:val="Hyperlink"/>
              </w:rPr>
              <w:t>ES.9.1</w:t>
            </w:r>
            <w:r w:rsidR="00C25F89">
              <w:rPr>
                <w:rFonts w:asciiTheme="minorHAnsi" w:eastAsiaTheme="minorEastAsia" w:hAnsiTheme="minorHAnsi" w:cstheme="minorBidi"/>
              </w:rPr>
              <w:tab/>
            </w:r>
            <w:r w:rsidR="00C25F89" w:rsidRPr="00D40579">
              <w:rPr>
                <w:rStyle w:val="Hyperlink"/>
              </w:rPr>
              <w:t>Effectiveness</w:t>
            </w:r>
            <w:r w:rsidR="00C25F89">
              <w:rPr>
                <w:webHidden/>
              </w:rPr>
              <w:tab/>
            </w:r>
            <w:r w:rsidR="00C25F89">
              <w:rPr>
                <w:webHidden/>
              </w:rPr>
              <w:fldChar w:fldCharType="begin"/>
            </w:r>
            <w:r w:rsidR="00C25F89">
              <w:rPr>
                <w:webHidden/>
              </w:rPr>
              <w:instrText xml:space="preserve"> PAGEREF _Toc117758220 \h </w:instrText>
            </w:r>
            <w:r w:rsidR="00C25F89">
              <w:rPr>
                <w:webHidden/>
              </w:rPr>
            </w:r>
            <w:r w:rsidR="00C25F89">
              <w:rPr>
                <w:webHidden/>
              </w:rPr>
              <w:fldChar w:fldCharType="separate"/>
            </w:r>
            <w:r w:rsidR="00C25F89">
              <w:rPr>
                <w:webHidden/>
              </w:rPr>
              <w:t>6</w:t>
            </w:r>
            <w:r w:rsidR="00C25F89">
              <w:rPr>
                <w:webHidden/>
              </w:rPr>
              <w:fldChar w:fldCharType="end"/>
            </w:r>
          </w:hyperlink>
        </w:p>
        <w:p w14:paraId="26EACFD3" w14:textId="28646477" w:rsidR="00C25F89" w:rsidRDefault="00612340">
          <w:pPr>
            <w:pStyle w:val="TOC2"/>
            <w:tabs>
              <w:tab w:val="left" w:pos="1760"/>
            </w:tabs>
            <w:rPr>
              <w:rFonts w:asciiTheme="minorHAnsi" w:eastAsiaTheme="minorEastAsia" w:hAnsiTheme="minorHAnsi" w:cstheme="minorBidi"/>
            </w:rPr>
          </w:pPr>
          <w:hyperlink w:anchor="_Toc117758221" w:history="1">
            <w:r w:rsidR="00C25F89" w:rsidRPr="00D40579">
              <w:rPr>
                <w:rStyle w:val="Hyperlink"/>
              </w:rPr>
              <w:t>ES.10</w:t>
            </w:r>
            <w:r w:rsidR="00C25F89">
              <w:rPr>
                <w:rFonts w:asciiTheme="minorHAnsi" w:eastAsiaTheme="minorEastAsia" w:hAnsiTheme="minorHAnsi" w:cstheme="minorBidi"/>
              </w:rPr>
              <w:tab/>
            </w:r>
            <w:r w:rsidR="00C25F89" w:rsidRPr="00D40579">
              <w:rPr>
                <w:rStyle w:val="Hyperlink"/>
              </w:rPr>
              <w:t>Translation Issues</w:t>
            </w:r>
            <w:r w:rsidR="00C25F89">
              <w:rPr>
                <w:webHidden/>
              </w:rPr>
              <w:tab/>
            </w:r>
            <w:r w:rsidR="00C25F89">
              <w:rPr>
                <w:webHidden/>
              </w:rPr>
              <w:fldChar w:fldCharType="begin"/>
            </w:r>
            <w:r w:rsidR="00C25F89">
              <w:rPr>
                <w:webHidden/>
              </w:rPr>
              <w:instrText xml:space="preserve"> PAGEREF _Toc117758221 \h </w:instrText>
            </w:r>
            <w:r w:rsidR="00C25F89">
              <w:rPr>
                <w:webHidden/>
              </w:rPr>
            </w:r>
            <w:r w:rsidR="00C25F89">
              <w:rPr>
                <w:webHidden/>
              </w:rPr>
              <w:fldChar w:fldCharType="separate"/>
            </w:r>
            <w:r w:rsidR="00C25F89">
              <w:rPr>
                <w:webHidden/>
              </w:rPr>
              <w:t>8</w:t>
            </w:r>
            <w:r w:rsidR="00C25F89">
              <w:rPr>
                <w:webHidden/>
              </w:rPr>
              <w:fldChar w:fldCharType="end"/>
            </w:r>
          </w:hyperlink>
        </w:p>
        <w:p w14:paraId="193388E1" w14:textId="6F1E5186" w:rsidR="00C25F89" w:rsidRDefault="00612340">
          <w:pPr>
            <w:pStyle w:val="TOC2"/>
            <w:tabs>
              <w:tab w:val="left" w:pos="1760"/>
            </w:tabs>
            <w:rPr>
              <w:rFonts w:asciiTheme="minorHAnsi" w:eastAsiaTheme="minorEastAsia" w:hAnsiTheme="minorHAnsi" w:cstheme="minorBidi"/>
            </w:rPr>
          </w:pPr>
          <w:hyperlink w:anchor="_Toc117758222" w:history="1">
            <w:r w:rsidR="00C25F89" w:rsidRPr="00D40579">
              <w:rPr>
                <w:rStyle w:val="Hyperlink"/>
              </w:rPr>
              <w:t>ES.11</w:t>
            </w:r>
            <w:r w:rsidR="00C25F89">
              <w:rPr>
                <w:rFonts w:asciiTheme="minorHAnsi" w:eastAsiaTheme="minorEastAsia" w:hAnsiTheme="minorHAnsi" w:cstheme="minorBidi"/>
              </w:rPr>
              <w:tab/>
            </w:r>
            <w:r w:rsidR="00C25F89" w:rsidRPr="00D40579">
              <w:rPr>
                <w:rStyle w:val="Hyperlink"/>
              </w:rPr>
              <w:t>Economic Evaluation</w:t>
            </w:r>
            <w:r w:rsidR="00C25F89">
              <w:rPr>
                <w:webHidden/>
              </w:rPr>
              <w:tab/>
            </w:r>
            <w:r w:rsidR="00C25F89">
              <w:rPr>
                <w:webHidden/>
              </w:rPr>
              <w:fldChar w:fldCharType="begin"/>
            </w:r>
            <w:r w:rsidR="00C25F89">
              <w:rPr>
                <w:webHidden/>
              </w:rPr>
              <w:instrText xml:space="preserve"> PAGEREF _Toc117758222 \h </w:instrText>
            </w:r>
            <w:r w:rsidR="00C25F89">
              <w:rPr>
                <w:webHidden/>
              </w:rPr>
            </w:r>
            <w:r w:rsidR="00C25F89">
              <w:rPr>
                <w:webHidden/>
              </w:rPr>
              <w:fldChar w:fldCharType="separate"/>
            </w:r>
            <w:r w:rsidR="00C25F89">
              <w:rPr>
                <w:webHidden/>
              </w:rPr>
              <w:t>8</w:t>
            </w:r>
            <w:r w:rsidR="00C25F89">
              <w:rPr>
                <w:webHidden/>
              </w:rPr>
              <w:fldChar w:fldCharType="end"/>
            </w:r>
          </w:hyperlink>
        </w:p>
        <w:p w14:paraId="6916CE31" w14:textId="6F60C5DD" w:rsidR="00C25F89" w:rsidRDefault="00612340">
          <w:pPr>
            <w:pStyle w:val="TOC2"/>
            <w:tabs>
              <w:tab w:val="left" w:pos="1760"/>
            </w:tabs>
            <w:rPr>
              <w:rFonts w:asciiTheme="minorHAnsi" w:eastAsiaTheme="minorEastAsia" w:hAnsiTheme="minorHAnsi" w:cstheme="minorBidi"/>
            </w:rPr>
          </w:pPr>
          <w:hyperlink w:anchor="_Toc117758223" w:history="1">
            <w:r w:rsidR="00C25F89" w:rsidRPr="00D40579">
              <w:rPr>
                <w:rStyle w:val="Hyperlink"/>
              </w:rPr>
              <w:t>ES.12</w:t>
            </w:r>
            <w:r w:rsidR="00C25F89">
              <w:rPr>
                <w:rFonts w:asciiTheme="minorHAnsi" w:eastAsiaTheme="minorEastAsia" w:hAnsiTheme="minorHAnsi" w:cstheme="minorBidi"/>
              </w:rPr>
              <w:tab/>
            </w:r>
            <w:r w:rsidR="00C25F89" w:rsidRPr="00D40579">
              <w:rPr>
                <w:rStyle w:val="Hyperlink"/>
              </w:rPr>
              <w:t>Estimated Extent of Use and Financial Implications</w:t>
            </w:r>
            <w:r w:rsidR="00C25F89">
              <w:rPr>
                <w:webHidden/>
              </w:rPr>
              <w:tab/>
            </w:r>
            <w:r w:rsidR="00C25F89">
              <w:rPr>
                <w:webHidden/>
              </w:rPr>
              <w:fldChar w:fldCharType="begin"/>
            </w:r>
            <w:r w:rsidR="00C25F89">
              <w:rPr>
                <w:webHidden/>
              </w:rPr>
              <w:instrText xml:space="preserve"> PAGEREF _Toc117758223 \h </w:instrText>
            </w:r>
            <w:r w:rsidR="00C25F89">
              <w:rPr>
                <w:webHidden/>
              </w:rPr>
            </w:r>
            <w:r w:rsidR="00C25F89">
              <w:rPr>
                <w:webHidden/>
              </w:rPr>
              <w:fldChar w:fldCharType="separate"/>
            </w:r>
            <w:r w:rsidR="00C25F89">
              <w:rPr>
                <w:webHidden/>
              </w:rPr>
              <w:t>9</w:t>
            </w:r>
            <w:r w:rsidR="00C25F89">
              <w:rPr>
                <w:webHidden/>
              </w:rPr>
              <w:fldChar w:fldCharType="end"/>
            </w:r>
          </w:hyperlink>
        </w:p>
        <w:p w14:paraId="2AF11F52" w14:textId="2F2289CD" w:rsidR="00C25F89" w:rsidRDefault="00612340">
          <w:pPr>
            <w:pStyle w:val="TOC1"/>
            <w:rPr>
              <w:rFonts w:asciiTheme="minorHAnsi" w:eastAsiaTheme="minorEastAsia" w:hAnsiTheme="minorHAnsi" w:cstheme="minorBidi"/>
              <w:b w:val="0"/>
            </w:rPr>
          </w:pPr>
          <w:hyperlink w:anchor="_Toc117758224" w:history="1">
            <w:r w:rsidR="00C25F89" w:rsidRPr="00D40579">
              <w:rPr>
                <w:rStyle w:val="Hyperlink"/>
              </w:rPr>
              <w:t>Section A: Context</w:t>
            </w:r>
            <w:r w:rsidR="00C25F89">
              <w:rPr>
                <w:webHidden/>
              </w:rPr>
              <w:tab/>
            </w:r>
            <w:r w:rsidR="00C25F89">
              <w:rPr>
                <w:webHidden/>
              </w:rPr>
              <w:fldChar w:fldCharType="begin"/>
            </w:r>
            <w:r w:rsidR="00C25F89">
              <w:rPr>
                <w:webHidden/>
              </w:rPr>
              <w:instrText xml:space="preserve"> PAGEREF _Toc117758224 \h </w:instrText>
            </w:r>
            <w:r w:rsidR="00C25F89">
              <w:rPr>
                <w:webHidden/>
              </w:rPr>
            </w:r>
            <w:r w:rsidR="00C25F89">
              <w:rPr>
                <w:webHidden/>
              </w:rPr>
              <w:fldChar w:fldCharType="separate"/>
            </w:r>
            <w:r w:rsidR="00C25F89">
              <w:rPr>
                <w:webHidden/>
              </w:rPr>
              <w:t>10</w:t>
            </w:r>
            <w:r w:rsidR="00C25F89">
              <w:rPr>
                <w:webHidden/>
              </w:rPr>
              <w:fldChar w:fldCharType="end"/>
            </w:r>
          </w:hyperlink>
        </w:p>
        <w:p w14:paraId="7F4B4761" w14:textId="287CB984" w:rsidR="00C25F89" w:rsidRDefault="00612340">
          <w:pPr>
            <w:pStyle w:val="TOC2"/>
            <w:tabs>
              <w:tab w:val="left" w:pos="1540"/>
            </w:tabs>
            <w:rPr>
              <w:rFonts w:asciiTheme="minorHAnsi" w:eastAsiaTheme="minorEastAsia" w:hAnsiTheme="minorHAnsi" w:cstheme="minorBidi"/>
            </w:rPr>
          </w:pPr>
          <w:hyperlink w:anchor="_Toc117758225" w:history="1">
            <w:r w:rsidR="00C25F89" w:rsidRPr="00D40579">
              <w:rPr>
                <w:rStyle w:val="Hyperlink"/>
              </w:rPr>
              <w:t>A.1.</w:t>
            </w:r>
            <w:r w:rsidR="00C25F89">
              <w:rPr>
                <w:rFonts w:asciiTheme="minorHAnsi" w:eastAsiaTheme="minorEastAsia" w:hAnsiTheme="minorHAnsi" w:cstheme="minorBidi"/>
              </w:rPr>
              <w:tab/>
            </w:r>
            <w:r w:rsidR="00C25F89" w:rsidRPr="00D40579">
              <w:rPr>
                <w:rStyle w:val="Hyperlink"/>
              </w:rPr>
              <w:t>Items in the agreed PICO Confirmation</w:t>
            </w:r>
            <w:r w:rsidR="00C25F89">
              <w:rPr>
                <w:webHidden/>
              </w:rPr>
              <w:tab/>
            </w:r>
            <w:r w:rsidR="00C25F89">
              <w:rPr>
                <w:webHidden/>
              </w:rPr>
              <w:fldChar w:fldCharType="begin"/>
            </w:r>
            <w:r w:rsidR="00C25F89">
              <w:rPr>
                <w:webHidden/>
              </w:rPr>
              <w:instrText xml:space="preserve"> PAGEREF _Toc117758225 \h </w:instrText>
            </w:r>
            <w:r w:rsidR="00C25F89">
              <w:rPr>
                <w:webHidden/>
              </w:rPr>
            </w:r>
            <w:r w:rsidR="00C25F89">
              <w:rPr>
                <w:webHidden/>
              </w:rPr>
              <w:fldChar w:fldCharType="separate"/>
            </w:r>
            <w:r w:rsidR="00C25F89">
              <w:rPr>
                <w:webHidden/>
              </w:rPr>
              <w:t>10</w:t>
            </w:r>
            <w:r w:rsidR="00C25F89">
              <w:rPr>
                <w:webHidden/>
              </w:rPr>
              <w:fldChar w:fldCharType="end"/>
            </w:r>
          </w:hyperlink>
        </w:p>
        <w:p w14:paraId="05FE5618" w14:textId="2E38376D" w:rsidR="00C25F89" w:rsidRDefault="00612340">
          <w:pPr>
            <w:pStyle w:val="TOC3"/>
            <w:tabs>
              <w:tab w:val="left" w:pos="2213"/>
            </w:tabs>
            <w:rPr>
              <w:rFonts w:asciiTheme="minorHAnsi" w:eastAsiaTheme="minorEastAsia" w:hAnsiTheme="minorHAnsi" w:cstheme="minorBidi"/>
            </w:rPr>
          </w:pPr>
          <w:hyperlink w:anchor="_Toc117758226" w:history="1">
            <w:r w:rsidR="00C25F89" w:rsidRPr="00D40579">
              <w:rPr>
                <w:rStyle w:val="Hyperlink"/>
              </w:rPr>
              <w:t>A.1.1.</w:t>
            </w:r>
            <w:r w:rsidR="00C25F89">
              <w:rPr>
                <w:rFonts w:asciiTheme="minorHAnsi" w:eastAsiaTheme="minorEastAsia" w:hAnsiTheme="minorHAnsi" w:cstheme="minorBidi"/>
              </w:rPr>
              <w:tab/>
            </w:r>
            <w:r w:rsidR="00C25F89" w:rsidRPr="00D40579">
              <w:rPr>
                <w:rStyle w:val="Hyperlink"/>
              </w:rPr>
              <w:t>Proposed Medical Service</w:t>
            </w:r>
            <w:r w:rsidR="00C25F89">
              <w:rPr>
                <w:webHidden/>
              </w:rPr>
              <w:tab/>
            </w:r>
            <w:r w:rsidR="00C25F89">
              <w:rPr>
                <w:webHidden/>
              </w:rPr>
              <w:fldChar w:fldCharType="begin"/>
            </w:r>
            <w:r w:rsidR="00C25F89">
              <w:rPr>
                <w:webHidden/>
              </w:rPr>
              <w:instrText xml:space="preserve"> PAGEREF _Toc117758226 \h </w:instrText>
            </w:r>
            <w:r w:rsidR="00C25F89">
              <w:rPr>
                <w:webHidden/>
              </w:rPr>
            </w:r>
            <w:r w:rsidR="00C25F89">
              <w:rPr>
                <w:webHidden/>
              </w:rPr>
              <w:fldChar w:fldCharType="separate"/>
            </w:r>
            <w:r w:rsidR="00C25F89">
              <w:rPr>
                <w:webHidden/>
              </w:rPr>
              <w:t>10</w:t>
            </w:r>
            <w:r w:rsidR="00C25F89">
              <w:rPr>
                <w:webHidden/>
              </w:rPr>
              <w:fldChar w:fldCharType="end"/>
            </w:r>
          </w:hyperlink>
        </w:p>
        <w:p w14:paraId="093981F5" w14:textId="1C78A77C" w:rsidR="00C25F89" w:rsidRDefault="00612340">
          <w:pPr>
            <w:pStyle w:val="TOC3"/>
            <w:tabs>
              <w:tab w:val="left" w:pos="2213"/>
            </w:tabs>
            <w:rPr>
              <w:rFonts w:asciiTheme="minorHAnsi" w:eastAsiaTheme="minorEastAsia" w:hAnsiTheme="minorHAnsi" w:cstheme="minorBidi"/>
            </w:rPr>
          </w:pPr>
          <w:hyperlink w:anchor="_Toc117758227" w:history="1">
            <w:r w:rsidR="00C25F89" w:rsidRPr="00D40579">
              <w:rPr>
                <w:rStyle w:val="Hyperlink"/>
              </w:rPr>
              <w:t>A.1.2.</w:t>
            </w:r>
            <w:r w:rsidR="00C25F89">
              <w:rPr>
                <w:rFonts w:asciiTheme="minorHAnsi" w:eastAsiaTheme="minorEastAsia" w:hAnsiTheme="minorHAnsi" w:cstheme="minorBidi"/>
              </w:rPr>
              <w:tab/>
            </w:r>
            <w:r w:rsidR="00C25F89" w:rsidRPr="00D40579">
              <w:rPr>
                <w:rStyle w:val="Hyperlink"/>
              </w:rPr>
              <w:t>Other Indications</w:t>
            </w:r>
            <w:r w:rsidR="00C25F89">
              <w:rPr>
                <w:webHidden/>
              </w:rPr>
              <w:tab/>
            </w:r>
            <w:r w:rsidR="00C25F89">
              <w:rPr>
                <w:webHidden/>
              </w:rPr>
              <w:fldChar w:fldCharType="begin"/>
            </w:r>
            <w:r w:rsidR="00C25F89">
              <w:rPr>
                <w:webHidden/>
              </w:rPr>
              <w:instrText xml:space="preserve"> PAGEREF _Toc117758227 \h </w:instrText>
            </w:r>
            <w:r w:rsidR="00C25F89">
              <w:rPr>
                <w:webHidden/>
              </w:rPr>
            </w:r>
            <w:r w:rsidR="00C25F89">
              <w:rPr>
                <w:webHidden/>
              </w:rPr>
              <w:fldChar w:fldCharType="separate"/>
            </w:r>
            <w:r w:rsidR="00C25F89">
              <w:rPr>
                <w:webHidden/>
              </w:rPr>
              <w:t>11</w:t>
            </w:r>
            <w:r w:rsidR="00C25F89">
              <w:rPr>
                <w:webHidden/>
              </w:rPr>
              <w:fldChar w:fldCharType="end"/>
            </w:r>
          </w:hyperlink>
        </w:p>
        <w:p w14:paraId="7E3B400F" w14:textId="22819E5A" w:rsidR="00C25F89" w:rsidRDefault="00612340">
          <w:pPr>
            <w:pStyle w:val="TOC3"/>
            <w:tabs>
              <w:tab w:val="left" w:pos="2213"/>
            </w:tabs>
            <w:rPr>
              <w:rFonts w:asciiTheme="minorHAnsi" w:eastAsiaTheme="minorEastAsia" w:hAnsiTheme="minorHAnsi" w:cstheme="minorBidi"/>
            </w:rPr>
          </w:pPr>
          <w:hyperlink w:anchor="_Toc117758228" w:history="1">
            <w:r w:rsidR="00C25F89" w:rsidRPr="00D40579">
              <w:rPr>
                <w:rStyle w:val="Hyperlink"/>
              </w:rPr>
              <w:t>A.1.3.</w:t>
            </w:r>
            <w:r w:rsidR="00C25F89">
              <w:rPr>
                <w:rFonts w:asciiTheme="minorHAnsi" w:eastAsiaTheme="minorEastAsia" w:hAnsiTheme="minorHAnsi" w:cstheme="minorBidi"/>
              </w:rPr>
              <w:tab/>
            </w:r>
            <w:r w:rsidR="00C25F89" w:rsidRPr="00D40579">
              <w:rPr>
                <w:rStyle w:val="Hyperlink"/>
              </w:rPr>
              <w:t>Current funding arrangements</w:t>
            </w:r>
            <w:r w:rsidR="00C25F89">
              <w:rPr>
                <w:webHidden/>
              </w:rPr>
              <w:tab/>
            </w:r>
            <w:r w:rsidR="00C25F89">
              <w:rPr>
                <w:webHidden/>
              </w:rPr>
              <w:fldChar w:fldCharType="begin"/>
            </w:r>
            <w:r w:rsidR="00C25F89">
              <w:rPr>
                <w:webHidden/>
              </w:rPr>
              <w:instrText xml:space="preserve"> PAGEREF _Toc117758228 \h </w:instrText>
            </w:r>
            <w:r w:rsidR="00C25F89">
              <w:rPr>
                <w:webHidden/>
              </w:rPr>
            </w:r>
            <w:r w:rsidR="00C25F89">
              <w:rPr>
                <w:webHidden/>
              </w:rPr>
              <w:fldChar w:fldCharType="separate"/>
            </w:r>
            <w:r w:rsidR="00C25F89">
              <w:rPr>
                <w:webHidden/>
              </w:rPr>
              <w:t>11</w:t>
            </w:r>
            <w:r w:rsidR="00C25F89">
              <w:rPr>
                <w:webHidden/>
              </w:rPr>
              <w:fldChar w:fldCharType="end"/>
            </w:r>
          </w:hyperlink>
        </w:p>
        <w:p w14:paraId="42157829" w14:textId="052A04BE" w:rsidR="00C25F89" w:rsidRDefault="00612340">
          <w:pPr>
            <w:pStyle w:val="TOC2"/>
            <w:tabs>
              <w:tab w:val="left" w:pos="1540"/>
            </w:tabs>
            <w:rPr>
              <w:rFonts w:asciiTheme="minorHAnsi" w:eastAsiaTheme="minorEastAsia" w:hAnsiTheme="minorHAnsi" w:cstheme="minorBidi"/>
            </w:rPr>
          </w:pPr>
          <w:hyperlink w:anchor="_Toc117758229" w:history="1">
            <w:r w:rsidR="00C25F89" w:rsidRPr="00D40579">
              <w:rPr>
                <w:rStyle w:val="Hyperlink"/>
              </w:rPr>
              <w:t>A.2.</w:t>
            </w:r>
            <w:r w:rsidR="00C25F89">
              <w:rPr>
                <w:rFonts w:asciiTheme="minorHAnsi" w:eastAsiaTheme="minorEastAsia" w:hAnsiTheme="minorHAnsi" w:cstheme="minorBidi"/>
              </w:rPr>
              <w:tab/>
            </w:r>
            <w:r w:rsidR="00C25F89" w:rsidRPr="00D40579">
              <w:rPr>
                <w:rStyle w:val="Hyperlink"/>
              </w:rPr>
              <w:t>Proposal for Public Funding</w:t>
            </w:r>
            <w:r w:rsidR="00C25F89">
              <w:rPr>
                <w:webHidden/>
              </w:rPr>
              <w:tab/>
            </w:r>
            <w:r w:rsidR="00C25F89">
              <w:rPr>
                <w:webHidden/>
              </w:rPr>
              <w:fldChar w:fldCharType="begin"/>
            </w:r>
            <w:r w:rsidR="00C25F89">
              <w:rPr>
                <w:webHidden/>
              </w:rPr>
              <w:instrText xml:space="preserve"> PAGEREF _Toc117758229 \h </w:instrText>
            </w:r>
            <w:r w:rsidR="00C25F89">
              <w:rPr>
                <w:webHidden/>
              </w:rPr>
            </w:r>
            <w:r w:rsidR="00C25F89">
              <w:rPr>
                <w:webHidden/>
              </w:rPr>
              <w:fldChar w:fldCharType="separate"/>
            </w:r>
            <w:r w:rsidR="00C25F89">
              <w:rPr>
                <w:webHidden/>
              </w:rPr>
              <w:t>11</w:t>
            </w:r>
            <w:r w:rsidR="00C25F89">
              <w:rPr>
                <w:webHidden/>
              </w:rPr>
              <w:fldChar w:fldCharType="end"/>
            </w:r>
          </w:hyperlink>
        </w:p>
        <w:p w14:paraId="4CAF8859" w14:textId="24772135" w:rsidR="00C25F89" w:rsidRDefault="00612340">
          <w:pPr>
            <w:pStyle w:val="TOC2"/>
            <w:tabs>
              <w:tab w:val="left" w:pos="1540"/>
            </w:tabs>
            <w:rPr>
              <w:rFonts w:asciiTheme="minorHAnsi" w:eastAsiaTheme="minorEastAsia" w:hAnsiTheme="minorHAnsi" w:cstheme="minorBidi"/>
            </w:rPr>
          </w:pPr>
          <w:hyperlink w:anchor="_Toc117758230" w:history="1">
            <w:r w:rsidR="00C25F89" w:rsidRPr="00D40579">
              <w:rPr>
                <w:rStyle w:val="Hyperlink"/>
              </w:rPr>
              <w:t>A.3.</w:t>
            </w:r>
            <w:r w:rsidR="00C25F89">
              <w:rPr>
                <w:rFonts w:asciiTheme="minorHAnsi" w:eastAsiaTheme="minorEastAsia" w:hAnsiTheme="minorHAnsi" w:cstheme="minorBidi"/>
              </w:rPr>
              <w:tab/>
            </w:r>
            <w:r w:rsidR="00C25F89" w:rsidRPr="00D40579">
              <w:rPr>
                <w:rStyle w:val="Hyperlink"/>
              </w:rPr>
              <w:t>Proposed population</w:t>
            </w:r>
            <w:r w:rsidR="00C25F89">
              <w:rPr>
                <w:webHidden/>
              </w:rPr>
              <w:tab/>
            </w:r>
            <w:r w:rsidR="00C25F89">
              <w:rPr>
                <w:webHidden/>
              </w:rPr>
              <w:fldChar w:fldCharType="begin"/>
            </w:r>
            <w:r w:rsidR="00C25F89">
              <w:rPr>
                <w:webHidden/>
              </w:rPr>
              <w:instrText xml:space="preserve"> PAGEREF _Toc117758230 \h </w:instrText>
            </w:r>
            <w:r w:rsidR="00C25F89">
              <w:rPr>
                <w:webHidden/>
              </w:rPr>
            </w:r>
            <w:r w:rsidR="00C25F89">
              <w:rPr>
                <w:webHidden/>
              </w:rPr>
              <w:fldChar w:fldCharType="separate"/>
            </w:r>
            <w:r w:rsidR="00C25F89">
              <w:rPr>
                <w:webHidden/>
              </w:rPr>
              <w:t>11</w:t>
            </w:r>
            <w:r w:rsidR="00C25F89">
              <w:rPr>
                <w:webHidden/>
              </w:rPr>
              <w:fldChar w:fldCharType="end"/>
            </w:r>
          </w:hyperlink>
        </w:p>
        <w:p w14:paraId="050E94CE" w14:textId="3AC5DC7B" w:rsidR="00C25F89" w:rsidRDefault="00612340">
          <w:pPr>
            <w:pStyle w:val="TOC3"/>
            <w:tabs>
              <w:tab w:val="left" w:pos="2213"/>
            </w:tabs>
            <w:rPr>
              <w:rFonts w:asciiTheme="minorHAnsi" w:eastAsiaTheme="minorEastAsia" w:hAnsiTheme="minorHAnsi" w:cstheme="minorBidi"/>
            </w:rPr>
          </w:pPr>
          <w:hyperlink w:anchor="_Toc117758231" w:history="1">
            <w:r w:rsidR="00C25F89" w:rsidRPr="00D40579">
              <w:rPr>
                <w:rStyle w:val="Hyperlink"/>
              </w:rPr>
              <w:t>A.3.1.</w:t>
            </w:r>
            <w:r w:rsidR="00C25F89">
              <w:rPr>
                <w:rFonts w:asciiTheme="minorHAnsi" w:eastAsiaTheme="minorEastAsia" w:hAnsiTheme="minorHAnsi" w:cstheme="minorBidi"/>
              </w:rPr>
              <w:tab/>
            </w:r>
            <w:r w:rsidR="00C25F89" w:rsidRPr="00D40579">
              <w:rPr>
                <w:rStyle w:val="Hyperlink"/>
              </w:rPr>
              <w:t>Rationale</w:t>
            </w:r>
            <w:r w:rsidR="00C25F89">
              <w:rPr>
                <w:webHidden/>
              </w:rPr>
              <w:tab/>
            </w:r>
            <w:r w:rsidR="00C25F89">
              <w:rPr>
                <w:webHidden/>
              </w:rPr>
              <w:fldChar w:fldCharType="begin"/>
            </w:r>
            <w:r w:rsidR="00C25F89">
              <w:rPr>
                <w:webHidden/>
              </w:rPr>
              <w:instrText xml:space="preserve"> PAGEREF _Toc117758231 \h </w:instrText>
            </w:r>
            <w:r w:rsidR="00C25F89">
              <w:rPr>
                <w:webHidden/>
              </w:rPr>
            </w:r>
            <w:r w:rsidR="00C25F89">
              <w:rPr>
                <w:webHidden/>
              </w:rPr>
              <w:fldChar w:fldCharType="separate"/>
            </w:r>
            <w:r w:rsidR="00C25F89">
              <w:rPr>
                <w:webHidden/>
              </w:rPr>
              <w:t>12</w:t>
            </w:r>
            <w:r w:rsidR="00C25F89">
              <w:rPr>
                <w:webHidden/>
              </w:rPr>
              <w:fldChar w:fldCharType="end"/>
            </w:r>
          </w:hyperlink>
        </w:p>
        <w:p w14:paraId="1B6F477A" w14:textId="73507440" w:rsidR="00C25F89" w:rsidRDefault="00612340">
          <w:pPr>
            <w:pStyle w:val="TOC3"/>
            <w:tabs>
              <w:tab w:val="left" w:pos="2213"/>
            </w:tabs>
            <w:rPr>
              <w:rFonts w:asciiTheme="minorHAnsi" w:eastAsiaTheme="minorEastAsia" w:hAnsiTheme="minorHAnsi" w:cstheme="minorBidi"/>
            </w:rPr>
          </w:pPr>
          <w:hyperlink w:anchor="_Toc117758232" w:history="1">
            <w:r w:rsidR="00C25F89" w:rsidRPr="00D40579">
              <w:rPr>
                <w:rStyle w:val="Hyperlink"/>
              </w:rPr>
              <w:t>A.3.2.</w:t>
            </w:r>
            <w:r w:rsidR="00C25F89">
              <w:rPr>
                <w:rFonts w:asciiTheme="minorHAnsi" w:eastAsiaTheme="minorEastAsia" w:hAnsiTheme="minorHAnsi" w:cstheme="minorBidi"/>
              </w:rPr>
              <w:tab/>
            </w:r>
            <w:r w:rsidR="00C25F89" w:rsidRPr="00D40579">
              <w:rPr>
                <w:rStyle w:val="Hyperlink"/>
              </w:rPr>
              <w:t>Exclusion criteria</w:t>
            </w:r>
            <w:r w:rsidR="00C25F89">
              <w:rPr>
                <w:webHidden/>
              </w:rPr>
              <w:tab/>
            </w:r>
            <w:r w:rsidR="00C25F89">
              <w:rPr>
                <w:webHidden/>
              </w:rPr>
              <w:fldChar w:fldCharType="begin"/>
            </w:r>
            <w:r w:rsidR="00C25F89">
              <w:rPr>
                <w:webHidden/>
              </w:rPr>
              <w:instrText xml:space="preserve"> PAGEREF _Toc117758232 \h </w:instrText>
            </w:r>
            <w:r w:rsidR="00C25F89">
              <w:rPr>
                <w:webHidden/>
              </w:rPr>
            </w:r>
            <w:r w:rsidR="00C25F89">
              <w:rPr>
                <w:webHidden/>
              </w:rPr>
              <w:fldChar w:fldCharType="separate"/>
            </w:r>
            <w:r w:rsidR="00C25F89">
              <w:rPr>
                <w:webHidden/>
              </w:rPr>
              <w:t>13</w:t>
            </w:r>
            <w:r w:rsidR="00C25F89">
              <w:rPr>
                <w:webHidden/>
              </w:rPr>
              <w:fldChar w:fldCharType="end"/>
            </w:r>
          </w:hyperlink>
        </w:p>
        <w:p w14:paraId="1715E658" w14:textId="475B7099" w:rsidR="00C25F89" w:rsidRDefault="00612340">
          <w:pPr>
            <w:pStyle w:val="TOC2"/>
            <w:tabs>
              <w:tab w:val="left" w:pos="1540"/>
            </w:tabs>
            <w:rPr>
              <w:rFonts w:asciiTheme="minorHAnsi" w:eastAsiaTheme="minorEastAsia" w:hAnsiTheme="minorHAnsi" w:cstheme="minorBidi"/>
            </w:rPr>
          </w:pPr>
          <w:hyperlink w:anchor="_Toc117758233" w:history="1">
            <w:r w:rsidR="00C25F89" w:rsidRPr="00D40579">
              <w:rPr>
                <w:rStyle w:val="Hyperlink"/>
              </w:rPr>
              <w:t>A.4.</w:t>
            </w:r>
            <w:r w:rsidR="00C25F89">
              <w:rPr>
                <w:rFonts w:asciiTheme="minorHAnsi" w:eastAsiaTheme="minorEastAsia" w:hAnsiTheme="minorHAnsi" w:cstheme="minorBidi"/>
              </w:rPr>
              <w:tab/>
            </w:r>
            <w:r w:rsidR="00C25F89" w:rsidRPr="00D40579">
              <w:rPr>
                <w:rStyle w:val="Hyperlink"/>
              </w:rPr>
              <w:t>Comparator Details</w:t>
            </w:r>
            <w:r w:rsidR="00C25F89">
              <w:rPr>
                <w:webHidden/>
              </w:rPr>
              <w:tab/>
            </w:r>
            <w:r w:rsidR="00C25F89">
              <w:rPr>
                <w:webHidden/>
              </w:rPr>
              <w:fldChar w:fldCharType="begin"/>
            </w:r>
            <w:r w:rsidR="00C25F89">
              <w:rPr>
                <w:webHidden/>
              </w:rPr>
              <w:instrText xml:space="preserve"> PAGEREF _Toc117758233 \h </w:instrText>
            </w:r>
            <w:r w:rsidR="00C25F89">
              <w:rPr>
                <w:webHidden/>
              </w:rPr>
            </w:r>
            <w:r w:rsidR="00C25F89">
              <w:rPr>
                <w:webHidden/>
              </w:rPr>
              <w:fldChar w:fldCharType="separate"/>
            </w:r>
            <w:r w:rsidR="00C25F89">
              <w:rPr>
                <w:webHidden/>
              </w:rPr>
              <w:t>14</w:t>
            </w:r>
            <w:r w:rsidR="00C25F89">
              <w:rPr>
                <w:webHidden/>
              </w:rPr>
              <w:fldChar w:fldCharType="end"/>
            </w:r>
          </w:hyperlink>
        </w:p>
        <w:p w14:paraId="3E327B56" w14:textId="5C979922" w:rsidR="00C25F89" w:rsidRDefault="00612340">
          <w:pPr>
            <w:pStyle w:val="TOC2"/>
            <w:tabs>
              <w:tab w:val="left" w:pos="1540"/>
            </w:tabs>
            <w:rPr>
              <w:rFonts w:asciiTheme="minorHAnsi" w:eastAsiaTheme="minorEastAsia" w:hAnsiTheme="minorHAnsi" w:cstheme="minorBidi"/>
            </w:rPr>
          </w:pPr>
          <w:hyperlink w:anchor="_Toc117758234" w:history="1">
            <w:r w:rsidR="00C25F89" w:rsidRPr="00D40579">
              <w:rPr>
                <w:rStyle w:val="Hyperlink"/>
              </w:rPr>
              <w:t>A.5.</w:t>
            </w:r>
            <w:r w:rsidR="00C25F89">
              <w:rPr>
                <w:rFonts w:asciiTheme="minorHAnsi" w:eastAsiaTheme="minorEastAsia" w:hAnsiTheme="minorHAnsi" w:cstheme="minorBidi"/>
              </w:rPr>
              <w:tab/>
            </w:r>
            <w:r w:rsidR="00C25F89" w:rsidRPr="00D40579">
              <w:rPr>
                <w:rStyle w:val="Hyperlink"/>
              </w:rPr>
              <w:t>Clinical management Algorithms</w:t>
            </w:r>
            <w:r w:rsidR="00C25F89">
              <w:rPr>
                <w:webHidden/>
              </w:rPr>
              <w:tab/>
            </w:r>
            <w:r w:rsidR="00C25F89">
              <w:rPr>
                <w:webHidden/>
              </w:rPr>
              <w:fldChar w:fldCharType="begin"/>
            </w:r>
            <w:r w:rsidR="00C25F89">
              <w:rPr>
                <w:webHidden/>
              </w:rPr>
              <w:instrText xml:space="preserve"> PAGEREF _Toc117758234 \h </w:instrText>
            </w:r>
            <w:r w:rsidR="00C25F89">
              <w:rPr>
                <w:webHidden/>
              </w:rPr>
            </w:r>
            <w:r w:rsidR="00C25F89">
              <w:rPr>
                <w:webHidden/>
              </w:rPr>
              <w:fldChar w:fldCharType="separate"/>
            </w:r>
            <w:r w:rsidR="00C25F89">
              <w:rPr>
                <w:webHidden/>
              </w:rPr>
              <w:t>14</w:t>
            </w:r>
            <w:r w:rsidR="00C25F89">
              <w:rPr>
                <w:webHidden/>
              </w:rPr>
              <w:fldChar w:fldCharType="end"/>
            </w:r>
          </w:hyperlink>
        </w:p>
        <w:p w14:paraId="31B26304" w14:textId="620822E2" w:rsidR="00C25F89" w:rsidRDefault="00612340">
          <w:pPr>
            <w:pStyle w:val="TOC2"/>
            <w:tabs>
              <w:tab w:val="left" w:pos="1540"/>
            </w:tabs>
            <w:rPr>
              <w:rFonts w:asciiTheme="minorHAnsi" w:eastAsiaTheme="minorEastAsia" w:hAnsiTheme="minorHAnsi" w:cstheme="minorBidi"/>
            </w:rPr>
          </w:pPr>
          <w:hyperlink w:anchor="_Toc117758235" w:history="1">
            <w:r w:rsidR="00C25F89" w:rsidRPr="00D40579">
              <w:rPr>
                <w:rStyle w:val="Hyperlink"/>
              </w:rPr>
              <w:t>A.6.</w:t>
            </w:r>
            <w:r w:rsidR="00C25F89">
              <w:rPr>
                <w:rFonts w:asciiTheme="minorHAnsi" w:eastAsiaTheme="minorEastAsia" w:hAnsiTheme="minorHAnsi" w:cstheme="minorBidi"/>
              </w:rPr>
              <w:tab/>
            </w:r>
            <w:r w:rsidR="00C25F89" w:rsidRPr="00D40579">
              <w:rPr>
                <w:rStyle w:val="Hyperlink"/>
              </w:rPr>
              <w:t>Clinical Claim</w:t>
            </w:r>
            <w:r w:rsidR="00C25F89">
              <w:rPr>
                <w:webHidden/>
              </w:rPr>
              <w:tab/>
            </w:r>
            <w:r w:rsidR="00C25F89">
              <w:rPr>
                <w:webHidden/>
              </w:rPr>
              <w:fldChar w:fldCharType="begin"/>
            </w:r>
            <w:r w:rsidR="00C25F89">
              <w:rPr>
                <w:webHidden/>
              </w:rPr>
              <w:instrText xml:space="preserve"> PAGEREF _Toc117758235 \h </w:instrText>
            </w:r>
            <w:r w:rsidR="00C25F89">
              <w:rPr>
                <w:webHidden/>
              </w:rPr>
            </w:r>
            <w:r w:rsidR="00C25F89">
              <w:rPr>
                <w:webHidden/>
              </w:rPr>
              <w:fldChar w:fldCharType="separate"/>
            </w:r>
            <w:r w:rsidR="00C25F89">
              <w:rPr>
                <w:webHidden/>
              </w:rPr>
              <w:t>15</w:t>
            </w:r>
            <w:r w:rsidR="00C25F89">
              <w:rPr>
                <w:webHidden/>
              </w:rPr>
              <w:fldChar w:fldCharType="end"/>
            </w:r>
          </w:hyperlink>
        </w:p>
        <w:p w14:paraId="238D62F4" w14:textId="43FDC322" w:rsidR="00C25F89" w:rsidRDefault="00612340">
          <w:pPr>
            <w:pStyle w:val="TOC2"/>
            <w:tabs>
              <w:tab w:val="left" w:pos="1540"/>
            </w:tabs>
            <w:rPr>
              <w:rFonts w:asciiTheme="minorHAnsi" w:eastAsiaTheme="minorEastAsia" w:hAnsiTheme="minorHAnsi" w:cstheme="minorBidi"/>
            </w:rPr>
          </w:pPr>
          <w:hyperlink w:anchor="_Toc117758236" w:history="1">
            <w:r w:rsidR="00C25F89" w:rsidRPr="00D40579">
              <w:rPr>
                <w:rStyle w:val="Hyperlink"/>
              </w:rPr>
              <w:t>A.7.</w:t>
            </w:r>
            <w:r w:rsidR="00C25F89">
              <w:rPr>
                <w:rFonts w:asciiTheme="minorHAnsi" w:eastAsiaTheme="minorEastAsia" w:hAnsiTheme="minorHAnsi" w:cstheme="minorBidi"/>
              </w:rPr>
              <w:tab/>
            </w:r>
            <w:r w:rsidR="00C25F89" w:rsidRPr="00D40579">
              <w:rPr>
                <w:rStyle w:val="Hyperlink"/>
              </w:rPr>
              <w:t>Summary of the PICO</w:t>
            </w:r>
            <w:r w:rsidR="00C25F89">
              <w:rPr>
                <w:webHidden/>
              </w:rPr>
              <w:tab/>
            </w:r>
            <w:r w:rsidR="00C25F89">
              <w:rPr>
                <w:webHidden/>
              </w:rPr>
              <w:fldChar w:fldCharType="begin"/>
            </w:r>
            <w:r w:rsidR="00C25F89">
              <w:rPr>
                <w:webHidden/>
              </w:rPr>
              <w:instrText xml:space="preserve"> PAGEREF _Toc117758236 \h </w:instrText>
            </w:r>
            <w:r w:rsidR="00C25F89">
              <w:rPr>
                <w:webHidden/>
              </w:rPr>
            </w:r>
            <w:r w:rsidR="00C25F89">
              <w:rPr>
                <w:webHidden/>
              </w:rPr>
              <w:fldChar w:fldCharType="separate"/>
            </w:r>
            <w:r w:rsidR="00C25F89">
              <w:rPr>
                <w:webHidden/>
              </w:rPr>
              <w:t>15</w:t>
            </w:r>
            <w:r w:rsidR="00C25F89">
              <w:rPr>
                <w:webHidden/>
              </w:rPr>
              <w:fldChar w:fldCharType="end"/>
            </w:r>
          </w:hyperlink>
        </w:p>
        <w:p w14:paraId="0219DD99" w14:textId="5394A4A5" w:rsidR="00C25F89" w:rsidRDefault="00612340">
          <w:pPr>
            <w:pStyle w:val="TOC1"/>
            <w:rPr>
              <w:rFonts w:asciiTheme="minorHAnsi" w:eastAsiaTheme="minorEastAsia" w:hAnsiTheme="minorHAnsi" w:cstheme="minorBidi"/>
              <w:b w:val="0"/>
            </w:rPr>
          </w:pPr>
          <w:hyperlink w:anchor="_Toc117758237" w:history="1">
            <w:r w:rsidR="00C25F89" w:rsidRPr="00D40579">
              <w:rPr>
                <w:rStyle w:val="Hyperlink"/>
              </w:rPr>
              <w:t>Section B: Clinical Evaluation</w:t>
            </w:r>
            <w:r w:rsidR="00C25F89">
              <w:rPr>
                <w:webHidden/>
              </w:rPr>
              <w:tab/>
            </w:r>
            <w:r w:rsidR="00C25F89">
              <w:rPr>
                <w:webHidden/>
              </w:rPr>
              <w:fldChar w:fldCharType="begin"/>
            </w:r>
            <w:r w:rsidR="00C25F89">
              <w:rPr>
                <w:webHidden/>
              </w:rPr>
              <w:instrText xml:space="preserve"> PAGEREF _Toc117758237 \h </w:instrText>
            </w:r>
            <w:r w:rsidR="00C25F89">
              <w:rPr>
                <w:webHidden/>
              </w:rPr>
            </w:r>
            <w:r w:rsidR="00C25F89">
              <w:rPr>
                <w:webHidden/>
              </w:rPr>
              <w:fldChar w:fldCharType="separate"/>
            </w:r>
            <w:r w:rsidR="00C25F89">
              <w:rPr>
                <w:webHidden/>
              </w:rPr>
              <w:t>17</w:t>
            </w:r>
            <w:r w:rsidR="00C25F89">
              <w:rPr>
                <w:webHidden/>
              </w:rPr>
              <w:fldChar w:fldCharType="end"/>
            </w:r>
          </w:hyperlink>
        </w:p>
        <w:p w14:paraId="3556D77A" w14:textId="436F00B5" w:rsidR="00C25F89" w:rsidRDefault="00612340">
          <w:pPr>
            <w:pStyle w:val="TOC2"/>
            <w:tabs>
              <w:tab w:val="left" w:pos="1540"/>
            </w:tabs>
            <w:rPr>
              <w:rFonts w:asciiTheme="minorHAnsi" w:eastAsiaTheme="minorEastAsia" w:hAnsiTheme="minorHAnsi" w:cstheme="minorBidi"/>
            </w:rPr>
          </w:pPr>
          <w:hyperlink w:anchor="_Toc117758238" w:history="1">
            <w:r w:rsidR="00C25F89" w:rsidRPr="00D40579">
              <w:rPr>
                <w:rStyle w:val="Hyperlink"/>
              </w:rPr>
              <w:t>B.1.</w:t>
            </w:r>
            <w:r w:rsidR="00C25F89">
              <w:rPr>
                <w:rFonts w:asciiTheme="minorHAnsi" w:eastAsiaTheme="minorEastAsia" w:hAnsiTheme="minorHAnsi" w:cstheme="minorBidi"/>
              </w:rPr>
              <w:tab/>
            </w:r>
            <w:r w:rsidR="00C25F89" w:rsidRPr="00D40579">
              <w:rPr>
                <w:rStyle w:val="Hyperlink"/>
              </w:rPr>
              <w:t>Literature Sources and Search Strategies</w:t>
            </w:r>
            <w:r w:rsidR="00C25F89">
              <w:rPr>
                <w:webHidden/>
              </w:rPr>
              <w:tab/>
            </w:r>
            <w:r w:rsidR="00C25F89">
              <w:rPr>
                <w:webHidden/>
              </w:rPr>
              <w:fldChar w:fldCharType="begin"/>
            </w:r>
            <w:r w:rsidR="00C25F89">
              <w:rPr>
                <w:webHidden/>
              </w:rPr>
              <w:instrText xml:space="preserve"> PAGEREF _Toc117758238 \h </w:instrText>
            </w:r>
            <w:r w:rsidR="00C25F89">
              <w:rPr>
                <w:webHidden/>
              </w:rPr>
            </w:r>
            <w:r w:rsidR="00C25F89">
              <w:rPr>
                <w:webHidden/>
              </w:rPr>
              <w:fldChar w:fldCharType="separate"/>
            </w:r>
            <w:r w:rsidR="00C25F89">
              <w:rPr>
                <w:webHidden/>
              </w:rPr>
              <w:t>17</w:t>
            </w:r>
            <w:r w:rsidR="00C25F89">
              <w:rPr>
                <w:webHidden/>
              </w:rPr>
              <w:fldChar w:fldCharType="end"/>
            </w:r>
          </w:hyperlink>
        </w:p>
        <w:p w14:paraId="5F953332" w14:textId="4F4FB0AA" w:rsidR="00C25F89" w:rsidRDefault="00612340">
          <w:pPr>
            <w:pStyle w:val="TOC3"/>
            <w:rPr>
              <w:rFonts w:asciiTheme="minorHAnsi" w:eastAsiaTheme="minorEastAsia" w:hAnsiTheme="minorHAnsi" w:cstheme="minorBidi"/>
            </w:rPr>
          </w:pPr>
          <w:hyperlink w:anchor="_Toc117758239" w:history="1">
            <w:r w:rsidR="00C25F89" w:rsidRPr="00D40579">
              <w:rPr>
                <w:rStyle w:val="Hyperlink"/>
              </w:rPr>
              <w:t>Data screening and extraction</w:t>
            </w:r>
            <w:r w:rsidR="00C25F89">
              <w:rPr>
                <w:webHidden/>
              </w:rPr>
              <w:tab/>
            </w:r>
            <w:r w:rsidR="00C25F89">
              <w:rPr>
                <w:webHidden/>
              </w:rPr>
              <w:fldChar w:fldCharType="begin"/>
            </w:r>
            <w:r w:rsidR="00C25F89">
              <w:rPr>
                <w:webHidden/>
              </w:rPr>
              <w:instrText xml:space="preserve"> PAGEREF _Toc117758239 \h </w:instrText>
            </w:r>
            <w:r w:rsidR="00C25F89">
              <w:rPr>
                <w:webHidden/>
              </w:rPr>
            </w:r>
            <w:r w:rsidR="00C25F89">
              <w:rPr>
                <w:webHidden/>
              </w:rPr>
              <w:fldChar w:fldCharType="separate"/>
            </w:r>
            <w:r w:rsidR="00C25F89">
              <w:rPr>
                <w:webHidden/>
              </w:rPr>
              <w:t>18</w:t>
            </w:r>
            <w:r w:rsidR="00C25F89">
              <w:rPr>
                <w:webHidden/>
              </w:rPr>
              <w:fldChar w:fldCharType="end"/>
            </w:r>
          </w:hyperlink>
        </w:p>
        <w:p w14:paraId="79D9E7C4" w14:textId="1139A966" w:rsidR="00C25F89" w:rsidRDefault="00612340">
          <w:pPr>
            <w:pStyle w:val="TOC2"/>
            <w:tabs>
              <w:tab w:val="left" w:pos="1540"/>
            </w:tabs>
            <w:rPr>
              <w:rFonts w:asciiTheme="minorHAnsi" w:eastAsiaTheme="minorEastAsia" w:hAnsiTheme="minorHAnsi" w:cstheme="minorBidi"/>
            </w:rPr>
          </w:pPr>
          <w:hyperlink w:anchor="_Toc117758240" w:history="1">
            <w:r w:rsidR="00C25F89" w:rsidRPr="00D40579">
              <w:rPr>
                <w:rStyle w:val="Hyperlink"/>
              </w:rPr>
              <w:t>B.2.</w:t>
            </w:r>
            <w:r w:rsidR="00C25F89">
              <w:rPr>
                <w:rFonts w:asciiTheme="minorHAnsi" w:eastAsiaTheme="minorEastAsia" w:hAnsiTheme="minorHAnsi" w:cstheme="minorBidi"/>
              </w:rPr>
              <w:tab/>
            </w:r>
            <w:r w:rsidR="00C25F89" w:rsidRPr="00D40579">
              <w:rPr>
                <w:rStyle w:val="Hyperlink"/>
              </w:rPr>
              <w:t>Results of Literature Search</w:t>
            </w:r>
            <w:r w:rsidR="00C25F89">
              <w:rPr>
                <w:webHidden/>
              </w:rPr>
              <w:tab/>
            </w:r>
            <w:r w:rsidR="00C25F89">
              <w:rPr>
                <w:webHidden/>
              </w:rPr>
              <w:fldChar w:fldCharType="begin"/>
            </w:r>
            <w:r w:rsidR="00C25F89">
              <w:rPr>
                <w:webHidden/>
              </w:rPr>
              <w:instrText xml:space="preserve"> PAGEREF _Toc117758240 \h </w:instrText>
            </w:r>
            <w:r w:rsidR="00C25F89">
              <w:rPr>
                <w:webHidden/>
              </w:rPr>
            </w:r>
            <w:r w:rsidR="00C25F89">
              <w:rPr>
                <w:webHidden/>
              </w:rPr>
              <w:fldChar w:fldCharType="separate"/>
            </w:r>
            <w:r w:rsidR="00C25F89">
              <w:rPr>
                <w:webHidden/>
              </w:rPr>
              <w:t>18</w:t>
            </w:r>
            <w:r w:rsidR="00C25F89">
              <w:rPr>
                <w:webHidden/>
              </w:rPr>
              <w:fldChar w:fldCharType="end"/>
            </w:r>
          </w:hyperlink>
        </w:p>
        <w:p w14:paraId="379D4BE8" w14:textId="4A17B794" w:rsidR="00C25F89" w:rsidRDefault="00612340">
          <w:pPr>
            <w:pStyle w:val="TOC2"/>
            <w:tabs>
              <w:tab w:val="left" w:pos="1540"/>
            </w:tabs>
            <w:rPr>
              <w:rFonts w:asciiTheme="minorHAnsi" w:eastAsiaTheme="minorEastAsia" w:hAnsiTheme="minorHAnsi" w:cstheme="minorBidi"/>
            </w:rPr>
          </w:pPr>
          <w:hyperlink w:anchor="_Toc117758241" w:history="1">
            <w:r w:rsidR="00C25F89" w:rsidRPr="00D40579">
              <w:rPr>
                <w:rStyle w:val="Hyperlink"/>
              </w:rPr>
              <w:t>B.3.</w:t>
            </w:r>
            <w:r w:rsidR="00C25F89">
              <w:rPr>
                <w:rFonts w:asciiTheme="minorHAnsi" w:eastAsiaTheme="minorEastAsia" w:hAnsiTheme="minorHAnsi" w:cstheme="minorBidi"/>
              </w:rPr>
              <w:tab/>
            </w:r>
            <w:r w:rsidR="00C25F89" w:rsidRPr="00D40579">
              <w:rPr>
                <w:rStyle w:val="Hyperlink"/>
              </w:rPr>
              <w:t>Results of the Systematic Literature review</w:t>
            </w:r>
            <w:r w:rsidR="00C25F89">
              <w:rPr>
                <w:webHidden/>
              </w:rPr>
              <w:tab/>
            </w:r>
            <w:r w:rsidR="00C25F89">
              <w:rPr>
                <w:webHidden/>
              </w:rPr>
              <w:fldChar w:fldCharType="begin"/>
            </w:r>
            <w:r w:rsidR="00C25F89">
              <w:rPr>
                <w:webHidden/>
              </w:rPr>
              <w:instrText xml:space="preserve"> PAGEREF _Toc117758241 \h </w:instrText>
            </w:r>
            <w:r w:rsidR="00C25F89">
              <w:rPr>
                <w:webHidden/>
              </w:rPr>
            </w:r>
            <w:r w:rsidR="00C25F89">
              <w:rPr>
                <w:webHidden/>
              </w:rPr>
              <w:fldChar w:fldCharType="separate"/>
            </w:r>
            <w:r w:rsidR="00C25F89">
              <w:rPr>
                <w:webHidden/>
              </w:rPr>
              <w:t>20</w:t>
            </w:r>
            <w:r w:rsidR="00C25F89">
              <w:rPr>
                <w:webHidden/>
              </w:rPr>
              <w:fldChar w:fldCharType="end"/>
            </w:r>
          </w:hyperlink>
        </w:p>
        <w:p w14:paraId="2875C6F1" w14:textId="62E3377E" w:rsidR="00C25F89" w:rsidRDefault="00612340">
          <w:pPr>
            <w:pStyle w:val="TOC3"/>
            <w:tabs>
              <w:tab w:val="left" w:pos="2213"/>
            </w:tabs>
            <w:rPr>
              <w:rFonts w:asciiTheme="minorHAnsi" w:eastAsiaTheme="minorEastAsia" w:hAnsiTheme="minorHAnsi" w:cstheme="minorBidi"/>
            </w:rPr>
          </w:pPr>
          <w:hyperlink w:anchor="_Toc117758242" w:history="1">
            <w:r w:rsidR="00C25F89" w:rsidRPr="00D40579">
              <w:rPr>
                <w:rStyle w:val="Hyperlink"/>
              </w:rPr>
              <w:t>B.3.1.</w:t>
            </w:r>
            <w:r w:rsidR="00C25F89">
              <w:rPr>
                <w:rFonts w:asciiTheme="minorHAnsi" w:eastAsiaTheme="minorEastAsia" w:hAnsiTheme="minorHAnsi" w:cstheme="minorBidi"/>
              </w:rPr>
              <w:tab/>
            </w:r>
            <w:r w:rsidR="00C25F89" w:rsidRPr="00D40579">
              <w:rPr>
                <w:rStyle w:val="Hyperlink"/>
              </w:rPr>
              <w:t>Methodology of the ReMInDAR trial</w:t>
            </w:r>
            <w:r w:rsidR="00C25F89">
              <w:rPr>
                <w:webHidden/>
              </w:rPr>
              <w:tab/>
            </w:r>
            <w:r w:rsidR="00C25F89">
              <w:rPr>
                <w:webHidden/>
              </w:rPr>
              <w:fldChar w:fldCharType="begin"/>
            </w:r>
            <w:r w:rsidR="00C25F89">
              <w:rPr>
                <w:webHidden/>
              </w:rPr>
              <w:instrText xml:space="preserve"> PAGEREF _Toc117758242 \h </w:instrText>
            </w:r>
            <w:r w:rsidR="00C25F89">
              <w:rPr>
                <w:webHidden/>
              </w:rPr>
            </w:r>
            <w:r w:rsidR="00C25F89">
              <w:rPr>
                <w:webHidden/>
              </w:rPr>
              <w:fldChar w:fldCharType="separate"/>
            </w:r>
            <w:r w:rsidR="00C25F89">
              <w:rPr>
                <w:webHidden/>
              </w:rPr>
              <w:t>20</w:t>
            </w:r>
            <w:r w:rsidR="00C25F89">
              <w:rPr>
                <w:webHidden/>
              </w:rPr>
              <w:fldChar w:fldCharType="end"/>
            </w:r>
          </w:hyperlink>
        </w:p>
        <w:p w14:paraId="495DE637" w14:textId="1DEEF757" w:rsidR="00C25F89" w:rsidRDefault="00612340">
          <w:pPr>
            <w:pStyle w:val="TOC2"/>
            <w:tabs>
              <w:tab w:val="left" w:pos="1540"/>
            </w:tabs>
            <w:rPr>
              <w:rFonts w:asciiTheme="minorHAnsi" w:eastAsiaTheme="minorEastAsia" w:hAnsiTheme="minorHAnsi" w:cstheme="minorBidi"/>
            </w:rPr>
          </w:pPr>
          <w:hyperlink w:anchor="_Toc117758243" w:history="1">
            <w:r w:rsidR="00C25F89" w:rsidRPr="00D40579">
              <w:rPr>
                <w:rStyle w:val="Hyperlink"/>
              </w:rPr>
              <w:t>B.4.</w:t>
            </w:r>
            <w:r w:rsidR="00C25F89">
              <w:rPr>
                <w:rFonts w:asciiTheme="minorHAnsi" w:eastAsiaTheme="minorEastAsia" w:hAnsiTheme="minorHAnsi" w:cstheme="minorBidi"/>
              </w:rPr>
              <w:tab/>
            </w:r>
            <w:r w:rsidR="00C25F89" w:rsidRPr="00D40579">
              <w:rPr>
                <w:rStyle w:val="Hyperlink"/>
              </w:rPr>
              <w:t>Risk of Bias Assessment</w:t>
            </w:r>
            <w:r w:rsidR="00C25F89">
              <w:rPr>
                <w:webHidden/>
              </w:rPr>
              <w:tab/>
            </w:r>
            <w:r w:rsidR="00C25F89">
              <w:rPr>
                <w:webHidden/>
              </w:rPr>
              <w:fldChar w:fldCharType="begin"/>
            </w:r>
            <w:r w:rsidR="00C25F89">
              <w:rPr>
                <w:webHidden/>
              </w:rPr>
              <w:instrText xml:space="preserve"> PAGEREF _Toc117758243 \h </w:instrText>
            </w:r>
            <w:r w:rsidR="00C25F89">
              <w:rPr>
                <w:webHidden/>
              </w:rPr>
            </w:r>
            <w:r w:rsidR="00C25F89">
              <w:rPr>
                <w:webHidden/>
              </w:rPr>
              <w:fldChar w:fldCharType="separate"/>
            </w:r>
            <w:r w:rsidR="00C25F89">
              <w:rPr>
                <w:webHidden/>
              </w:rPr>
              <w:t>35</w:t>
            </w:r>
            <w:r w:rsidR="00C25F89">
              <w:rPr>
                <w:webHidden/>
              </w:rPr>
              <w:fldChar w:fldCharType="end"/>
            </w:r>
          </w:hyperlink>
        </w:p>
        <w:p w14:paraId="32559D94" w14:textId="7D77F805" w:rsidR="00C25F89" w:rsidRDefault="00612340">
          <w:pPr>
            <w:pStyle w:val="TOC2"/>
            <w:tabs>
              <w:tab w:val="left" w:pos="1540"/>
            </w:tabs>
            <w:rPr>
              <w:rFonts w:asciiTheme="minorHAnsi" w:eastAsiaTheme="minorEastAsia" w:hAnsiTheme="minorHAnsi" w:cstheme="minorBidi"/>
            </w:rPr>
          </w:pPr>
          <w:hyperlink w:anchor="_Toc117758244" w:history="1">
            <w:r w:rsidR="00C25F89" w:rsidRPr="00D40579">
              <w:rPr>
                <w:rStyle w:val="Hyperlink"/>
              </w:rPr>
              <w:t>B.5.</w:t>
            </w:r>
            <w:r w:rsidR="00C25F89">
              <w:rPr>
                <w:rFonts w:asciiTheme="minorHAnsi" w:eastAsiaTheme="minorEastAsia" w:hAnsiTheme="minorHAnsi" w:cstheme="minorBidi"/>
              </w:rPr>
              <w:tab/>
            </w:r>
            <w:r w:rsidR="00C25F89" w:rsidRPr="00D40579">
              <w:rPr>
                <w:rStyle w:val="Hyperlink"/>
              </w:rPr>
              <w:t>Characteristics of the ReMInDAR trial cohort</w:t>
            </w:r>
            <w:r w:rsidR="00C25F89">
              <w:rPr>
                <w:webHidden/>
              </w:rPr>
              <w:tab/>
            </w:r>
            <w:r w:rsidR="00C25F89">
              <w:rPr>
                <w:webHidden/>
              </w:rPr>
              <w:fldChar w:fldCharType="begin"/>
            </w:r>
            <w:r w:rsidR="00C25F89">
              <w:rPr>
                <w:webHidden/>
              </w:rPr>
              <w:instrText xml:space="preserve"> PAGEREF _Toc117758244 \h </w:instrText>
            </w:r>
            <w:r w:rsidR="00C25F89">
              <w:rPr>
                <w:webHidden/>
              </w:rPr>
            </w:r>
            <w:r w:rsidR="00C25F89">
              <w:rPr>
                <w:webHidden/>
              </w:rPr>
              <w:fldChar w:fldCharType="separate"/>
            </w:r>
            <w:r w:rsidR="00C25F89">
              <w:rPr>
                <w:webHidden/>
              </w:rPr>
              <w:t>36</w:t>
            </w:r>
            <w:r w:rsidR="00C25F89">
              <w:rPr>
                <w:webHidden/>
              </w:rPr>
              <w:fldChar w:fldCharType="end"/>
            </w:r>
          </w:hyperlink>
        </w:p>
        <w:p w14:paraId="198B0930" w14:textId="14DC2054" w:rsidR="00C25F89" w:rsidRDefault="00612340">
          <w:pPr>
            <w:pStyle w:val="TOC3"/>
            <w:tabs>
              <w:tab w:val="left" w:pos="2213"/>
            </w:tabs>
            <w:rPr>
              <w:rFonts w:asciiTheme="minorHAnsi" w:eastAsiaTheme="minorEastAsia" w:hAnsiTheme="minorHAnsi" w:cstheme="minorBidi"/>
            </w:rPr>
          </w:pPr>
          <w:hyperlink w:anchor="_Toc117758245" w:history="1">
            <w:r w:rsidR="00C25F89" w:rsidRPr="00D40579">
              <w:rPr>
                <w:rStyle w:val="Hyperlink"/>
              </w:rPr>
              <w:t>B.5.1.</w:t>
            </w:r>
            <w:r w:rsidR="00C25F89">
              <w:rPr>
                <w:rFonts w:asciiTheme="minorHAnsi" w:eastAsiaTheme="minorEastAsia" w:hAnsiTheme="minorHAnsi" w:cstheme="minorBidi"/>
              </w:rPr>
              <w:tab/>
            </w:r>
            <w:r w:rsidR="00C25F89" w:rsidRPr="00D40579">
              <w:rPr>
                <w:rStyle w:val="Hyperlink"/>
              </w:rPr>
              <w:t>ReMInDAR trial baseline cohort</w:t>
            </w:r>
            <w:r w:rsidR="00C25F89">
              <w:rPr>
                <w:webHidden/>
              </w:rPr>
              <w:tab/>
            </w:r>
            <w:r w:rsidR="00C25F89">
              <w:rPr>
                <w:webHidden/>
              </w:rPr>
              <w:fldChar w:fldCharType="begin"/>
            </w:r>
            <w:r w:rsidR="00C25F89">
              <w:rPr>
                <w:webHidden/>
              </w:rPr>
              <w:instrText xml:space="preserve"> PAGEREF _Toc117758245 \h </w:instrText>
            </w:r>
            <w:r w:rsidR="00C25F89">
              <w:rPr>
                <w:webHidden/>
              </w:rPr>
            </w:r>
            <w:r w:rsidR="00C25F89">
              <w:rPr>
                <w:webHidden/>
              </w:rPr>
              <w:fldChar w:fldCharType="separate"/>
            </w:r>
            <w:r w:rsidR="00C25F89">
              <w:rPr>
                <w:webHidden/>
              </w:rPr>
              <w:t>36</w:t>
            </w:r>
            <w:r w:rsidR="00C25F89">
              <w:rPr>
                <w:webHidden/>
              </w:rPr>
              <w:fldChar w:fldCharType="end"/>
            </w:r>
          </w:hyperlink>
        </w:p>
        <w:p w14:paraId="05EC48CA" w14:textId="792081C5" w:rsidR="00C25F89" w:rsidRDefault="00612340">
          <w:pPr>
            <w:pStyle w:val="TOC2"/>
            <w:tabs>
              <w:tab w:val="left" w:pos="1540"/>
            </w:tabs>
            <w:rPr>
              <w:rFonts w:asciiTheme="minorHAnsi" w:eastAsiaTheme="minorEastAsia" w:hAnsiTheme="minorHAnsi" w:cstheme="minorBidi"/>
            </w:rPr>
          </w:pPr>
          <w:hyperlink w:anchor="_Toc117758246" w:history="1">
            <w:r w:rsidR="00C25F89" w:rsidRPr="00D40579">
              <w:rPr>
                <w:rStyle w:val="Hyperlink"/>
              </w:rPr>
              <w:t>B.6.</w:t>
            </w:r>
            <w:r w:rsidR="00C25F89">
              <w:rPr>
                <w:rFonts w:asciiTheme="minorHAnsi" w:eastAsiaTheme="minorEastAsia" w:hAnsiTheme="minorHAnsi" w:cstheme="minorBidi"/>
              </w:rPr>
              <w:tab/>
            </w:r>
            <w:r w:rsidR="00C25F89" w:rsidRPr="00D40579">
              <w:rPr>
                <w:rStyle w:val="Hyperlink"/>
              </w:rPr>
              <w:t>Outcome Measures and Analysis</w:t>
            </w:r>
            <w:r w:rsidR="00C25F89">
              <w:rPr>
                <w:webHidden/>
              </w:rPr>
              <w:tab/>
            </w:r>
            <w:r w:rsidR="00C25F89">
              <w:rPr>
                <w:webHidden/>
              </w:rPr>
              <w:fldChar w:fldCharType="begin"/>
            </w:r>
            <w:r w:rsidR="00C25F89">
              <w:rPr>
                <w:webHidden/>
              </w:rPr>
              <w:instrText xml:space="preserve"> PAGEREF _Toc117758246 \h </w:instrText>
            </w:r>
            <w:r w:rsidR="00C25F89">
              <w:rPr>
                <w:webHidden/>
              </w:rPr>
            </w:r>
            <w:r w:rsidR="00C25F89">
              <w:rPr>
                <w:webHidden/>
              </w:rPr>
              <w:fldChar w:fldCharType="separate"/>
            </w:r>
            <w:r w:rsidR="00C25F89">
              <w:rPr>
                <w:webHidden/>
              </w:rPr>
              <w:t>42</w:t>
            </w:r>
            <w:r w:rsidR="00C25F89">
              <w:rPr>
                <w:webHidden/>
              </w:rPr>
              <w:fldChar w:fldCharType="end"/>
            </w:r>
          </w:hyperlink>
        </w:p>
        <w:p w14:paraId="54B11265" w14:textId="2056C5C0" w:rsidR="00C25F89" w:rsidRDefault="00612340">
          <w:pPr>
            <w:pStyle w:val="TOC3"/>
            <w:tabs>
              <w:tab w:val="left" w:pos="2213"/>
            </w:tabs>
            <w:rPr>
              <w:rFonts w:asciiTheme="minorHAnsi" w:eastAsiaTheme="minorEastAsia" w:hAnsiTheme="minorHAnsi" w:cstheme="minorBidi"/>
            </w:rPr>
          </w:pPr>
          <w:hyperlink w:anchor="_Toc117758247" w:history="1">
            <w:r w:rsidR="00C25F89" w:rsidRPr="00D40579">
              <w:rPr>
                <w:rStyle w:val="Hyperlink"/>
              </w:rPr>
              <w:t>B.6.1.</w:t>
            </w:r>
            <w:r w:rsidR="00C25F89">
              <w:rPr>
                <w:rFonts w:asciiTheme="minorHAnsi" w:eastAsiaTheme="minorEastAsia" w:hAnsiTheme="minorHAnsi" w:cstheme="minorBidi"/>
              </w:rPr>
              <w:tab/>
            </w:r>
            <w:r w:rsidR="00C25F89" w:rsidRPr="00D40579">
              <w:rPr>
                <w:rStyle w:val="Hyperlink"/>
              </w:rPr>
              <w:t>Outcomes</w:t>
            </w:r>
            <w:r w:rsidR="00C25F89">
              <w:rPr>
                <w:webHidden/>
              </w:rPr>
              <w:tab/>
            </w:r>
            <w:r w:rsidR="00C25F89">
              <w:rPr>
                <w:webHidden/>
              </w:rPr>
              <w:fldChar w:fldCharType="begin"/>
            </w:r>
            <w:r w:rsidR="00C25F89">
              <w:rPr>
                <w:webHidden/>
              </w:rPr>
              <w:instrText xml:space="preserve"> PAGEREF _Toc117758247 \h </w:instrText>
            </w:r>
            <w:r w:rsidR="00C25F89">
              <w:rPr>
                <w:webHidden/>
              </w:rPr>
            </w:r>
            <w:r w:rsidR="00C25F89">
              <w:rPr>
                <w:webHidden/>
              </w:rPr>
              <w:fldChar w:fldCharType="separate"/>
            </w:r>
            <w:r w:rsidR="00C25F89">
              <w:rPr>
                <w:webHidden/>
              </w:rPr>
              <w:t>42</w:t>
            </w:r>
            <w:r w:rsidR="00C25F89">
              <w:rPr>
                <w:webHidden/>
              </w:rPr>
              <w:fldChar w:fldCharType="end"/>
            </w:r>
          </w:hyperlink>
        </w:p>
        <w:p w14:paraId="281BA28E" w14:textId="1082DB2D" w:rsidR="00C25F89" w:rsidRDefault="00612340">
          <w:pPr>
            <w:pStyle w:val="TOC3"/>
            <w:tabs>
              <w:tab w:val="left" w:pos="2213"/>
            </w:tabs>
            <w:rPr>
              <w:rFonts w:asciiTheme="minorHAnsi" w:eastAsiaTheme="minorEastAsia" w:hAnsiTheme="minorHAnsi" w:cstheme="minorBidi"/>
            </w:rPr>
          </w:pPr>
          <w:hyperlink w:anchor="_Toc117758248" w:history="1">
            <w:r w:rsidR="00C25F89" w:rsidRPr="00D40579">
              <w:rPr>
                <w:rStyle w:val="Hyperlink"/>
              </w:rPr>
              <w:t>B.6.2.</w:t>
            </w:r>
            <w:r w:rsidR="00C25F89">
              <w:rPr>
                <w:rFonts w:asciiTheme="minorHAnsi" w:eastAsiaTheme="minorEastAsia" w:hAnsiTheme="minorHAnsi" w:cstheme="minorBidi"/>
              </w:rPr>
              <w:tab/>
            </w:r>
            <w:r w:rsidR="00C25F89" w:rsidRPr="00D40579">
              <w:rPr>
                <w:rStyle w:val="Hyperlink"/>
              </w:rPr>
              <w:t>Quantitative analysis</w:t>
            </w:r>
            <w:r w:rsidR="00C25F89">
              <w:rPr>
                <w:webHidden/>
              </w:rPr>
              <w:tab/>
            </w:r>
            <w:r w:rsidR="00C25F89">
              <w:rPr>
                <w:webHidden/>
              </w:rPr>
              <w:fldChar w:fldCharType="begin"/>
            </w:r>
            <w:r w:rsidR="00C25F89">
              <w:rPr>
                <w:webHidden/>
              </w:rPr>
              <w:instrText xml:space="preserve"> PAGEREF _Toc117758248 \h </w:instrText>
            </w:r>
            <w:r w:rsidR="00C25F89">
              <w:rPr>
                <w:webHidden/>
              </w:rPr>
            </w:r>
            <w:r w:rsidR="00C25F89">
              <w:rPr>
                <w:webHidden/>
              </w:rPr>
              <w:fldChar w:fldCharType="separate"/>
            </w:r>
            <w:r w:rsidR="00C25F89">
              <w:rPr>
                <w:webHidden/>
              </w:rPr>
              <w:t>43</w:t>
            </w:r>
            <w:r w:rsidR="00C25F89">
              <w:rPr>
                <w:webHidden/>
              </w:rPr>
              <w:fldChar w:fldCharType="end"/>
            </w:r>
          </w:hyperlink>
        </w:p>
        <w:p w14:paraId="4737F0B6" w14:textId="4BA8EDBD" w:rsidR="00C25F89" w:rsidRDefault="00612340">
          <w:pPr>
            <w:pStyle w:val="TOC2"/>
            <w:tabs>
              <w:tab w:val="left" w:pos="1540"/>
            </w:tabs>
            <w:rPr>
              <w:rFonts w:asciiTheme="minorHAnsi" w:eastAsiaTheme="minorEastAsia" w:hAnsiTheme="minorHAnsi" w:cstheme="minorBidi"/>
            </w:rPr>
          </w:pPr>
          <w:hyperlink w:anchor="_Toc117758249" w:history="1">
            <w:r w:rsidR="00C25F89" w:rsidRPr="00D40579">
              <w:rPr>
                <w:rStyle w:val="Hyperlink"/>
              </w:rPr>
              <w:t>B.7.</w:t>
            </w:r>
            <w:r w:rsidR="00C25F89">
              <w:rPr>
                <w:rFonts w:asciiTheme="minorHAnsi" w:eastAsiaTheme="minorEastAsia" w:hAnsiTheme="minorHAnsi" w:cstheme="minorBidi"/>
              </w:rPr>
              <w:tab/>
            </w:r>
            <w:r w:rsidR="00C25F89" w:rsidRPr="00D40579">
              <w:rPr>
                <w:rStyle w:val="Hyperlink"/>
              </w:rPr>
              <w:t>Results of the ReMInDAR trial</w:t>
            </w:r>
            <w:r w:rsidR="00C25F89">
              <w:rPr>
                <w:webHidden/>
              </w:rPr>
              <w:tab/>
            </w:r>
            <w:r w:rsidR="00C25F89">
              <w:rPr>
                <w:webHidden/>
              </w:rPr>
              <w:fldChar w:fldCharType="begin"/>
            </w:r>
            <w:r w:rsidR="00C25F89">
              <w:rPr>
                <w:webHidden/>
              </w:rPr>
              <w:instrText xml:space="preserve"> PAGEREF _Toc117758249 \h </w:instrText>
            </w:r>
            <w:r w:rsidR="00C25F89">
              <w:rPr>
                <w:webHidden/>
              </w:rPr>
            </w:r>
            <w:r w:rsidR="00C25F89">
              <w:rPr>
                <w:webHidden/>
              </w:rPr>
              <w:fldChar w:fldCharType="separate"/>
            </w:r>
            <w:r w:rsidR="00C25F89">
              <w:rPr>
                <w:webHidden/>
              </w:rPr>
              <w:t>43</w:t>
            </w:r>
            <w:r w:rsidR="00C25F89">
              <w:rPr>
                <w:webHidden/>
              </w:rPr>
              <w:fldChar w:fldCharType="end"/>
            </w:r>
          </w:hyperlink>
        </w:p>
        <w:p w14:paraId="481A48C3" w14:textId="064C5BC8" w:rsidR="00C25F89" w:rsidRDefault="00612340">
          <w:pPr>
            <w:pStyle w:val="TOC3"/>
            <w:tabs>
              <w:tab w:val="left" w:pos="2213"/>
            </w:tabs>
            <w:rPr>
              <w:rFonts w:asciiTheme="minorHAnsi" w:eastAsiaTheme="minorEastAsia" w:hAnsiTheme="minorHAnsi" w:cstheme="minorBidi"/>
            </w:rPr>
          </w:pPr>
          <w:hyperlink w:anchor="_Toc117758250" w:history="1">
            <w:r w:rsidR="00C25F89" w:rsidRPr="00D40579">
              <w:rPr>
                <w:rStyle w:val="Hyperlink"/>
              </w:rPr>
              <w:t>B.7.1.</w:t>
            </w:r>
            <w:r w:rsidR="00C25F89">
              <w:rPr>
                <w:rFonts w:asciiTheme="minorHAnsi" w:eastAsiaTheme="minorEastAsia" w:hAnsiTheme="minorHAnsi" w:cstheme="minorBidi"/>
              </w:rPr>
              <w:tab/>
            </w:r>
            <w:r w:rsidR="00C25F89" w:rsidRPr="00D40579">
              <w:rPr>
                <w:rStyle w:val="Hyperlink"/>
              </w:rPr>
              <w:t>Intervention delivery</w:t>
            </w:r>
            <w:r w:rsidR="00C25F89">
              <w:rPr>
                <w:webHidden/>
              </w:rPr>
              <w:tab/>
            </w:r>
            <w:r w:rsidR="00C25F89">
              <w:rPr>
                <w:webHidden/>
              </w:rPr>
              <w:fldChar w:fldCharType="begin"/>
            </w:r>
            <w:r w:rsidR="00C25F89">
              <w:rPr>
                <w:webHidden/>
              </w:rPr>
              <w:instrText xml:space="preserve"> PAGEREF _Toc117758250 \h </w:instrText>
            </w:r>
            <w:r w:rsidR="00C25F89">
              <w:rPr>
                <w:webHidden/>
              </w:rPr>
            </w:r>
            <w:r w:rsidR="00C25F89">
              <w:rPr>
                <w:webHidden/>
              </w:rPr>
              <w:fldChar w:fldCharType="separate"/>
            </w:r>
            <w:r w:rsidR="00C25F89">
              <w:rPr>
                <w:webHidden/>
              </w:rPr>
              <w:t>43</w:t>
            </w:r>
            <w:r w:rsidR="00C25F89">
              <w:rPr>
                <w:webHidden/>
              </w:rPr>
              <w:fldChar w:fldCharType="end"/>
            </w:r>
          </w:hyperlink>
        </w:p>
        <w:p w14:paraId="33664818" w14:textId="0411E67A" w:rsidR="00C25F89" w:rsidRDefault="00612340">
          <w:pPr>
            <w:pStyle w:val="TOC3"/>
            <w:tabs>
              <w:tab w:val="left" w:pos="2213"/>
            </w:tabs>
            <w:rPr>
              <w:rFonts w:asciiTheme="minorHAnsi" w:eastAsiaTheme="minorEastAsia" w:hAnsiTheme="minorHAnsi" w:cstheme="minorBidi"/>
            </w:rPr>
          </w:pPr>
          <w:hyperlink w:anchor="_Toc117758251" w:history="1">
            <w:r w:rsidR="00C25F89" w:rsidRPr="00D40579">
              <w:rPr>
                <w:rStyle w:val="Hyperlink"/>
              </w:rPr>
              <w:t>B.7.2.</w:t>
            </w:r>
            <w:r w:rsidR="00C25F89">
              <w:rPr>
                <w:rFonts w:asciiTheme="minorHAnsi" w:eastAsiaTheme="minorEastAsia" w:hAnsiTheme="minorHAnsi" w:cstheme="minorBidi"/>
              </w:rPr>
              <w:tab/>
            </w:r>
            <w:r w:rsidR="00C25F89" w:rsidRPr="00D40579">
              <w:rPr>
                <w:rStyle w:val="Hyperlink"/>
              </w:rPr>
              <w:t>Medication related problems</w:t>
            </w:r>
            <w:r w:rsidR="00C25F89">
              <w:rPr>
                <w:webHidden/>
              </w:rPr>
              <w:tab/>
            </w:r>
            <w:r w:rsidR="00C25F89">
              <w:rPr>
                <w:webHidden/>
              </w:rPr>
              <w:fldChar w:fldCharType="begin"/>
            </w:r>
            <w:r w:rsidR="00C25F89">
              <w:rPr>
                <w:webHidden/>
              </w:rPr>
              <w:instrText xml:space="preserve"> PAGEREF _Toc117758251 \h </w:instrText>
            </w:r>
            <w:r w:rsidR="00C25F89">
              <w:rPr>
                <w:webHidden/>
              </w:rPr>
            </w:r>
            <w:r w:rsidR="00C25F89">
              <w:rPr>
                <w:webHidden/>
              </w:rPr>
              <w:fldChar w:fldCharType="separate"/>
            </w:r>
            <w:r w:rsidR="00C25F89">
              <w:rPr>
                <w:webHidden/>
              </w:rPr>
              <w:t>45</w:t>
            </w:r>
            <w:r w:rsidR="00C25F89">
              <w:rPr>
                <w:webHidden/>
              </w:rPr>
              <w:fldChar w:fldCharType="end"/>
            </w:r>
          </w:hyperlink>
        </w:p>
        <w:p w14:paraId="75E87FBB" w14:textId="1275DE2E" w:rsidR="00C25F89" w:rsidRDefault="00612340">
          <w:pPr>
            <w:pStyle w:val="TOC3"/>
            <w:tabs>
              <w:tab w:val="left" w:pos="2213"/>
            </w:tabs>
            <w:rPr>
              <w:rFonts w:asciiTheme="minorHAnsi" w:eastAsiaTheme="minorEastAsia" w:hAnsiTheme="minorHAnsi" w:cstheme="minorBidi"/>
            </w:rPr>
          </w:pPr>
          <w:hyperlink w:anchor="_Toc117758252" w:history="1">
            <w:r w:rsidR="00C25F89" w:rsidRPr="00D40579">
              <w:rPr>
                <w:rStyle w:val="Hyperlink"/>
              </w:rPr>
              <w:t>B.7.3.</w:t>
            </w:r>
            <w:r w:rsidR="00C25F89">
              <w:rPr>
                <w:rFonts w:asciiTheme="minorHAnsi" w:eastAsiaTheme="minorEastAsia" w:hAnsiTheme="minorHAnsi" w:cstheme="minorBidi"/>
              </w:rPr>
              <w:tab/>
            </w:r>
            <w:r w:rsidR="00C25F89" w:rsidRPr="00D40579">
              <w:rPr>
                <w:rStyle w:val="Hyperlink"/>
              </w:rPr>
              <w:t>Pharmacist recommendations</w:t>
            </w:r>
            <w:r w:rsidR="00C25F89">
              <w:rPr>
                <w:webHidden/>
              </w:rPr>
              <w:tab/>
            </w:r>
            <w:r w:rsidR="00C25F89">
              <w:rPr>
                <w:webHidden/>
              </w:rPr>
              <w:fldChar w:fldCharType="begin"/>
            </w:r>
            <w:r w:rsidR="00C25F89">
              <w:rPr>
                <w:webHidden/>
              </w:rPr>
              <w:instrText xml:space="preserve"> PAGEREF _Toc117758252 \h </w:instrText>
            </w:r>
            <w:r w:rsidR="00C25F89">
              <w:rPr>
                <w:webHidden/>
              </w:rPr>
            </w:r>
            <w:r w:rsidR="00C25F89">
              <w:rPr>
                <w:webHidden/>
              </w:rPr>
              <w:fldChar w:fldCharType="separate"/>
            </w:r>
            <w:r w:rsidR="00C25F89">
              <w:rPr>
                <w:webHidden/>
              </w:rPr>
              <w:t>47</w:t>
            </w:r>
            <w:r w:rsidR="00C25F89">
              <w:rPr>
                <w:webHidden/>
              </w:rPr>
              <w:fldChar w:fldCharType="end"/>
            </w:r>
          </w:hyperlink>
        </w:p>
        <w:p w14:paraId="73791FEB" w14:textId="003BFD37" w:rsidR="00C25F89" w:rsidRDefault="00612340">
          <w:pPr>
            <w:pStyle w:val="TOC3"/>
            <w:tabs>
              <w:tab w:val="left" w:pos="2213"/>
            </w:tabs>
            <w:rPr>
              <w:rFonts w:asciiTheme="minorHAnsi" w:eastAsiaTheme="minorEastAsia" w:hAnsiTheme="minorHAnsi" w:cstheme="minorBidi"/>
            </w:rPr>
          </w:pPr>
          <w:hyperlink w:anchor="_Toc117758253" w:history="1">
            <w:r w:rsidR="00C25F89" w:rsidRPr="00D40579">
              <w:rPr>
                <w:rStyle w:val="Hyperlink"/>
              </w:rPr>
              <w:t>B.7.4.</w:t>
            </w:r>
            <w:r w:rsidR="00C25F89">
              <w:rPr>
                <w:rFonts w:asciiTheme="minorHAnsi" w:eastAsiaTheme="minorEastAsia" w:hAnsiTheme="minorHAnsi" w:cstheme="minorBidi"/>
              </w:rPr>
              <w:tab/>
            </w:r>
            <w:r w:rsidR="00C25F89" w:rsidRPr="00D40579">
              <w:rPr>
                <w:rStyle w:val="Hyperlink"/>
              </w:rPr>
              <w:t>Case studies of pharmacist sessions</w:t>
            </w:r>
            <w:r w:rsidR="00C25F89">
              <w:rPr>
                <w:webHidden/>
              </w:rPr>
              <w:tab/>
            </w:r>
            <w:r w:rsidR="00C25F89">
              <w:rPr>
                <w:webHidden/>
              </w:rPr>
              <w:fldChar w:fldCharType="begin"/>
            </w:r>
            <w:r w:rsidR="00C25F89">
              <w:rPr>
                <w:webHidden/>
              </w:rPr>
              <w:instrText xml:space="preserve"> PAGEREF _Toc117758253 \h </w:instrText>
            </w:r>
            <w:r w:rsidR="00C25F89">
              <w:rPr>
                <w:webHidden/>
              </w:rPr>
            </w:r>
            <w:r w:rsidR="00C25F89">
              <w:rPr>
                <w:webHidden/>
              </w:rPr>
              <w:fldChar w:fldCharType="separate"/>
            </w:r>
            <w:r w:rsidR="00C25F89">
              <w:rPr>
                <w:webHidden/>
              </w:rPr>
              <w:t>48</w:t>
            </w:r>
            <w:r w:rsidR="00C25F89">
              <w:rPr>
                <w:webHidden/>
              </w:rPr>
              <w:fldChar w:fldCharType="end"/>
            </w:r>
          </w:hyperlink>
        </w:p>
        <w:p w14:paraId="08CA654C" w14:textId="49FDC531" w:rsidR="00C25F89" w:rsidRDefault="00612340">
          <w:pPr>
            <w:pStyle w:val="TOC3"/>
            <w:tabs>
              <w:tab w:val="left" w:pos="2213"/>
            </w:tabs>
            <w:rPr>
              <w:rFonts w:asciiTheme="minorHAnsi" w:eastAsiaTheme="minorEastAsia" w:hAnsiTheme="minorHAnsi" w:cstheme="minorBidi"/>
            </w:rPr>
          </w:pPr>
          <w:hyperlink w:anchor="_Toc117758254" w:history="1">
            <w:r w:rsidR="00C25F89" w:rsidRPr="00D40579">
              <w:rPr>
                <w:rStyle w:val="Hyperlink"/>
              </w:rPr>
              <w:t>B.7.5.</w:t>
            </w:r>
            <w:r w:rsidR="00C25F89">
              <w:rPr>
                <w:rFonts w:asciiTheme="minorHAnsi" w:eastAsiaTheme="minorEastAsia" w:hAnsiTheme="minorHAnsi" w:cstheme="minorBidi"/>
              </w:rPr>
              <w:tab/>
            </w:r>
            <w:r w:rsidR="00C25F89" w:rsidRPr="00D40579">
              <w:rPr>
                <w:rStyle w:val="Hyperlink"/>
              </w:rPr>
              <w:t>Is it effective?</w:t>
            </w:r>
            <w:r w:rsidR="00C25F89">
              <w:rPr>
                <w:webHidden/>
              </w:rPr>
              <w:tab/>
            </w:r>
            <w:r w:rsidR="00C25F89">
              <w:rPr>
                <w:webHidden/>
              </w:rPr>
              <w:fldChar w:fldCharType="begin"/>
            </w:r>
            <w:r w:rsidR="00C25F89">
              <w:rPr>
                <w:webHidden/>
              </w:rPr>
              <w:instrText xml:space="preserve"> PAGEREF _Toc117758254 \h </w:instrText>
            </w:r>
            <w:r w:rsidR="00C25F89">
              <w:rPr>
                <w:webHidden/>
              </w:rPr>
            </w:r>
            <w:r w:rsidR="00C25F89">
              <w:rPr>
                <w:webHidden/>
              </w:rPr>
              <w:fldChar w:fldCharType="separate"/>
            </w:r>
            <w:r w:rsidR="00C25F89">
              <w:rPr>
                <w:webHidden/>
              </w:rPr>
              <w:t>49</w:t>
            </w:r>
            <w:r w:rsidR="00C25F89">
              <w:rPr>
                <w:webHidden/>
              </w:rPr>
              <w:fldChar w:fldCharType="end"/>
            </w:r>
          </w:hyperlink>
        </w:p>
        <w:p w14:paraId="579CCFE0" w14:textId="61AD020E" w:rsidR="00C25F89" w:rsidRDefault="00612340">
          <w:pPr>
            <w:pStyle w:val="TOC3"/>
            <w:tabs>
              <w:tab w:val="left" w:pos="2213"/>
            </w:tabs>
            <w:rPr>
              <w:rFonts w:asciiTheme="minorHAnsi" w:eastAsiaTheme="minorEastAsia" w:hAnsiTheme="minorHAnsi" w:cstheme="minorBidi"/>
            </w:rPr>
          </w:pPr>
          <w:hyperlink w:anchor="_Toc117758255" w:history="1">
            <w:r w:rsidR="00C25F89" w:rsidRPr="00D40579">
              <w:rPr>
                <w:rStyle w:val="Hyperlink"/>
              </w:rPr>
              <w:t>B.7.6.</w:t>
            </w:r>
            <w:r w:rsidR="00C25F89">
              <w:rPr>
                <w:rFonts w:asciiTheme="minorHAnsi" w:eastAsiaTheme="minorEastAsia" w:hAnsiTheme="minorHAnsi" w:cstheme="minorBidi"/>
              </w:rPr>
              <w:tab/>
            </w:r>
            <w:r w:rsidR="00C25F89" w:rsidRPr="00D40579">
              <w:rPr>
                <w:rStyle w:val="Hyperlink"/>
              </w:rPr>
              <w:t>Stakeholder Evaluation</w:t>
            </w:r>
            <w:r w:rsidR="00C25F89">
              <w:rPr>
                <w:webHidden/>
              </w:rPr>
              <w:tab/>
            </w:r>
            <w:r w:rsidR="00C25F89">
              <w:rPr>
                <w:webHidden/>
              </w:rPr>
              <w:fldChar w:fldCharType="begin"/>
            </w:r>
            <w:r w:rsidR="00C25F89">
              <w:rPr>
                <w:webHidden/>
              </w:rPr>
              <w:instrText xml:space="preserve"> PAGEREF _Toc117758255 \h </w:instrText>
            </w:r>
            <w:r w:rsidR="00C25F89">
              <w:rPr>
                <w:webHidden/>
              </w:rPr>
            </w:r>
            <w:r w:rsidR="00C25F89">
              <w:rPr>
                <w:webHidden/>
              </w:rPr>
              <w:fldChar w:fldCharType="separate"/>
            </w:r>
            <w:r w:rsidR="00C25F89">
              <w:rPr>
                <w:webHidden/>
              </w:rPr>
              <w:t>62</w:t>
            </w:r>
            <w:r w:rsidR="00C25F89">
              <w:rPr>
                <w:webHidden/>
              </w:rPr>
              <w:fldChar w:fldCharType="end"/>
            </w:r>
          </w:hyperlink>
        </w:p>
        <w:p w14:paraId="35DFB837" w14:textId="118FE9A0" w:rsidR="00C25F89" w:rsidRDefault="00612340">
          <w:pPr>
            <w:pStyle w:val="TOC2"/>
            <w:tabs>
              <w:tab w:val="left" w:pos="1540"/>
            </w:tabs>
            <w:rPr>
              <w:rFonts w:asciiTheme="minorHAnsi" w:eastAsiaTheme="minorEastAsia" w:hAnsiTheme="minorHAnsi" w:cstheme="minorBidi"/>
            </w:rPr>
          </w:pPr>
          <w:hyperlink w:anchor="_Toc117758256" w:history="1">
            <w:r w:rsidR="00C25F89" w:rsidRPr="00D40579">
              <w:rPr>
                <w:rStyle w:val="Hyperlink"/>
              </w:rPr>
              <w:t>B.8.</w:t>
            </w:r>
            <w:r w:rsidR="00C25F89">
              <w:rPr>
                <w:rFonts w:asciiTheme="minorHAnsi" w:eastAsiaTheme="minorEastAsia" w:hAnsiTheme="minorHAnsi" w:cstheme="minorBidi"/>
              </w:rPr>
              <w:tab/>
            </w:r>
            <w:r w:rsidR="00C25F89" w:rsidRPr="00D40579">
              <w:rPr>
                <w:rStyle w:val="Hyperlink"/>
              </w:rPr>
              <w:t>Extended Assessment of Harms</w:t>
            </w:r>
            <w:r w:rsidR="00C25F89">
              <w:rPr>
                <w:webHidden/>
              </w:rPr>
              <w:tab/>
            </w:r>
            <w:r w:rsidR="00C25F89">
              <w:rPr>
                <w:webHidden/>
              </w:rPr>
              <w:fldChar w:fldCharType="begin"/>
            </w:r>
            <w:r w:rsidR="00C25F89">
              <w:rPr>
                <w:webHidden/>
              </w:rPr>
              <w:instrText xml:space="preserve"> PAGEREF _Toc117758256 \h </w:instrText>
            </w:r>
            <w:r w:rsidR="00C25F89">
              <w:rPr>
                <w:webHidden/>
              </w:rPr>
            </w:r>
            <w:r w:rsidR="00C25F89">
              <w:rPr>
                <w:webHidden/>
              </w:rPr>
              <w:fldChar w:fldCharType="separate"/>
            </w:r>
            <w:r w:rsidR="00C25F89">
              <w:rPr>
                <w:webHidden/>
              </w:rPr>
              <w:t>63</w:t>
            </w:r>
            <w:r w:rsidR="00C25F89">
              <w:rPr>
                <w:webHidden/>
              </w:rPr>
              <w:fldChar w:fldCharType="end"/>
            </w:r>
          </w:hyperlink>
        </w:p>
        <w:p w14:paraId="62AAE8C6" w14:textId="4A6C8101" w:rsidR="00C25F89" w:rsidRDefault="00612340">
          <w:pPr>
            <w:pStyle w:val="TOC2"/>
            <w:tabs>
              <w:tab w:val="left" w:pos="1540"/>
            </w:tabs>
            <w:rPr>
              <w:rFonts w:asciiTheme="minorHAnsi" w:eastAsiaTheme="minorEastAsia" w:hAnsiTheme="minorHAnsi" w:cstheme="minorBidi"/>
            </w:rPr>
          </w:pPr>
          <w:hyperlink w:anchor="_Toc117758257" w:history="1">
            <w:r w:rsidR="00C25F89" w:rsidRPr="00D40579">
              <w:rPr>
                <w:rStyle w:val="Hyperlink"/>
              </w:rPr>
              <w:t>B.9.</w:t>
            </w:r>
            <w:r w:rsidR="00C25F89">
              <w:rPr>
                <w:rFonts w:asciiTheme="minorHAnsi" w:eastAsiaTheme="minorEastAsia" w:hAnsiTheme="minorHAnsi" w:cstheme="minorBidi"/>
              </w:rPr>
              <w:tab/>
            </w:r>
            <w:r w:rsidR="00C25F89" w:rsidRPr="00D40579">
              <w:rPr>
                <w:rStyle w:val="Hyperlink"/>
              </w:rPr>
              <w:t>Interpretation of the Clinical Evidence</w:t>
            </w:r>
            <w:r w:rsidR="00C25F89">
              <w:rPr>
                <w:webHidden/>
              </w:rPr>
              <w:tab/>
            </w:r>
            <w:r w:rsidR="00C25F89">
              <w:rPr>
                <w:webHidden/>
              </w:rPr>
              <w:fldChar w:fldCharType="begin"/>
            </w:r>
            <w:r w:rsidR="00C25F89">
              <w:rPr>
                <w:webHidden/>
              </w:rPr>
              <w:instrText xml:space="preserve"> PAGEREF _Toc117758257 \h </w:instrText>
            </w:r>
            <w:r w:rsidR="00C25F89">
              <w:rPr>
                <w:webHidden/>
              </w:rPr>
            </w:r>
            <w:r w:rsidR="00C25F89">
              <w:rPr>
                <w:webHidden/>
              </w:rPr>
              <w:fldChar w:fldCharType="separate"/>
            </w:r>
            <w:r w:rsidR="00C25F89">
              <w:rPr>
                <w:webHidden/>
              </w:rPr>
              <w:t>63</w:t>
            </w:r>
            <w:r w:rsidR="00C25F89">
              <w:rPr>
                <w:webHidden/>
              </w:rPr>
              <w:fldChar w:fldCharType="end"/>
            </w:r>
          </w:hyperlink>
        </w:p>
        <w:p w14:paraId="51B0E91E" w14:textId="255E8F86" w:rsidR="00C25F89" w:rsidRDefault="00612340">
          <w:pPr>
            <w:pStyle w:val="TOC1"/>
            <w:rPr>
              <w:rFonts w:asciiTheme="minorHAnsi" w:eastAsiaTheme="minorEastAsia" w:hAnsiTheme="minorHAnsi" w:cstheme="minorBidi"/>
              <w:b w:val="0"/>
            </w:rPr>
          </w:pPr>
          <w:hyperlink w:anchor="_Toc117758258" w:history="1">
            <w:r w:rsidR="00C25F89" w:rsidRPr="00D40579">
              <w:rPr>
                <w:rStyle w:val="Hyperlink"/>
              </w:rPr>
              <w:t>Section C: Translation Issues</w:t>
            </w:r>
            <w:r w:rsidR="00C25F89">
              <w:rPr>
                <w:webHidden/>
              </w:rPr>
              <w:tab/>
            </w:r>
            <w:r w:rsidR="00C25F89">
              <w:rPr>
                <w:webHidden/>
              </w:rPr>
              <w:fldChar w:fldCharType="begin"/>
            </w:r>
            <w:r w:rsidR="00C25F89">
              <w:rPr>
                <w:webHidden/>
              </w:rPr>
              <w:instrText xml:space="preserve"> PAGEREF _Toc117758258 \h </w:instrText>
            </w:r>
            <w:r w:rsidR="00C25F89">
              <w:rPr>
                <w:webHidden/>
              </w:rPr>
            </w:r>
            <w:r w:rsidR="00C25F89">
              <w:rPr>
                <w:webHidden/>
              </w:rPr>
              <w:fldChar w:fldCharType="separate"/>
            </w:r>
            <w:r w:rsidR="00C25F89">
              <w:rPr>
                <w:webHidden/>
              </w:rPr>
              <w:t>64</w:t>
            </w:r>
            <w:r w:rsidR="00C25F89">
              <w:rPr>
                <w:webHidden/>
              </w:rPr>
              <w:fldChar w:fldCharType="end"/>
            </w:r>
          </w:hyperlink>
        </w:p>
        <w:p w14:paraId="0AEC010A" w14:textId="2CFB0E01" w:rsidR="00C25F89" w:rsidRDefault="00612340">
          <w:pPr>
            <w:pStyle w:val="TOC2"/>
            <w:tabs>
              <w:tab w:val="left" w:pos="1540"/>
            </w:tabs>
            <w:rPr>
              <w:rFonts w:asciiTheme="minorHAnsi" w:eastAsiaTheme="minorEastAsia" w:hAnsiTheme="minorHAnsi" w:cstheme="minorBidi"/>
            </w:rPr>
          </w:pPr>
          <w:hyperlink w:anchor="_Toc117758259" w:history="1">
            <w:r w:rsidR="00C25F89" w:rsidRPr="00D40579">
              <w:rPr>
                <w:rStyle w:val="Hyperlink"/>
              </w:rPr>
              <w:t>C.1.</w:t>
            </w:r>
            <w:r w:rsidR="00C25F89">
              <w:rPr>
                <w:rFonts w:asciiTheme="minorHAnsi" w:eastAsiaTheme="minorEastAsia" w:hAnsiTheme="minorHAnsi" w:cstheme="minorBidi"/>
              </w:rPr>
              <w:tab/>
            </w:r>
            <w:r w:rsidR="00C25F89" w:rsidRPr="00D40579">
              <w:rPr>
                <w:rStyle w:val="Hyperlink"/>
              </w:rPr>
              <w:t>Overview</w:t>
            </w:r>
            <w:r w:rsidR="00C25F89">
              <w:rPr>
                <w:webHidden/>
              </w:rPr>
              <w:tab/>
            </w:r>
            <w:r w:rsidR="00C25F89">
              <w:rPr>
                <w:webHidden/>
              </w:rPr>
              <w:fldChar w:fldCharType="begin"/>
            </w:r>
            <w:r w:rsidR="00C25F89">
              <w:rPr>
                <w:webHidden/>
              </w:rPr>
              <w:instrText xml:space="preserve"> PAGEREF _Toc117758259 \h </w:instrText>
            </w:r>
            <w:r w:rsidR="00C25F89">
              <w:rPr>
                <w:webHidden/>
              </w:rPr>
            </w:r>
            <w:r w:rsidR="00C25F89">
              <w:rPr>
                <w:webHidden/>
              </w:rPr>
              <w:fldChar w:fldCharType="separate"/>
            </w:r>
            <w:r w:rsidR="00C25F89">
              <w:rPr>
                <w:webHidden/>
              </w:rPr>
              <w:t>64</w:t>
            </w:r>
            <w:r w:rsidR="00C25F89">
              <w:rPr>
                <w:webHidden/>
              </w:rPr>
              <w:fldChar w:fldCharType="end"/>
            </w:r>
          </w:hyperlink>
        </w:p>
        <w:p w14:paraId="1AF087A5" w14:textId="7789CE59" w:rsidR="00C25F89" w:rsidRDefault="00612340">
          <w:pPr>
            <w:pStyle w:val="TOC2"/>
            <w:tabs>
              <w:tab w:val="left" w:pos="1540"/>
            </w:tabs>
            <w:rPr>
              <w:rFonts w:asciiTheme="minorHAnsi" w:eastAsiaTheme="minorEastAsia" w:hAnsiTheme="minorHAnsi" w:cstheme="minorBidi"/>
            </w:rPr>
          </w:pPr>
          <w:hyperlink w:anchor="_Toc117758260" w:history="1">
            <w:r w:rsidR="00C25F89" w:rsidRPr="00D40579">
              <w:rPr>
                <w:rStyle w:val="Hyperlink"/>
              </w:rPr>
              <w:t>C.2.</w:t>
            </w:r>
            <w:r w:rsidR="00C25F89">
              <w:rPr>
                <w:rFonts w:asciiTheme="minorHAnsi" w:eastAsiaTheme="minorEastAsia" w:hAnsiTheme="minorHAnsi" w:cstheme="minorBidi"/>
              </w:rPr>
              <w:tab/>
            </w:r>
            <w:r w:rsidR="00C25F89" w:rsidRPr="00D40579">
              <w:rPr>
                <w:rStyle w:val="Hyperlink"/>
              </w:rPr>
              <w:t>Applicability translation issues</w:t>
            </w:r>
            <w:r w:rsidR="00C25F89">
              <w:rPr>
                <w:webHidden/>
              </w:rPr>
              <w:tab/>
            </w:r>
            <w:r w:rsidR="00C25F89">
              <w:rPr>
                <w:webHidden/>
              </w:rPr>
              <w:fldChar w:fldCharType="begin"/>
            </w:r>
            <w:r w:rsidR="00C25F89">
              <w:rPr>
                <w:webHidden/>
              </w:rPr>
              <w:instrText xml:space="preserve"> PAGEREF _Toc117758260 \h </w:instrText>
            </w:r>
            <w:r w:rsidR="00C25F89">
              <w:rPr>
                <w:webHidden/>
              </w:rPr>
            </w:r>
            <w:r w:rsidR="00C25F89">
              <w:rPr>
                <w:webHidden/>
              </w:rPr>
              <w:fldChar w:fldCharType="separate"/>
            </w:r>
            <w:r w:rsidR="00C25F89">
              <w:rPr>
                <w:webHidden/>
              </w:rPr>
              <w:t>64</w:t>
            </w:r>
            <w:r w:rsidR="00C25F89">
              <w:rPr>
                <w:webHidden/>
              </w:rPr>
              <w:fldChar w:fldCharType="end"/>
            </w:r>
          </w:hyperlink>
        </w:p>
        <w:p w14:paraId="18908276" w14:textId="236F5B98" w:rsidR="00C25F89" w:rsidRDefault="00612340">
          <w:pPr>
            <w:pStyle w:val="TOC3"/>
            <w:tabs>
              <w:tab w:val="left" w:pos="2103"/>
            </w:tabs>
            <w:rPr>
              <w:rFonts w:asciiTheme="minorHAnsi" w:eastAsiaTheme="minorEastAsia" w:hAnsiTheme="minorHAnsi" w:cstheme="minorBidi"/>
            </w:rPr>
          </w:pPr>
          <w:hyperlink w:anchor="_Toc117758261" w:history="1">
            <w:r w:rsidR="00C25F89" w:rsidRPr="00D40579">
              <w:rPr>
                <w:rStyle w:val="Hyperlink"/>
              </w:rPr>
              <w:t>C2.1</w:t>
            </w:r>
            <w:r w:rsidR="00C25F89">
              <w:rPr>
                <w:rFonts w:asciiTheme="minorHAnsi" w:eastAsiaTheme="minorEastAsia" w:hAnsiTheme="minorHAnsi" w:cstheme="minorBidi"/>
              </w:rPr>
              <w:tab/>
            </w:r>
            <w:r w:rsidR="00C25F89" w:rsidRPr="00D40579">
              <w:rPr>
                <w:rStyle w:val="Hyperlink"/>
              </w:rPr>
              <w:t>Is the costing data acquired from administrative claims data applicable?</w:t>
            </w:r>
            <w:r w:rsidR="00C25F89">
              <w:rPr>
                <w:webHidden/>
              </w:rPr>
              <w:tab/>
            </w:r>
            <w:r w:rsidR="00C25F89">
              <w:rPr>
                <w:webHidden/>
              </w:rPr>
              <w:fldChar w:fldCharType="begin"/>
            </w:r>
            <w:r w:rsidR="00C25F89">
              <w:rPr>
                <w:webHidden/>
              </w:rPr>
              <w:instrText xml:space="preserve"> PAGEREF _Toc117758261 \h </w:instrText>
            </w:r>
            <w:r w:rsidR="00C25F89">
              <w:rPr>
                <w:webHidden/>
              </w:rPr>
            </w:r>
            <w:r w:rsidR="00C25F89">
              <w:rPr>
                <w:webHidden/>
              </w:rPr>
              <w:fldChar w:fldCharType="separate"/>
            </w:r>
            <w:r w:rsidR="00C25F89">
              <w:rPr>
                <w:webHidden/>
              </w:rPr>
              <w:t>64</w:t>
            </w:r>
            <w:r w:rsidR="00C25F89">
              <w:rPr>
                <w:webHidden/>
              </w:rPr>
              <w:fldChar w:fldCharType="end"/>
            </w:r>
          </w:hyperlink>
        </w:p>
        <w:p w14:paraId="7AE9A136" w14:textId="2CAC9655" w:rsidR="00C25F89" w:rsidRDefault="00612340">
          <w:pPr>
            <w:pStyle w:val="TOC2"/>
            <w:tabs>
              <w:tab w:val="left" w:pos="1540"/>
            </w:tabs>
            <w:rPr>
              <w:rFonts w:asciiTheme="minorHAnsi" w:eastAsiaTheme="minorEastAsia" w:hAnsiTheme="minorHAnsi" w:cstheme="minorBidi"/>
            </w:rPr>
          </w:pPr>
          <w:hyperlink w:anchor="_Toc117758262" w:history="1">
            <w:r w:rsidR="00C25F89" w:rsidRPr="00D40579">
              <w:rPr>
                <w:rStyle w:val="Hyperlink"/>
              </w:rPr>
              <w:t>C.3.</w:t>
            </w:r>
            <w:r w:rsidR="00C25F89">
              <w:rPr>
                <w:rFonts w:asciiTheme="minorHAnsi" w:eastAsiaTheme="minorEastAsia" w:hAnsiTheme="minorHAnsi" w:cstheme="minorBidi"/>
              </w:rPr>
              <w:tab/>
            </w:r>
            <w:r w:rsidR="00C25F89" w:rsidRPr="00D40579">
              <w:rPr>
                <w:rStyle w:val="Hyperlink"/>
              </w:rPr>
              <w:t>Extrapolation translation issues</w:t>
            </w:r>
            <w:r w:rsidR="00C25F89">
              <w:rPr>
                <w:webHidden/>
              </w:rPr>
              <w:tab/>
            </w:r>
            <w:r w:rsidR="00C25F89">
              <w:rPr>
                <w:webHidden/>
              </w:rPr>
              <w:fldChar w:fldCharType="begin"/>
            </w:r>
            <w:r w:rsidR="00C25F89">
              <w:rPr>
                <w:webHidden/>
              </w:rPr>
              <w:instrText xml:space="preserve"> PAGEREF _Toc117758262 \h </w:instrText>
            </w:r>
            <w:r w:rsidR="00C25F89">
              <w:rPr>
                <w:webHidden/>
              </w:rPr>
            </w:r>
            <w:r w:rsidR="00C25F89">
              <w:rPr>
                <w:webHidden/>
              </w:rPr>
              <w:fldChar w:fldCharType="separate"/>
            </w:r>
            <w:r w:rsidR="00C25F89">
              <w:rPr>
                <w:webHidden/>
              </w:rPr>
              <w:t>68</w:t>
            </w:r>
            <w:r w:rsidR="00C25F89">
              <w:rPr>
                <w:webHidden/>
              </w:rPr>
              <w:fldChar w:fldCharType="end"/>
            </w:r>
          </w:hyperlink>
        </w:p>
        <w:p w14:paraId="6FDA853B" w14:textId="25B319A5" w:rsidR="00C25F89" w:rsidRDefault="00612340">
          <w:pPr>
            <w:pStyle w:val="TOC2"/>
            <w:tabs>
              <w:tab w:val="left" w:pos="1540"/>
            </w:tabs>
            <w:rPr>
              <w:rFonts w:asciiTheme="minorHAnsi" w:eastAsiaTheme="minorEastAsia" w:hAnsiTheme="minorHAnsi" w:cstheme="minorBidi"/>
            </w:rPr>
          </w:pPr>
          <w:hyperlink w:anchor="_Toc117758263" w:history="1">
            <w:r w:rsidR="00C25F89" w:rsidRPr="00D40579">
              <w:rPr>
                <w:rStyle w:val="Hyperlink"/>
              </w:rPr>
              <w:t>C.4.</w:t>
            </w:r>
            <w:r w:rsidR="00C25F89">
              <w:rPr>
                <w:rFonts w:asciiTheme="minorHAnsi" w:eastAsiaTheme="minorEastAsia" w:hAnsiTheme="minorHAnsi" w:cstheme="minorBidi"/>
              </w:rPr>
              <w:tab/>
            </w:r>
            <w:r w:rsidR="00C25F89" w:rsidRPr="00D40579">
              <w:rPr>
                <w:rStyle w:val="Hyperlink"/>
              </w:rPr>
              <w:t>Transformation issues</w:t>
            </w:r>
            <w:r w:rsidR="00C25F89">
              <w:rPr>
                <w:webHidden/>
              </w:rPr>
              <w:tab/>
            </w:r>
            <w:r w:rsidR="00C25F89">
              <w:rPr>
                <w:webHidden/>
              </w:rPr>
              <w:fldChar w:fldCharType="begin"/>
            </w:r>
            <w:r w:rsidR="00C25F89">
              <w:rPr>
                <w:webHidden/>
              </w:rPr>
              <w:instrText xml:space="preserve"> PAGEREF _Toc117758263 \h </w:instrText>
            </w:r>
            <w:r w:rsidR="00C25F89">
              <w:rPr>
                <w:webHidden/>
              </w:rPr>
            </w:r>
            <w:r w:rsidR="00C25F89">
              <w:rPr>
                <w:webHidden/>
              </w:rPr>
              <w:fldChar w:fldCharType="separate"/>
            </w:r>
            <w:r w:rsidR="00C25F89">
              <w:rPr>
                <w:webHidden/>
              </w:rPr>
              <w:t>68</w:t>
            </w:r>
            <w:r w:rsidR="00C25F89">
              <w:rPr>
                <w:webHidden/>
              </w:rPr>
              <w:fldChar w:fldCharType="end"/>
            </w:r>
          </w:hyperlink>
        </w:p>
        <w:p w14:paraId="2D3628F0" w14:textId="0291F68B" w:rsidR="00C25F89" w:rsidRDefault="00612340">
          <w:pPr>
            <w:pStyle w:val="TOC1"/>
            <w:tabs>
              <w:tab w:val="left" w:pos="1418"/>
            </w:tabs>
            <w:rPr>
              <w:rFonts w:asciiTheme="minorHAnsi" w:eastAsiaTheme="minorEastAsia" w:hAnsiTheme="minorHAnsi" w:cstheme="minorBidi"/>
              <w:b w:val="0"/>
            </w:rPr>
          </w:pPr>
          <w:hyperlink w:anchor="_Toc117758264" w:history="1">
            <w:r w:rsidR="00C25F89" w:rsidRPr="00D40579">
              <w:rPr>
                <w:rStyle w:val="Hyperlink"/>
              </w:rPr>
              <w:t>Section D</w:t>
            </w:r>
            <w:r w:rsidR="00C25F89">
              <w:rPr>
                <w:rFonts w:asciiTheme="minorHAnsi" w:eastAsiaTheme="minorEastAsia" w:hAnsiTheme="minorHAnsi" w:cstheme="minorBidi"/>
                <w:b w:val="0"/>
              </w:rPr>
              <w:tab/>
            </w:r>
            <w:r w:rsidR="00C25F89" w:rsidRPr="00D40579">
              <w:rPr>
                <w:rStyle w:val="Hyperlink"/>
              </w:rPr>
              <w:t>Economic Evaluation</w:t>
            </w:r>
            <w:r w:rsidR="00C25F89">
              <w:rPr>
                <w:webHidden/>
              </w:rPr>
              <w:tab/>
            </w:r>
            <w:r w:rsidR="00C25F89">
              <w:rPr>
                <w:webHidden/>
              </w:rPr>
              <w:fldChar w:fldCharType="begin"/>
            </w:r>
            <w:r w:rsidR="00C25F89">
              <w:rPr>
                <w:webHidden/>
              </w:rPr>
              <w:instrText xml:space="preserve"> PAGEREF _Toc117758264 \h </w:instrText>
            </w:r>
            <w:r w:rsidR="00C25F89">
              <w:rPr>
                <w:webHidden/>
              </w:rPr>
            </w:r>
            <w:r w:rsidR="00C25F89">
              <w:rPr>
                <w:webHidden/>
              </w:rPr>
              <w:fldChar w:fldCharType="separate"/>
            </w:r>
            <w:r w:rsidR="00C25F89">
              <w:rPr>
                <w:webHidden/>
              </w:rPr>
              <w:t>69</w:t>
            </w:r>
            <w:r w:rsidR="00C25F89">
              <w:rPr>
                <w:webHidden/>
              </w:rPr>
              <w:fldChar w:fldCharType="end"/>
            </w:r>
          </w:hyperlink>
        </w:p>
        <w:p w14:paraId="11CD4673" w14:textId="42040EBC" w:rsidR="00C25F89" w:rsidRDefault="00612340">
          <w:pPr>
            <w:pStyle w:val="TOC2"/>
            <w:tabs>
              <w:tab w:val="left" w:pos="1540"/>
            </w:tabs>
            <w:rPr>
              <w:rFonts w:asciiTheme="minorHAnsi" w:eastAsiaTheme="minorEastAsia" w:hAnsiTheme="minorHAnsi" w:cstheme="minorBidi"/>
            </w:rPr>
          </w:pPr>
          <w:hyperlink w:anchor="_Toc117758265" w:history="1">
            <w:r w:rsidR="00C25F89" w:rsidRPr="00D40579">
              <w:rPr>
                <w:rStyle w:val="Hyperlink"/>
              </w:rPr>
              <w:t>D.1.</w:t>
            </w:r>
            <w:r w:rsidR="00C25F89">
              <w:rPr>
                <w:rFonts w:asciiTheme="minorHAnsi" w:eastAsiaTheme="minorEastAsia" w:hAnsiTheme="minorHAnsi" w:cstheme="minorBidi"/>
              </w:rPr>
              <w:tab/>
            </w:r>
            <w:r w:rsidR="00C25F89" w:rsidRPr="00D40579">
              <w:rPr>
                <w:rStyle w:val="Hyperlink"/>
              </w:rPr>
              <w:t>Overview</w:t>
            </w:r>
            <w:r w:rsidR="00C25F89">
              <w:rPr>
                <w:webHidden/>
              </w:rPr>
              <w:tab/>
            </w:r>
            <w:r w:rsidR="00C25F89">
              <w:rPr>
                <w:webHidden/>
              </w:rPr>
              <w:fldChar w:fldCharType="begin"/>
            </w:r>
            <w:r w:rsidR="00C25F89">
              <w:rPr>
                <w:webHidden/>
              </w:rPr>
              <w:instrText xml:space="preserve"> PAGEREF _Toc117758265 \h </w:instrText>
            </w:r>
            <w:r w:rsidR="00C25F89">
              <w:rPr>
                <w:webHidden/>
              </w:rPr>
            </w:r>
            <w:r w:rsidR="00C25F89">
              <w:rPr>
                <w:webHidden/>
              </w:rPr>
              <w:fldChar w:fldCharType="separate"/>
            </w:r>
            <w:r w:rsidR="00C25F89">
              <w:rPr>
                <w:webHidden/>
              </w:rPr>
              <w:t>69</w:t>
            </w:r>
            <w:r w:rsidR="00C25F89">
              <w:rPr>
                <w:webHidden/>
              </w:rPr>
              <w:fldChar w:fldCharType="end"/>
            </w:r>
          </w:hyperlink>
        </w:p>
        <w:p w14:paraId="0B14534B" w14:textId="550360A7" w:rsidR="00C25F89" w:rsidRDefault="00612340">
          <w:pPr>
            <w:pStyle w:val="TOC2"/>
            <w:tabs>
              <w:tab w:val="left" w:pos="1540"/>
            </w:tabs>
            <w:rPr>
              <w:rFonts w:asciiTheme="minorHAnsi" w:eastAsiaTheme="minorEastAsia" w:hAnsiTheme="minorHAnsi" w:cstheme="minorBidi"/>
            </w:rPr>
          </w:pPr>
          <w:hyperlink w:anchor="_Toc117758266" w:history="1">
            <w:r w:rsidR="00C25F89" w:rsidRPr="00D40579">
              <w:rPr>
                <w:rStyle w:val="Hyperlink"/>
              </w:rPr>
              <w:t>D.2.</w:t>
            </w:r>
            <w:r w:rsidR="00C25F89">
              <w:rPr>
                <w:rFonts w:asciiTheme="minorHAnsi" w:eastAsiaTheme="minorEastAsia" w:hAnsiTheme="minorHAnsi" w:cstheme="minorBidi"/>
              </w:rPr>
              <w:tab/>
            </w:r>
            <w:r w:rsidR="00C25F89" w:rsidRPr="00D40579">
              <w:rPr>
                <w:rStyle w:val="Hyperlink"/>
              </w:rPr>
              <w:t>Populations and settings</w:t>
            </w:r>
            <w:r w:rsidR="00C25F89">
              <w:rPr>
                <w:webHidden/>
              </w:rPr>
              <w:tab/>
            </w:r>
            <w:r w:rsidR="00C25F89">
              <w:rPr>
                <w:webHidden/>
              </w:rPr>
              <w:fldChar w:fldCharType="begin"/>
            </w:r>
            <w:r w:rsidR="00C25F89">
              <w:rPr>
                <w:webHidden/>
              </w:rPr>
              <w:instrText xml:space="preserve"> PAGEREF _Toc117758266 \h </w:instrText>
            </w:r>
            <w:r w:rsidR="00C25F89">
              <w:rPr>
                <w:webHidden/>
              </w:rPr>
            </w:r>
            <w:r w:rsidR="00C25F89">
              <w:rPr>
                <w:webHidden/>
              </w:rPr>
              <w:fldChar w:fldCharType="separate"/>
            </w:r>
            <w:r w:rsidR="00C25F89">
              <w:rPr>
                <w:webHidden/>
              </w:rPr>
              <w:t>70</w:t>
            </w:r>
            <w:r w:rsidR="00C25F89">
              <w:rPr>
                <w:webHidden/>
              </w:rPr>
              <w:fldChar w:fldCharType="end"/>
            </w:r>
          </w:hyperlink>
        </w:p>
        <w:p w14:paraId="25CC097D" w14:textId="77B9C997" w:rsidR="00C25F89" w:rsidRDefault="00612340">
          <w:pPr>
            <w:pStyle w:val="TOC2"/>
            <w:tabs>
              <w:tab w:val="left" w:pos="1540"/>
            </w:tabs>
            <w:rPr>
              <w:rFonts w:asciiTheme="minorHAnsi" w:eastAsiaTheme="minorEastAsia" w:hAnsiTheme="minorHAnsi" w:cstheme="minorBidi"/>
            </w:rPr>
          </w:pPr>
          <w:hyperlink w:anchor="_Toc117758267" w:history="1">
            <w:r w:rsidR="00C25F89" w:rsidRPr="00D40579">
              <w:rPr>
                <w:rStyle w:val="Hyperlink"/>
              </w:rPr>
              <w:t>D.3.</w:t>
            </w:r>
            <w:r w:rsidR="00C25F89">
              <w:rPr>
                <w:rFonts w:asciiTheme="minorHAnsi" w:eastAsiaTheme="minorEastAsia" w:hAnsiTheme="minorHAnsi" w:cstheme="minorBidi"/>
              </w:rPr>
              <w:tab/>
            </w:r>
            <w:r w:rsidR="00C25F89" w:rsidRPr="00D40579">
              <w:rPr>
                <w:rStyle w:val="Hyperlink"/>
              </w:rPr>
              <w:t>Structure and rationale of the economic evaluation</w:t>
            </w:r>
            <w:r w:rsidR="00C25F89">
              <w:rPr>
                <w:webHidden/>
              </w:rPr>
              <w:tab/>
            </w:r>
            <w:r w:rsidR="00C25F89">
              <w:rPr>
                <w:webHidden/>
              </w:rPr>
              <w:fldChar w:fldCharType="begin"/>
            </w:r>
            <w:r w:rsidR="00C25F89">
              <w:rPr>
                <w:webHidden/>
              </w:rPr>
              <w:instrText xml:space="preserve"> PAGEREF _Toc117758267 \h </w:instrText>
            </w:r>
            <w:r w:rsidR="00C25F89">
              <w:rPr>
                <w:webHidden/>
              </w:rPr>
            </w:r>
            <w:r w:rsidR="00C25F89">
              <w:rPr>
                <w:webHidden/>
              </w:rPr>
              <w:fldChar w:fldCharType="separate"/>
            </w:r>
            <w:r w:rsidR="00C25F89">
              <w:rPr>
                <w:webHidden/>
              </w:rPr>
              <w:t>70</w:t>
            </w:r>
            <w:r w:rsidR="00C25F89">
              <w:rPr>
                <w:webHidden/>
              </w:rPr>
              <w:fldChar w:fldCharType="end"/>
            </w:r>
          </w:hyperlink>
        </w:p>
        <w:p w14:paraId="1F94BE74" w14:textId="603BF570" w:rsidR="00C25F89" w:rsidRDefault="00612340">
          <w:pPr>
            <w:pStyle w:val="TOC3"/>
            <w:tabs>
              <w:tab w:val="left" w:pos="2164"/>
            </w:tabs>
            <w:rPr>
              <w:rFonts w:asciiTheme="minorHAnsi" w:eastAsiaTheme="minorEastAsia" w:hAnsiTheme="minorHAnsi" w:cstheme="minorBidi"/>
            </w:rPr>
          </w:pPr>
          <w:hyperlink w:anchor="_Toc117758268" w:history="1">
            <w:r w:rsidR="00C25F89" w:rsidRPr="00D40579">
              <w:rPr>
                <w:rStyle w:val="Hyperlink"/>
              </w:rPr>
              <w:t>D.3.1</w:t>
            </w:r>
            <w:r w:rsidR="00C25F89">
              <w:rPr>
                <w:rFonts w:asciiTheme="minorHAnsi" w:eastAsiaTheme="minorEastAsia" w:hAnsiTheme="minorHAnsi" w:cstheme="minorBidi"/>
              </w:rPr>
              <w:tab/>
            </w:r>
            <w:r w:rsidR="00C25F89" w:rsidRPr="00D40579">
              <w:rPr>
                <w:rStyle w:val="Hyperlink"/>
              </w:rPr>
              <w:t>Literature review</w:t>
            </w:r>
            <w:r w:rsidR="00C25F89">
              <w:rPr>
                <w:webHidden/>
              </w:rPr>
              <w:tab/>
            </w:r>
            <w:r w:rsidR="00C25F89">
              <w:rPr>
                <w:webHidden/>
              </w:rPr>
              <w:fldChar w:fldCharType="begin"/>
            </w:r>
            <w:r w:rsidR="00C25F89">
              <w:rPr>
                <w:webHidden/>
              </w:rPr>
              <w:instrText xml:space="preserve"> PAGEREF _Toc117758268 \h </w:instrText>
            </w:r>
            <w:r w:rsidR="00C25F89">
              <w:rPr>
                <w:webHidden/>
              </w:rPr>
            </w:r>
            <w:r w:rsidR="00C25F89">
              <w:rPr>
                <w:webHidden/>
              </w:rPr>
              <w:fldChar w:fldCharType="separate"/>
            </w:r>
            <w:r w:rsidR="00C25F89">
              <w:rPr>
                <w:webHidden/>
              </w:rPr>
              <w:t>71</w:t>
            </w:r>
            <w:r w:rsidR="00C25F89">
              <w:rPr>
                <w:webHidden/>
              </w:rPr>
              <w:fldChar w:fldCharType="end"/>
            </w:r>
          </w:hyperlink>
        </w:p>
        <w:p w14:paraId="285B2AE7" w14:textId="7C9CB8E8" w:rsidR="00C25F89" w:rsidRDefault="00612340">
          <w:pPr>
            <w:pStyle w:val="TOC3"/>
            <w:tabs>
              <w:tab w:val="left" w:pos="2225"/>
            </w:tabs>
            <w:rPr>
              <w:rFonts w:asciiTheme="minorHAnsi" w:eastAsiaTheme="minorEastAsia" w:hAnsiTheme="minorHAnsi" w:cstheme="minorBidi"/>
            </w:rPr>
          </w:pPr>
          <w:hyperlink w:anchor="_Toc117758269" w:history="1">
            <w:r w:rsidR="00C25F89" w:rsidRPr="00D40579">
              <w:rPr>
                <w:rStyle w:val="Hyperlink"/>
              </w:rPr>
              <w:t>D.3.2.</w:t>
            </w:r>
            <w:r w:rsidR="00C25F89">
              <w:rPr>
                <w:rFonts w:asciiTheme="minorHAnsi" w:eastAsiaTheme="minorEastAsia" w:hAnsiTheme="minorHAnsi" w:cstheme="minorBidi"/>
              </w:rPr>
              <w:tab/>
            </w:r>
            <w:r w:rsidR="00C25F89" w:rsidRPr="00D40579">
              <w:rPr>
                <w:rStyle w:val="Hyperlink"/>
              </w:rPr>
              <w:t>Structure of the economic evaluation (Cost Analysis)</w:t>
            </w:r>
            <w:r w:rsidR="00C25F89">
              <w:rPr>
                <w:webHidden/>
              </w:rPr>
              <w:tab/>
            </w:r>
            <w:r w:rsidR="00C25F89">
              <w:rPr>
                <w:webHidden/>
              </w:rPr>
              <w:fldChar w:fldCharType="begin"/>
            </w:r>
            <w:r w:rsidR="00C25F89">
              <w:rPr>
                <w:webHidden/>
              </w:rPr>
              <w:instrText xml:space="preserve"> PAGEREF _Toc117758269 \h </w:instrText>
            </w:r>
            <w:r w:rsidR="00C25F89">
              <w:rPr>
                <w:webHidden/>
              </w:rPr>
            </w:r>
            <w:r w:rsidR="00C25F89">
              <w:rPr>
                <w:webHidden/>
              </w:rPr>
              <w:fldChar w:fldCharType="separate"/>
            </w:r>
            <w:r w:rsidR="00C25F89">
              <w:rPr>
                <w:webHidden/>
              </w:rPr>
              <w:t>73</w:t>
            </w:r>
            <w:r w:rsidR="00C25F89">
              <w:rPr>
                <w:webHidden/>
              </w:rPr>
              <w:fldChar w:fldCharType="end"/>
            </w:r>
          </w:hyperlink>
        </w:p>
        <w:p w14:paraId="4C89B3B0" w14:textId="6234784C" w:rsidR="00C25F89" w:rsidRDefault="00612340">
          <w:pPr>
            <w:pStyle w:val="TOC2"/>
            <w:tabs>
              <w:tab w:val="left" w:pos="1540"/>
            </w:tabs>
            <w:rPr>
              <w:rFonts w:asciiTheme="minorHAnsi" w:eastAsiaTheme="minorEastAsia" w:hAnsiTheme="minorHAnsi" w:cstheme="minorBidi"/>
            </w:rPr>
          </w:pPr>
          <w:hyperlink w:anchor="_Toc117758270" w:history="1">
            <w:r w:rsidR="00C25F89" w:rsidRPr="00D40579">
              <w:rPr>
                <w:rStyle w:val="Hyperlink"/>
              </w:rPr>
              <w:t>D.4.</w:t>
            </w:r>
            <w:r w:rsidR="00C25F89">
              <w:rPr>
                <w:rFonts w:asciiTheme="minorHAnsi" w:eastAsiaTheme="minorEastAsia" w:hAnsiTheme="minorHAnsi" w:cstheme="minorBidi"/>
              </w:rPr>
              <w:tab/>
            </w:r>
            <w:r w:rsidR="00C25F89" w:rsidRPr="00D40579">
              <w:rPr>
                <w:rStyle w:val="Hyperlink"/>
              </w:rPr>
              <w:t>Inputs into the economic evaluation</w:t>
            </w:r>
            <w:r w:rsidR="00C25F89">
              <w:rPr>
                <w:webHidden/>
              </w:rPr>
              <w:tab/>
            </w:r>
            <w:r w:rsidR="00C25F89">
              <w:rPr>
                <w:webHidden/>
              </w:rPr>
              <w:fldChar w:fldCharType="begin"/>
            </w:r>
            <w:r w:rsidR="00C25F89">
              <w:rPr>
                <w:webHidden/>
              </w:rPr>
              <w:instrText xml:space="preserve"> PAGEREF _Toc117758270 \h </w:instrText>
            </w:r>
            <w:r w:rsidR="00C25F89">
              <w:rPr>
                <w:webHidden/>
              </w:rPr>
            </w:r>
            <w:r w:rsidR="00C25F89">
              <w:rPr>
                <w:webHidden/>
              </w:rPr>
              <w:fldChar w:fldCharType="separate"/>
            </w:r>
            <w:r w:rsidR="00C25F89">
              <w:rPr>
                <w:webHidden/>
              </w:rPr>
              <w:t>75</w:t>
            </w:r>
            <w:r w:rsidR="00C25F89">
              <w:rPr>
                <w:webHidden/>
              </w:rPr>
              <w:fldChar w:fldCharType="end"/>
            </w:r>
          </w:hyperlink>
        </w:p>
        <w:p w14:paraId="59BF439F" w14:textId="6D9EB91C" w:rsidR="00C25F89" w:rsidRDefault="00612340">
          <w:pPr>
            <w:pStyle w:val="TOC3"/>
            <w:tabs>
              <w:tab w:val="left" w:pos="2164"/>
            </w:tabs>
            <w:rPr>
              <w:rFonts w:asciiTheme="minorHAnsi" w:eastAsiaTheme="minorEastAsia" w:hAnsiTheme="minorHAnsi" w:cstheme="minorBidi"/>
            </w:rPr>
          </w:pPr>
          <w:hyperlink w:anchor="_Toc117758271" w:history="1">
            <w:r w:rsidR="00C25F89" w:rsidRPr="00D40579">
              <w:rPr>
                <w:rStyle w:val="Hyperlink"/>
              </w:rPr>
              <w:t>D.4.1</w:t>
            </w:r>
            <w:r w:rsidR="00C25F89">
              <w:rPr>
                <w:rFonts w:asciiTheme="minorHAnsi" w:eastAsiaTheme="minorEastAsia" w:hAnsiTheme="minorHAnsi" w:cstheme="minorBidi"/>
              </w:rPr>
              <w:tab/>
            </w:r>
            <w:r w:rsidR="00C25F89" w:rsidRPr="00D40579">
              <w:rPr>
                <w:rStyle w:val="Hyperlink"/>
              </w:rPr>
              <w:t>Resource use data and pricing</w:t>
            </w:r>
            <w:r w:rsidR="00C25F89">
              <w:rPr>
                <w:webHidden/>
              </w:rPr>
              <w:tab/>
            </w:r>
            <w:r w:rsidR="00C25F89">
              <w:rPr>
                <w:webHidden/>
              </w:rPr>
              <w:fldChar w:fldCharType="begin"/>
            </w:r>
            <w:r w:rsidR="00C25F89">
              <w:rPr>
                <w:webHidden/>
              </w:rPr>
              <w:instrText xml:space="preserve"> PAGEREF _Toc117758271 \h </w:instrText>
            </w:r>
            <w:r w:rsidR="00C25F89">
              <w:rPr>
                <w:webHidden/>
              </w:rPr>
            </w:r>
            <w:r w:rsidR="00C25F89">
              <w:rPr>
                <w:webHidden/>
              </w:rPr>
              <w:fldChar w:fldCharType="separate"/>
            </w:r>
            <w:r w:rsidR="00C25F89">
              <w:rPr>
                <w:webHidden/>
              </w:rPr>
              <w:t>75</w:t>
            </w:r>
            <w:r w:rsidR="00C25F89">
              <w:rPr>
                <w:webHidden/>
              </w:rPr>
              <w:fldChar w:fldCharType="end"/>
            </w:r>
          </w:hyperlink>
        </w:p>
        <w:p w14:paraId="19921F0E" w14:textId="40BEF074" w:rsidR="00C25F89" w:rsidRDefault="00612340">
          <w:pPr>
            <w:pStyle w:val="TOC3"/>
            <w:tabs>
              <w:tab w:val="left" w:pos="2164"/>
            </w:tabs>
            <w:rPr>
              <w:rFonts w:asciiTheme="minorHAnsi" w:eastAsiaTheme="minorEastAsia" w:hAnsiTheme="minorHAnsi" w:cstheme="minorBidi"/>
            </w:rPr>
          </w:pPr>
          <w:hyperlink w:anchor="_Toc117758272" w:history="1">
            <w:r w:rsidR="00C25F89" w:rsidRPr="00D40579">
              <w:rPr>
                <w:rStyle w:val="Hyperlink"/>
              </w:rPr>
              <w:t>D.4.2</w:t>
            </w:r>
            <w:r w:rsidR="00C25F89">
              <w:rPr>
                <w:rFonts w:asciiTheme="minorHAnsi" w:eastAsiaTheme="minorEastAsia" w:hAnsiTheme="minorHAnsi" w:cstheme="minorBidi"/>
              </w:rPr>
              <w:tab/>
            </w:r>
            <w:r w:rsidR="00C25F89" w:rsidRPr="00D40579">
              <w:rPr>
                <w:rStyle w:val="Hyperlink"/>
              </w:rPr>
              <w:t>Health Outcomes</w:t>
            </w:r>
            <w:r w:rsidR="00C25F89">
              <w:rPr>
                <w:webHidden/>
              </w:rPr>
              <w:tab/>
            </w:r>
            <w:r w:rsidR="00C25F89">
              <w:rPr>
                <w:webHidden/>
              </w:rPr>
              <w:fldChar w:fldCharType="begin"/>
            </w:r>
            <w:r w:rsidR="00C25F89">
              <w:rPr>
                <w:webHidden/>
              </w:rPr>
              <w:instrText xml:space="preserve"> PAGEREF _Toc117758272 \h </w:instrText>
            </w:r>
            <w:r w:rsidR="00C25F89">
              <w:rPr>
                <w:webHidden/>
              </w:rPr>
            </w:r>
            <w:r w:rsidR="00C25F89">
              <w:rPr>
                <w:webHidden/>
              </w:rPr>
              <w:fldChar w:fldCharType="separate"/>
            </w:r>
            <w:r w:rsidR="00C25F89">
              <w:rPr>
                <w:webHidden/>
              </w:rPr>
              <w:t>82</w:t>
            </w:r>
            <w:r w:rsidR="00C25F89">
              <w:rPr>
                <w:webHidden/>
              </w:rPr>
              <w:fldChar w:fldCharType="end"/>
            </w:r>
          </w:hyperlink>
        </w:p>
        <w:p w14:paraId="15BE0BF8" w14:textId="4E2FD7AF" w:rsidR="00C25F89" w:rsidRDefault="00612340">
          <w:pPr>
            <w:pStyle w:val="TOC2"/>
            <w:tabs>
              <w:tab w:val="left" w:pos="1540"/>
            </w:tabs>
            <w:rPr>
              <w:rFonts w:asciiTheme="minorHAnsi" w:eastAsiaTheme="minorEastAsia" w:hAnsiTheme="minorHAnsi" w:cstheme="minorBidi"/>
            </w:rPr>
          </w:pPr>
          <w:hyperlink w:anchor="_Toc117758273" w:history="1">
            <w:r w:rsidR="00C25F89" w:rsidRPr="00D40579">
              <w:rPr>
                <w:rStyle w:val="Hyperlink"/>
              </w:rPr>
              <w:t>D.5.</w:t>
            </w:r>
            <w:r w:rsidR="00C25F89">
              <w:rPr>
                <w:rFonts w:asciiTheme="minorHAnsi" w:eastAsiaTheme="minorEastAsia" w:hAnsiTheme="minorHAnsi" w:cstheme="minorBidi"/>
              </w:rPr>
              <w:tab/>
            </w:r>
            <w:r w:rsidR="00C25F89" w:rsidRPr="00D40579">
              <w:rPr>
                <w:rStyle w:val="Hyperlink"/>
              </w:rPr>
              <w:t>Results of the economic evaluation</w:t>
            </w:r>
            <w:r w:rsidR="00C25F89">
              <w:rPr>
                <w:webHidden/>
              </w:rPr>
              <w:tab/>
            </w:r>
            <w:r w:rsidR="00C25F89">
              <w:rPr>
                <w:webHidden/>
              </w:rPr>
              <w:fldChar w:fldCharType="begin"/>
            </w:r>
            <w:r w:rsidR="00C25F89">
              <w:rPr>
                <w:webHidden/>
              </w:rPr>
              <w:instrText xml:space="preserve"> PAGEREF _Toc117758273 \h </w:instrText>
            </w:r>
            <w:r w:rsidR="00C25F89">
              <w:rPr>
                <w:webHidden/>
              </w:rPr>
            </w:r>
            <w:r w:rsidR="00C25F89">
              <w:rPr>
                <w:webHidden/>
              </w:rPr>
              <w:fldChar w:fldCharType="separate"/>
            </w:r>
            <w:r w:rsidR="00C25F89">
              <w:rPr>
                <w:webHidden/>
              </w:rPr>
              <w:t>83</w:t>
            </w:r>
            <w:r w:rsidR="00C25F89">
              <w:rPr>
                <w:webHidden/>
              </w:rPr>
              <w:fldChar w:fldCharType="end"/>
            </w:r>
          </w:hyperlink>
        </w:p>
        <w:p w14:paraId="36DDDF31" w14:textId="64515FD5" w:rsidR="00C25F89" w:rsidRDefault="00612340">
          <w:pPr>
            <w:pStyle w:val="TOC3"/>
            <w:rPr>
              <w:rFonts w:asciiTheme="minorHAnsi" w:eastAsiaTheme="minorEastAsia" w:hAnsiTheme="minorHAnsi" w:cstheme="minorBidi"/>
            </w:rPr>
          </w:pPr>
          <w:hyperlink w:anchor="_Toc117758274" w:history="1">
            <w:r w:rsidR="00C25F89" w:rsidRPr="00D40579">
              <w:rPr>
                <w:rStyle w:val="Hyperlink"/>
              </w:rPr>
              <w:t>Disaggregated Cost Results</w:t>
            </w:r>
            <w:r w:rsidR="00C25F89">
              <w:rPr>
                <w:webHidden/>
              </w:rPr>
              <w:tab/>
            </w:r>
            <w:r w:rsidR="00C25F89">
              <w:rPr>
                <w:webHidden/>
              </w:rPr>
              <w:fldChar w:fldCharType="begin"/>
            </w:r>
            <w:r w:rsidR="00C25F89">
              <w:rPr>
                <w:webHidden/>
              </w:rPr>
              <w:instrText xml:space="preserve"> PAGEREF _Toc117758274 \h </w:instrText>
            </w:r>
            <w:r w:rsidR="00C25F89">
              <w:rPr>
                <w:webHidden/>
              </w:rPr>
            </w:r>
            <w:r w:rsidR="00C25F89">
              <w:rPr>
                <w:webHidden/>
              </w:rPr>
              <w:fldChar w:fldCharType="separate"/>
            </w:r>
            <w:r w:rsidR="00C25F89">
              <w:rPr>
                <w:webHidden/>
              </w:rPr>
              <w:t>83</w:t>
            </w:r>
            <w:r w:rsidR="00C25F89">
              <w:rPr>
                <w:webHidden/>
              </w:rPr>
              <w:fldChar w:fldCharType="end"/>
            </w:r>
          </w:hyperlink>
        </w:p>
        <w:p w14:paraId="78C83A2E" w14:textId="59E203E4" w:rsidR="00C25F89" w:rsidRDefault="00612340">
          <w:pPr>
            <w:pStyle w:val="TOC3"/>
            <w:rPr>
              <w:rFonts w:asciiTheme="minorHAnsi" w:eastAsiaTheme="minorEastAsia" w:hAnsiTheme="minorHAnsi" w:cstheme="minorBidi"/>
            </w:rPr>
          </w:pPr>
          <w:hyperlink w:anchor="_Toc117758275" w:history="1">
            <w:r w:rsidR="00C25F89" w:rsidRPr="00D40579">
              <w:rPr>
                <w:rStyle w:val="Hyperlink"/>
              </w:rPr>
              <w:t>Cost and Incremental cost analysis</w:t>
            </w:r>
            <w:r w:rsidR="00C25F89">
              <w:rPr>
                <w:webHidden/>
              </w:rPr>
              <w:tab/>
            </w:r>
            <w:r w:rsidR="00C25F89">
              <w:rPr>
                <w:webHidden/>
              </w:rPr>
              <w:fldChar w:fldCharType="begin"/>
            </w:r>
            <w:r w:rsidR="00C25F89">
              <w:rPr>
                <w:webHidden/>
              </w:rPr>
              <w:instrText xml:space="preserve"> PAGEREF _Toc117758275 \h </w:instrText>
            </w:r>
            <w:r w:rsidR="00C25F89">
              <w:rPr>
                <w:webHidden/>
              </w:rPr>
            </w:r>
            <w:r w:rsidR="00C25F89">
              <w:rPr>
                <w:webHidden/>
              </w:rPr>
              <w:fldChar w:fldCharType="separate"/>
            </w:r>
            <w:r w:rsidR="00C25F89">
              <w:rPr>
                <w:webHidden/>
              </w:rPr>
              <w:t>86</w:t>
            </w:r>
            <w:r w:rsidR="00C25F89">
              <w:rPr>
                <w:webHidden/>
              </w:rPr>
              <w:fldChar w:fldCharType="end"/>
            </w:r>
          </w:hyperlink>
        </w:p>
        <w:p w14:paraId="346CFFAE" w14:textId="2327ADA8" w:rsidR="00C25F89" w:rsidRDefault="00612340">
          <w:pPr>
            <w:pStyle w:val="TOC3"/>
            <w:rPr>
              <w:rFonts w:asciiTheme="minorHAnsi" w:eastAsiaTheme="minorEastAsia" w:hAnsiTheme="minorHAnsi" w:cstheme="minorBidi"/>
            </w:rPr>
          </w:pPr>
          <w:hyperlink w:anchor="_Toc117758276" w:history="1">
            <w:r w:rsidR="00C25F89" w:rsidRPr="00D40579">
              <w:rPr>
                <w:rStyle w:val="Hyperlink"/>
              </w:rPr>
              <w:t>Exploratory cost-effectiveness analysis</w:t>
            </w:r>
            <w:r w:rsidR="00C25F89">
              <w:rPr>
                <w:webHidden/>
              </w:rPr>
              <w:tab/>
            </w:r>
            <w:r w:rsidR="00C25F89">
              <w:rPr>
                <w:webHidden/>
              </w:rPr>
              <w:fldChar w:fldCharType="begin"/>
            </w:r>
            <w:r w:rsidR="00C25F89">
              <w:rPr>
                <w:webHidden/>
              </w:rPr>
              <w:instrText xml:space="preserve"> PAGEREF _Toc117758276 \h </w:instrText>
            </w:r>
            <w:r w:rsidR="00C25F89">
              <w:rPr>
                <w:webHidden/>
              </w:rPr>
            </w:r>
            <w:r w:rsidR="00C25F89">
              <w:rPr>
                <w:webHidden/>
              </w:rPr>
              <w:fldChar w:fldCharType="separate"/>
            </w:r>
            <w:r w:rsidR="00C25F89">
              <w:rPr>
                <w:webHidden/>
              </w:rPr>
              <w:t>87</w:t>
            </w:r>
            <w:r w:rsidR="00C25F89">
              <w:rPr>
                <w:webHidden/>
              </w:rPr>
              <w:fldChar w:fldCharType="end"/>
            </w:r>
          </w:hyperlink>
        </w:p>
        <w:p w14:paraId="5499918C" w14:textId="0F86BBF4" w:rsidR="00C25F89" w:rsidRDefault="00612340">
          <w:pPr>
            <w:pStyle w:val="TOC2"/>
            <w:tabs>
              <w:tab w:val="left" w:pos="1540"/>
            </w:tabs>
            <w:rPr>
              <w:rFonts w:asciiTheme="minorHAnsi" w:eastAsiaTheme="minorEastAsia" w:hAnsiTheme="minorHAnsi" w:cstheme="minorBidi"/>
            </w:rPr>
          </w:pPr>
          <w:hyperlink w:anchor="_Toc117758277" w:history="1">
            <w:r w:rsidR="00C25F89" w:rsidRPr="00D40579">
              <w:rPr>
                <w:rStyle w:val="Hyperlink"/>
              </w:rPr>
              <w:t>D.6.</w:t>
            </w:r>
            <w:r w:rsidR="00C25F89">
              <w:rPr>
                <w:rFonts w:asciiTheme="minorHAnsi" w:eastAsiaTheme="minorEastAsia" w:hAnsiTheme="minorHAnsi" w:cstheme="minorBidi"/>
              </w:rPr>
              <w:tab/>
            </w:r>
            <w:r w:rsidR="00C25F89" w:rsidRPr="00D40579">
              <w:rPr>
                <w:rStyle w:val="Hyperlink"/>
              </w:rPr>
              <w:t>Sensitivity Analysis</w:t>
            </w:r>
            <w:r w:rsidR="00C25F89">
              <w:rPr>
                <w:webHidden/>
              </w:rPr>
              <w:tab/>
            </w:r>
            <w:r w:rsidR="00C25F89">
              <w:rPr>
                <w:webHidden/>
              </w:rPr>
              <w:fldChar w:fldCharType="begin"/>
            </w:r>
            <w:r w:rsidR="00C25F89">
              <w:rPr>
                <w:webHidden/>
              </w:rPr>
              <w:instrText xml:space="preserve"> PAGEREF _Toc117758277 \h </w:instrText>
            </w:r>
            <w:r w:rsidR="00C25F89">
              <w:rPr>
                <w:webHidden/>
              </w:rPr>
            </w:r>
            <w:r w:rsidR="00C25F89">
              <w:rPr>
                <w:webHidden/>
              </w:rPr>
              <w:fldChar w:fldCharType="separate"/>
            </w:r>
            <w:r w:rsidR="00C25F89">
              <w:rPr>
                <w:webHidden/>
              </w:rPr>
              <w:t>88</w:t>
            </w:r>
            <w:r w:rsidR="00C25F89">
              <w:rPr>
                <w:webHidden/>
              </w:rPr>
              <w:fldChar w:fldCharType="end"/>
            </w:r>
          </w:hyperlink>
        </w:p>
        <w:p w14:paraId="227191CF" w14:textId="7A2BD477" w:rsidR="00C25F89" w:rsidRDefault="00612340">
          <w:pPr>
            <w:pStyle w:val="TOC3"/>
            <w:rPr>
              <w:rFonts w:asciiTheme="minorHAnsi" w:eastAsiaTheme="minorEastAsia" w:hAnsiTheme="minorHAnsi" w:cstheme="minorBidi"/>
            </w:rPr>
          </w:pPr>
          <w:hyperlink w:anchor="_Toc117758278" w:history="1">
            <w:r w:rsidR="00C25F89" w:rsidRPr="00D40579">
              <w:rPr>
                <w:rStyle w:val="Hyperlink"/>
              </w:rPr>
              <w:t>Considering only pharmacist and pharmaceutical costs</w:t>
            </w:r>
            <w:r w:rsidR="00C25F89">
              <w:rPr>
                <w:webHidden/>
              </w:rPr>
              <w:tab/>
            </w:r>
            <w:r w:rsidR="00C25F89">
              <w:rPr>
                <w:webHidden/>
              </w:rPr>
              <w:fldChar w:fldCharType="begin"/>
            </w:r>
            <w:r w:rsidR="00C25F89">
              <w:rPr>
                <w:webHidden/>
              </w:rPr>
              <w:instrText xml:space="preserve"> PAGEREF _Toc117758278 \h </w:instrText>
            </w:r>
            <w:r w:rsidR="00C25F89">
              <w:rPr>
                <w:webHidden/>
              </w:rPr>
            </w:r>
            <w:r w:rsidR="00C25F89">
              <w:rPr>
                <w:webHidden/>
              </w:rPr>
              <w:fldChar w:fldCharType="separate"/>
            </w:r>
            <w:r w:rsidR="00C25F89">
              <w:rPr>
                <w:webHidden/>
              </w:rPr>
              <w:t>88</w:t>
            </w:r>
            <w:r w:rsidR="00C25F89">
              <w:rPr>
                <w:webHidden/>
              </w:rPr>
              <w:fldChar w:fldCharType="end"/>
            </w:r>
          </w:hyperlink>
        </w:p>
        <w:p w14:paraId="79F385E4" w14:textId="79783020" w:rsidR="00C25F89" w:rsidRDefault="00612340">
          <w:pPr>
            <w:pStyle w:val="TOC3"/>
            <w:rPr>
              <w:rFonts w:asciiTheme="minorHAnsi" w:eastAsiaTheme="minorEastAsia" w:hAnsiTheme="minorHAnsi" w:cstheme="minorBidi"/>
            </w:rPr>
          </w:pPr>
          <w:hyperlink w:anchor="_Toc117758279" w:history="1">
            <w:r w:rsidR="00C25F89" w:rsidRPr="00D40579">
              <w:rPr>
                <w:rStyle w:val="Hyperlink"/>
              </w:rPr>
              <w:t>Other trial-based scenario analysis</w:t>
            </w:r>
            <w:r w:rsidR="00C25F89">
              <w:rPr>
                <w:webHidden/>
              </w:rPr>
              <w:tab/>
            </w:r>
            <w:r w:rsidR="00C25F89">
              <w:rPr>
                <w:webHidden/>
              </w:rPr>
              <w:fldChar w:fldCharType="begin"/>
            </w:r>
            <w:r w:rsidR="00C25F89">
              <w:rPr>
                <w:webHidden/>
              </w:rPr>
              <w:instrText xml:space="preserve"> PAGEREF _Toc117758279 \h </w:instrText>
            </w:r>
            <w:r w:rsidR="00C25F89">
              <w:rPr>
                <w:webHidden/>
              </w:rPr>
            </w:r>
            <w:r w:rsidR="00C25F89">
              <w:rPr>
                <w:webHidden/>
              </w:rPr>
              <w:fldChar w:fldCharType="separate"/>
            </w:r>
            <w:r w:rsidR="00C25F89">
              <w:rPr>
                <w:webHidden/>
              </w:rPr>
              <w:t>88</w:t>
            </w:r>
            <w:r w:rsidR="00C25F89">
              <w:rPr>
                <w:webHidden/>
              </w:rPr>
              <w:fldChar w:fldCharType="end"/>
            </w:r>
          </w:hyperlink>
        </w:p>
        <w:p w14:paraId="0E6477EA" w14:textId="7D59DF5E" w:rsidR="00C25F89" w:rsidRDefault="00612340">
          <w:pPr>
            <w:pStyle w:val="TOC1"/>
            <w:tabs>
              <w:tab w:val="left" w:pos="1418"/>
            </w:tabs>
            <w:rPr>
              <w:rFonts w:asciiTheme="minorHAnsi" w:eastAsiaTheme="minorEastAsia" w:hAnsiTheme="minorHAnsi" w:cstheme="minorBidi"/>
              <w:b w:val="0"/>
            </w:rPr>
          </w:pPr>
          <w:hyperlink w:anchor="_Toc117758280" w:history="1">
            <w:r w:rsidR="00C25F89" w:rsidRPr="00D40579">
              <w:rPr>
                <w:rStyle w:val="Hyperlink"/>
              </w:rPr>
              <w:t>Section E</w:t>
            </w:r>
            <w:r w:rsidR="00C25F89">
              <w:rPr>
                <w:rFonts w:asciiTheme="minorHAnsi" w:eastAsiaTheme="minorEastAsia" w:hAnsiTheme="minorHAnsi" w:cstheme="minorBidi"/>
                <w:b w:val="0"/>
              </w:rPr>
              <w:tab/>
            </w:r>
            <w:r w:rsidR="00C25F89" w:rsidRPr="00D40579">
              <w:rPr>
                <w:rStyle w:val="Hyperlink"/>
              </w:rPr>
              <w:t>Financial Implications</w:t>
            </w:r>
            <w:r w:rsidR="00C25F89">
              <w:rPr>
                <w:webHidden/>
              </w:rPr>
              <w:tab/>
            </w:r>
            <w:r w:rsidR="00C25F89">
              <w:rPr>
                <w:webHidden/>
              </w:rPr>
              <w:fldChar w:fldCharType="begin"/>
            </w:r>
            <w:r w:rsidR="00C25F89">
              <w:rPr>
                <w:webHidden/>
              </w:rPr>
              <w:instrText xml:space="preserve"> PAGEREF _Toc117758280 \h </w:instrText>
            </w:r>
            <w:r w:rsidR="00C25F89">
              <w:rPr>
                <w:webHidden/>
              </w:rPr>
            </w:r>
            <w:r w:rsidR="00C25F89">
              <w:rPr>
                <w:webHidden/>
              </w:rPr>
              <w:fldChar w:fldCharType="separate"/>
            </w:r>
            <w:r w:rsidR="00C25F89">
              <w:rPr>
                <w:webHidden/>
              </w:rPr>
              <w:t>90</w:t>
            </w:r>
            <w:r w:rsidR="00C25F89">
              <w:rPr>
                <w:webHidden/>
              </w:rPr>
              <w:fldChar w:fldCharType="end"/>
            </w:r>
          </w:hyperlink>
        </w:p>
        <w:p w14:paraId="3F58F7B1" w14:textId="1C2F687C" w:rsidR="00C25F89" w:rsidRDefault="00612340">
          <w:pPr>
            <w:pStyle w:val="TOC2"/>
            <w:tabs>
              <w:tab w:val="left" w:pos="1540"/>
            </w:tabs>
            <w:rPr>
              <w:rFonts w:asciiTheme="minorHAnsi" w:eastAsiaTheme="minorEastAsia" w:hAnsiTheme="minorHAnsi" w:cstheme="minorBidi"/>
            </w:rPr>
          </w:pPr>
          <w:hyperlink w:anchor="_Toc117758281" w:history="1">
            <w:r w:rsidR="00C25F89" w:rsidRPr="00D40579">
              <w:rPr>
                <w:rStyle w:val="Hyperlink"/>
              </w:rPr>
              <w:t>E.1.</w:t>
            </w:r>
            <w:r w:rsidR="00C25F89">
              <w:rPr>
                <w:rFonts w:asciiTheme="minorHAnsi" w:eastAsiaTheme="minorEastAsia" w:hAnsiTheme="minorHAnsi" w:cstheme="minorBidi"/>
              </w:rPr>
              <w:tab/>
            </w:r>
            <w:r w:rsidR="00C25F89" w:rsidRPr="00D40579">
              <w:rPr>
                <w:rStyle w:val="Hyperlink"/>
              </w:rPr>
              <w:t>Justification of the Selection of Sources of Data</w:t>
            </w:r>
            <w:r w:rsidR="00C25F89">
              <w:rPr>
                <w:webHidden/>
              </w:rPr>
              <w:tab/>
            </w:r>
            <w:r w:rsidR="00C25F89">
              <w:rPr>
                <w:webHidden/>
              </w:rPr>
              <w:fldChar w:fldCharType="begin"/>
            </w:r>
            <w:r w:rsidR="00C25F89">
              <w:rPr>
                <w:webHidden/>
              </w:rPr>
              <w:instrText xml:space="preserve"> PAGEREF _Toc117758281 \h </w:instrText>
            </w:r>
            <w:r w:rsidR="00C25F89">
              <w:rPr>
                <w:webHidden/>
              </w:rPr>
            </w:r>
            <w:r w:rsidR="00C25F89">
              <w:rPr>
                <w:webHidden/>
              </w:rPr>
              <w:fldChar w:fldCharType="separate"/>
            </w:r>
            <w:r w:rsidR="00C25F89">
              <w:rPr>
                <w:webHidden/>
              </w:rPr>
              <w:t>90</w:t>
            </w:r>
            <w:r w:rsidR="00C25F89">
              <w:rPr>
                <w:webHidden/>
              </w:rPr>
              <w:fldChar w:fldCharType="end"/>
            </w:r>
          </w:hyperlink>
        </w:p>
        <w:p w14:paraId="5323172B" w14:textId="57E60009" w:rsidR="00C25F89" w:rsidRDefault="00612340">
          <w:pPr>
            <w:pStyle w:val="TOC2"/>
            <w:tabs>
              <w:tab w:val="left" w:pos="1540"/>
            </w:tabs>
            <w:rPr>
              <w:rFonts w:asciiTheme="minorHAnsi" w:eastAsiaTheme="minorEastAsia" w:hAnsiTheme="minorHAnsi" w:cstheme="minorBidi"/>
            </w:rPr>
          </w:pPr>
          <w:hyperlink w:anchor="_Toc117758282" w:history="1">
            <w:r w:rsidR="00C25F89" w:rsidRPr="00D40579">
              <w:rPr>
                <w:rStyle w:val="Hyperlink"/>
              </w:rPr>
              <w:t>E.2.</w:t>
            </w:r>
            <w:r w:rsidR="00C25F89">
              <w:rPr>
                <w:rFonts w:asciiTheme="minorHAnsi" w:eastAsiaTheme="minorEastAsia" w:hAnsiTheme="minorHAnsi" w:cstheme="minorBidi"/>
              </w:rPr>
              <w:tab/>
            </w:r>
            <w:r w:rsidR="00C25F89" w:rsidRPr="00D40579">
              <w:rPr>
                <w:rStyle w:val="Hyperlink"/>
              </w:rPr>
              <w:t>Use and Costs of ReMInDAR</w:t>
            </w:r>
            <w:r w:rsidR="00C25F89">
              <w:rPr>
                <w:webHidden/>
              </w:rPr>
              <w:tab/>
            </w:r>
            <w:r w:rsidR="00C25F89">
              <w:rPr>
                <w:webHidden/>
              </w:rPr>
              <w:fldChar w:fldCharType="begin"/>
            </w:r>
            <w:r w:rsidR="00C25F89">
              <w:rPr>
                <w:webHidden/>
              </w:rPr>
              <w:instrText xml:space="preserve"> PAGEREF _Toc117758282 \h </w:instrText>
            </w:r>
            <w:r w:rsidR="00C25F89">
              <w:rPr>
                <w:webHidden/>
              </w:rPr>
            </w:r>
            <w:r w:rsidR="00C25F89">
              <w:rPr>
                <w:webHidden/>
              </w:rPr>
              <w:fldChar w:fldCharType="separate"/>
            </w:r>
            <w:r w:rsidR="00C25F89">
              <w:rPr>
                <w:webHidden/>
              </w:rPr>
              <w:t>90</w:t>
            </w:r>
            <w:r w:rsidR="00C25F89">
              <w:rPr>
                <w:webHidden/>
              </w:rPr>
              <w:fldChar w:fldCharType="end"/>
            </w:r>
          </w:hyperlink>
        </w:p>
        <w:p w14:paraId="043CAC9C" w14:textId="5BA3D361" w:rsidR="00C25F89" w:rsidRDefault="00612340">
          <w:pPr>
            <w:pStyle w:val="TOC2"/>
            <w:tabs>
              <w:tab w:val="left" w:pos="1540"/>
            </w:tabs>
            <w:rPr>
              <w:rFonts w:asciiTheme="minorHAnsi" w:eastAsiaTheme="minorEastAsia" w:hAnsiTheme="minorHAnsi" w:cstheme="minorBidi"/>
            </w:rPr>
          </w:pPr>
          <w:hyperlink w:anchor="_Toc117758283" w:history="1">
            <w:r w:rsidR="00C25F89" w:rsidRPr="00D40579">
              <w:rPr>
                <w:rStyle w:val="Hyperlink"/>
              </w:rPr>
              <w:t>E.3.</w:t>
            </w:r>
            <w:r w:rsidR="00C25F89">
              <w:rPr>
                <w:rFonts w:asciiTheme="minorHAnsi" w:eastAsiaTheme="minorEastAsia" w:hAnsiTheme="minorHAnsi" w:cstheme="minorBidi"/>
              </w:rPr>
              <w:tab/>
            </w:r>
            <w:r w:rsidR="00C25F89" w:rsidRPr="00D40579">
              <w:rPr>
                <w:rStyle w:val="Hyperlink"/>
              </w:rPr>
              <w:t>Changes in Use and Cost of Other Medical Services</w:t>
            </w:r>
            <w:r w:rsidR="00C25F89">
              <w:rPr>
                <w:webHidden/>
              </w:rPr>
              <w:tab/>
            </w:r>
            <w:r w:rsidR="00C25F89">
              <w:rPr>
                <w:webHidden/>
              </w:rPr>
              <w:fldChar w:fldCharType="begin"/>
            </w:r>
            <w:r w:rsidR="00C25F89">
              <w:rPr>
                <w:webHidden/>
              </w:rPr>
              <w:instrText xml:space="preserve"> PAGEREF _Toc117758283 \h </w:instrText>
            </w:r>
            <w:r w:rsidR="00C25F89">
              <w:rPr>
                <w:webHidden/>
              </w:rPr>
            </w:r>
            <w:r w:rsidR="00C25F89">
              <w:rPr>
                <w:webHidden/>
              </w:rPr>
              <w:fldChar w:fldCharType="separate"/>
            </w:r>
            <w:r w:rsidR="00C25F89">
              <w:rPr>
                <w:webHidden/>
              </w:rPr>
              <w:t>92</w:t>
            </w:r>
            <w:r w:rsidR="00C25F89">
              <w:rPr>
                <w:webHidden/>
              </w:rPr>
              <w:fldChar w:fldCharType="end"/>
            </w:r>
          </w:hyperlink>
        </w:p>
        <w:p w14:paraId="26B683F0" w14:textId="588F6DC3" w:rsidR="00C25F89" w:rsidRDefault="00612340">
          <w:pPr>
            <w:pStyle w:val="TOC2"/>
            <w:tabs>
              <w:tab w:val="left" w:pos="1540"/>
            </w:tabs>
            <w:rPr>
              <w:rFonts w:asciiTheme="minorHAnsi" w:eastAsiaTheme="minorEastAsia" w:hAnsiTheme="minorHAnsi" w:cstheme="minorBidi"/>
            </w:rPr>
          </w:pPr>
          <w:hyperlink w:anchor="_Toc117758284" w:history="1">
            <w:r w:rsidR="00C25F89" w:rsidRPr="00D40579">
              <w:rPr>
                <w:rStyle w:val="Hyperlink"/>
              </w:rPr>
              <w:t>E.4.</w:t>
            </w:r>
            <w:r w:rsidR="00C25F89">
              <w:rPr>
                <w:rFonts w:asciiTheme="minorHAnsi" w:eastAsiaTheme="minorEastAsia" w:hAnsiTheme="minorHAnsi" w:cstheme="minorBidi"/>
              </w:rPr>
              <w:tab/>
            </w:r>
            <w:r w:rsidR="00C25F89" w:rsidRPr="00D40579">
              <w:rPr>
                <w:rStyle w:val="Hyperlink"/>
              </w:rPr>
              <w:t>Financial Implications for Government Health Budgets</w:t>
            </w:r>
            <w:r w:rsidR="00C25F89">
              <w:rPr>
                <w:webHidden/>
              </w:rPr>
              <w:tab/>
            </w:r>
            <w:r w:rsidR="00C25F89">
              <w:rPr>
                <w:webHidden/>
              </w:rPr>
              <w:fldChar w:fldCharType="begin"/>
            </w:r>
            <w:r w:rsidR="00C25F89">
              <w:rPr>
                <w:webHidden/>
              </w:rPr>
              <w:instrText xml:space="preserve"> PAGEREF _Toc117758284 \h </w:instrText>
            </w:r>
            <w:r w:rsidR="00C25F89">
              <w:rPr>
                <w:webHidden/>
              </w:rPr>
            </w:r>
            <w:r w:rsidR="00C25F89">
              <w:rPr>
                <w:webHidden/>
              </w:rPr>
              <w:fldChar w:fldCharType="separate"/>
            </w:r>
            <w:r w:rsidR="00C25F89">
              <w:rPr>
                <w:webHidden/>
              </w:rPr>
              <w:t>92</w:t>
            </w:r>
            <w:r w:rsidR="00C25F89">
              <w:rPr>
                <w:webHidden/>
              </w:rPr>
              <w:fldChar w:fldCharType="end"/>
            </w:r>
          </w:hyperlink>
        </w:p>
        <w:p w14:paraId="42F0488F" w14:textId="7B2A9619" w:rsidR="00C25F89" w:rsidRDefault="00612340">
          <w:pPr>
            <w:pStyle w:val="TOC2"/>
            <w:tabs>
              <w:tab w:val="left" w:pos="1540"/>
            </w:tabs>
            <w:rPr>
              <w:rFonts w:asciiTheme="minorHAnsi" w:eastAsiaTheme="minorEastAsia" w:hAnsiTheme="minorHAnsi" w:cstheme="minorBidi"/>
            </w:rPr>
          </w:pPr>
          <w:hyperlink w:anchor="_Toc117758285" w:history="1">
            <w:r w:rsidR="00C25F89" w:rsidRPr="00D40579">
              <w:rPr>
                <w:rStyle w:val="Hyperlink"/>
              </w:rPr>
              <w:t>E.5.</w:t>
            </w:r>
            <w:r w:rsidR="00C25F89">
              <w:rPr>
                <w:rFonts w:asciiTheme="minorHAnsi" w:eastAsiaTheme="minorEastAsia" w:hAnsiTheme="minorHAnsi" w:cstheme="minorBidi"/>
              </w:rPr>
              <w:tab/>
            </w:r>
            <w:r w:rsidR="00C25F89" w:rsidRPr="00D40579">
              <w:rPr>
                <w:rStyle w:val="Hyperlink"/>
              </w:rPr>
              <w:t>Identification, Estimation and Reduction of Uncertainty</w:t>
            </w:r>
            <w:r w:rsidR="00C25F89">
              <w:rPr>
                <w:webHidden/>
              </w:rPr>
              <w:tab/>
            </w:r>
            <w:r w:rsidR="00C25F89">
              <w:rPr>
                <w:webHidden/>
              </w:rPr>
              <w:fldChar w:fldCharType="begin"/>
            </w:r>
            <w:r w:rsidR="00C25F89">
              <w:rPr>
                <w:webHidden/>
              </w:rPr>
              <w:instrText xml:space="preserve"> PAGEREF _Toc117758285 \h </w:instrText>
            </w:r>
            <w:r w:rsidR="00C25F89">
              <w:rPr>
                <w:webHidden/>
              </w:rPr>
            </w:r>
            <w:r w:rsidR="00C25F89">
              <w:rPr>
                <w:webHidden/>
              </w:rPr>
              <w:fldChar w:fldCharType="separate"/>
            </w:r>
            <w:r w:rsidR="00C25F89">
              <w:rPr>
                <w:webHidden/>
              </w:rPr>
              <w:t>93</w:t>
            </w:r>
            <w:r w:rsidR="00C25F89">
              <w:rPr>
                <w:webHidden/>
              </w:rPr>
              <w:fldChar w:fldCharType="end"/>
            </w:r>
          </w:hyperlink>
        </w:p>
        <w:p w14:paraId="171C5C89" w14:textId="7B7B6DD9" w:rsidR="00C25F89" w:rsidRDefault="00612340">
          <w:pPr>
            <w:pStyle w:val="TOC1"/>
            <w:tabs>
              <w:tab w:val="left" w:pos="1418"/>
            </w:tabs>
            <w:rPr>
              <w:rFonts w:asciiTheme="minorHAnsi" w:eastAsiaTheme="minorEastAsia" w:hAnsiTheme="minorHAnsi" w:cstheme="minorBidi"/>
              <w:b w:val="0"/>
            </w:rPr>
          </w:pPr>
          <w:hyperlink w:anchor="_Toc117758286" w:history="1">
            <w:r w:rsidR="00C25F89" w:rsidRPr="00D40579">
              <w:rPr>
                <w:rStyle w:val="Hyperlink"/>
              </w:rPr>
              <w:t>Section F</w:t>
            </w:r>
            <w:r w:rsidR="00C25F89">
              <w:rPr>
                <w:rFonts w:asciiTheme="minorHAnsi" w:eastAsiaTheme="minorEastAsia" w:hAnsiTheme="minorHAnsi" w:cstheme="minorBidi"/>
                <w:b w:val="0"/>
              </w:rPr>
              <w:tab/>
            </w:r>
            <w:r w:rsidR="00C25F89" w:rsidRPr="00D40579">
              <w:rPr>
                <w:rStyle w:val="Hyperlink"/>
              </w:rPr>
              <w:t>Other relevant considerations</w:t>
            </w:r>
            <w:r w:rsidR="00C25F89">
              <w:rPr>
                <w:webHidden/>
              </w:rPr>
              <w:tab/>
            </w:r>
            <w:r w:rsidR="00C25F89">
              <w:rPr>
                <w:webHidden/>
              </w:rPr>
              <w:fldChar w:fldCharType="begin"/>
            </w:r>
            <w:r w:rsidR="00C25F89">
              <w:rPr>
                <w:webHidden/>
              </w:rPr>
              <w:instrText xml:space="preserve"> PAGEREF _Toc117758286 \h </w:instrText>
            </w:r>
            <w:r w:rsidR="00C25F89">
              <w:rPr>
                <w:webHidden/>
              </w:rPr>
            </w:r>
            <w:r w:rsidR="00C25F89">
              <w:rPr>
                <w:webHidden/>
              </w:rPr>
              <w:fldChar w:fldCharType="separate"/>
            </w:r>
            <w:r w:rsidR="00C25F89">
              <w:rPr>
                <w:webHidden/>
              </w:rPr>
              <w:t>95</w:t>
            </w:r>
            <w:r w:rsidR="00C25F89">
              <w:rPr>
                <w:webHidden/>
              </w:rPr>
              <w:fldChar w:fldCharType="end"/>
            </w:r>
          </w:hyperlink>
        </w:p>
        <w:p w14:paraId="3616AB4B" w14:textId="248B9C03" w:rsidR="00C25F89" w:rsidRDefault="00612340">
          <w:pPr>
            <w:pStyle w:val="TOC2"/>
            <w:tabs>
              <w:tab w:val="left" w:pos="1540"/>
            </w:tabs>
            <w:rPr>
              <w:rFonts w:asciiTheme="minorHAnsi" w:eastAsiaTheme="minorEastAsia" w:hAnsiTheme="minorHAnsi" w:cstheme="minorBidi"/>
            </w:rPr>
          </w:pPr>
          <w:hyperlink w:anchor="_Toc117758287" w:history="1">
            <w:r w:rsidR="00C25F89" w:rsidRPr="00D40579">
              <w:rPr>
                <w:rStyle w:val="Hyperlink"/>
              </w:rPr>
              <w:t>F.1.</w:t>
            </w:r>
            <w:r w:rsidR="00C25F89">
              <w:rPr>
                <w:rFonts w:asciiTheme="minorHAnsi" w:eastAsiaTheme="minorEastAsia" w:hAnsiTheme="minorHAnsi" w:cstheme="minorBidi"/>
              </w:rPr>
              <w:tab/>
            </w:r>
            <w:r w:rsidR="00C25F89" w:rsidRPr="00D40579">
              <w:rPr>
                <w:rStyle w:val="Hyperlink"/>
              </w:rPr>
              <w:t>Case studies</w:t>
            </w:r>
            <w:r w:rsidR="00C25F89">
              <w:rPr>
                <w:webHidden/>
              </w:rPr>
              <w:tab/>
            </w:r>
            <w:r w:rsidR="00C25F89">
              <w:rPr>
                <w:webHidden/>
              </w:rPr>
              <w:fldChar w:fldCharType="begin"/>
            </w:r>
            <w:r w:rsidR="00C25F89">
              <w:rPr>
                <w:webHidden/>
              </w:rPr>
              <w:instrText xml:space="preserve"> PAGEREF _Toc117758287 \h </w:instrText>
            </w:r>
            <w:r w:rsidR="00C25F89">
              <w:rPr>
                <w:webHidden/>
              </w:rPr>
            </w:r>
            <w:r w:rsidR="00C25F89">
              <w:rPr>
                <w:webHidden/>
              </w:rPr>
              <w:fldChar w:fldCharType="separate"/>
            </w:r>
            <w:r w:rsidR="00C25F89">
              <w:rPr>
                <w:webHidden/>
              </w:rPr>
              <w:t>95</w:t>
            </w:r>
            <w:r w:rsidR="00C25F89">
              <w:rPr>
                <w:webHidden/>
              </w:rPr>
              <w:fldChar w:fldCharType="end"/>
            </w:r>
          </w:hyperlink>
        </w:p>
        <w:p w14:paraId="1EB62694" w14:textId="0F2DBE9D" w:rsidR="00C25F89" w:rsidRDefault="00612340">
          <w:pPr>
            <w:pStyle w:val="TOC3"/>
            <w:rPr>
              <w:rFonts w:asciiTheme="minorHAnsi" w:eastAsiaTheme="minorEastAsia" w:hAnsiTheme="minorHAnsi" w:cstheme="minorBidi"/>
            </w:rPr>
          </w:pPr>
          <w:hyperlink w:anchor="_Toc117758288" w:history="1">
            <w:r w:rsidR="00C25F89" w:rsidRPr="00D40579">
              <w:rPr>
                <w:rStyle w:val="Hyperlink"/>
              </w:rPr>
              <w:t>Case study – Barbara*</w:t>
            </w:r>
            <w:r w:rsidR="00C25F89">
              <w:rPr>
                <w:webHidden/>
              </w:rPr>
              <w:tab/>
            </w:r>
            <w:r w:rsidR="00C25F89">
              <w:rPr>
                <w:webHidden/>
              </w:rPr>
              <w:fldChar w:fldCharType="begin"/>
            </w:r>
            <w:r w:rsidR="00C25F89">
              <w:rPr>
                <w:webHidden/>
              </w:rPr>
              <w:instrText xml:space="preserve"> PAGEREF _Toc117758288 \h </w:instrText>
            </w:r>
            <w:r w:rsidR="00C25F89">
              <w:rPr>
                <w:webHidden/>
              </w:rPr>
            </w:r>
            <w:r w:rsidR="00C25F89">
              <w:rPr>
                <w:webHidden/>
              </w:rPr>
              <w:fldChar w:fldCharType="separate"/>
            </w:r>
            <w:r w:rsidR="00C25F89">
              <w:rPr>
                <w:webHidden/>
              </w:rPr>
              <w:t>95</w:t>
            </w:r>
            <w:r w:rsidR="00C25F89">
              <w:rPr>
                <w:webHidden/>
              </w:rPr>
              <w:fldChar w:fldCharType="end"/>
            </w:r>
          </w:hyperlink>
        </w:p>
        <w:p w14:paraId="4CF2B66F" w14:textId="484CA7D3" w:rsidR="00C25F89" w:rsidRDefault="00612340">
          <w:pPr>
            <w:pStyle w:val="TOC3"/>
            <w:rPr>
              <w:rFonts w:asciiTheme="minorHAnsi" w:eastAsiaTheme="minorEastAsia" w:hAnsiTheme="minorHAnsi" w:cstheme="minorBidi"/>
            </w:rPr>
          </w:pPr>
          <w:hyperlink w:anchor="_Toc117758289" w:history="1">
            <w:r w:rsidR="00C25F89" w:rsidRPr="00D40579">
              <w:rPr>
                <w:rStyle w:val="Hyperlink"/>
              </w:rPr>
              <w:t>Case study – Mary*</w:t>
            </w:r>
            <w:r w:rsidR="00C25F89">
              <w:rPr>
                <w:webHidden/>
              </w:rPr>
              <w:tab/>
            </w:r>
            <w:r w:rsidR="00C25F89">
              <w:rPr>
                <w:webHidden/>
              </w:rPr>
              <w:fldChar w:fldCharType="begin"/>
            </w:r>
            <w:r w:rsidR="00C25F89">
              <w:rPr>
                <w:webHidden/>
              </w:rPr>
              <w:instrText xml:space="preserve"> PAGEREF _Toc117758289 \h </w:instrText>
            </w:r>
            <w:r w:rsidR="00C25F89">
              <w:rPr>
                <w:webHidden/>
              </w:rPr>
            </w:r>
            <w:r w:rsidR="00C25F89">
              <w:rPr>
                <w:webHidden/>
              </w:rPr>
              <w:fldChar w:fldCharType="separate"/>
            </w:r>
            <w:r w:rsidR="00C25F89">
              <w:rPr>
                <w:webHidden/>
              </w:rPr>
              <w:t>96</w:t>
            </w:r>
            <w:r w:rsidR="00C25F89">
              <w:rPr>
                <w:webHidden/>
              </w:rPr>
              <w:fldChar w:fldCharType="end"/>
            </w:r>
          </w:hyperlink>
        </w:p>
        <w:p w14:paraId="164DA2C8" w14:textId="08F605EC" w:rsidR="00C25F89" w:rsidRDefault="00612340">
          <w:pPr>
            <w:pStyle w:val="TOC3"/>
            <w:rPr>
              <w:rFonts w:asciiTheme="minorHAnsi" w:eastAsiaTheme="minorEastAsia" w:hAnsiTheme="minorHAnsi" w:cstheme="minorBidi"/>
            </w:rPr>
          </w:pPr>
          <w:hyperlink w:anchor="_Toc117758290" w:history="1">
            <w:r w:rsidR="00C25F89" w:rsidRPr="00D40579">
              <w:rPr>
                <w:rStyle w:val="Hyperlink"/>
              </w:rPr>
              <w:t>Case study – Harry*</w:t>
            </w:r>
            <w:r w:rsidR="00C25F89">
              <w:rPr>
                <w:webHidden/>
              </w:rPr>
              <w:tab/>
            </w:r>
            <w:r w:rsidR="00C25F89">
              <w:rPr>
                <w:webHidden/>
              </w:rPr>
              <w:fldChar w:fldCharType="begin"/>
            </w:r>
            <w:r w:rsidR="00C25F89">
              <w:rPr>
                <w:webHidden/>
              </w:rPr>
              <w:instrText xml:space="preserve"> PAGEREF _Toc117758290 \h </w:instrText>
            </w:r>
            <w:r w:rsidR="00C25F89">
              <w:rPr>
                <w:webHidden/>
              </w:rPr>
            </w:r>
            <w:r w:rsidR="00C25F89">
              <w:rPr>
                <w:webHidden/>
              </w:rPr>
              <w:fldChar w:fldCharType="separate"/>
            </w:r>
            <w:r w:rsidR="00C25F89">
              <w:rPr>
                <w:webHidden/>
              </w:rPr>
              <w:t>97</w:t>
            </w:r>
            <w:r w:rsidR="00C25F89">
              <w:rPr>
                <w:webHidden/>
              </w:rPr>
              <w:fldChar w:fldCharType="end"/>
            </w:r>
          </w:hyperlink>
        </w:p>
        <w:p w14:paraId="3B6AA00F" w14:textId="053C5429" w:rsidR="00C25F89" w:rsidRDefault="00612340">
          <w:pPr>
            <w:pStyle w:val="TOC3"/>
            <w:rPr>
              <w:rFonts w:asciiTheme="minorHAnsi" w:eastAsiaTheme="minorEastAsia" w:hAnsiTheme="minorHAnsi" w:cstheme="minorBidi"/>
            </w:rPr>
          </w:pPr>
          <w:hyperlink w:anchor="_Toc117758291" w:history="1">
            <w:r w:rsidR="00C25F89" w:rsidRPr="00D40579">
              <w:rPr>
                <w:rStyle w:val="Hyperlink"/>
              </w:rPr>
              <w:t>Case study – Jack*</w:t>
            </w:r>
            <w:r w:rsidR="00C25F89">
              <w:rPr>
                <w:webHidden/>
              </w:rPr>
              <w:tab/>
            </w:r>
            <w:r w:rsidR="00C25F89">
              <w:rPr>
                <w:webHidden/>
              </w:rPr>
              <w:fldChar w:fldCharType="begin"/>
            </w:r>
            <w:r w:rsidR="00C25F89">
              <w:rPr>
                <w:webHidden/>
              </w:rPr>
              <w:instrText xml:space="preserve"> PAGEREF _Toc117758291 \h </w:instrText>
            </w:r>
            <w:r w:rsidR="00C25F89">
              <w:rPr>
                <w:webHidden/>
              </w:rPr>
            </w:r>
            <w:r w:rsidR="00C25F89">
              <w:rPr>
                <w:webHidden/>
              </w:rPr>
              <w:fldChar w:fldCharType="separate"/>
            </w:r>
            <w:r w:rsidR="00C25F89">
              <w:rPr>
                <w:webHidden/>
              </w:rPr>
              <w:t>98</w:t>
            </w:r>
            <w:r w:rsidR="00C25F89">
              <w:rPr>
                <w:webHidden/>
              </w:rPr>
              <w:fldChar w:fldCharType="end"/>
            </w:r>
          </w:hyperlink>
        </w:p>
        <w:p w14:paraId="048B2B48" w14:textId="11CF7E62" w:rsidR="00C25F89" w:rsidRDefault="00612340">
          <w:pPr>
            <w:pStyle w:val="TOC3"/>
            <w:rPr>
              <w:rFonts w:asciiTheme="minorHAnsi" w:eastAsiaTheme="minorEastAsia" w:hAnsiTheme="minorHAnsi" w:cstheme="minorBidi"/>
            </w:rPr>
          </w:pPr>
          <w:hyperlink w:anchor="_Toc117758292" w:history="1">
            <w:r w:rsidR="00C25F89" w:rsidRPr="00D40579">
              <w:rPr>
                <w:rStyle w:val="Hyperlink"/>
              </w:rPr>
              <w:t>Case Study – Grace*</w:t>
            </w:r>
            <w:r w:rsidR="00C25F89">
              <w:rPr>
                <w:webHidden/>
              </w:rPr>
              <w:tab/>
            </w:r>
            <w:r w:rsidR="00C25F89">
              <w:rPr>
                <w:webHidden/>
              </w:rPr>
              <w:fldChar w:fldCharType="begin"/>
            </w:r>
            <w:r w:rsidR="00C25F89">
              <w:rPr>
                <w:webHidden/>
              </w:rPr>
              <w:instrText xml:space="preserve"> PAGEREF _Toc117758292 \h </w:instrText>
            </w:r>
            <w:r w:rsidR="00C25F89">
              <w:rPr>
                <w:webHidden/>
              </w:rPr>
            </w:r>
            <w:r w:rsidR="00C25F89">
              <w:rPr>
                <w:webHidden/>
              </w:rPr>
              <w:fldChar w:fldCharType="separate"/>
            </w:r>
            <w:r w:rsidR="00C25F89">
              <w:rPr>
                <w:webHidden/>
              </w:rPr>
              <w:t>99</w:t>
            </w:r>
            <w:r w:rsidR="00C25F89">
              <w:rPr>
                <w:webHidden/>
              </w:rPr>
              <w:fldChar w:fldCharType="end"/>
            </w:r>
          </w:hyperlink>
        </w:p>
        <w:p w14:paraId="6A0815BD" w14:textId="32097CEC" w:rsidR="00C25F89" w:rsidRDefault="00612340">
          <w:pPr>
            <w:pStyle w:val="TOC3"/>
            <w:rPr>
              <w:rFonts w:asciiTheme="minorHAnsi" w:eastAsiaTheme="minorEastAsia" w:hAnsiTheme="minorHAnsi" w:cstheme="minorBidi"/>
            </w:rPr>
          </w:pPr>
          <w:hyperlink w:anchor="_Toc117758293" w:history="1">
            <w:r w:rsidR="00C25F89" w:rsidRPr="00D40579">
              <w:rPr>
                <w:rStyle w:val="Hyperlink"/>
              </w:rPr>
              <w:t>Case Study – Anita*</w:t>
            </w:r>
            <w:r w:rsidR="00C25F89">
              <w:rPr>
                <w:webHidden/>
              </w:rPr>
              <w:tab/>
            </w:r>
            <w:r w:rsidR="00C25F89">
              <w:rPr>
                <w:webHidden/>
              </w:rPr>
              <w:fldChar w:fldCharType="begin"/>
            </w:r>
            <w:r w:rsidR="00C25F89">
              <w:rPr>
                <w:webHidden/>
              </w:rPr>
              <w:instrText xml:space="preserve"> PAGEREF _Toc117758293 \h </w:instrText>
            </w:r>
            <w:r w:rsidR="00C25F89">
              <w:rPr>
                <w:webHidden/>
              </w:rPr>
            </w:r>
            <w:r w:rsidR="00C25F89">
              <w:rPr>
                <w:webHidden/>
              </w:rPr>
              <w:fldChar w:fldCharType="separate"/>
            </w:r>
            <w:r w:rsidR="00C25F89">
              <w:rPr>
                <w:webHidden/>
              </w:rPr>
              <w:t>100</w:t>
            </w:r>
            <w:r w:rsidR="00C25F89">
              <w:rPr>
                <w:webHidden/>
              </w:rPr>
              <w:fldChar w:fldCharType="end"/>
            </w:r>
          </w:hyperlink>
        </w:p>
        <w:p w14:paraId="5336D06C" w14:textId="7098BE0A" w:rsidR="00C25F89" w:rsidRDefault="00612340">
          <w:pPr>
            <w:pStyle w:val="TOC3"/>
            <w:rPr>
              <w:rFonts w:asciiTheme="minorHAnsi" w:eastAsiaTheme="minorEastAsia" w:hAnsiTheme="minorHAnsi" w:cstheme="minorBidi"/>
            </w:rPr>
          </w:pPr>
          <w:hyperlink w:anchor="_Toc117758294" w:history="1">
            <w:r w:rsidR="00C25F89" w:rsidRPr="00D40579">
              <w:rPr>
                <w:rStyle w:val="Hyperlink"/>
              </w:rPr>
              <w:t>Case Study – John*</w:t>
            </w:r>
            <w:r w:rsidR="00C25F89">
              <w:rPr>
                <w:webHidden/>
              </w:rPr>
              <w:tab/>
            </w:r>
            <w:r w:rsidR="00C25F89">
              <w:rPr>
                <w:webHidden/>
              </w:rPr>
              <w:fldChar w:fldCharType="begin"/>
            </w:r>
            <w:r w:rsidR="00C25F89">
              <w:rPr>
                <w:webHidden/>
              </w:rPr>
              <w:instrText xml:space="preserve"> PAGEREF _Toc117758294 \h </w:instrText>
            </w:r>
            <w:r w:rsidR="00C25F89">
              <w:rPr>
                <w:webHidden/>
              </w:rPr>
            </w:r>
            <w:r w:rsidR="00C25F89">
              <w:rPr>
                <w:webHidden/>
              </w:rPr>
              <w:fldChar w:fldCharType="separate"/>
            </w:r>
            <w:r w:rsidR="00C25F89">
              <w:rPr>
                <w:webHidden/>
              </w:rPr>
              <w:t>101</w:t>
            </w:r>
            <w:r w:rsidR="00C25F89">
              <w:rPr>
                <w:webHidden/>
              </w:rPr>
              <w:fldChar w:fldCharType="end"/>
            </w:r>
          </w:hyperlink>
        </w:p>
        <w:p w14:paraId="78E69420" w14:textId="02228FA7" w:rsidR="00C25F89" w:rsidRDefault="00612340">
          <w:pPr>
            <w:pStyle w:val="TOC3"/>
            <w:rPr>
              <w:rFonts w:asciiTheme="minorHAnsi" w:eastAsiaTheme="minorEastAsia" w:hAnsiTheme="minorHAnsi" w:cstheme="minorBidi"/>
            </w:rPr>
          </w:pPr>
          <w:hyperlink w:anchor="_Toc117758295" w:history="1">
            <w:r w:rsidR="00C25F89" w:rsidRPr="00D40579">
              <w:rPr>
                <w:rStyle w:val="Hyperlink"/>
              </w:rPr>
              <w:t>Case Study – Betty*</w:t>
            </w:r>
            <w:r w:rsidR="00C25F89">
              <w:rPr>
                <w:webHidden/>
              </w:rPr>
              <w:tab/>
            </w:r>
            <w:r w:rsidR="00C25F89">
              <w:rPr>
                <w:webHidden/>
              </w:rPr>
              <w:fldChar w:fldCharType="begin"/>
            </w:r>
            <w:r w:rsidR="00C25F89">
              <w:rPr>
                <w:webHidden/>
              </w:rPr>
              <w:instrText xml:space="preserve"> PAGEREF _Toc117758295 \h </w:instrText>
            </w:r>
            <w:r w:rsidR="00C25F89">
              <w:rPr>
                <w:webHidden/>
              </w:rPr>
            </w:r>
            <w:r w:rsidR="00C25F89">
              <w:rPr>
                <w:webHidden/>
              </w:rPr>
              <w:fldChar w:fldCharType="separate"/>
            </w:r>
            <w:r w:rsidR="00C25F89">
              <w:rPr>
                <w:webHidden/>
              </w:rPr>
              <w:t>102</w:t>
            </w:r>
            <w:r w:rsidR="00C25F89">
              <w:rPr>
                <w:webHidden/>
              </w:rPr>
              <w:fldChar w:fldCharType="end"/>
            </w:r>
          </w:hyperlink>
        </w:p>
        <w:p w14:paraId="40CD881C" w14:textId="7188A817" w:rsidR="00C25F89" w:rsidRDefault="00612340">
          <w:pPr>
            <w:pStyle w:val="TOC2"/>
            <w:tabs>
              <w:tab w:val="left" w:pos="1540"/>
            </w:tabs>
            <w:rPr>
              <w:rFonts w:asciiTheme="minorHAnsi" w:eastAsiaTheme="minorEastAsia" w:hAnsiTheme="minorHAnsi" w:cstheme="minorBidi"/>
            </w:rPr>
          </w:pPr>
          <w:hyperlink w:anchor="_Toc117758296" w:history="1">
            <w:r w:rsidR="00C25F89" w:rsidRPr="00D40579">
              <w:rPr>
                <w:rStyle w:val="Hyperlink"/>
              </w:rPr>
              <w:t>F.2.</w:t>
            </w:r>
            <w:r w:rsidR="00C25F89">
              <w:rPr>
                <w:rFonts w:asciiTheme="minorHAnsi" w:eastAsiaTheme="minorEastAsia" w:hAnsiTheme="minorHAnsi" w:cstheme="minorBidi"/>
              </w:rPr>
              <w:tab/>
            </w:r>
            <w:r w:rsidR="00C25F89" w:rsidRPr="00D40579">
              <w:rPr>
                <w:rStyle w:val="Hyperlink"/>
              </w:rPr>
              <w:t>Stakeholder feedback</w:t>
            </w:r>
            <w:r w:rsidR="00C25F89">
              <w:rPr>
                <w:webHidden/>
              </w:rPr>
              <w:tab/>
            </w:r>
            <w:r w:rsidR="00C25F89">
              <w:rPr>
                <w:webHidden/>
              </w:rPr>
              <w:fldChar w:fldCharType="begin"/>
            </w:r>
            <w:r w:rsidR="00C25F89">
              <w:rPr>
                <w:webHidden/>
              </w:rPr>
              <w:instrText xml:space="preserve"> PAGEREF _Toc117758296 \h </w:instrText>
            </w:r>
            <w:r w:rsidR="00C25F89">
              <w:rPr>
                <w:webHidden/>
              </w:rPr>
            </w:r>
            <w:r w:rsidR="00C25F89">
              <w:rPr>
                <w:webHidden/>
              </w:rPr>
              <w:fldChar w:fldCharType="separate"/>
            </w:r>
            <w:r w:rsidR="00C25F89">
              <w:rPr>
                <w:webHidden/>
              </w:rPr>
              <w:t>103</w:t>
            </w:r>
            <w:r w:rsidR="00C25F89">
              <w:rPr>
                <w:webHidden/>
              </w:rPr>
              <w:fldChar w:fldCharType="end"/>
            </w:r>
          </w:hyperlink>
        </w:p>
        <w:p w14:paraId="27EB7703" w14:textId="3E984381" w:rsidR="00C25F89" w:rsidRDefault="00612340">
          <w:pPr>
            <w:pStyle w:val="TOC3"/>
            <w:tabs>
              <w:tab w:val="left" w:pos="2078"/>
            </w:tabs>
            <w:rPr>
              <w:rFonts w:asciiTheme="minorHAnsi" w:eastAsiaTheme="minorEastAsia" w:hAnsiTheme="minorHAnsi" w:cstheme="minorBidi"/>
            </w:rPr>
          </w:pPr>
          <w:hyperlink w:anchor="_Toc117758297" w:history="1">
            <w:r w:rsidR="00C25F89" w:rsidRPr="00D40579">
              <w:rPr>
                <w:rStyle w:val="Hyperlink"/>
                <w:lang w:val="en-US"/>
              </w:rPr>
              <w:t>F2.1</w:t>
            </w:r>
            <w:r w:rsidR="00C25F89">
              <w:rPr>
                <w:rFonts w:asciiTheme="minorHAnsi" w:eastAsiaTheme="minorEastAsia" w:hAnsiTheme="minorHAnsi" w:cstheme="minorBidi"/>
              </w:rPr>
              <w:tab/>
            </w:r>
            <w:r w:rsidR="00C25F89" w:rsidRPr="00D40579">
              <w:rPr>
                <w:rStyle w:val="Hyperlink"/>
                <w:lang w:val="en-US"/>
              </w:rPr>
              <w:t>RACF resident (participant) feedback</w:t>
            </w:r>
            <w:r w:rsidR="00C25F89">
              <w:rPr>
                <w:webHidden/>
              </w:rPr>
              <w:tab/>
            </w:r>
            <w:r w:rsidR="00C25F89">
              <w:rPr>
                <w:webHidden/>
              </w:rPr>
              <w:fldChar w:fldCharType="begin"/>
            </w:r>
            <w:r w:rsidR="00C25F89">
              <w:rPr>
                <w:webHidden/>
              </w:rPr>
              <w:instrText xml:space="preserve"> PAGEREF _Toc117758297 \h </w:instrText>
            </w:r>
            <w:r w:rsidR="00C25F89">
              <w:rPr>
                <w:webHidden/>
              </w:rPr>
            </w:r>
            <w:r w:rsidR="00C25F89">
              <w:rPr>
                <w:webHidden/>
              </w:rPr>
              <w:fldChar w:fldCharType="separate"/>
            </w:r>
            <w:r w:rsidR="00C25F89">
              <w:rPr>
                <w:webHidden/>
              </w:rPr>
              <w:t>104</w:t>
            </w:r>
            <w:r w:rsidR="00C25F89">
              <w:rPr>
                <w:webHidden/>
              </w:rPr>
              <w:fldChar w:fldCharType="end"/>
            </w:r>
          </w:hyperlink>
        </w:p>
        <w:p w14:paraId="0F416398" w14:textId="4914B789" w:rsidR="00C25F89" w:rsidRDefault="00612340">
          <w:pPr>
            <w:pStyle w:val="TOC3"/>
            <w:tabs>
              <w:tab w:val="left" w:pos="2078"/>
            </w:tabs>
            <w:rPr>
              <w:rFonts w:asciiTheme="minorHAnsi" w:eastAsiaTheme="minorEastAsia" w:hAnsiTheme="minorHAnsi" w:cstheme="minorBidi"/>
            </w:rPr>
          </w:pPr>
          <w:hyperlink w:anchor="_Toc117758298" w:history="1">
            <w:r w:rsidR="00C25F89" w:rsidRPr="00D40579">
              <w:rPr>
                <w:rStyle w:val="Hyperlink"/>
                <w:lang w:val="en-US"/>
              </w:rPr>
              <w:t>F2.2</w:t>
            </w:r>
            <w:r w:rsidR="00C25F89">
              <w:rPr>
                <w:rFonts w:asciiTheme="minorHAnsi" w:eastAsiaTheme="minorEastAsia" w:hAnsiTheme="minorHAnsi" w:cstheme="minorBidi"/>
              </w:rPr>
              <w:tab/>
            </w:r>
            <w:r w:rsidR="00C25F89" w:rsidRPr="00D40579">
              <w:rPr>
                <w:rStyle w:val="Hyperlink"/>
                <w:lang w:val="en-US"/>
              </w:rPr>
              <w:t>Pharmacist feedback</w:t>
            </w:r>
            <w:r w:rsidR="00C25F89">
              <w:rPr>
                <w:webHidden/>
              </w:rPr>
              <w:tab/>
            </w:r>
            <w:r w:rsidR="00C25F89">
              <w:rPr>
                <w:webHidden/>
              </w:rPr>
              <w:fldChar w:fldCharType="begin"/>
            </w:r>
            <w:r w:rsidR="00C25F89">
              <w:rPr>
                <w:webHidden/>
              </w:rPr>
              <w:instrText xml:space="preserve"> PAGEREF _Toc117758298 \h </w:instrText>
            </w:r>
            <w:r w:rsidR="00C25F89">
              <w:rPr>
                <w:webHidden/>
              </w:rPr>
            </w:r>
            <w:r w:rsidR="00C25F89">
              <w:rPr>
                <w:webHidden/>
              </w:rPr>
              <w:fldChar w:fldCharType="separate"/>
            </w:r>
            <w:r w:rsidR="00C25F89">
              <w:rPr>
                <w:webHidden/>
              </w:rPr>
              <w:t>105</w:t>
            </w:r>
            <w:r w:rsidR="00C25F89">
              <w:rPr>
                <w:webHidden/>
              </w:rPr>
              <w:fldChar w:fldCharType="end"/>
            </w:r>
          </w:hyperlink>
        </w:p>
        <w:p w14:paraId="5A9665DB" w14:textId="215C4F16" w:rsidR="00C25F89" w:rsidRDefault="00612340">
          <w:pPr>
            <w:pStyle w:val="TOC3"/>
            <w:tabs>
              <w:tab w:val="left" w:pos="2078"/>
            </w:tabs>
            <w:rPr>
              <w:rFonts w:asciiTheme="minorHAnsi" w:eastAsiaTheme="minorEastAsia" w:hAnsiTheme="minorHAnsi" w:cstheme="minorBidi"/>
            </w:rPr>
          </w:pPr>
          <w:hyperlink w:anchor="_Toc117758299" w:history="1">
            <w:r w:rsidR="00C25F89" w:rsidRPr="00D40579">
              <w:rPr>
                <w:rStyle w:val="Hyperlink"/>
                <w:lang w:val="en-US"/>
              </w:rPr>
              <w:t>F2.3</w:t>
            </w:r>
            <w:r w:rsidR="00C25F89">
              <w:rPr>
                <w:rFonts w:asciiTheme="minorHAnsi" w:eastAsiaTheme="minorEastAsia" w:hAnsiTheme="minorHAnsi" w:cstheme="minorBidi"/>
              </w:rPr>
              <w:tab/>
            </w:r>
            <w:r w:rsidR="00C25F89" w:rsidRPr="00D40579">
              <w:rPr>
                <w:rStyle w:val="Hyperlink"/>
                <w:lang w:val="en-US"/>
              </w:rPr>
              <w:t>General Practitioner feedback</w:t>
            </w:r>
            <w:r w:rsidR="00C25F89">
              <w:rPr>
                <w:webHidden/>
              </w:rPr>
              <w:tab/>
            </w:r>
            <w:r w:rsidR="00C25F89">
              <w:rPr>
                <w:webHidden/>
              </w:rPr>
              <w:fldChar w:fldCharType="begin"/>
            </w:r>
            <w:r w:rsidR="00C25F89">
              <w:rPr>
                <w:webHidden/>
              </w:rPr>
              <w:instrText xml:space="preserve"> PAGEREF _Toc117758299 \h </w:instrText>
            </w:r>
            <w:r w:rsidR="00C25F89">
              <w:rPr>
                <w:webHidden/>
              </w:rPr>
            </w:r>
            <w:r w:rsidR="00C25F89">
              <w:rPr>
                <w:webHidden/>
              </w:rPr>
              <w:fldChar w:fldCharType="separate"/>
            </w:r>
            <w:r w:rsidR="00C25F89">
              <w:rPr>
                <w:webHidden/>
              </w:rPr>
              <w:t>109</w:t>
            </w:r>
            <w:r w:rsidR="00C25F89">
              <w:rPr>
                <w:webHidden/>
              </w:rPr>
              <w:fldChar w:fldCharType="end"/>
            </w:r>
          </w:hyperlink>
        </w:p>
        <w:p w14:paraId="56CE5FC5" w14:textId="1A616293" w:rsidR="00C25F89" w:rsidRDefault="00612340">
          <w:pPr>
            <w:pStyle w:val="TOC3"/>
            <w:tabs>
              <w:tab w:val="left" w:pos="2078"/>
            </w:tabs>
            <w:rPr>
              <w:rFonts w:asciiTheme="minorHAnsi" w:eastAsiaTheme="minorEastAsia" w:hAnsiTheme="minorHAnsi" w:cstheme="minorBidi"/>
            </w:rPr>
          </w:pPr>
          <w:hyperlink w:anchor="_Toc117758300" w:history="1">
            <w:r w:rsidR="00C25F89" w:rsidRPr="00D40579">
              <w:rPr>
                <w:rStyle w:val="Hyperlink"/>
                <w:lang w:val="en-US"/>
              </w:rPr>
              <w:t>F2.4</w:t>
            </w:r>
            <w:r w:rsidR="00C25F89">
              <w:rPr>
                <w:rFonts w:asciiTheme="minorHAnsi" w:eastAsiaTheme="minorEastAsia" w:hAnsiTheme="minorHAnsi" w:cstheme="minorBidi"/>
              </w:rPr>
              <w:tab/>
            </w:r>
            <w:r w:rsidR="00C25F89" w:rsidRPr="00D40579">
              <w:rPr>
                <w:rStyle w:val="Hyperlink"/>
                <w:lang w:val="en-US"/>
              </w:rPr>
              <w:t>RACF staff feedback</w:t>
            </w:r>
            <w:r w:rsidR="00C25F89">
              <w:rPr>
                <w:webHidden/>
              </w:rPr>
              <w:tab/>
            </w:r>
            <w:r w:rsidR="00C25F89">
              <w:rPr>
                <w:webHidden/>
              </w:rPr>
              <w:fldChar w:fldCharType="begin"/>
            </w:r>
            <w:r w:rsidR="00C25F89">
              <w:rPr>
                <w:webHidden/>
              </w:rPr>
              <w:instrText xml:space="preserve"> PAGEREF _Toc117758300 \h </w:instrText>
            </w:r>
            <w:r w:rsidR="00C25F89">
              <w:rPr>
                <w:webHidden/>
              </w:rPr>
            </w:r>
            <w:r w:rsidR="00C25F89">
              <w:rPr>
                <w:webHidden/>
              </w:rPr>
              <w:fldChar w:fldCharType="separate"/>
            </w:r>
            <w:r w:rsidR="00C25F89">
              <w:rPr>
                <w:webHidden/>
              </w:rPr>
              <w:t>110</w:t>
            </w:r>
            <w:r w:rsidR="00C25F89">
              <w:rPr>
                <w:webHidden/>
              </w:rPr>
              <w:fldChar w:fldCharType="end"/>
            </w:r>
          </w:hyperlink>
        </w:p>
        <w:p w14:paraId="463CE0E8" w14:textId="5CD85820" w:rsidR="00C25F89" w:rsidRDefault="00612340">
          <w:pPr>
            <w:pStyle w:val="TOC2"/>
            <w:tabs>
              <w:tab w:val="left" w:pos="1540"/>
            </w:tabs>
            <w:rPr>
              <w:rFonts w:asciiTheme="minorHAnsi" w:eastAsiaTheme="minorEastAsia" w:hAnsiTheme="minorHAnsi" w:cstheme="minorBidi"/>
            </w:rPr>
          </w:pPr>
          <w:hyperlink w:anchor="_Toc117758301" w:history="1">
            <w:r w:rsidR="00C25F89" w:rsidRPr="00D40579">
              <w:rPr>
                <w:rStyle w:val="Hyperlink"/>
              </w:rPr>
              <w:t>F.3.</w:t>
            </w:r>
            <w:r w:rsidR="00C25F89">
              <w:rPr>
                <w:rFonts w:asciiTheme="minorHAnsi" w:eastAsiaTheme="minorEastAsia" w:hAnsiTheme="minorHAnsi" w:cstheme="minorBidi"/>
              </w:rPr>
              <w:tab/>
            </w:r>
            <w:r w:rsidR="00C25F89" w:rsidRPr="00D40579">
              <w:rPr>
                <w:rStyle w:val="Hyperlink"/>
              </w:rPr>
              <w:t>Pharmacist training manual and accreditation</w:t>
            </w:r>
            <w:r w:rsidR="00C25F89">
              <w:rPr>
                <w:webHidden/>
              </w:rPr>
              <w:tab/>
            </w:r>
            <w:r w:rsidR="00C25F89">
              <w:rPr>
                <w:webHidden/>
              </w:rPr>
              <w:fldChar w:fldCharType="begin"/>
            </w:r>
            <w:r w:rsidR="00C25F89">
              <w:rPr>
                <w:webHidden/>
              </w:rPr>
              <w:instrText xml:space="preserve"> PAGEREF _Toc117758301 \h </w:instrText>
            </w:r>
            <w:r w:rsidR="00C25F89">
              <w:rPr>
                <w:webHidden/>
              </w:rPr>
            </w:r>
            <w:r w:rsidR="00C25F89">
              <w:rPr>
                <w:webHidden/>
              </w:rPr>
              <w:fldChar w:fldCharType="separate"/>
            </w:r>
            <w:r w:rsidR="00C25F89">
              <w:rPr>
                <w:webHidden/>
              </w:rPr>
              <w:t>112</w:t>
            </w:r>
            <w:r w:rsidR="00C25F89">
              <w:rPr>
                <w:webHidden/>
              </w:rPr>
              <w:fldChar w:fldCharType="end"/>
            </w:r>
          </w:hyperlink>
        </w:p>
        <w:p w14:paraId="288D040B" w14:textId="5A0DBF88" w:rsidR="00C25F89" w:rsidRDefault="00612340">
          <w:pPr>
            <w:pStyle w:val="TOC1"/>
            <w:rPr>
              <w:rFonts w:asciiTheme="minorHAnsi" w:eastAsiaTheme="minorEastAsia" w:hAnsiTheme="minorHAnsi" w:cstheme="minorBidi"/>
              <w:b w:val="0"/>
            </w:rPr>
          </w:pPr>
          <w:hyperlink w:anchor="_Toc117758302" w:history="1">
            <w:r w:rsidR="00C25F89" w:rsidRPr="00D40579">
              <w:rPr>
                <w:rStyle w:val="Hyperlink"/>
              </w:rPr>
              <w:t>Appendix A: Project team, research partners, clinical governance and acknowledgements</w:t>
            </w:r>
            <w:r w:rsidR="00C25F89">
              <w:rPr>
                <w:webHidden/>
              </w:rPr>
              <w:tab/>
            </w:r>
            <w:r w:rsidR="00C25F89">
              <w:rPr>
                <w:webHidden/>
              </w:rPr>
              <w:fldChar w:fldCharType="begin"/>
            </w:r>
            <w:r w:rsidR="00C25F89">
              <w:rPr>
                <w:webHidden/>
              </w:rPr>
              <w:instrText xml:space="preserve"> PAGEREF _Toc117758302 \h </w:instrText>
            </w:r>
            <w:r w:rsidR="00C25F89">
              <w:rPr>
                <w:webHidden/>
              </w:rPr>
            </w:r>
            <w:r w:rsidR="00C25F89">
              <w:rPr>
                <w:webHidden/>
              </w:rPr>
              <w:fldChar w:fldCharType="separate"/>
            </w:r>
            <w:r w:rsidR="00C25F89">
              <w:rPr>
                <w:webHidden/>
              </w:rPr>
              <w:t>113</w:t>
            </w:r>
            <w:r w:rsidR="00C25F89">
              <w:rPr>
                <w:webHidden/>
              </w:rPr>
              <w:fldChar w:fldCharType="end"/>
            </w:r>
          </w:hyperlink>
        </w:p>
        <w:p w14:paraId="44E0D2B8" w14:textId="456472C2" w:rsidR="00C25F89" w:rsidRDefault="00612340">
          <w:pPr>
            <w:pStyle w:val="TOC2"/>
            <w:tabs>
              <w:tab w:val="left" w:pos="1418"/>
            </w:tabs>
            <w:rPr>
              <w:rFonts w:asciiTheme="minorHAnsi" w:eastAsiaTheme="minorEastAsia" w:hAnsiTheme="minorHAnsi" w:cstheme="minorBidi"/>
            </w:rPr>
          </w:pPr>
          <w:hyperlink w:anchor="_Toc117758303" w:history="1">
            <w:r w:rsidR="00C25F89" w:rsidRPr="00D40579">
              <w:rPr>
                <w:rStyle w:val="Hyperlink"/>
              </w:rPr>
              <w:t>A.1</w:t>
            </w:r>
            <w:r w:rsidR="00C25F89">
              <w:rPr>
                <w:rFonts w:asciiTheme="minorHAnsi" w:eastAsiaTheme="minorEastAsia" w:hAnsiTheme="minorHAnsi" w:cstheme="minorBidi"/>
              </w:rPr>
              <w:tab/>
            </w:r>
            <w:r w:rsidR="00C25F89" w:rsidRPr="00D40579">
              <w:rPr>
                <w:rStyle w:val="Hyperlink"/>
              </w:rPr>
              <w:t>Chief Investigator Team</w:t>
            </w:r>
            <w:r w:rsidR="00C25F89">
              <w:rPr>
                <w:webHidden/>
              </w:rPr>
              <w:tab/>
            </w:r>
            <w:r w:rsidR="00C25F89">
              <w:rPr>
                <w:webHidden/>
              </w:rPr>
              <w:fldChar w:fldCharType="begin"/>
            </w:r>
            <w:r w:rsidR="00C25F89">
              <w:rPr>
                <w:webHidden/>
              </w:rPr>
              <w:instrText xml:space="preserve"> PAGEREF _Toc117758303 \h </w:instrText>
            </w:r>
            <w:r w:rsidR="00C25F89">
              <w:rPr>
                <w:webHidden/>
              </w:rPr>
            </w:r>
            <w:r w:rsidR="00C25F89">
              <w:rPr>
                <w:webHidden/>
              </w:rPr>
              <w:fldChar w:fldCharType="separate"/>
            </w:r>
            <w:r w:rsidR="00C25F89">
              <w:rPr>
                <w:webHidden/>
              </w:rPr>
              <w:t>113</w:t>
            </w:r>
            <w:r w:rsidR="00C25F89">
              <w:rPr>
                <w:webHidden/>
              </w:rPr>
              <w:fldChar w:fldCharType="end"/>
            </w:r>
          </w:hyperlink>
        </w:p>
        <w:p w14:paraId="0000A395" w14:textId="661DDF2E" w:rsidR="00C25F89" w:rsidRDefault="00612340">
          <w:pPr>
            <w:pStyle w:val="TOC2"/>
            <w:tabs>
              <w:tab w:val="left" w:pos="1418"/>
            </w:tabs>
            <w:rPr>
              <w:rFonts w:asciiTheme="minorHAnsi" w:eastAsiaTheme="minorEastAsia" w:hAnsiTheme="minorHAnsi" w:cstheme="minorBidi"/>
            </w:rPr>
          </w:pPr>
          <w:hyperlink w:anchor="_Toc117758304" w:history="1">
            <w:r w:rsidR="00C25F89" w:rsidRPr="00D40579">
              <w:rPr>
                <w:rStyle w:val="Hyperlink"/>
              </w:rPr>
              <w:t>A.2</w:t>
            </w:r>
            <w:r w:rsidR="00C25F89">
              <w:rPr>
                <w:rFonts w:asciiTheme="minorHAnsi" w:eastAsiaTheme="minorEastAsia" w:hAnsiTheme="minorHAnsi" w:cstheme="minorBidi"/>
              </w:rPr>
              <w:tab/>
            </w:r>
            <w:r w:rsidR="00C25F89" w:rsidRPr="00D40579">
              <w:rPr>
                <w:rStyle w:val="Hyperlink"/>
              </w:rPr>
              <w:t>Project team and staff</w:t>
            </w:r>
            <w:r w:rsidR="00C25F89">
              <w:rPr>
                <w:webHidden/>
              </w:rPr>
              <w:tab/>
            </w:r>
            <w:r w:rsidR="00C25F89">
              <w:rPr>
                <w:webHidden/>
              </w:rPr>
              <w:fldChar w:fldCharType="begin"/>
            </w:r>
            <w:r w:rsidR="00C25F89">
              <w:rPr>
                <w:webHidden/>
              </w:rPr>
              <w:instrText xml:space="preserve"> PAGEREF _Toc117758304 \h </w:instrText>
            </w:r>
            <w:r w:rsidR="00C25F89">
              <w:rPr>
                <w:webHidden/>
              </w:rPr>
            </w:r>
            <w:r w:rsidR="00C25F89">
              <w:rPr>
                <w:webHidden/>
              </w:rPr>
              <w:fldChar w:fldCharType="separate"/>
            </w:r>
            <w:r w:rsidR="00C25F89">
              <w:rPr>
                <w:webHidden/>
              </w:rPr>
              <w:t>113</w:t>
            </w:r>
            <w:r w:rsidR="00C25F89">
              <w:rPr>
                <w:webHidden/>
              </w:rPr>
              <w:fldChar w:fldCharType="end"/>
            </w:r>
          </w:hyperlink>
        </w:p>
        <w:p w14:paraId="33902A3A" w14:textId="7E287268" w:rsidR="00C25F89" w:rsidRDefault="00612340">
          <w:pPr>
            <w:pStyle w:val="TOC3"/>
            <w:rPr>
              <w:rFonts w:asciiTheme="minorHAnsi" w:eastAsiaTheme="minorEastAsia" w:hAnsiTheme="minorHAnsi" w:cstheme="minorBidi"/>
            </w:rPr>
          </w:pPr>
          <w:hyperlink w:anchor="_Toc117758305" w:history="1">
            <w:r w:rsidR="00C25F89" w:rsidRPr="00D40579">
              <w:rPr>
                <w:rStyle w:val="Hyperlink"/>
              </w:rPr>
              <w:t>Project team</w:t>
            </w:r>
            <w:r w:rsidR="00C25F89">
              <w:rPr>
                <w:webHidden/>
              </w:rPr>
              <w:tab/>
            </w:r>
            <w:r w:rsidR="00C25F89">
              <w:rPr>
                <w:webHidden/>
              </w:rPr>
              <w:fldChar w:fldCharType="begin"/>
            </w:r>
            <w:r w:rsidR="00C25F89">
              <w:rPr>
                <w:webHidden/>
              </w:rPr>
              <w:instrText xml:space="preserve"> PAGEREF _Toc117758305 \h </w:instrText>
            </w:r>
            <w:r w:rsidR="00C25F89">
              <w:rPr>
                <w:webHidden/>
              </w:rPr>
            </w:r>
            <w:r w:rsidR="00C25F89">
              <w:rPr>
                <w:webHidden/>
              </w:rPr>
              <w:fldChar w:fldCharType="separate"/>
            </w:r>
            <w:r w:rsidR="00C25F89">
              <w:rPr>
                <w:webHidden/>
              </w:rPr>
              <w:t>113</w:t>
            </w:r>
            <w:r w:rsidR="00C25F89">
              <w:rPr>
                <w:webHidden/>
              </w:rPr>
              <w:fldChar w:fldCharType="end"/>
            </w:r>
          </w:hyperlink>
        </w:p>
        <w:p w14:paraId="3CB0B529" w14:textId="27B899A9" w:rsidR="00C25F89" w:rsidRDefault="00612340">
          <w:pPr>
            <w:pStyle w:val="TOC3"/>
            <w:rPr>
              <w:rFonts w:asciiTheme="minorHAnsi" w:eastAsiaTheme="minorEastAsia" w:hAnsiTheme="minorHAnsi" w:cstheme="minorBidi"/>
            </w:rPr>
          </w:pPr>
          <w:hyperlink w:anchor="_Toc117758306" w:history="1">
            <w:r w:rsidR="00C25F89" w:rsidRPr="00D40579">
              <w:rPr>
                <w:rStyle w:val="Hyperlink"/>
              </w:rPr>
              <w:t>Research partners</w:t>
            </w:r>
            <w:r w:rsidR="00C25F89">
              <w:rPr>
                <w:webHidden/>
              </w:rPr>
              <w:tab/>
            </w:r>
            <w:r w:rsidR="00C25F89">
              <w:rPr>
                <w:webHidden/>
              </w:rPr>
              <w:fldChar w:fldCharType="begin"/>
            </w:r>
            <w:r w:rsidR="00C25F89">
              <w:rPr>
                <w:webHidden/>
              </w:rPr>
              <w:instrText xml:space="preserve"> PAGEREF _Toc117758306 \h </w:instrText>
            </w:r>
            <w:r w:rsidR="00C25F89">
              <w:rPr>
                <w:webHidden/>
              </w:rPr>
            </w:r>
            <w:r w:rsidR="00C25F89">
              <w:rPr>
                <w:webHidden/>
              </w:rPr>
              <w:fldChar w:fldCharType="separate"/>
            </w:r>
            <w:r w:rsidR="00C25F89">
              <w:rPr>
                <w:webHidden/>
              </w:rPr>
              <w:t>113</w:t>
            </w:r>
            <w:r w:rsidR="00C25F89">
              <w:rPr>
                <w:webHidden/>
              </w:rPr>
              <w:fldChar w:fldCharType="end"/>
            </w:r>
          </w:hyperlink>
        </w:p>
        <w:p w14:paraId="6222AF19" w14:textId="41E090F8" w:rsidR="00C25F89" w:rsidRDefault="00612340">
          <w:pPr>
            <w:pStyle w:val="TOC3"/>
            <w:rPr>
              <w:rFonts w:asciiTheme="minorHAnsi" w:eastAsiaTheme="minorEastAsia" w:hAnsiTheme="minorHAnsi" w:cstheme="minorBidi"/>
            </w:rPr>
          </w:pPr>
          <w:hyperlink w:anchor="_Toc117758307" w:history="1">
            <w:r w:rsidR="00C25F89" w:rsidRPr="00D40579">
              <w:rPr>
                <w:rStyle w:val="Hyperlink"/>
              </w:rPr>
              <w:t>Research assistants</w:t>
            </w:r>
            <w:r w:rsidR="00C25F89">
              <w:rPr>
                <w:webHidden/>
              </w:rPr>
              <w:tab/>
            </w:r>
            <w:r w:rsidR="00C25F89">
              <w:rPr>
                <w:webHidden/>
              </w:rPr>
              <w:fldChar w:fldCharType="begin"/>
            </w:r>
            <w:r w:rsidR="00C25F89">
              <w:rPr>
                <w:webHidden/>
              </w:rPr>
              <w:instrText xml:space="preserve"> PAGEREF _Toc117758307 \h </w:instrText>
            </w:r>
            <w:r w:rsidR="00C25F89">
              <w:rPr>
                <w:webHidden/>
              </w:rPr>
            </w:r>
            <w:r w:rsidR="00C25F89">
              <w:rPr>
                <w:webHidden/>
              </w:rPr>
              <w:fldChar w:fldCharType="separate"/>
            </w:r>
            <w:r w:rsidR="00C25F89">
              <w:rPr>
                <w:webHidden/>
              </w:rPr>
              <w:t>113</w:t>
            </w:r>
            <w:r w:rsidR="00C25F89">
              <w:rPr>
                <w:webHidden/>
              </w:rPr>
              <w:fldChar w:fldCharType="end"/>
            </w:r>
          </w:hyperlink>
        </w:p>
        <w:p w14:paraId="67A43DAD" w14:textId="5DB0BB03" w:rsidR="00C25F89" w:rsidRDefault="00612340">
          <w:pPr>
            <w:pStyle w:val="TOC2"/>
            <w:tabs>
              <w:tab w:val="left" w:pos="1418"/>
            </w:tabs>
            <w:rPr>
              <w:rFonts w:asciiTheme="minorHAnsi" w:eastAsiaTheme="minorEastAsia" w:hAnsiTheme="minorHAnsi" w:cstheme="minorBidi"/>
            </w:rPr>
          </w:pPr>
          <w:hyperlink w:anchor="_Toc117758308" w:history="1">
            <w:r w:rsidR="00C25F89" w:rsidRPr="00D40579">
              <w:rPr>
                <w:rStyle w:val="Hyperlink"/>
              </w:rPr>
              <w:t>A.3</w:t>
            </w:r>
            <w:r w:rsidR="00C25F89">
              <w:rPr>
                <w:rFonts w:asciiTheme="minorHAnsi" w:eastAsiaTheme="minorEastAsia" w:hAnsiTheme="minorHAnsi" w:cstheme="minorBidi"/>
              </w:rPr>
              <w:tab/>
            </w:r>
            <w:r w:rsidR="00C25F89" w:rsidRPr="00D40579">
              <w:rPr>
                <w:rStyle w:val="Hyperlink"/>
              </w:rPr>
              <w:t>Aged Care Research Partners</w:t>
            </w:r>
            <w:r w:rsidR="00C25F89">
              <w:rPr>
                <w:webHidden/>
              </w:rPr>
              <w:tab/>
            </w:r>
            <w:r w:rsidR="00C25F89">
              <w:rPr>
                <w:webHidden/>
              </w:rPr>
              <w:fldChar w:fldCharType="begin"/>
            </w:r>
            <w:r w:rsidR="00C25F89">
              <w:rPr>
                <w:webHidden/>
              </w:rPr>
              <w:instrText xml:space="preserve"> PAGEREF _Toc117758308 \h </w:instrText>
            </w:r>
            <w:r w:rsidR="00C25F89">
              <w:rPr>
                <w:webHidden/>
              </w:rPr>
            </w:r>
            <w:r w:rsidR="00C25F89">
              <w:rPr>
                <w:webHidden/>
              </w:rPr>
              <w:fldChar w:fldCharType="separate"/>
            </w:r>
            <w:r w:rsidR="00C25F89">
              <w:rPr>
                <w:webHidden/>
              </w:rPr>
              <w:t>113</w:t>
            </w:r>
            <w:r w:rsidR="00C25F89">
              <w:rPr>
                <w:webHidden/>
              </w:rPr>
              <w:fldChar w:fldCharType="end"/>
            </w:r>
          </w:hyperlink>
        </w:p>
        <w:p w14:paraId="22DF0FC2" w14:textId="76DFADFA" w:rsidR="00C25F89" w:rsidRDefault="00612340">
          <w:pPr>
            <w:pStyle w:val="TOC2"/>
            <w:tabs>
              <w:tab w:val="left" w:pos="1418"/>
            </w:tabs>
            <w:rPr>
              <w:rFonts w:asciiTheme="minorHAnsi" w:eastAsiaTheme="minorEastAsia" w:hAnsiTheme="minorHAnsi" w:cstheme="minorBidi"/>
            </w:rPr>
          </w:pPr>
          <w:hyperlink w:anchor="_Toc117758309" w:history="1">
            <w:r w:rsidR="00C25F89" w:rsidRPr="00D40579">
              <w:rPr>
                <w:rStyle w:val="Hyperlink"/>
              </w:rPr>
              <w:t>A.4</w:t>
            </w:r>
            <w:r w:rsidR="00C25F89">
              <w:rPr>
                <w:rFonts w:asciiTheme="minorHAnsi" w:eastAsiaTheme="minorEastAsia" w:hAnsiTheme="minorHAnsi" w:cstheme="minorBidi"/>
              </w:rPr>
              <w:tab/>
            </w:r>
            <w:r w:rsidR="00C25F89" w:rsidRPr="00D40579">
              <w:rPr>
                <w:rStyle w:val="Hyperlink"/>
              </w:rPr>
              <w:t>Consumer Advisory Group</w:t>
            </w:r>
            <w:r w:rsidR="00C25F89">
              <w:rPr>
                <w:webHidden/>
              </w:rPr>
              <w:tab/>
            </w:r>
            <w:r w:rsidR="00C25F89">
              <w:rPr>
                <w:webHidden/>
              </w:rPr>
              <w:fldChar w:fldCharType="begin"/>
            </w:r>
            <w:r w:rsidR="00C25F89">
              <w:rPr>
                <w:webHidden/>
              </w:rPr>
              <w:instrText xml:space="preserve"> PAGEREF _Toc117758309 \h </w:instrText>
            </w:r>
            <w:r w:rsidR="00C25F89">
              <w:rPr>
                <w:webHidden/>
              </w:rPr>
            </w:r>
            <w:r w:rsidR="00C25F89">
              <w:rPr>
                <w:webHidden/>
              </w:rPr>
              <w:fldChar w:fldCharType="separate"/>
            </w:r>
            <w:r w:rsidR="00C25F89">
              <w:rPr>
                <w:webHidden/>
              </w:rPr>
              <w:t>114</w:t>
            </w:r>
            <w:r w:rsidR="00C25F89">
              <w:rPr>
                <w:webHidden/>
              </w:rPr>
              <w:fldChar w:fldCharType="end"/>
            </w:r>
          </w:hyperlink>
        </w:p>
        <w:p w14:paraId="626C4D42" w14:textId="01AA72DE" w:rsidR="00C25F89" w:rsidRDefault="00612340">
          <w:pPr>
            <w:pStyle w:val="TOC2"/>
            <w:tabs>
              <w:tab w:val="left" w:pos="1418"/>
            </w:tabs>
            <w:rPr>
              <w:rFonts w:asciiTheme="minorHAnsi" w:eastAsiaTheme="minorEastAsia" w:hAnsiTheme="minorHAnsi" w:cstheme="minorBidi"/>
            </w:rPr>
          </w:pPr>
          <w:hyperlink w:anchor="_Toc117758310" w:history="1">
            <w:r w:rsidR="00C25F89" w:rsidRPr="00D40579">
              <w:rPr>
                <w:rStyle w:val="Hyperlink"/>
              </w:rPr>
              <w:t>A.5</w:t>
            </w:r>
            <w:r w:rsidR="00C25F89">
              <w:rPr>
                <w:rFonts w:asciiTheme="minorHAnsi" w:eastAsiaTheme="minorEastAsia" w:hAnsiTheme="minorHAnsi" w:cstheme="minorBidi"/>
              </w:rPr>
              <w:tab/>
            </w:r>
            <w:r w:rsidR="00C25F89" w:rsidRPr="00D40579">
              <w:rPr>
                <w:rStyle w:val="Hyperlink"/>
              </w:rPr>
              <w:t>Stakeholder Advisory Committee</w:t>
            </w:r>
            <w:r w:rsidR="00C25F89">
              <w:rPr>
                <w:webHidden/>
              </w:rPr>
              <w:tab/>
            </w:r>
            <w:r w:rsidR="00C25F89">
              <w:rPr>
                <w:webHidden/>
              </w:rPr>
              <w:fldChar w:fldCharType="begin"/>
            </w:r>
            <w:r w:rsidR="00C25F89">
              <w:rPr>
                <w:webHidden/>
              </w:rPr>
              <w:instrText xml:space="preserve"> PAGEREF _Toc117758310 \h </w:instrText>
            </w:r>
            <w:r w:rsidR="00C25F89">
              <w:rPr>
                <w:webHidden/>
              </w:rPr>
            </w:r>
            <w:r w:rsidR="00C25F89">
              <w:rPr>
                <w:webHidden/>
              </w:rPr>
              <w:fldChar w:fldCharType="separate"/>
            </w:r>
            <w:r w:rsidR="00C25F89">
              <w:rPr>
                <w:webHidden/>
              </w:rPr>
              <w:t>114</w:t>
            </w:r>
            <w:r w:rsidR="00C25F89">
              <w:rPr>
                <w:webHidden/>
              </w:rPr>
              <w:fldChar w:fldCharType="end"/>
            </w:r>
          </w:hyperlink>
        </w:p>
        <w:p w14:paraId="6FDCB743" w14:textId="7FA0C229" w:rsidR="00C25F89" w:rsidRDefault="00612340">
          <w:pPr>
            <w:pStyle w:val="TOC2"/>
            <w:tabs>
              <w:tab w:val="left" w:pos="1418"/>
            </w:tabs>
            <w:rPr>
              <w:rFonts w:asciiTheme="minorHAnsi" w:eastAsiaTheme="minorEastAsia" w:hAnsiTheme="minorHAnsi" w:cstheme="minorBidi"/>
            </w:rPr>
          </w:pPr>
          <w:hyperlink w:anchor="_Toc117758311" w:history="1">
            <w:r w:rsidR="00C25F89" w:rsidRPr="00D40579">
              <w:rPr>
                <w:rStyle w:val="Hyperlink"/>
              </w:rPr>
              <w:t>A.6</w:t>
            </w:r>
            <w:r w:rsidR="00C25F89">
              <w:rPr>
                <w:rFonts w:asciiTheme="minorHAnsi" w:eastAsiaTheme="minorEastAsia" w:hAnsiTheme="minorHAnsi" w:cstheme="minorBidi"/>
              </w:rPr>
              <w:tab/>
            </w:r>
            <w:r w:rsidR="00C25F89" w:rsidRPr="00D40579">
              <w:rPr>
                <w:rStyle w:val="Hyperlink"/>
              </w:rPr>
              <w:t>Trial pharmacists</w:t>
            </w:r>
            <w:r w:rsidR="00C25F89">
              <w:rPr>
                <w:webHidden/>
              </w:rPr>
              <w:tab/>
            </w:r>
            <w:r w:rsidR="00C25F89">
              <w:rPr>
                <w:webHidden/>
              </w:rPr>
              <w:fldChar w:fldCharType="begin"/>
            </w:r>
            <w:r w:rsidR="00C25F89">
              <w:rPr>
                <w:webHidden/>
              </w:rPr>
              <w:instrText xml:space="preserve"> PAGEREF _Toc117758311 \h </w:instrText>
            </w:r>
            <w:r w:rsidR="00C25F89">
              <w:rPr>
                <w:webHidden/>
              </w:rPr>
            </w:r>
            <w:r w:rsidR="00C25F89">
              <w:rPr>
                <w:webHidden/>
              </w:rPr>
              <w:fldChar w:fldCharType="separate"/>
            </w:r>
            <w:r w:rsidR="00C25F89">
              <w:rPr>
                <w:webHidden/>
              </w:rPr>
              <w:t>114</w:t>
            </w:r>
            <w:r w:rsidR="00C25F89">
              <w:rPr>
                <w:webHidden/>
              </w:rPr>
              <w:fldChar w:fldCharType="end"/>
            </w:r>
          </w:hyperlink>
        </w:p>
        <w:p w14:paraId="016F80D3" w14:textId="68B91FA2" w:rsidR="00C25F89" w:rsidRDefault="00612340">
          <w:pPr>
            <w:pStyle w:val="TOC2"/>
            <w:tabs>
              <w:tab w:val="left" w:pos="1418"/>
            </w:tabs>
            <w:rPr>
              <w:rFonts w:asciiTheme="minorHAnsi" w:eastAsiaTheme="minorEastAsia" w:hAnsiTheme="minorHAnsi" w:cstheme="minorBidi"/>
            </w:rPr>
          </w:pPr>
          <w:hyperlink w:anchor="_Toc117758312" w:history="1">
            <w:r w:rsidR="00C25F89" w:rsidRPr="00D40579">
              <w:rPr>
                <w:rStyle w:val="Hyperlink"/>
              </w:rPr>
              <w:t>A.7</w:t>
            </w:r>
            <w:r w:rsidR="00C25F89">
              <w:rPr>
                <w:rFonts w:asciiTheme="minorHAnsi" w:eastAsiaTheme="minorEastAsia" w:hAnsiTheme="minorHAnsi" w:cstheme="minorBidi"/>
              </w:rPr>
              <w:tab/>
            </w:r>
            <w:r w:rsidR="00C25F89" w:rsidRPr="00D40579">
              <w:rPr>
                <w:rStyle w:val="Hyperlink"/>
              </w:rPr>
              <w:t>Thank you</w:t>
            </w:r>
            <w:r w:rsidR="00C25F89">
              <w:rPr>
                <w:webHidden/>
              </w:rPr>
              <w:tab/>
            </w:r>
            <w:r w:rsidR="00C25F89">
              <w:rPr>
                <w:webHidden/>
              </w:rPr>
              <w:fldChar w:fldCharType="begin"/>
            </w:r>
            <w:r w:rsidR="00C25F89">
              <w:rPr>
                <w:webHidden/>
              </w:rPr>
              <w:instrText xml:space="preserve"> PAGEREF _Toc117758312 \h </w:instrText>
            </w:r>
            <w:r w:rsidR="00C25F89">
              <w:rPr>
                <w:webHidden/>
              </w:rPr>
            </w:r>
            <w:r w:rsidR="00C25F89">
              <w:rPr>
                <w:webHidden/>
              </w:rPr>
              <w:fldChar w:fldCharType="separate"/>
            </w:r>
            <w:r w:rsidR="00C25F89">
              <w:rPr>
                <w:webHidden/>
              </w:rPr>
              <w:t>114</w:t>
            </w:r>
            <w:r w:rsidR="00C25F89">
              <w:rPr>
                <w:webHidden/>
              </w:rPr>
              <w:fldChar w:fldCharType="end"/>
            </w:r>
          </w:hyperlink>
        </w:p>
        <w:p w14:paraId="2DADDF51" w14:textId="01C861A8" w:rsidR="00C25F89" w:rsidRDefault="00612340">
          <w:pPr>
            <w:pStyle w:val="TOC2"/>
            <w:tabs>
              <w:tab w:val="left" w:pos="1418"/>
            </w:tabs>
            <w:rPr>
              <w:rFonts w:asciiTheme="minorHAnsi" w:eastAsiaTheme="minorEastAsia" w:hAnsiTheme="minorHAnsi" w:cstheme="minorBidi"/>
            </w:rPr>
          </w:pPr>
          <w:hyperlink w:anchor="_Toc117758313" w:history="1">
            <w:r w:rsidR="00C25F89" w:rsidRPr="00D40579">
              <w:rPr>
                <w:rStyle w:val="Hyperlink"/>
              </w:rPr>
              <w:t>A.8</w:t>
            </w:r>
            <w:r w:rsidR="00C25F89">
              <w:rPr>
                <w:rFonts w:asciiTheme="minorHAnsi" w:eastAsiaTheme="minorEastAsia" w:hAnsiTheme="minorHAnsi" w:cstheme="minorBidi"/>
              </w:rPr>
              <w:tab/>
            </w:r>
            <w:r w:rsidR="00C25F89" w:rsidRPr="00D40579">
              <w:rPr>
                <w:rStyle w:val="Hyperlink"/>
              </w:rPr>
              <w:t>Noted conflicts of interest</w:t>
            </w:r>
            <w:r w:rsidR="00C25F89">
              <w:rPr>
                <w:webHidden/>
              </w:rPr>
              <w:tab/>
            </w:r>
            <w:r w:rsidR="00C25F89">
              <w:rPr>
                <w:webHidden/>
              </w:rPr>
              <w:fldChar w:fldCharType="begin"/>
            </w:r>
            <w:r w:rsidR="00C25F89">
              <w:rPr>
                <w:webHidden/>
              </w:rPr>
              <w:instrText xml:space="preserve"> PAGEREF _Toc117758313 \h </w:instrText>
            </w:r>
            <w:r w:rsidR="00C25F89">
              <w:rPr>
                <w:webHidden/>
              </w:rPr>
            </w:r>
            <w:r w:rsidR="00C25F89">
              <w:rPr>
                <w:webHidden/>
              </w:rPr>
              <w:fldChar w:fldCharType="separate"/>
            </w:r>
            <w:r w:rsidR="00C25F89">
              <w:rPr>
                <w:webHidden/>
              </w:rPr>
              <w:t>115</w:t>
            </w:r>
            <w:r w:rsidR="00C25F89">
              <w:rPr>
                <w:webHidden/>
              </w:rPr>
              <w:fldChar w:fldCharType="end"/>
            </w:r>
          </w:hyperlink>
        </w:p>
        <w:p w14:paraId="025CF6E7" w14:textId="4BA3BAF2" w:rsidR="00C25F89" w:rsidRDefault="00612340">
          <w:pPr>
            <w:pStyle w:val="TOC1"/>
            <w:rPr>
              <w:rFonts w:asciiTheme="minorHAnsi" w:eastAsiaTheme="minorEastAsia" w:hAnsiTheme="minorHAnsi" w:cstheme="minorBidi"/>
              <w:b w:val="0"/>
            </w:rPr>
          </w:pPr>
          <w:hyperlink w:anchor="_Toc117758314" w:history="1">
            <w:r w:rsidR="00C25F89" w:rsidRPr="00D40579">
              <w:rPr>
                <w:rStyle w:val="Hyperlink"/>
              </w:rPr>
              <w:t>Appendix B: Literature Review</w:t>
            </w:r>
            <w:r w:rsidR="00C25F89">
              <w:rPr>
                <w:webHidden/>
              </w:rPr>
              <w:tab/>
            </w:r>
            <w:r w:rsidR="00C25F89">
              <w:rPr>
                <w:webHidden/>
              </w:rPr>
              <w:fldChar w:fldCharType="begin"/>
            </w:r>
            <w:r w:rsidR="00C25F89">
              <w:rPr>
                <w:webHidden/>
              </w:rPr>
              <w:instrText xml:space="preserve"> PAGEREF _Toc117758314 \h </w:instrText>
            </w:r>
            <w:r w:rsidR="00C25F89">
              <w:rPr>
                <w:webHidden/>
              </w:rPr>
            </w:r>
            <w:r w:rsidR="00C25F89">
              <w:rPr>
                <w:webHidden/>
              </w:rPr>
              <w:fldChar w:fldCharType="separate"/>
            </w:r>
            <w:r w:rsidR="00C25F89">
              <w:rPr>
                <w:webHidden/>
              </w:rPr>
              <w:t>116</w:t>
            </w:r>
            <w:r w:rsidR="00C25F89">
              <w:rPr>
                <w:webHidden/>
              </w:rPr>
              <w:fldChar w:fldCharType="end"/>
            </w:r>
          </w:hyperlink>
        </w:p>
        <w:p w14:paraId="4378BE0B" w14:textId="4EE69F87" w:rsidR="00C25F89" w:rsidRDefault="00612340">
          <w:pPr>
            <w:pStyle w:val="TOC2"/>
            <w:rPr>
              <w:rFonts w:asciiTheme="minorHAnsi" w:eastAsiaTheme="minorEastAsia" w:hAnsiTheme="minorHAnsi" w:cstheme="minorBidi"/>
            </w:rPr>
          </w:pPr>
          <w:hyperlink w:anchor="_Toc117758315" w:history="1">
            <w:r w:rsidR="00C25F89" w:rsidRPr="00D40579">
              <w:rPr>
                <w:rStyle w:val="Hyperlink"/>
              </w:rPr>
              <w:t>Literature Sources and Search Strategies</w:t>
            </w:r>
            <w:r w:rsidR="00C25F89">
              <w:rPr>
                <w:webHidden/>
              </w:rPr>
              <w:tab/>
            </w:r>
            <w:r w:rsidR="00C25F89">
              <w:rPr>
                <w:webHidden/>
              </w:rPr>
              <w:fldChar w:fldCharType="begin"/>
            </w:r>
            <w:r w:rsidR="00C25F89">
              <w:rPr>
                <w:webHidden/>
              </w:rPr>
              <w:instrText xml:space="preserve"> PAGEREF _Toc117758315 \h </w:instrText>
            </w:r>
            <w:r w:rsidR="00C25F89">
              <w:rPr>
                <w:webHidden/>
              </w:rPr>
            </w:r>
            <w:r w:rsidR="00C25F89">
              <w:rPr>
                <w:webHidden/>
              </w:rPr>
              <w:fldChar w:fldCharType="separate"/>
            </w:r>
            <w:r w:rsidR="00C25F89">
              <w:rPr>
                <w:webHidden/>
              </w:rPr>
              <w:t>116</w:t>
            </w:r>
            <w:r w:rsidR="00C25F89">
              <w:rPr>
                <w:webHidden/>
              </w:rPr>
              <w:fldChar w:fldCharType="end"/>
            </w:r>
          </w:hyperlink>
        </w:p>
        <w:p w14:paraId="0A1F7E16" w14:textId="37F9BB41" w:rsidR="00C25F89" w:rsidRDefault="00612340">
          <w:pPr>
            <w:pStyle w:val="TOC3"/>
            <w:rPr>
              <w:rFonts w:asciiTheme="minorHAnsi" w:eastAsiaTheme="minorEastAsia" w:hAnsiTheme="minorHAnsi" w:cstheme="minorBidi"/>
            </w:rPr>
          </w:pPr>
          <w:hyperlink w:anchor="_Toc117758316" w:history="1">
            <w:r w:rsidR="00C25F89" w:rsidRPr="00D40579">
              <w:rPr>
                <w:rStyle w:val="Hyperlink"/>
              </w:rPr>
              <w:t>Data screening and extraction</w:t>
            </w:r>
            <w:r w:rsidR="00C25F89">
              <w:rPr>
                <w:webHidden/>
              </w:rPr>
              <w:tab/>
            </w:r>
            <w:r w:rsidR="00C25F89">
              <w:rPr>
                <w:webHidden/>
              </w:rPr>
              <w:fldChar w:fldCharType="begin"/>
            </w:r>
            <w:r w:rsidR="00C25F89">
              <w:rPr>
                <w:webHidden/>
              </w:rPr>
              <w:instrText xml:space="preserve"> PAGEREF _Toc117758316 \h </w:instrText>
            </w:r>
            <w:r w:rsidR="00C25F89">
              <w:rPr>
                <w:webHidden/>
              </w:rPr>
            </w:r>
            <w:r w:rsidR="00C25F89">
              <w:rPr>
                <w:webHidden/>
              </w:rPr>
              <w:fldChar w:fldCharType="separate"/>
            </w:r>
            <w:r w:rsidR="00C25F89">
              <w:rPr>
                <w:webHidden/>
              </w:rPr>
              <w:t>117</w:t>
            </w:r>
            <w:r w:rsidR="00C25F89">
              <w:rPr>
                <w:webHidden/>
              </w:rPr>
              <w:fldChar w:fldCharType="end"/>
            </w:r>
          </w:hyperlink>
        </w:p>
        <w:p w14:paraId="7534C8C3" w14:textId="246FA6D0" w:rsidR="00C25F89" w:rsidRDefault="00612340">
          <w:pPr>
            <w:pStyle w:val="TOC2"/>
            <w:rPr>
              <w:rFonts w:asciiTheme="minorHAnsi" w:eastAsiaTheme="minorEastAsia" w:hAnsiTheme="minorHAnsi" w:cstheme="minorBidi"/>
            </w:rPr>
          </w:pPr>
          <w:hyperlink w:anchor="_Toc117758317" w:history="1">
            <w:r w:rsidR="00C25F89" w:rsidRPr="00D40579">
              <w:rPr>
                <w:rStyle w:val="Hyperlink"/>
              </w:rPr>
              <w:t>Results of Literature Search</w:t>
            </w:r>
            <w:r w:rsidR="00C25F89">
              <w:rPr>
                <w:webHidden/>
              </w:rPr>
              <w:tab/>
            </w:r>
            <w:r w:rsidR="00C25F89">
              <w:rPr>
                <w:webHidden/>
              </w:rPr>
              <w:fldChar w:fldCharType="begin"/>
            </w:r>
            <w:r w:rsidR="00C25F89">
              <w:rPr>
                <w:webHidden/>
              </w:rPr>
              <w:instrText xml:space="preserve"> PAGEREF _Toc117758317 \h </w:instrText>
            </w:r>
            <w:r w:rsidR="00C25F89">
              <w:rPr>
                <w:webHidden/>
              </w:rPr>
            </w:r>
            <w:r w:rsidR="00C25F89">
              <w:rPr>
                <w:webHidden/>
              </w:rPr>
              <w:fldChar w:fldCharType="separate"/>
            </w:r>
            <w:r w:rsidR="00C25F89">
              <w:rPr>
                <w:webHidden/>
              </w:rPr>
              <w:t>119</w:t>
            </w:r>
            <w:r w:rsidR="00C25F89">
              <w:rPr>
                <w:webHidden/>
              </w:rPr>
              <w:fldChar w:fldCharType="end"/>
            </w:r>
          </w:hyperlink>
        </w:p>
        <w:p w14:paraId="0506D894" w14:textId="62A88647" w:rsidR="00C25F89" w:rsidRDefault="00612340">
          <w:pPr>
            <w:pStyle w:val="TOC3"/>
            <w:rPr>
              <w:rFonts w:asciiTheme="minorHAnsi" w:eastAsiaTheme="minorEastAsia" w:hAnsiTheme="minorHAnsi" w:cstheme="minorBidi"/>
            </w:rPr>
          </w:pPr>
          <w:hyperlink w:anchor="_Toc117758318" w:history="1">
            <w:r w:rsidR="00C25F89" w:rsidRPr="00D40579">
              <w:rPr>
                <w:rStyle w:val="Hyperlink"/>
              </w:rPr>
              <w:t>Appraisal of the evidence</w:t>
            </w:r>
            <w:r w:rsidR="00C25F89">
              <w:rPr>
                <w:webHidden/>
              </w:rPr>
              <w:tab/>
            </w:r>
            <w:r w:rsidR="00C25F89">
              <w:rPr>
                <w:webHidden/>
              </w:rPr>
              <w:fldChar w:fldCharType="begin"/>
            </w:r>
            <w:r w:rsidR="00C25F89">
              <w:rPr>
                <w:webHidden/>
              </w:rPr>
              <w:instrText xml:space="preserve"> PAGEREF _Toc117758318 \h </w:instrText>
            </w:r>
            <w:r w:rsidR="00C25F89">
              <w:rPr>
                <w:webHidden/>
              </w:rPr>
            </w:r>
            <w:r w:rsidR="00C25F89">
              <w:rPr>
                <w:webHidden/>
              </w:rPr>
              <w:fldChar w:fldCharType="separate"/>
            </w:r>
            <w:r w:rsidR="00C25F89">
              <w:rPr>
                <w:webHidden/>
              </w:rPr>
              <w:t>120</w:t>
            </w:r>
            <w:r w:rsidR="00C25F89">
              <w:rPr>
                <w:webHidden/>
              </w:rPr>
              <w:fldChar w:fldCharType="end"/>
            </w:r>
          </w:hyperlink>
        </w:p>
        <w:p w14:paraId="72AF636E" w14:textId="4C35639B" w:rsidR="00C25F89" w:rsidRDefault="00612340">
          <w:pPr>
            <w:pStyle w:val="TOC2"/>
            <w:rPr>
              <w:rFonts w:asciiTheme="minorHAnsi" w:eastAsiaTheme="minorEastAsia" w:hAnsiTheme="minorHAnsi" w:cstheme="minorBidi"/>
            </w:rPr>
          </w:pPr>
          <w:hyperlink w:anchor="_Toc117758319" w:history="1">
            <w:r w:rsidR="00C25F89" w:rsidRPr="00D40579">
              <w:rPr>
                <w:rStyle w:val="Hyperlink"/>
              </w:rPr>
              <w:t>Risk of Bias Assessment</w:t>
            </w:r>
            <w:r w:rsidR="00C25F89">
              <w:rPr>
                <w:webHidden/>
              </w:rPr>
              <w:tab/>
            </w:r>
            <w:r w:rsidR="00C25F89">
              <w:rPr>
                <w:webHidden/>
              </w:rPr>
              <w:fldChar w:fldCharType="begin"/>
            </w:r>
            <w:r w:rsidR="00C25F89">
              <w:rPr>
                <w:webHidden/>
              </w:rPr>
              <w:instrText xml:space="preserve"> PAGEREF _Toc117758319 \h </w:instrText>
            </w:r>
            <w:r w:rsidR="00C25F89">
              <w:rPr>
                <w:webHidden/>
              </w:rPr>
            </w:r>
            <w:r w:rsidR="00C25F89">
              <w:rPr>
                <w:webHidden/>
              </w:rPr>
              <w:fldChar w:fldCharType="separate"/>
            </w:r>
            <w:r w:rsidR="00C25F89">
              <w:rPr>
                <w:webHidden/>
              </w:rPr>
              <w:t>121</w:t>
            </w:r>
            <w:r w:rsidR="00C25F89">
              <w:rPr>
                <w:webHidden/>
              </w:rPr>
              <w:fldChar w:fldCharType="end"/>
            </w:r>
          </w:hyperlink>
        </w:p>
        <w:p w14:paraId="4D865F9B" w14:textId="71B6E4FD" w:rsidR="00C25F89" w:rsidRDefault="00612340">
          <w:pPr>
            <w:pStyle w:val="TOC2"/>
            <w:rPr>
              <w:rFonts w:asciiTheme="minorHAnsi" w:eastAsiaTheme="minorEastAsia" w:hAnsiTheme="minorHAnsi" w:cstheme="minorBidi"/>
            </w:rPr>
          </w:pPr>
          <w:hyperlink w:anchor="_Toc117758320" w:history="1">
            <w:r w:rsidR="00C25F89" w:rsidRPr="00D40579">
              <w:rPr>
                <w:rStyle w:val="Hyperlink"/>
              </w:rPr>
              <w:t>Characteristics of the Evidence Base</w:t>
            </w:r>
            <w:r w:rsidR="00C25F89">
              <w:rPr>
                <w:webHidden/>
              </w:rPr>
              <w:tab/>
            </w:r>
            <w:r w:rsidR="00C25F89">
              <w:rPr>
                <w:webHidden/>
              </w:rPr>
              <w:fldChar w:fldCharType="begin"/>
            </w:r>
            <w:r w:rsidR="00C25F89">
              <w:rPr>
                <w:webHidden/>
              </w:rPr>
              <w:instrText xml:space="preserve"> PAGEREF _Toc117758320 \h </w:instrText>
            </w:r>
            <w:r w:rsidR="00C25F89">
              <w:rPr>
                <w:webHidden/>
              </w:rPr>
            </w:r>
            <w:r w:rsidR="00C25F89">
              <w:rPr>
                <w:webHidden/>
              </w:rPr>
              <w:fldChar w:fldCharType="separate"/>
            </w:r>
            <w:r w:rsidR="00C25F89">
              <w:rPr>
                <w:webHidden/>
              </w:rPr>
              <w:t>122</w:t>
            </w:r>
            <w:r w:rsidR="00C25F89">
              <w:rPr>
                <w:webHidden/>
              </w:rPr>
              <w:fldChar w:fldCharType="end"/>
            </w:r>
          </w:hyperlink>
        </w:p>
        <w:p w14:paraId="370EA5D6" w14:textId="735391A5" w:rsidR="00C25F89" w:rsidRDefault="00612340">
          <w:pPr>
            <w:pStyle w:val="TOC2"/>
            <w:rPr>
              <w:rFonts w:asciiTheme="minorHAnsi" w:eastAsiaTheme="minorEastAsia" w:hAnsiTheme="minorHAnsi" w:cstheme="minorBidi"/>
            </w:rPr>
          </w:pPr>
          <w:hyperlink w:anchor="_Toc117758321" w:history="1">
            <w:r w:rsidR="00C25F89" w:rsidRPr="00D40579">
              <w:rPr>
                <w:rStyle w:val="Hyperlink"/>
              </w:rPr>
              <w:t>Outcome Measures and Analysis</w:t>
            </w:r>
            <w:r w:rsidR="00C25F89">
              <w:rPr>
                <w:webHidden/>
              </w:rPr>
              <w:tab/>
            </w:r>
            <w:r w:rsidR="00C25F89">
              <w:rPr>
                <w:webHidden/>
              </w:rPr>
              <w:fldChar w:fldCharType="begin"/>
            </w:r>
            <w:r w:rsidR="00C25F89">
              <w:rPr>
                <w:webHidden/>
              </w:rPr>
              <w:instrText xml:space="preserve"> PAGEREF _Toc117758321 \h </w:instrText>
            </w:r>
            <w:r w:rsidR="00C25F89">
              <w:rPr>
                <w:webHidden/>
              </w:rPr>
            </w:r>
            <w:r w:rsidR="00C25F89">
              <w:rPr>
                <w:webHidden/>
              </w:rPr>
              <w:fldChar w:fldCharType="separate"/>
            </w:r>
            <w:r w:rsidR="00C25F89">
              <w:rPr>
                <w:webHidden/>
              </w:rPr>
              <w:t>123</w:t>
            </w:r>
            <w:r w:rsidR="00C25F89">
              <w:rPr>
                <w:webHidden/>
              </w:rPr>
              <w:fldChar w:fldCharType="end"/>
            </w:r>
          </w:hyperlink>
        </w:p>
        <w:p w14:paraId="47FCC521" w14:textId="7E632FBD" w:rsidR="00C25F89" w:rsidRDefault="00612340">
          <w:pPr>
            <w:pStyle w:val="TOC3"/>
            <w:rPr>
              <w:rFonts w:asciiTheme="minorHAnsi" w:eastAsiaTheme="minorEastAsia" w:hAnsiTheme="minorHAnsi" w:cstheme="minorBidi"/>
            </w:rPr>
          </w:pPr>
          <w:hyperlink w:anchor="_Toc117758322" w:history="1">
            <w:r w:rsidR="00C25F89" w:rsidRPr="00D40579">
              <w:rPr>
                <w:rStyle w:val="Hyperlink"/>
              </w:rPr>
              <w:t>Cognitive function</w:t>
            </w:r>
            <w:r w:rsidR="00C25F89">
              <w:rPr>
                <w:webHidden/>
              </w:rPr>
              <w:tab/>
            </w:r>
            <w:r w:rsidR="00C25F89">
              <w:rPr>
                <w:webHidden/>
              </w:rPr>
              <w:fldChar w:fldCharType="begin"/>
            </w:r>
            <w:r w:rsidR="00C25F89">
              <w:rPr>
                <w:webHidden/>
              </w:rPr>
              <w:instrText xml:space="preserve"> PAGEREF _Toc117758322 \h </w:instrText>
            </w:r>
            <w:r w:rsidR="00C25F89">
              <w:rPr>
                <w:webHidden/>
              </w:rPr>
            </w:r>
            <w:r w:rsidR="00C25F89">
              <w:rPr>
                <w:webHidden/>
              </w:rPr>
              <w:fldChar w:fldCharType="separate"/>
            </w:r>
            <w:r w:rsidR="00C25F89">
              <w:rPr>
                <w:webHidden/>
              </w:rPr>
              <w:t>123</w:t>
            </w:r>
            <w:r w:rsidR="00C25F89">
              <w:rPr>
                <w:webHidden/>
              </w:rPr>
              <w:fldChar w:fldCharType="end"/>
            </w:r>
          </w:hyperlink>
        </w:p>
        <w:p w14:paraId="47235A48" w14:textId="23CFAB83" w:rsidR="00C25F89" w:rsidRDefault="00612340">
          <w:pPr>
            <w:pStyle w:val="TOC3"/>
            <w:rPr>
              <w:rFonts w:asciiTheme="minorHAnsi" w:eastAsiaTheme="minorEastAsia" w:hAnsiTheme="minorHAnsi" w:cstheme="minorBidi"/>
            </w:rPr>
          </w:pPr>
          <w:hyperlink w:anchor="_Toc117758323" w:history="1">
            <w:r w:rsidR="00C25F89" w:rsidRPr="00D40579">
              <w:rPr>
                <w:rStyle w:val="Hyperlink"/>
              </w:rPr>
              <w:t>Falls</w:t>
            </w:r>
            <w:r w:rsidR="00C25F89">
              <w:rPr>
                <w:webHidden/>
              </w:rPr>
              <w:tab/>
            </w:r>
            <w:r w:rsidR="00C25F89">
              <w:rPr>
                <w:webHidden/>
              </w:rPr>
              <w:fldChar w:fldCharType="begin"/>
            </w:r>
            <w:r w:rsidR="00C25F89">
              <w:rPr>
                <w:webHidden/>
              </w:rPr>
              <w:instrText xml:space="preserve"> PAGEREF _Toc117758323 \h </w:instrText>
            </w:r>
            <w:r w:rsidR="00C25F89">
              <w:rPr>
                <w:webHidden/>
              </w:rPr>
            </w:r>
            <w:r w:rsidR="00C25F89">
              <w:rPr>
                <w:webHidden/>
              </w:rPr>
              <w:fldChar w:fldCharType="separate"/>
            </w:r>
            <w:r w:rsidR="00C25F89">
              <w:rPr>
                <w:webHidden/>
              </w:rPr>
              <w:t>124</w:t>
            </w:r>
            <w:r w:rsidR="00C25F89">
              <w:rPr>
                <w:webHidden/>
              </w:rPr>
              <w:fldChar w:fldCharType="end"/>
            </w:r>
          </w:hyperlink>
        </w:p>
        <w:p w14:paraId="324B4716" w14:textId="4917068F" w:rsidR="00C25F89" w:rsidRDefault="00612340">
          <w:pPr>
            <w:pStyle w:val="TOC3"/>
            <w:rPr>
              <w:rFonts w:asciiTheme="minorHAnsi" w:eastAsiaTheme="minorEastAsia" w:hAnsiTheme="minorHAnsi" w:cstheme="minorBidi"/>
            </w:rPr>
          </w:pPr>
          <w:hyperlink w:anchor="_Toc117758324" w:history="1">
            <w:r w:rsidR="00C25F89" w:rsidRPr="00D40579">
              <w:rPr>
                <w:rStyle w:val="Hyperlink"/>
              </w:rPr>
              <w:t>Hospitalisation</w:t>
            </w:r>
            <w:r w:rsidR="00C25F89">
              <w:rPr>
                <w:webHidden/>
              </w:rPr>
              <w:tab/>
            </w:r>
            <w:r w:rsidR="00C25F89">
              <w:rPr>
                <w:webHidden/>
              </w:rPr>
              <w:fldChar w:fldCharType="begin"/>
            </w:r>
            <w:r w:rsidR="00C25F89">
              <w:rPr>
                <w:webHidden/>
              </w:rPr>
              <w:instrText xml:space="preserve"> PAGEREF _Toc117758324 \h </w:instrText>
            </w:r>
            <w:r w:rsidR="00C25F89">
              <w:rPr>
                <w:webHidden/>
              </w:rPr>
            </w:r>
            <w:r w:rsidR="00C25F89">
              <w:rPr>
                <w:webHidden/>
              </w:rPr>
              <w:fldChar w:fldCharType="separate"/>
            </w:r>
            <w:r w:rsidR="00C25F89">
              <w:rPr>
                <w:webHidden/>
              </w:rPr>
              <w:t>124</w:t>
            </w:r>
            <w:r w:rsidR="00C25F89">
              <w:rPr>
                <w:webHidden/>
              </w:rPr>
              <w:fldChar w:fldCharType="end"/>
            </w:r>
          </w:hyperlink>
        </w:p>
        <w:p w14:paraId="0CF2E30C" w14:textId="6B87C296" w:rsidR="00C25F89" w:rsidRDefault="00612340">
          <w:pPr>
            <w:pStyle w:val="TOC3"/>
            <w:rPr>
              <w:rFonts w:asciiTheme="minorHAnsi" w:eastAsiaTheme="minorEastAsia" w:hAnsiTheme="minorHAnsi" w:cstheme="minorBidi"/>
            </w:rPr>
          </w:pPr>
          <w:hyperlink w:anchor="_Toc117758325" w:history="1">
            <w:r w:rsidR="00C25F89" w:rsidRPr="00D40579">
              <w:rPr>
                <w:rStyle w:val="Hyperlink"/>
              </w:rPr>
              <w:t>Mortality</w:t>
            </w:r>
            <w:r w:rsidR="00C25F89">
              <w:rPr>
                <w:webHidden/>
              </w:rPr>
              <w:tab/>
            </w:r>
            <w:r w:rsidR="00C25F89">
              <w:rPr>
                <w:webHidden/>
              </w:rPr>
              <w:fldChar w:fldCharType="begin"/>
            </w:r>
            <w:r w:rsidR="00C25F89">
              <w:rPr>
                <w:webHidden/>
              </w:rPr>
              <w:instrText xml:space="preserve"> PAGEREF _Toc117758325 \h </w:instrText>
            </w:r>
            <w:r w:rsidR="00C25F89">
              <w:rPr>
                <w:webHidden/>
              </w:rPr>
            </w:r>
            <w:r w:rsidR="00C25F89">
              <w:rPr>
                <w:webHidden/>
              </w:rPr>
              <w:fldChar w:fldCharType="separate"/>
            </w:r>
            <w:r w:rsidR="00C25F89">
              <w:rPr>
                <w:webHidden/>
              </w:rPr>
              <w:t>124</w:t>
            </w:r>
            <w:r w:rsidR="00C25F89">
              <w:rPr>
                <w:webHidden/>
              </w:rPr>
              <w:fldChar w:fldCharType="end"/>
            </w:r>
          </w:hyperlink>
        </w:p>
        <w:p w14:paraId="5CFD04D8" w14:textId="1C1E5A48" w:rsidR="00C25F89" w:rsidRDefault="00612340">
          <w:pPr>
            <w:pStyle w:val="TOC2"/>
            <w:rPr>
              <w:rFonts w:asciiTheme="minorHAnsi" w:eastAsiaTheme="minorEastAsia" w:hAnsiTheme="minorHAnsi" w:cstheme="minorBidi"/>
            </w:rPr>
          </w:pPr>
          <w:hyperlink w:anchor="_Toc117758326" w:history="1">
            <w:r w:rsidR="00C25F89" w:rsidRPr="00D40579">
              <w:rPr>
                <w:rStyle w:val="Hyperlink"/>
              </w:rPr>
              <w:t>Results of the Systematic Literature review</w:t>
            </w:r>
            <w:r w:rsidR="00C25F89">
              <w:rPr>
                <w:webHidden/>
              </w:rPr>
              <w:tab/>
            </w:r>
            <w:r w:rsidR="00C25F89">
              <w:rPr>
                <w:webHidden/>
              </w:rPr>
              <w:fldChar w:fldCharType="begin"/>
            </w:r>
            <w:r w:rsidR="00C25F89">
              <w:rPr>
                <w:webHidden/>
              </w:rPr>
              <w:instrText xml:space="preserve"> PAGEREF _Toc117758326 \h </w:instrText>
            </w:r>
            <w:r w:rsidR="00C25F89">
              <w:rPr>
                <w:webHidden/>
              </w:rPr>
            </w:r>
            <w:r w:rsidR="00C25F89">
              <w:rPr>
                <w:webHidden/>
              </w:rPr>
              <w:fldChar w:fldCharType="separate"/>
            </w:r>
            <w:r w:rsidR="00C25F89">
              <w:rPr>
                <w:webHidden/>
              </w:rPr>
              <w:t>124</w:t>
            </w:r>
            <w:r w:rsidR="00C25F89">
              <w:rPr>
                <w:webHidden/>
              </w:rPr>
              <w:fldChar w:fldCharType="end"/>
            </w:r>
          </w:hyperlink>
        </w:p>
        <w:p w14:paraId="71AFC93A" w14:textId="14D22560" w:rsidR="00C25F89" w:rsidRDefault="00612340">
          <w:pPr>
            <w:pStyle w:val="TOC3"/>
            <w:rPr>
              <w:rFonts w:asciiTheme="minorHAnsi" w:eastAsiaTheme="minorEastAsia" w:hAnsiTheme="minorHAnsi" w:cstheme="minorBidi"/>
            </w:rPr>
          </w:pPr>
          <w:hyperlink w:anchor="_Toc117758327" w:history="1">
            <w:r w:rsidR="00C25F89" w:rsidRPr="00D40579">
              <w:rPr>
                <w:rStyle w:val="Hyperlink"/>
              </w:rPr>
              <w:t>Cognition</w:t>
            </w:r>
            <w:r w:rsidR="00C25F89">
              <w:rPr>
                <w:webHidden/>
              </w:rPr>
              <w:tab/>
            </w:r>
            <w:r w:rsidR="00C25F89">
              <w:rPr>
                <w:webHidden/>
              </w:rPr>
              <w:fldChar w:fldCharType="begin"/>
            </w:r>
            <w:r w:rsidR="00C25F89">
              <w:rPr>
                <w:webHidden/>
              </w:rPr>
              <w:instrText xml:space="preserve"> PAGEREF _Toc117758327 \h </w:instrText>
            </w:r>
            <w:r w:rsidR="00C25F89">
              <w:rPr>
                <w:webHidden/>
              </w:rPr>
            </w:r>
            <w:r w:rsidR="00C25F89">
              <w:rPr>
                <w:webHidden/>
              </w:rPr>
              <w:fldChar w:fldCharType="separate"/>
            </w:r>
            <w:r w:rsidR="00C25F89">
              <w:rPr>
                <w:webHidden/>
              </w:rPr>
              <w:t>124</w:t>
            </w:r>
            <w:r w:rsidR="00C25F89">
              <w:rPr>
                <w:webHidden/>
              </w:rPr>
              <w:fldChar w:fldCharType="end"/>
            </w:r>
          </w:hyperlink>
        </w:p>
        <w:p w14:paraId="7FC7B273" w14:textId="143D2595" w:rsidR="00C25F89" w:rsidRDefault="00612340">
          <w:pPr>
            <w:pStyle w:val="TOC3"/>
            <w:rPr>
              <w:rFonts w:asciiTheme="minorHAnsi" w:eastAsiaTheme="minorEastAsia" w:hAnsiTheme="minorHAnsi" w:cstheme="minorBidi"/>
            </w:rPr>
          </w:pPr>
          <w:hyperlink w:anchor="_Toc117758328" w:history="1">
            <w:r w:rsidR="00C25F89" w:rsidRPr="00D40579">
              <w:rPr>
                <w:rStyle w:val="Hyperlink"/>
              </w:rPr>
              <w:t>Delirium</w:t>
            </w:r>
            <w:r w:rsidR="00C25F89">
              <w:rPr>
                <w:webHidden/>
              </w:rPr>
              <w:tab/>
            </w:r>
            <w:r w:rsidR="00C25F89">
              <w:rPr>
                <w:webHidden/>
              </w:rPr>
              <w:fldChar w:fldCharType="begin"/>
            </w:r>
            <w:r w:rsidR="00C25F89">
              <w:rPr>
                <w:webHidden/>
              </w:rPr>
              <w:instrText xml:space="preserve"> PAGEREF _Toc117758328 \h </w:instrText>
            </w:r>
            <w:r w:rsidR="00C25F89">
              <w:rPr>
                <w:webHidden/>
              </w:rPr>
            </w:r>
            <w:r w:rsidR="00C25F89">
              <w:rPr>
                <w:webHidden/>
              </w:rPr>
              <w:fldChar w:fldCharType="separate"/>
            </w:r>
            <w:r w:rsidR="00C25F89">
              <w:rPr>
                <w:webHidden/>
              </w:rPr>
              <w:t>125</w:t>
            </w:r>
            <w:r w:rsidR="00C25F89">
              <w:rPr>
                <w:webHidden/>
              </w:rPr>
              <w:fldChar w:fldCharType="end"/>
            </w:r>
          </w:hyperlink>
        </w:p>
        <w:p w14:paraId="2B15D3B3" w14:textId="50681F61" w:rsidR="00C25F89" w:rsidRDefault="00612340">
          <w:pPr>
            <w:pStyle w:val="TOC3"/>
            <w:rPr>
              <w:rFonts w:asciiTheme="minorHAnsi" w:eastAsiaTheme="minorEastAsia" w:hAnsiTheme="minorHAnsi" w:cstheme="minorBidi"/>
            </w:rPr>
          </w:pPr>
          <w:hyperlink w:anchor="_Toc117758329" w:history="1">
            <w:r w:rsidR="00C25F89" w:rsidRPr="00D40579">
              <w:rPr>
                <w:rStyle w:val="Hyperlink"/>
              </w:rPr>
              <w:t>Hospitalisation</w:t>
            </w:r>
            <w:r w:rsidR="00C25F89">
              <w:rPr>
                <w:webHidden/>
              </w:rPr>
              <w:tab/>
            </w:r>
            <w:r w:rsidR="00C25F89">
              <w:rPr>
                <w:webHidden/>
              </w:rPr>
              <w:fldChar w:fldCharType="begin"/>
            </w:r>
            <w:r w:rsidR="00C25F89">
              <w:rPr>
                <w:webHidden/>
              </w:rPr>
              <w:instrText xml:space="preserve"> PAGEREF _Toc117758329 \h </w:instrText>
            </w:r>
            <w:r w:rsidR="00C25F89">
              <w:rPr>
                <w:webHidden/>
              </w:rPr>
            </w:r>
            <w:r w:rsidR="00C25F89">
              <w:rPr>
                <w:webHidden/>
              </w:rPr>
              <w:fldChar w:fldCharType="separate"/>
            </w:r>
            <w:r w:rsidR="00C25F89">
              <w:rPr>
                <w:webHidden/>
              </w:rPr>
              <w:t>125</w:t>
            </w:r>
            <w:r w:rsidR="00C25F89">
              <w:rPr>
                <w:webHidden/>
              </w:rPr>
              <w:fldChar w:fldCharType="end"/>
            </w:r>
          </w:hyperlink>
        </w:p>
        <w:p w14:paraId="7F673F7B" w14:textId="29B95803" w:rsidR="00C25F89" w:rsidRDefault="00612340">
          <w:pPr>
            <w:pStyle w:val="TOC3"/>
            <w:rPr>
              <w:rFonts w:asciiTheme="minorHAnsi" w:eastAsiaTheme="minorEastAsia" w:hAnsiTheme="minorHAnsi" w:cstheme="minorBidi"/>
            </w:rPr>
          </w:pPr>
          <w:hyperlink w:anchor="_Toc117758330" w:history="1">
            <w:r w:rsidR="00C25F89" w:rsidRPr="00D40579">
              <w:rPr>
                <w:rStyle w:val="Hyperlink"/>
              </w:rPr>
              <w:t>Falls</w:t>
            </w:r>
            <w:r w:rsidR="00C25F89">
              <w:rPr>
                <w:webHidden/>
              </w:rPr>
              <w:tab/>
            </w:r>
            <w:r w:rsidR="00C25F89">
              <w:rPr>
                <w:webHidden/>
              </w:rPr>
              <w:fldChar w:fldCharType="begin"/>
            </w:r>
            <w:r w:rsidR="00C25F89">
              <w:rPr>
                <w:webHidden/>
              </w:rPr>
              <w:instrText xml:space="preserve"> PAGEREF _Toc117758330 \h </w:instrText>
            </w:r>
            <w:r w:rsidR="00C25F89">
              <w:rPr>
                <w:webHidden/>
              </w:rPr>
            </w:r>
            <w:r w:rsidR="00C25F89">
              <w:rPr>
                <w:webHidden/>
              </w:rPr>
              <w:fldChar w:fldCharType="separate"/>
            </w:r>
            <w:r w:rsidR="00C25F89">
              <w:rPr>
                <w:webHidden/>
              </w:rPr>
              <w:t>125</w:t>
            </w:r>
            <w:r w:rsidR="00C25F89">
              <w:rPr>
                <w:webHidden/>
              </w:rPr>
              <w:fldChar w:fldCharType="end"/>
            </w:r>
          </w:hyperlink>
        </w:p>
        <w:p w14:paraId="36FB607F" w14:textId="26CE6706" w:rsidR="00C25F89" w:rsidRDefault="00612340">
          <w:pPr>
            <w:pStyle w:val="TOC3"/>
            <w:rPr>
              <w:rFonts w:asciiTheme="minorHAnsi" w:eastAsiaTheme="minorEastAsia" w:hAnsiTheme="minorHAnsi" w:cstheme="minorBidi"/>
            </w:rPr>
          </w:pPr>
          <w:hyperlink w:anchor="_Toc117758331" w:history="1">
            <w:r w:rsidR="00C25F89" w:rsidRPr="00D40579">
              <w:rPr>
                <w:rStyle w:val="Hyperlink"/>
              </w:rPr>
              <w:t>Mortality</w:t>
            </w:r>
            <w:r w:rsidR="00C25F89">
              <w:rPr>
                <w:webHidden/>
              </w:rPr>
              <w:tab/>
            </w:r>
            <w:r w:rsidR="00C25F89">
              <w:rPr>
                <w:webHidden/>
              </w:rPr>
              <w:fldChar w:fldCharType="begin"/>
            </w:r>
            <w:r w:rsidR="00C25F89">
              <w:rPr>
                <w:webHidden/>
              </w:rPr>
              <w:instrText xml:space="preserve"> PAGEREF _Toc117758331 \h </w:instrText>
            </w:r>
            <w:r w:rsidR="00C25F89">
              <w:rPr>
                <w:webHidden/>
              </w:rPr>
            </w:r>
            <w:r w:rsidR="00C25F89">
              <w:rPr>
                <w:webHidden/>
              </w:rPr>
              <w:fldChar w:fldCharType="separate"/>
            </w:r>
            <w:r w:rsidR="00C25F89">
              <w:rPr>
                <w:webHidden/>
              </w:rPr>
              <w:t>125</w:t>
            </w:r>
            <w:r w:rsidR="00C25F89">
              <w:rPr>
                <w:webHidden/>
              </w:rPr>
              <w:fldChar w:fldCharType="end"/>
            </w:r>
          </w:hyperlink>
        </w:p>
        <w:p w14:paraId="64B1CA11" w14:textId="2CA9105C" w:rsidR="00C25F89" w:rsidRDefault="00612340">
          <w:pPr>
            <w:pStyle w:val="TOC1"/>
            <w:rPr>
              <w:rFonts w:asciiTheme="minorHAnsi" w:eastAsiaTheme="minorEastAsia" w:hAnsiTheme="minorHAnsi" w:cstheme="minorBidi"/>
              <w:b w:val="0"/>
            </w:rPr>
          </w:pPr>
          <w:hyperlink w:anchor="_Toc117758332" w:history="1">
            <w:r w:rsidR="00C25F89" w:rsidRPr="00D40579">
              <w:rPr>
                <w:rStyle w:val="Hyperlink"/>
              </w:rPr>
              <w:t>Appendix C: Supplementary methodology documentation</w:t>
            </w:r>
            <w:r w:rsidR="00C25F89">
              <w:rPr>
                <w:webHidden/>
              </w:rPr>
              <w:tab/>
            </w:r>
            <w:r w:rsidR="00C25F89">
              <w:rPr>
                <w:webHidden/>
              </w:rPr>
              <w:fldChar w:fldCharType="begin"/>
            </w:r>
            <w:r w:rsidR="00C25F89">
              <w:rPr>
                <w:webHidden/>
              </w:rPr>
              <w:instrText xml:space="preserve"> PAGEREF _Toc117758332 \h </w:instrText>
            </w:r>
            <w:r w:rsidR="00C25F89">
              <w:rPr>
                <w:webHidden/>
              </w:rPr>
            </w:r>
            <w:r w:rsidR="00C25F89">
              <w:rPr>
                <w:webHidden/>
              </w:rPr>
              <w:fldChar w:fldCharType="separate"/>
            </w:r>
            <w:r w:rsidR="00C25F89">
              <w:rPr>
                <w:webHidden/>
              </w:rPr>
              <w:t>126</w:t>
            </w:r>
            <w:r w:rsidR="00C25F89">
              <w:rPr>
                <w:webHidden/>
              </w:rPr>
              <w:fldChar w:fldCharType="end"/>
            </w:r>
          </w:hyperlink>
        </w:p>
        <w:p w14:paraId="13A1D787" w14:textId="38D44AE7" w:rsidR="00C25F89" w:rsidRDefault="00612340">
          <w:pPr>
            <w:pStyle w:val="TOC2"/>
            <w:tabs>
              <w:tab w:val="left" w:pos="1418"/>
            </w:tabs>
            <w:rPr>
              <w:rFonts w:asciiTheme="minorHAnsi" w:eastAsiaTheme="minorEastAsia" w:hAnsiTheme="minorHAnsi" w:cstheme="minorBidi"/>
            </w:rPr>
          </w:pPr>
          <w:hyperlink w:anchor="_Toc117758333" w:history="1">
            <w:r w:rsidR="00C25F89" w:rsidRPr="00D40579">
              <w:rPr>
                <w:rStyle w:val="Hyperlink"/>
              </w:rPr>
              <w:t>C.1</w:t>
            </w:r>
            <w:r w:rsidR="00C25F89">
              <w:rPr>
                <w:rFonts w:asciiTheme="minorHAnsi" w:eastAsiaTheme="minorEastAsia" w:hAnsiTheme="minorHAnsi" w:cstheme="minorBidi"/>
              </w:rPr>
              <w:tab/>
            </w:r>
            <w:r w:rsidR="00C25F89" w:rsidRPr="00D40579">
              <w:rPr>
                <w:rStyle w:val="Hyperlink"/>
              </w:rPr>
              <w:t>Pharmacist intervention documentation record</w:t>
            </w:r>
            <w:r w:rsidR="00C25F89">
              <w:rPr>
                <w:webHidden/>
              </w:rPr>
              <w:tab/>
            </w:r>
            <w:r w:rsidR="00C25F89">
              <w:rPr>
                <w:webHidden/>
              </w:rPr>
              <w:fldChar w:fldCharType="begin"/>
            </w:r>
            <w:r w:rsidR="00C25F89">
              <w:rPr>
                <w:webHidden/>
              </w:rPr>
              <w:instrText xml:space="preserve"> PAGEREF _Toc117758333 \h </w:instrText>
            </w:r>
            <w:r w:rsidR="00C25F89">
              <w:rPr>
                <w:webHidden/>
              </w:rPr>
            </w:r>
            <w:r w:rsidR="00C25F89">
              <w:rPr>
                <w:webHidden/>
              </w:rPr>
              <w:fldChar w:fldCharType="separate"/>
            </w:r>
            <w:r w:rsidR="00C25F89">
              <w:rPr>
                <w:webHidden/>
              </w:rPr>
              <w:t>126</w:t>
            </w:r>
            <w:r w:rsidR="00C25F89">
              <w:rPr>
                <w:webHidden/>
              </w:rPr>
              <w:fldChar w:fldCharType="end"/>
            </w:r>
          </w:hyperlink>
        </w:p>
        <w:p w14:paraId="42D6185B" w14:textId="13C1976A" w:rsidR="00C25F89" w:rsidRDefault="00612340">
          <w:pPr>
            <w:pStyle w:val="TOC2"/>
            <w:tabs>
              <w:tab w:val="left" w:pos="1418"/>
            </w:tabs>
            <w:rPr>
              <w:rFonts w:asciiTheme="minorHAnsi" w:eastAsiaTheme="minorEastAsia" w:hAnsiTheme="minorHAnsi" w:cstheme="minorBidi"/>
            </w:rPr>
          </w:pPr>
          <w:hyperlink w:anchor="_Toc117758334" w:history="1">
            <w:r w:rsidR="00C25F89" w:rsidRPr="00D40579">
              <w:rPr>
                <w:rStyle w:val="Hyperlink"/>
              </w:rPr>
              <w:t>C.2</w:t>
            </w:r>
            <w:r w:rsidR="00C25F89">
              <w:rPr>
                <w:rFonts w:asciiTheme="minorHAnsi" w:eastAsiaTheme="minorEastAsia" w:hAnsiTheme="minorHAnsi" w:cstheme="minorBidi"/>
              </w:rPr>
              <w:tab/>
            </w:r>
            <w:r w:rsidR="00C25F89" w:rsidRPr="00D40579">
              <w:rPr>
                <w:rStyle w:val="Hyperlink"/>
              </w:rPr>
              <w:t>Statistical analysis plan</w:t>
            </w:r>
            <w:r w:rsidR="00C25F89">
              <w:rPr>
                <w:webHidden/>
              </w:rPr>
              <w:tab/>
            </w:r>
            <w:r w:rsidR="00C25F89">
              <w:rPr>
                <w:webHidden/>
              </w:rPr>
              <w:fldChar w:fldCharType="begin"/>
            </w:r>
            <w:r w:rsidR="00C25F89">
              <w:rPr>
                <w:webHidden/>
              </w:rPr>
              <w:instrText xml:space="preserve"> PAGEREF _Toc117758334 \h </w:instrText>
            </w:r>
            <w:r w:rsidR="00C25F89">
              <w:rPr>
                <w:webHidden/>
              </w:rPr>
            </w:r>
            <w:r w:rsidR="00C25F89">
              <w:rPr>
                <w:webHidden/>
              </w:rPr>
              <w:fldChar w:fldCharType="separate"/>
            </w:r>
            <w:r w:rsidR="00C25F89">
              <w:rPr>
                <w:webHidden/>
              </w:rPr>
              <w:t>131</w:t>
            </w:r>
            <w:r w:rsidR="00C25F89">
              <w:rPr>
                <w:webHidden/>
              </w:rPr>
              <w:fldChar w:fldCharType="end"/>
            </w:r>
          </w:hyperlink>
        </w:p>
        <w:p w14:paraId="2A712B62" w14:textId="4BE53CF1" w:rsidR="00C25F89" w:rsidRDefault="00612340">
          <w:pPr>
            <w:pStyle w:val="TOC2"/>
            <w:tabs>
              <w:tab w:val="left" w:pos="1418"/>
            </w:tabs>
            <w:rPr>
              <w:rFonts w:asciiTheme="minorHAnsi" w:eastAsiaTheme="minorEastAsia" w:hAnsiTheme="minorHAnsi" w:cstheme="minorBidi"/>
            </w:rPr>
          </w:pPr>
          <w:hyperlink w:anchor="_Toc117758335" w:history="1">
            <w:r w:rsidR="00C25F89" w:rsidRPr="00D40579">
              <w:rPr>
                <w:rStyle w:val="Hyperlink"/>
              </w:rPr>
              <w:t>C.3</w:t>
            </w:r>
            <w:r w:rsidR="00C25F89">
              <w:rPr>
                <w:rFonts w:asciiTheme="minorHAnsi" w:eastAsiaTheme="minorEastAsia" w:hAnsiTheme="minorHAnsi" w:cstheme="minorBidi"/>
              </w:rPr>
              <w:tab/>
            </w:r>
            <w:r w:rsidR="00C25F89" w:rsidRPr="00D40579">
              <w:rPr>
                <w:rStyle w:val="Hyperlink"/>
              </w:rPr>
              <w:t>Health economics analysis plan</w:t>
            </w:r>
            <w:r w:rsidR="00C25F89">
              <w:rPr>
                <w:webHidden/>
              </w:rPr>
              <w:tab/>
            </w:r>
            <w:r w:rsidR="00C25F89">
              <w:rPr>
                <w:webHidden/>
              </w:rPr>
              <w:fldChar w:fldCharType="begin"/>
            </w:r>
            <w:r w:rsidR="00C25F89">
              <w:rPr>
                <w:webHidden/>
              </w:rPr>
              <w:instrText xml:space="preserve"> PAGEREF _Toc117758335 \h </w:instrText>
            </w:r>
            <w:r w:rsidR="00C25F89">
              <w:rPr>
                <w:webHidden/>
              </w:rPr>
            </w:r>
            <w:r w:rsidR="00C25F89">
              <w:rPr>
                <w:webHidden/>
              </w:rPr>
              <w:fldChar w:fldCharType="separate"/>
            </w:r>
            <w:r w:rsidR="00C25F89">
              <w:rPr>
                <w:webHidden/>
              </w:rPr>
              <w:t>132</w:t>
            </w:r>
            <w:r w:rsidR="00C25F89">
              <w:rPr>
                <w:webHidden/>
              </w:rPr>
              <w:fldChar w:fldCharType="end"/>
            </w:r>
          </w:hyperlink>
        </w:p>
        <w:p w14:paraId="529A1DA6" w14:textId="597E5D7F" w:rsidR="00C25F89" w:rsidRDefault="00612340">
          <w:pPr>
            <w:pStyle w:val="TOC2"/>
            <w:tabs>
              <w:tab w:val="left" w:pos="1418"/>
            </w:tabs>
            <w:rPr>
              <w:rFonts w:asciiTheme="minorHAnsi" w:eastAsiaTheme="minorEastAsia" w:hAnsiTheme="minorHAnsi" w:cstheme="minorBidi"/>
            </w:rPr>
          </w:pPr>
          <w:hyperlink w:anchor="_Toc117758336" w:history="1">
            <w:r w:rsidR="00C25F89" w:rsidRPr="00D40579">
              <w:rPr>
                <w:rStyle w:val="Hyperlink"/>
              </w:rPr>
              <w:t>C.4</w:t>
            </w:r>
            <w:r w:rsidR="00C25F89">
              <w:rPr>
                <w:rFonts w:asciiTheme="minorHAnsi" w:eastAsiaTheme="minorEastAsia" w:hAnsiTheme="minorHAnsi" w:cstheme="minorBidi"/>
              </w:rPr>
              <w:tab/>
            </w:r>
            <w:r w:rsidR="00C25F89" w:rsidRPr="00D40579">
              <w:rPr>
                <w:rStyle w:val="Hyperlink"/>
              </w:rPr>
              <w:t>ReMInDAR contracted performance indicators</w:t>
            </w:r>
            <w:r w:rsidR="00C25F89">
              <w:rPr>
                <w:webHidden/>
              </w:rPr>
              <w:tab/>
            </w:r>
            <w:r w:rsidR="00C25F89">
              <w:rPr>
                <w:webHidden/>
              </w:rPr>
              <w:fldChar w:fldCharType="begin"/>
            </w:r>
            <w:r w:rsidR="00C25F89">
              <w:rPr>
                <w:webHidden/>
              </w:rPr>
              <w:instrText xml:space="preserve"> PAGEREF _Toc117758336 \h </w:instrText>
            </w:r>
            <w:r w:rsidR="00C25F89">
              <w:rPr>
                <w:webHidden/>
              </w:rPr>
            </w:r>
            <w:r w:rsidR="00C25F89">
              <w:rPr>
                <w:webHidden/>
              </w:rPr>
              <w:fldChar w:fldCharType="separate"/>
            </w:r>
            <w:r w:rsidR="00C25F89">
              <w:rPr>
                <w:webHidden/>
              </w:rPr>
              <w:t>133</w:t>
            </w:r>
            <w:r w:rsidR="00C25F89">
              <w:rPr>
                <w:webHidden/>
              </w:rPr>
              <w:fldChar w:fldCharType="end"/>
            </w:r>
          </w:hyperlink>
        </w:p>
        <w:p w14:paraId="7D705B58" w14:textId="27685851" w:rsidR="00C25F89" w:rsidRDefault="00612340">
          <w:pPr>
            <w:pStyle w:val="TOC3"/>
            <w:tabs>
              <w:tab w:val="left" w:pos="2164"/>
            </w:tabs>
            <w:rPr>
              <w:rFonts w:asciiTheme="minorHAnsi" w:eastAsiaTheme="minorEastAsia" w:hAnsiTheme="minorHAnsi" w:cstheme="minorBidi"/>
            </w:rPr>
          </w:pPr>
          <w:hyperlink w:anchor="_Toc117758337" w:history="1">
            <w:r w:rsidR="00C25F89" w:rsidRPr="00D40579">
              <w:rPr>
                <w:rStyle w:val="Hyperlink"/>
              </w:rPr>
              <w:t>C.4.1</w:t>
            </w:r>
            <w:r w:rsidR="00C25F89">
              <w:rPr>
                <w:rFonts w:asciiTheme="minorHAnsi" w:eastAsiaTheme="minorEastAsia" w:hAnsiTheme="minorHAnsi" w:cstheme="minorBidi"/>
              </w:rPr>
              <w:tab/>
            </w:r>
            <w:r w:rsidR="00C25F89" w:rsidRPr="00D40579">
              <w:rPr>
                <w:rStyle w:val="Hyperlink"/>
              </w:rPr>
              <w:t>Resident and Consumer Collaboration</w:t>
            </w:r>
            <w:r w:rsidR="00C25F89">
              <w:rPr>
                <w:webHidden/>
              </w:rPr>
              <w:tab/>
            </w:r>
            <w:r w:rsidR="00C25F89">
              <w:rPr>
                <w:webHidden/>
              </w:rPr>
              <w:fldChar w:fldCharType="begin"/>
            </w:r>
            <w:r w:rsidR="00C25F89">
              <w:rPr>
                <w:webHidden/>
              </w:rPr>
              <w:instrText xml:space="preserve"> PAGEREF _Toc117758337 \h </w:instrText>
            </w:r>
            <w:r w:rsidR="00C25F89">
              <w:rPr>
                <w:webHidden/>
              </w:rPr>
            </w:r>
            <w:r w:rsidR="00C25F89">
              <w:rPr>
                <w:webHidden/>
              </w:rPr>
              <w:fldChar w:fldCharType="separate"/>
            </w:r>
            <w:r w:rsidR="00C25F89">
              <w:rPr>
                <w:webHidden/>
              </w:rPr>
              <w:t>133</w:t>
            </w:r>
            <w:r w:rsidR="00C25F89">
              <w:rPr>
                <w:webHidden/>
              </w:rPr>
              <w:fldChar w:fldCharType="end"/>
            </w:r>
          </w:hyperlink>
        </w:p>
        <w:p w14:paraId="5A6D2A57" w14:textId="46A47128" w:rsidR="00C25F89" w:rsidRDefault="00612340">
          <w:pPr>
            <w:pStyle w:val="TOC3"/>
            <w:tabs>
              <w:tab w:val="left" w:pos="2164"/>
            </w:tabs>
            <w:rPr>
              <w:rFonts w:asciiTheme="minorHAnsi" w:eastAsiaTheme="minorEastAsia" w:hAnsiTheme="minorHAnsi" w:cstheme="minorBidi"/>
            </w:rPr>
          </w:pPr>
          <w:hyperlink w:anchor="_Toc117758338" w:history="1">
            <w:r w:rsidR="00C25F89" w:rsidRPr="00D40579">
              <w:rPr>
                <w:rStyle w:val="Hyperlink"/>
              </w:rPr>
              <w:t>C.4.2</w:t>
            </w:r>
            <w:r w:rsidR="00C25F89">
              <w:rPr>
                <w:rFonts w:asciiTheme="minorHAnsi" w:eastAsiaTheme="minorEastAsia" w:hAnsiTheme="minorHAnsi" w:cstheme="minorBidi"/>
              </w:rPr>
              <w:tab/>
            </w:r>
            <w:r w:rsidR="00C25F89" w:rsidRPr="00D40579">
              <w:rPr>
                <w:rStyle w:val="Hyperlink"/>
              </w:rPr>
              <w:t>Expanded pathways of pharmacist service delivery</w:t>
            </w:r>
            <w:r w:rsidR="00C25F89">
              <w:rPr>
                <w:webHidden/>
              </w:rPr>
              <w:tab/>
            </w:r>
            <w:r w:rsidR="00C25F89">
              <w:rPr>
                <w:webHidden/>
              </w:rPr>
              <w:fldChar w:fldCharType="begin"/>
            </w:r>
            <w:r w:rsidR="00C25F89">
              <w:rPr>
                <w:webHidden/>
              </w:rPr>
              <w:instrText xml:space="preserve"> PAGEREF _Toc117758338 \h </w:instrText>
            </w:r>
            <w:r w:rsidR="00C25F89">
              <w:rPr>
                <w:webHidden/>
              </w:rPr>
            </w:r>
            <w:r w:rsidR="00C25F89">
              <w:rPr>
                <w:webHidden/>
              </w:rPr>
              <w:fldChar w:fldCharType="separate"/>
            </w:r>
            <w:r w:rsidR="00C25F89">
              <w:rPr>
                <w:webHidden/>
              </w:rPr>
              <w:t>134</w:t>
            </w:r>
            <w:r w:rsidR="00C25F89">
              <w:rPr>
                <w:webHidden/>
              </w:rPr>
              <w:fldChar w:fldCharType="end"/>
            </w:r>
          </w:hyperlink>
        </w:p>
        <w:p w14:paraId="28FE30AF" w14:textId="6AA43E26" w:rsidR="00C25F89" w:rsidRDefault="00612340">
          <w:pPr>
            <w:pStyle w:val="TOC3"/>
            <w:tabs>
              <w:tab w:val="left" w:pos="2164"/>
            </w:tabs>
            <w:rPr>
              <w:rFonts w:asciiTheme="minorHAnsi" w:eastAsiaTheme="minorEastAsia" w:hAnsiTheme="minorHAnsi" w:cstheme="minorBidi"/>
            </w:rPr>
          </w:pPr>
          <w:hyperlink w:anchor="_Toc117758339" w:history="1">
            <w:r w:rsidR="00C25F89" w:rsidRPr="00D40579">
              <w:rPr>
                <w:rStyle w:val="Hyperlink"/>
              </w:rPr>
              <w:t>C.4.3</w:t>
            </w:r>
            <w:r w:rsidR="00C25F89">
              <w:rPr>
                <w:rFonts w:asciiTheme="minorHAnsi" w:eastAsiaTheme="minorEastAsia" w:hAnsiTheme="minorHAnsi" w:cstheme="minorBidi"/>
              </w:rPr>
              <w:tab/>
            </w:r>
            <w:r w:rsidR="00C25F89" w:rsidRPr="00D40579">
              <w:rPr>
                <w:rStyle w:val="Hyperlink"/>
              </w:rPr>
              <w:t>Cost effective, expanded pathways of service by community pharmacists</w:t>
            </w:r>
            <w:r w:rsidR="00C25F89">
              <w:rPr>
                <w:webHidden/>
              </w:rPr>
              <w:tab/>
            </w:r>
            <w:r w:rsidR="00C25F89">
              <w:rPr>
                <w:webHidden/>
              </w:rPr>
              <w:fldChar w:fldCharType="begin"/>
            </w:r>
            <w:r w:rsidR="00C25F89">
              <w:rPr>
                <w:webHidden/>
              </w:rPr>
              <w:instrText xml:space="preserve"> PAGEREF _Toc117758339 \h </w:instrText>
            </w:r>
            <w:r w:rsidR="00C25F89">
              <w:rPr>
                <w:webHidden/>
              </w:rPr>
            </w:r>
            <w:r w:rsidR="00C25F89">
              <w:rPr>
                <w:webHidden/>
              </w:rPr>
              <w:fldChar w:fldCharType="separate"/>
            </w:r>
            <w:r w:rsidR="00C25F89">
              <w:rPr>
                <w:webHidden/>
              </w:rPr>
              <w:t>136</w:t>
            </w:r>
            <w:r w:rsidR="00C25F89">
              <w:rPr>
                <w:webHidden/>
              </w:rPr>
              <w:fldChar w:fldCharType="end"/>
            </w:r>
          </w:hyperlink>
        </w:p>
        <w:p w14:paraId="3A9E84B0" w14:textId="70FC7013" w:rsidR="00C25F89" w:rsidRDefault="00612340">
          <w:pPr>
            <w:pStyle w:val="TOC1"/>
            <w:rPr>
              <w:rFonts w:asciiTheme="minorHAnsi" w:eastAsiaTheme="minorEastAsia" w:hAnsiTheme="minorHAnsi" w:cstheme="minorBidi"/>
              <w:b w:val="0"/>
            </w:rPr>
          </w:pPr>
          <w:hyperlink w:anchor="_Toc117758340" w:history="1">
            <w:r w:rsidR="00C25F89" w:rsidRPr="00D40579">
              <w:rPr>
                <w:rStyle w:val="Hyperlink"/>
              </w:rPr>
              <w:t>Appendix D: ReMInDAR PICO</w:t>
            </w:r>
            <w:r w:rsidR="00C25F89">
              <w:rPr>
                <w:webHidden/>
              </w:rPr>
              <w:tab/>
            </w:r>
            <w:r w:rsidR="00C25F89">
              <w:rPr>
                <w:webHidden/>
              </w:rPr>
              <w:fldChar w:fldCharType="begin"/>
            </w:r>
            <w:r w:rsidR="00C25F89">
              <w:rPr>
                <w:webHidden/>
              </w:rPr>
              <w:instrText xml:space="preserve"> PAGEREF _Toc117758340 \h </w:instrText>
            </w:r>
            <w:r w:rsidR="00C25F89">
              <w:rPr>
                <w:webHidden/>
              </w:rPr>
            </w:r>
            <w:r w:rsidR="00C25F89">
              <w:rPr>
                <w:webHidden/>
              </w:rPr>
              <w:fldChar w:fldCharType="separate"/>
            </w:r>
            <w:r w:rsidR="00C25F89">
              <w:rPr>
                <w:webHidden/>
              </w:rPr>
              <w:t>137</w:t>
            </w:r>
            <w:r w:rsidR="00C25F89">
              <w:rPr>
                <w:webHidden/>
              </w:rPr>
              <w:fldChar w:fldCharType="end"/>
            </w:r>
          </w:hyperlink>
        </w:p>
        <w:p w14:paraId="6E5528FB" w14:textId="6E572947" w:rsidR="00C25F89" w:rsidRDefault="00612340">
          <w:pPr>
            <w:pStyle w:val="TOC1"/>
            <w:rPr>
              <w:rFonts w:asciiTheme="minorHAnsi" w:eastAsiaTheme="minorEastAsia" w:hAnsiTheme="minorHAnsi" w:cstheme="minorBidi"/>
              <w:b w:val="0"/>
            </w:rPr>
          </w:pPr>
          <w:hyperlink w:anchor="_Toc117758341" w:history="1">
            <w:r w:rsidR="00C25F89" w:rsidRPr="00D40579">
              <w:rPr>
                <w:rStyle w:val="Hyperlink"/>
              </w:rPr>
              <w:t>Appendix E: Sensitivity and Post Hoc analyses</w:t>
            </w:r>
            <w:r w:rsidR="00C25F89">
              <w:rPr>
                <w:webHidden/>
              </w:rPr>
              <w:tab/>
            </w:r>
            <w:r w:rsidR="00C25F89">
              <w:rPr>
                <w:webHidden/>
              </w:rPr>
              <w:fldChar w:fldCharType="begin"/>
            </w:r>
            <w:r w:rsidR="00C25F89">
              <w:rPr>
                <w:webHidden/>
              </w:rPr>
              <w:instrText xml:space="preserve"> PAGEREF _Toc117758341 \h </w:instrText>
            </w:r>
            <w:r w:rsidR="00C25F89">
              <w:rPr>
                <w:webHidden/>
              </w:rPr>
            </w:r>
            <w:r w:rsidR="00C25F89">
              <w:rPr>
                <w:webHidden/>
              </w:rPr>
              <w:fldChar w:fldCharType="separate"/>
            </w:r>
            <w:r w:rsidR="00C25F89">
              <w:rPr>
                <w:webHidden/>
              </w:rPr>
              <w:t>138</w:t>
            </w:r>
            <w:r w:rsidR="00C25F89">
              <w:rPr>
                <w:webHidden/>
              </w:rPr>
              <w:fldChar w:fldCharType="end"/>
            </w:r>
          </w:hyperlink>
        </w:p>
        <w:p w14:paraId="5412053E" w14:textId="064820A1" w:rsidR="00C25F89" w:rsidRDefault="00612340">
          <w:pPr>
            <w:pStyle w:val="TOC2"/>
            <w:tabs>
              <w:tab w:val="left" w:pos="1418"/>
            </w:tabs>
            <w:rPr>
              <w:rFonts w:asciiTheme="minorHAnsi" w:eastAsiaTheme="minorEastAsia" w:hAnsiTheme="minorHAnsi" w:cstheme="minorBidi"/>
            </w:rPr>
          </w:pPr>
          <w:hyperlink w:anchor="_Toc117758342" w:history="1">
            <w:r w:rsidR="00C25F89" w:rsidRPr="00D40579">
              <w:rPr>
                <w:rStyle w:val="Hyperlink"/>
              </w:rPr>
              <w:t>E.1</w:t>
            </w:r>
            <w:r w:rsidR="00C25F89">
              <w:rPr>
                <w:rFonts w:asciiTheme="minorHAnsi" w:eastAsiaTheme="minorEastAsia" w:hAnsiTheme="minorHAnsi" w:cstheme="minorBidi"/>
              </w:rPr>
              <w:tab/>
            </w:r>
            <w:r w:rsidR="00C25F89" w:rsidRPr="00D40579">
              <w:rPr>
                <w:rStyle w:val="Hyperlink"/>
              </w:rPr>
              <w:t>Sensitivity analyses of potential survivor bias on death, weight and MoCA</w:t>
            </w:r>
            <w:r w:rsidR="00C25F89">
              <w:rPr>
                <w:webHidden/>
              </w:rPr>
              <w:tab/>
            </w:r>
            <w:r w:rsidR="00C25F89">
              <w:rPr>
                <w:webHidden/>
              </w:rPr>
              <w:fldChar w:fldCharType="begin"/>
            </w:r>
            <w:r w:rsidR="00C25F89">
              <w:rPr>
                <w:webHidden/>
              </w:rPr>
              <w:instrText xml:space="preserve"> PAGEREF _Toc117758342 \h </w:instrText>
            </w:r>
            <w:r w:rsidR="00C25F89">
              <w:rPr>
                <w:webHidden/>
              </w:rPr>
            </w:r>
            <w:r w:rsidR="00C25F89">
              <w:rPr>
                <w:webHidden/>
              </w:rPr>
              <w:fldChar w:fldCharType="separate"/>
            </w:r>
            <w:r w:rsidR="00C25F89">
              <w:rPr>
                <w:webHidden/>
              </w:rPr>
              <w:t>138</w:t>
            </w:r>
            <w:r w:rsidR="00C25F89">
              <w:rPr>
                <w:webHidden/>
              </w:rPr>
              <w:fldChar w:fldCharType="end"/>
            </w:r>
          </w:hyperlink>
        </w:p>
        <w:p w14:paraId="525FF044" w14:textId="7BE0CB03" w:rsidR="00C25F89" w:rsidRDefault="00612340">
          <w:pPr>
            <w:pStyle w:val="TOC3"/>
            <w:rPr>
              <w:rFonts w:asciiTheme="minorHAnsi" w:eastAsiaTheme="minorEastAsia" w:hAnsiTheme="minorHAnsi" w:cstheme="minorBidi"/>
            </w:rPr>
          </w:pPr>
          <w:hyperlink w:anchor="_Toc117758343" w:history="1">
            <w:r w:rsidR="00C25F89" w:rsidRPr="00D40579">
              <w:rPr>
                <w:rStyle w:val="Hyperlink"/>
              </w:rPr>
              <w:t>Timing of deaths</w:t>
            </w:r>
            <w:r w:rsidR="00C25F89">
              <w:rPr>
                <w:webHidden/>
              </w:rPr>
              <w:tab/>
            </w:r>
            <w:r w:rsidR="00C25F89">
              <w:rPr>
                <w:webHidden/>
              </w:rPr>
              <w:fldChar w:fldCharType="begin"/>
            </w:r>
            <w:r w:rsidR="00C25F89">
              <w:rPr>
                <w:webHidden/>
              </w:rPr>
              <w:instrText xml:space="preserve"> PAGEREF _Toc117758343 \h </w:instrText>
            </w:r>
            <w:r w:rsidR="00C25F89">
              <w:rPr>
                <w:webHidden/>
              </w:rPr>
            </w:r>
            <w:r w:rsidR="00C25F89">
              <w:rPr>
                <w:webHidden/>
              </w:rPr>
              <w:fldChar w:fldCharType="separate"/>
            </w:r>
            <w:r w:rsidR="00C25F89">
              <w:rPr>
                <w:webHidden/>
              </w:rPr>
              <w:t>138</w:t>
            </w:r>
            <w:r w:rsidR="00C25F89">
              <w:rPr>
                <w:webHidden/>
              </w:rPr>
              <w:fldChar w:fldCharType="end"/>
            </w:r>
          </w:hyperlink>
        </w:p>
        <w:p w14:paraId="45914B40" w14:textId="1D261084" w:rsidR="00C25F89" w:rsidRDefault="00612340">
          <w:pPr>
            <w:pStyle w:val="TOC3"/>
            <w:rPr>
              <w:rFonts w:asciiTheme="minorHAnsi" w:eastAsiaTheme="minorEastAsia" w:hAnsiTheme="minorHAnsi" w:cstheme="minorBidi"/>
            </w:rPr>
          </w:pPr>
          <w:hyperlink w:anchor="_Toc117758344" w:history="1">
            <w:r w:rsidR="00C25F89" w:rsidRPr="00D40579">
              <w:rPr>
                <w:rStyle w:val="Hyperlink"/>
              </w:rPr>
              <w:t>Tests for potential survivor bias</w:t>
            </w:r>
            <w:r w:rsidR="00C25F89">
              <w:rPr>
                <w:webHidden/>
              </w:rPr>
              <w:tab/>
            </w:r>
            <w:r w:rsidR="00C25F89">
              <w:rPr>
                <w:webHidden/>
              </w:rPr>
              <w:fldChar w:fldCharType="begin"/>
            </w:r>
            <w:r w:rsidR="00C25F89">
              <w:rPr>
                <w:webHidden/>
              </w:rPr>
              <w:instrText xml:space="preserve"> PAGEREF _Toc117758344 \h </w:instrText>
            </w:r>
            <w:r w:rsidR="00C25F89">
              <w:rPr>
                <w:webHidden/>
              </w:rPr>
            </w:r>
            <w:r w:rsidR="00C25F89">
              <w:rPr>
                <w:webHidden/>
              </w:rPr>
              <w:fldChar w:fldCharType="separate"/>
            </w:r>
            <w:r w:rsidR="00C25F89">
              <w:rPr>
                <w:webHidden/>
              </w:rPr>
              <w:t>139</w:t>
            </w:r>
            <w:r w:rsidR="00C25F89">
              <w:rPr>
                <w:webHidden/>
              </w:rPr>
              <w:fldChar w:fldCharType="end"/>
            </w:r>
          </w:hyperlink>
        </w:p>
        <w:p w14:paraId="7200BB53" w14:textId="34EA0C1E" w:rsidR="00C25F89" w:rsidRDefault="00612340">
          <w:pPr>
            <w:pStyle w:val="TOC3"/>
            <w:rPr>
              <w:rFonts w:asciiTheme="minorHAnsi" w:eastAsiaTheme="minorEastAsia" w:hAnsiTheme="minorHAnsi" w:cstheme="minorBidi"/>
            </w:rPr>
          </w:pPr>
          <w:hyperlink w:anchor="_Toc117758345" w:history="1">
            <w:r w:rsidR="00C25F89" w:rsidRPr="00D40579">
              <w:rPr>
                <w:rStyle w:val="Hyperlink"/>
              </w:rPr>
              <w:t>Survivor Average Causal Effect analysis</w:t>
            </w:r>
            <w:r w:rsidR="00C25F89">
              <w:rPr>
                <w:webHidden/>
              </w:rPr>
              <w:tab/>
            </w:r>
            <w:r w:rsidR="00C25F89">
              <w:rPr>
                <w:webHidden/>
              </w:rPr>
              <w:fldChar w:fldCharType="begin"/>
            </w:r>
            <w:r w:rsidR="00C25F89">
              <w:rPr>
                <w:webHidden/>
              </w:rPr>
              <w:instrText xml:space="preserve"> PAGEREF _Toc117758345 \h </w:instrText>
            </w:r>
            <w:r w:rsidR="00C25F89">
              <w:rPr>
                <w:webHidden/>
              </w:rPr>
            </w:r>
            <w:r w:rsidR="00C25F89">
              <w:rPr>
                <w:webHidden/>
              </w:rPr>
              <w:fldChar w:fldCharType="separate"/>
            </w:r>
            <w:r w:rsidR="00C25F89">
              <w:rPr>
                <w:webHidden/>
              </w:rPr>
              <w:t>139</w:t>
            </w:r>
            <w:r w:rsidR="00C25F89">
              <w:rPr>
                <w:webHidden/>
              </w:rPr>
              <w:fldChar w:fldCharType="end"/>
            </w:r>
          </w:hyperlink>
        </w:p>
        <w:p w14:paraId="211F60A1" w14:textId="4B9BE58F" w:rsidR="00C25F89" w:rsidRDefault="00612340">
          <w:pPr>
            <w:pStyle w:val="TOC3"/>
            <w:rPr>
              <w:rFonts w:asciiTheme="minorHAnsi" w:eastAsiaTheme="minorEastAsia" w:hAnsiTheme="minorHAnsi" w:cstheme="minorBidi"/>
            </w:rPr>
          </w:pPr>
          <w:hyperlink w:anchor="_Toc117758346" w:history="1">
            <w:r w:rsidR="00C25F89" w:rsidRPr="00D40579">
              <w:rPr>
                <w:rStyle w:val="Hyperlink"/>
              </w:rPr>
              <w:t>Tests for survivor bias</w:t>
            </w:r>
            <w:r w:rsidR="00C25F89">
              <w:rPr>
                <w:webHidden/>
              </w:rPr>
              <w:tab/>
            </w:r>
            <w:r w:rsidR="00C25F89">
              <w:rPr>
                <w:webHidden/>
              </w:rPr>
              <w:fldChar w:fldCharType="begin"/>
            </w:r>
            <w:r w:rsidR="00C25F89">
              <w:rPr>
                <w:webHidden/>
              </w:rPr>
              <w:instrText xml:space="preserve"> PAGEREF _Toc117758346 \h </w:instrText>
            </w:r>
            <w:r w:rsidR="00C25F89">
              <w:rPr>
                <w:webHidden/>
              </w:rPr>
            </w:r>
            <w:r w:rsidR="00C25F89">
              <w:rPr>
                <w:webHidden/>
              </w:rPr>
              <w:fldChar w:fldCharType="separate"/>
            </w:r>
            <w:r w:rsidR="00C25F89">
              <w:rPr>
                <w:webHidden/>
              </w:rPr>
              <w:t>140</w:t>
            </w:r>
            <w:r w:rsidR="00C25F89">
              <w:rPr>
                <w:webHidden/>
              </w:rPr>
              <w:fldChar w:fldCharType="end"/>
            </w:r>
          </w:hyperlink>
        </w:p>
        <w:p w14:paraId="4BCAD588" w14:textId="5F279D77" w:rsidR="00C25F89" w:rsidRDefault="00612340">
          <w:pPr>
            <w:pStyle w:val="TOC3"/>
            <w:rPr>
              <w:rFonts w:asciiTheme="minorHAnsi" w:eastAsiaTheme="minorEastAsia" w:hAnsiTheme="minorHAnsi" w:cstheme="minorBidi"/>
            </w:rPr>
          </w:pPr>
          <w:hyperlink w:anchor="_Toc117758347" w:history="1">
            <w:r w:rsidR="00C25F89" w:rsidRPr="00D40579">
              <w:rPr>
                <w:rStyle w:val="Hyperlink"/>
              </w:rPr>
              <w:t>Difference in frailty index at baseline between groups, excluding or including deaths and post-randomisation withdrawals</w:t>
            </w:r>
            <w:r w:rsidR="00C25F89">
              <w:rPr>
                <w:webHidden/>
              </w:rPr>
              <w:tab/>
            </w:r>
            <w:r w:rsidR="00C25F89">
              <w:rPr>
                <w:webHidden/>
              </w:rPr>
              <w:fldChar w:fldCharType="begin"/>
            </w:r>
            <w:r w:rsidR="00C25F89">
              <w:rPr>
                <w:webHidden/>
              </w:rPr>
              <w:instrText xml:space="preserve"> PAGEREF _Toc117758347 \h </w:instrText>
            </w:r>
            <w:r w:rsidR="00C25F89">
              <w:rPr>
                <w:webHidden/>
              </w:rPr>
            </w:r>
            <w:r w:rsidR="00C25F89">
              <w:rPr>
                <w:webHidden/>
              </w:rPr>
              <w:fldChar w:fldCharType="separate"/>
            </w:r>
            <w:r w:rsidR="00C25F89">
              <w:rPr>
                <w:webHidden/>
              </w:rPr>
              <w:t>141</w:t>
            </w:r>
            <w:r w:rsidR="00C25F89">
              <w:rPr>
                <w:webHidden/>
              </w:rPr>
              <w:fldChar w:fldCharType="end"/>
            </w:r>
          </w:hyperlink>
        </w:p>
        <w:p w14:paraId="3F6EA277" w14:textId="1D600320" w:rsidR="00C25F89" w:rsidRDefault="00612340">
          <w:pPr>
            <w:pStyle w:val="TOC3"/>
            <w:rPr>
              <w:rFonts w:asciiTheme="minorHAnsi" w:eastAsiaTheme="minorEastAsia" w:hAnsiTheme="minorHAnsi" w:cstheme="minorBidi"/>
            </w:rPr>
          </w:pPr>
          <w:hyperlink w:anchor="_Toc117758348" w:history="1">
            <w:r w:rsidR="00C25F89" w:rsidRPr="00D40579">
              <w:rPr>
                <w:rStyle w:val="Hyperlink"/>
              </w:rPr>
              <w:t>Weight</w:t>
            </w:r>
            <w:r w:rsidR="00C25F89">
              <w:rPr>
                <w:webHidden/>
              </w:rPr>
              <w:tab/>
            </w:r>
            <w:r w:rsidR="00C25F89">
              <w:rPr>
                <w:webHidden/>
              </w:rPr>
              <w:fldChar w:fldCharType="begin"/>
            </w:r>
            <w:r w:rsidR="00C25F89">
              <w:rPr>
                <w:webHidden/>
              </w:rPr>
              <w:instrText xml:space="preserve"> PAGEREF _Toc117758348 \h </w:instrText>
            </w:r>
            <w:r w:rsidR="00C25F89">
              <w:rPr>
                <w:webHidden/>
              </w:rPr>
            </w:r>
            <w:r w:rsidR="00C25F89">
              <w:rPr>
                <w:webHidden/>
              </w:rPr>
              <w:fldChar w:fldCharType="separate"/>
            </w:r>
            <w:r w:rsidR="00C25F89">
              <w:rPr>
                <w:webHidden/>
              </w:rPr>
              <w:t>142</w:t>
            </w:r>
            <w:r w:rsidR="00C25F89">
              <w:rPr>
                <w:webHidden/>
              </w:rPr>
              <w:fldChar w:fldCharType="end"/>
            </w:r>
          </w:hyperlink>
        </w:p>
        <w:p w14:paraId="125B83D4" w14:textId="39B9AB4A" w:rsidR="00C25F89" w:rsidRDefault="00612340">
          <w:pPr>
            <w:pStyle w:val="TOC3"/>
            <w:rPr>
              <w:rFonts w:asciiTheme="minorHAnsi" w:eastAsiaTheme="minorEastAsia" w:hAnsiTheme="minorHAnsi" w:cstheme="minorBidi"/>
            </w:rPr>
          </w:pPr>
          <w:hyperlink w:anchor="_Toc117758349" w:history="1">
            <w:r w:rsidR="00C25F89" w:rsidRPr="00D40579">
              <w:rPr>
                <w:rStyle w:val="Hyperlink"/>
              </w:rPr>
              <w:t>MoCA</w:t>
            </w:r>
            <w:r w:rsidR="00C25F89">
              <w:rPr>
                <w:webHidden/>
              </w:rPr>
              <w:tab/>
            </w:r>
            <w:r w:rsidR="00C25F89">
              <w:rPr>
                <w:webHidden/>
              </w:rPr>
              <w:fldChar w:fldCharType="begin"/>
            </w:r>
            <w:r w:rsidR="00C25F89">
              <w:rPr>
                <w:webHidden/>
              </w:rPr>
              <w:instrText xml:space="preserve"> PAGEREF _Toc117758349 \h </w:instrText>
            </w:r>
            <w:r w:rsidR="00C25F89">
              <w:rPr>
                <w:webHidden/>
              </w:rPr>
            </w:r>
            <w:r w:rsidR="00C25F89">
              <w:rPr>
                <w:webHidden/>
              </w:rPr>
              <w:fldChar w:fldCharType="separate"/>
            </w:r>
            <w:r w:rsidR="00C25F89">
              <w:rPr>
                <w:webHidden/>
              </w:rPr>
              <w:t>142</w:t>
            </w:r>
            <w:r w:rsidR="00C25F89">
              <w:rPr>
                <w:webHidden/>
              </w:rPr>
              <w:fldChar w:fldCharType="end"/>
            </w:r>
          </w:hyperlink>
        </w:p>
        <w:p w14:paraId="5BDD1243" w14:textId="7A7E4984" w:rsidR="00C25F89" w:rsidRDefault="00612340">
          <w:pPr>
            <w:pStyle w:val="TOC3"/>
            <w:rPr>
              <w:rFonts w:asciiTheme="minorHAnsi" w:eastAsiaTheme="minorEastAsia" w:hAnsiTheme="minorHAnsi" w:cstheme="minorBidi"/>
            </w:rPr>
          </w:pPr>
          <w:hyperlink w:anchor="_Toc117758350" w:history="1">
            <w:r w:rsidR="00C25F89" w:rsidRPr="00D40579">
              <w:rPr>
                <w:rStyle w:val="Hyperlink"/>
              </w:rPr>
              <w:t>Survivor Average Causal Effect</w:t>
            </w:r>
            <w:r w:rsidR="00C25F89">
              <w:rPr>
                <w:webHidden/>
              </w:rPr>
              <w:tab/>
            </w:r>
            <w:r w:rsidR="00C25F89">
              <w:rPr>
                <w:webHidden/>
              </w:rPr>
              <w:fldChar w:fldCharType="begin"/>
            </w:r>
            <w:r w:rsidR="00C25F89">
              <w:rPr>
                <w:webHidden/>
              </w:rPr>
              <w:instrText xml:space="preserve"> PAGEREF _Toc117758350 \h </w:instrText>
            </w:r>
            <w:r w:rsidR="00C25F89">
              <w:rPr>
                <w:webHidden/>
              </w:rPr>
            </w:r>
            <w:r w:rsidR="00C25F89">
              <w:rPr>
                <w:webHidden/>
              </w:rPr>
              <w:fldChar w:fldCharType="separate"/>
            </w:r>
            <w:r w:rsidR="00C25F89">
              <w:rPr>
                <w:webHidden/>
              </w:rPr>
              <w:t>143</w:t>
            </w:r>
            <w:r w:rsidR="00C25F89">
              <w:rPr>
                <w:webHidden/>
              </w:rPr>
              <w:fldChar w:fldCharType="end"/>
            </w:r>
          </w:hyperlink>
        </w:p>
        <w:p w14:paraId="4B1281A9" w14:textId="31BDE00A" w:rsidR="00C25F89" w:rsidRDefault="00612340">
          <w:pPr>
            <w:pStyle w:val="TOC2"/>
            <w:tabs>
              <w:tab w:val="left" w:pos="1418"/>
            </w:tabs>
            <w:rPr>
              <w:rFonts w:asciiTheme="minorHAnsi" w:eastAsiaTheme="minorEastAsia" w:hAnsiTheme="minorHAnsi" w:cstheme="minorBidi"/>
            </w:rPr>
          </w:pPr>
          <w:hyperlink w:anchor="_Toc117758351" w:history="1">
            <w:r w:rsidR="00C25F89" w:rsidRPr="00D40579">
              <w:rPr>
                <w:rStyle w:val="Hyperlink"/>
              </w:rPr>
              <w:t>E.2</w:t>
            </w:r>
            <w:r w:rsidR="00C25F89">
              <w:rPr>
                <w:rFonts w:asciiTheme="minorHAnsi" w:eastAsiaTheme="minorEastAsia" w:hAnsiTheme="minorHAnsi" w:cstheme="minorBidi"/>
              </w:rPr>
              <w:tab/>
            </w:r>
            <w:r w:rsidR="00C25F89" w:rsidRPr="00D40579">
              <w:rPr>
                <w:rStyle w:val="Hyperlink"/>
              </w:rPr>
              <w:t>Imputation of 12 month frailty index measurements after COVID-19 access restrictions</w:t>
            </w:r>
            <w:r w:rsidR="00C25F89">
              <w:rPr>
                <w:webHidden/>
              </w:rPr>
              <w:tab/>
            </w:r>
            <w:r w:rsidR="00C25F89">
              <w:rPr>
                <w:webHidden/>
              </w:rPr>
              <w:fldChar w:fldCharType="begin"/>
            </w:r>
            <w:r w:rsidR="00C25F89">
              <w:rPr>
                <w:webHidden/>
              </w:rPr>
              <w:instrText xml:space="preserve"> PAGEREF _Toc117758351 \h </w:instrText>
            </w:r>
            <w:r w:rsidR="00C25F89">
              <w:rPr>
                <w:webHidden/>
              </w:rPr>
            </w:r>
            <w:r w:rsidR="00C25F89">
              <w:rPr>
                <w:webHidden/>
              </w:rPr>
              <w:fldChar w:fldCharType="separate"/>
            </w:r>
            <w:r w:rsidR="00C25F89">
              <w:rPr>
                <w:webHidden/>
              </w:rPr>
              <w:t>147</w:t>
            </w:r>
            <w:r w:rsidR="00C25F89">
              <w:rPr>
                <w:webHidden/>
              </w:rPr>
              <w:fldChar w:fldCharType="end"/>
            </w:r>
          </w:hyperlink>
        </w:p>
        <w:p w14:paraId="20050AC3" w14:textId="6D704395" w:rsidR="00C25F89" w:rsidRDefault="00612340">
          <w:pPr>
            <w:pStyle w:val="TOC1"/>
            <w:rPr>
              <w:rFonts w:asciiTheme="minorHAnsi" w:eastAsiaTheme="minorEastAsia" w:hAnsiTheme="minorHAnsi" w:cstheme="minorBidi"/>
              <w:b w:val="0"/>
            </w:rPr>
          </w:pPr>
          <w:hyperlink w:anchor="_Toc117758352" w:history="1">
            <w:r w:rsidR="00C25F89" w:rsidRPr="00D40579">
              <w:rPr>
                <w:rStyle w:val="Hyperlink"/>
              </w:rPr>
              <w:t>Appendix F: Economic analysis Supplementary information</w:t>
            </w:r>
            <w:r w:rsidR="00C25F89">
              <w:rPr>
                <w:webHidden/>
              </w:rPr>
              <w:tab/>
            </w:r>
            <w:r w:rsidR="00C25F89">
              <w:rPr>
                <w:webHidden/>
              </w:rPr>
              <w:fldChar w:fldCharType="begin"/>
            </w:r>
            <w:r w:rsidR="00C25F89">
              <w:rPr>
                <w:webHidden/>
              </w:rPr>
              <w:instrText xml:space="preserve"> PAGEREF _Toc117758352 \h </w:instrText>
            </w:r>
            <w:r w:rsidR="00C25F89">
              <w:rPr>
                <w:webHidden/>
              </w:rPr>
            </w:r>
            <w:r w:rsidR="00C25F89">
              <w:rPr>
                <w:webHidden/>
              </w:rPr>
              <w:fldChar w:fldCharType="separate"/>
            </w:r>
            <w:r w:rsidR="00C25F89">
              <w:rPr>
                <w:webHidden/>
              </w:rPr>
              <w:t>149</w:t>
            </w:r>
            <w:r w:rsidR="00C25F89">
              <w:rPr>
                <w:webHidden/>
              </w:rPr>
              <w:fldChar w:fldCharType="end"/>
            </w:r>
          </w:hyperlink>
        </w:p>
        <w:p w14:paraId="7C7A908F" w14:textId="7FDA9ADE" w:rsidR="00C25F89" w:rsidRDefault="00612340">
          <w:pPr>
            <w:pStyle w:val="TOC1"/>
            <w:rPr>
              <w:rFonts w:asciiTheme="minorHAnsi" w:eastAsiaTheme="minorEastAsia" w:hAnsiTheme="minorHAnsi" w:cstheme="minorBidi"/>
              <w:b w:val="0"/>
            </w:rPr>
          </w:pPr>
          <w:hyperlink w:anchor="_Toc117758353" w:history="1">
            <w:r w:rsidR="00C25F89" w:rsidRPr="00D40579">
              <w:rPr>
                <w:rStyle w:val="Hyperlink"/>
              </w:rPr>
              <w:t>Appendix I: Text Alternatives for Complex Figures</w:t>
            </w:r>
            <w:r w:rsidR="00C25F89">
              <w:rPr>
                <w:webHidden/>
              </w:rPr>
              <w:tab/>
            </w:r>
            <w:r w:rsidR="00C25F89">
              <w:rPr>
                <w:webHidden/>
              </w:rPr>
              <w:fldChar w:fldCharType="begin"/>
            </w:r>
            <w:r w:rsidR="00C25F89">
              <w:rPr>
                <w:webHidden/>
              </w:rPr>
              <w:instrText xml:space="preserve"> PAGEREF _Toc117758353 \h </w:instrText>
            </w:r>
            <w:r w:rsidR="00C25F89">
              <w:rPr>
                <w:webHidden/>
              </w:rPr>
            </w:r>
            <w:r w:rsidR="00C25F89">
              <w:rPr>
                <w:webHidden/>
              </w:rPr>
              <w:fldChar w:fldCharType="separate"/>
            </w:r>
            <w:r w:rsidR="00C25F89">
              <w:rPr>
                <w:webHidden/>
              </w:rPr>
              <w:t>151</w:t>
            </w:r>
            <w:r w:rsidR="00C25F89">
              <w:rPr>
                <w:webHidden/>
              </w:rPr>
              <w:fldChar w:fldCharType="end"/>
            </w:r>
          </w:hyperlink>
        </w:p>
        <w:p w14:paraId="0508C739" w14:textId="05B6B787" w:rsidR="00C25F89" w:rsidRDefault="00612340">
          <w:pPr>
            <w:pStyle w:val="TOC2"/>
            <w:tabs>
              <w:tab w:val="left" w:pos="1418"/>
            </w:tabs>
            <w:rPr>
              <w:rFonts w:asciiTheme="minorHAnsi" w:eastAsiaTheme="minorEastAsia" w:hAnsiTheme="minorHAnsi" w:cstheme="minorBidi"/>
            </w:rPr>
          </w:pPr>
          <w:hyperlink w:anchor="_Toc117758354" w:history="1">
            <w:r w:rsidR="00C25F89" w:rsidRPr="00D40579">
              <w:rPr>
                <w:rStyle w:val="Hyperlink"/>
              </w:rPr>
              <w:t>I.1</w:t>
            </w:r>
            <w:r w:rsidR="00C25F89">
              <w:rPr>
                <w:rFonts w:asciiTheme="minorHAnsi" w:eastAsiaTheme="minorEastAsia" w:hAnsiTheme="minorHAnsi" w:cstheme="minorBidi"/>
              </w:rPr>
              <w:tab/>
            </w:r>
            <w:r w:rsidR="00C25F89" w:rsidRPr="00D40579">
              <w:rPr>
                <w:rStyle w:val="Hyperlink"/>
              </w:rPr>
              <w:t>Text alternative for Figure ES-1 and ES-2</w:t>
            </w:r>
            <w:r w:rsidR="00C25F89">
              <w:rPr>
                <w:webHidden/>
              </w:rPr>
              <w:tab/>
            </w:r>
            <w:r w:rsidR="00C25F89">
              <w:rPr>
                <w:webHidden/>
              </w:rPr>
              <w:fldChar w:fldCharType="begin"/>
            </w:r>
            <w:r w:rsidR="00C25F89">
              <w:rPr>
                <w:webHidden/>
              </w:rPr>
              <w:instrText xml:space="preserve"> PAGEREF _Toc117758354 \h </w:instrText>
            </w:r>
            <w:r w:rsidR="00C25F89">
              <w:rPr>
                <w:webHidden/>
              </w:rPr>
            </w:r>
            <w:r w:rsidR="00C25F89">
              <w:rPr>
                <w:webHidden/>
              </w:rPr>
              <w:fldChar w:fldCharType="separate"/>
            </w:r>
            <w:r w:rsidR="00C25F89">
              <w:rPr>
                <w:webHidden/>
              </w:rPr>
              <w:t>151</w:t>
            </w:r>
            <w:r w:rsidR="00C25F89">
              <w:rPr>
                <w:webHidden/>
              </w:rPr>
              <w:fldChar w:fldCharType="end"/>
            </w:r>
          </w:hyperlink>
        </w:p>
        <w:p w14:paraId="3CCF8031" w14:textId="4693F29C" w:rsidR="00C25F89" w:rsidRDefault="00612340">
          <w:pPr>
            <w:pStyle w:val="TOC3"/>
            <w:tabs>
              <w:tab w:val="left" w:pos="2066"/>
            </w:tabs>
            <w:rPr>
              <w:rFonts w:asciiTheme="minorHAnsi" w:eastAsiaTheme="minorEastAsia" w:hAnsiTheme="minorHAnsi" w:cstheme="minorBidi"/>
            </w:rPr>
          </w:pPr>
          <w:hyperlink w:anchor="_Toc117758355" w:history="1">
            <w:r w:rsidR="00C25F89" w:rsidRPr="00D40579">
              <w:rPr>
                <w:rStyle w:val="Hyperlink"/>
              </w:rPr>
              <w:t>I.1.1</w:t>
            </w:r>
            <w:r w:rsidR="00C25F89">
              <w:rPr>
                <w:rFonts w:asciiTheme="minorHAnsi" w:eastAsiaTheme="minorEastAsia" w:hAnsiTheme="minorHAnsi" w:cstheme="minorBidi"/>
              </w:rPr>
              <w:tab/>
            </w:r>
            <w:r w:rsidR="00C25F89" w:rsidRPr="00D40579">
              <w:rPr>
                <w:rStyle w:val="Hyperlink"/>
              </w:rPr>
              <w:t>Text alternative for Figure ES-1</w:t>
            </w:r>
            <w:r w:rsidR="00C25F89">
              <w:rPr>
                <w:webHidden/>
              </w:rPr>
              <w:tab/>
            </w:r>
            <w:r w:rsidR="00C25F89">
              <w:rPr>
                <w:webHidden/>
              </w:rPr>
              <w:fldChar w:fldCharType="begin"/>
            </w:r>
            <w:r w:rsidR="00C25F89">
              <w:rPr>
                <w:webHidden/>
              </w:rPr>
              <w:instrText xml:space="preserve"> PAGEREF _Toc117758355 \h </w:instrText>
            </w:r>
            <w:r w:rsidR="00C25F89">
              <w:rPr>
                <w:webHidden/>
              </w:rPr>
            </w:r>
            <w:r w:rsidR="00C25F89">
              <w:rPr>
                <w:webHidden/>
              </w:rPr>
              <w:fldChar w:fldCharType="separate"/>
            </w:r>
            <w:r w:rsidR="00C25F89">
              <w:rPr>
                <w:webHidden/>
              </w:rPr>
              <w:t>151</w:t>
            </w:r>
            <w:r w:rsidR="00C25F89">
              <w:rPr>
                <w:webHidden/>
              </w:rPr>
              <w:fldChar w:fldCharType="end"/>
            </w:r>
          </w:hyperlink>
        </w:p>
        <w:p w14:paraId="7F75B143" w14:textId="0BC68F99" w:rsidR="00C25F89" w:rsidRDefault="00612340">
          <w:pPr>
            <w:pStyle w:val="TOC3"/>
            <w:tabs>
              <w:tab w:val="left" w:pos="2066"/>
            </w:tabs>
            <w:rPr>
              <w:rFonts w:asciiTheme="minorHAnsi" w:eastAsiaTheme="minorEastAsia" w:hAnsiTheme="minorHAnsi" w:cstheme="minorBidi"/>
            </w:rPr>
          </w:pPr>
          <w:hyperlink w:anchor="_Toc117758356" w:history="1">
            <w:r w:rsidR="00C25F89" w:rsidRPr="00D40579">
              <w:rPr>
                <w:rStyle w:val="Hyperlink"/>
              </w:rPr>
              <w:t>I.1.2</w:t>
            </w:r>
            <w:r w:rsidR="00C25F89">
              <w:rPr>
                <w:rFonts w:asciiTheme="minorHAnsi" w:eastAsiaTheme="minorEastAsia" w:hAnsiTheme="minorHAnsi" w:cstheme="minorBidi"/>
              </w:rPr>
              <w:tab/>
            </w:r>
            <w:r w:rsidR="00C25F89" w:rsidRPr="00D40579">
              <w:rPr>
                <w:rStyle w:val="Hyperlink"/>
              </w:rPr>
              <w:t>Text alternative for Figure ES-2</w:t>
            </w:r>
            <w:r w:rsidR="00C25F89">
              <w:rPr>
                <w:webHidden/>
              </w:rPr>
              <w:tab/>
            </w:r>
            <w:r w:rsidR="00C25F89">
              <w:rPr>
                <w:webHidden/>
              </w:rPr>
              <w:fldChar w:fldCharType="begin"/>
            </w:r>
            <w:r w:rsidR="00C25F89">
              <w:rPr>
                <w:webHidden/>
              </w:rPr>
              <w:instrText xml:space="preserve"> PAGEREF _Toc117758356 \h </w:instrText>
            </w:r>
            <w:r w:rsidR="00C25F89">
              <w:rPr>
                <w:webHidden/>
              </w:rPr>
            </w:r>
            <w:r w:rsidR="00C25F89">
              <w:rPr>
                <w:webHidden/>
              </w:rPr>
              <w:fldChar w:fldCharType="separate"/>
            </w:r>
            <w:r w:rsidR="00C25F89">
              <w:rPr>
                <w:webHidden/>
              </w:rPr>
              <w:t>151</w:t>
            </w:r>
            <w:r w:rsidR="00C25F89">
              <w:rPr>
                <w:webHidden/>
              </w:rPr>
              <w:fldChar w:fldCharType="end"/>
            </w:r>
          </w:hyperlink>
        </w:p>
        <w:p w14:paraId="611E52E5" w14:textId="4A459F44" w:rsidR="00C25F89" w:rsidRDefault="00612340">
          <w:pPr>
            <w:pStyle w:val="TOC2"/>
            <w:tabs>
              <w:tab w:val="left" w:pos="1418"/>
            </w:tabs>
            <w:rPr>
              <w:rFonts w:asciiTheme="minorHAnsi" w:eastAsiaTheme="minorEastAsia" w:hAnsiTheme="minorHAnsi" w:cstheme="minorBidi"/>
            </w:rPr>
          </w:pPr>
          <w:hyperlink w:anchor="_Toc117758357" w:history="1">
            <w:r w:rsidR="00C25F89" w:rsidRPr="00D40579">
              <w:rPr>
                <w:rStyle w:val="Hyperlink"/>
              </w:rPr>
              <w:t>I.2</w:t>
            </w:r>
            <w:r w:rsidR="00C25F89">
              <w:rPr>
                <w:rFonts w:asciiTheme="minorHAnsi" w:eastAsiaTheme="minorEastAsia" w:hAnsiTheme="minorHAnsi" w:cstheme="minorBidi"/>
              </w:rPr>
              <w:tab/>
            </w:r>
            <w:r w:rsidR="00C25F89" w:rsidRPr="00D40579">
              <w:rPr>
                <w:rStyle w:val="Hyperlink"/>
              </w:rPr>
              <w:t>Text alternative for Figure A-1.</w:t>
            </w:r>
            <w:r w:rsidR="00C25F89">
              <w:rPr>
                <w:webHidden/>
              </w:rPr>
              <w:tab/>
            </w:r>
            <w:r w:rsidR="00C25F89">
              <w:rPr>
                <w:webHidden/>
              </w:rPr>
              <w:fldChar w:fldCharType="begin"/>
            </w:r>
            <w:r w:rsidR="00C25F89">
              <w:rPr>
                <w:webHidden/>
              </w:rPr>
              <w:instrText xml:space="preserve"> PAGEREF _Toc117758357 \h </w:instrText>
            </w:r>
            <w:r w:rsidR="00C25F89">
              <w:rPr>
                <w:webHidden/>
              </w:rPr>
            </w:r>
            <w:r w:rsidR="00C25F89">
              <w:rPr>
                <w:webHidden/>
              </w:rPr>
              <w:fldChar w:fldCharType="separate"/>
            </w:r>
            <w:r w:rsidR="00C25F89">
              <w:rPr>
                <w:webHidden/>
              </w:rPr>
              <w:t>152</w:t>
            </w:r>
            <w:r w:rsidR="00C25F89">
              <w:rPr>
                <w:webHidden/>
              </w:rPr>
              <w:fldChar w:fldCharType="end"/>
            </w:r>
          </w:hyperlink>
        </w:p>
        <w:p w14:paraId="635F0942" w14:textId="3514CA29" w:rsidR="00C25F89" w:rsidRDefault="00612340">
          <w:pPr>
            <w:pStyle w:val="TOC2"/>
            <w:tabs>
              <w:tab w:val="left" w:pos="1418"/>
            </w:tabs>
            <w:rPr>
              <w:rFonts w:asciiTheme="minorHAnsi" w:eastAsiaTheme="minorEastAsia" w:hAnsiTheme="minorHAnsi" w:cstheme="minorBidi"/>
            </w:rPr>
          </w:pPr>
          <w:hyperlink w:anchor="_Toc117758358" w:history="1">
            <w:r w:rsidR="00C25F89" w:rsidRPr="00D40579">
              <w:rPr>
                <w:rStyle w:val="Hyperlink"/>
              </w:rPr>
              <w:t>I.3.</w:t>
            </w:r>
            <w:r w:rsidR="00C25F89">
              <w:rPr>
                <w:rFonts w:asciiTheme="minorHAnsi" w:eastAsiaTheme="minorEastAsia" w:hAnsiTheme="minorHAnsi" w:cstheme="minorBidi"/>
              </w:rPr>
              <w:tab/>
            </w:r>
            <w:r w:rsidR="00C25F89" w:rsidRPr="00D40579">
              <w:rPr>
                <w:rStyle w:val="Hyperlink"/>
              </w:rPr>
              <w:t>Text alternative for Figures A-2 and A-3.</w:t>
            </w:r>
            <w:r w:rsidR="00C25F89">
              <w:rPr>
                <w:webHidden/>
              </w:rPr>
              <w:tab/>
            </w:r>
            <w:r w:rsidR="00C25F89">
              <w:rPr>
                <w:webHidden/>
              </w:rPr>
              <w:fldChar w:fldCharType="begin"/>
            </w:r>
            <w:r w:rsidR="00C25F89">
              <w:rPr>
                <w:webHidden/>
              </w:rPr>
              <w:instrText xml:space="preserve"> PAGEREF _Toc117758358 \h </w:instrText>
            </w:r>
            <w:r w:rsidR="00C25F89">
              <w:rPr>
                <w:webHidden/>
              </w:rPr>
            </w:r>
            <w:r w:rsidR="00C25F89">
              <w:rPr>
                <w:webHidden/>
              </w:rPr>
              <w:fldChar w:fldCharType="separate"/>
            </w:r>
            <w:r w:rsidR="00C25F89">
              <w:rPr>
                <w:webHidden/>
              </w:rPr>
              <w:t>152</w:t>
            </w:r>
            <w:r w:rsidR="00C25F89">
              <w:rPr>
                <w:webHidden/>
              </w:rPr>
              <w:fldChar w:fldCharType="end"/>
            </w:r>
          </w:hyperlink>
        </w:p>
        <w:p w14:paraId="4FF322A9" w14:textId="7FEA15F2" w:rsidR="00C25F89" w:rsidRDefault="00612340">
          <w:pPr>
            <w:pStyle w:val="TOC3"/>
            <w:rPr>
              <w:rFonts w:asciiTheme="minorHAnsi" w:eastAsiaTheme="minorEastAsia" w:hAnsiTheme="minorHAnsi" w:cstheme="minorBidi"/>
            </w:rPr>
          </w:pPr>
          <w:hyperlink w:anchor="_Toc117758359" w:history="1">
            <w:r w:rsidR="00C25F89" w:rsidRPr="00D40579">
              <w:rPr>
                <w:rStyle w:val="Hyperlink"/>
              </w:rPr>
              <w:t>Text alternative for Figure A-2</w:t>
            </w:r>
            <w:r w:rsidR="00C25F89">
              <w:rPr>
                <w:webHidden/>
              </w:rPr>
              <w:tab/>
            </w:r>
            <w:r w:rsidR="00C25F89">
              <w:rPr>
                <w:webHidden/>
              </w:rPr>
              <w:fldChar w:fldCharType="begin"/>
            </w:r>
            <w:r w:rsidR="00C25F89">
              <w:rPr>
                <w:webHidden/>
              </w:rPr>
              <w:instrText xml:space="preserve"> PAGEREF _Toc117758359 \h </w:instrText>
            </w:r>
            <w:r w:rsidR="00C25F89">
              <w:rPr>
                <w:webHidden/>
              </w:rPr>
            </w:r>
            <w:r w:rsidR="00C25F89">
              <w:rPr>
                <w:webHidden/>
              </w:rPr>
              <w:fldChar w:fldCharType="separate"/>
            </w:r>
            <w:r w:rsidR="00C25F89">
              <w:rPr>
                <w:webHidden/>
              </w:rPr>
              <w:t>152</w:t>
            </w:r>
            <w:r w:rsidR="00C25F89">
              <w:rPr>
                <w:webHidden/>
              </w:rPr>
              <w:fldChar w:fldCharType="end"/>
            </w:r>
          </w:hyperlink>
        </w:p>
        <w:p w14:paraId="3D8586A2" w14:textId="393D6BEB" w:rsidR="00C25F89" w:rsidRDefault="00612340">
          <w:pPr>
            <w:pStyle w:val="TOC3"/>
            <w:rPr>
              <w:rFonts w:asciiTheme="minorHAnsi" w:eastAsiaTheme="minorEastAsia" w:hAnsiTheme="minorHAnsi" w:cstheme="minorBidi"/>
            </w:rPr>
          </w:pPr>
          <w:hyperlink w:anchor="_Toc117758360" w:history="1">
            <w:r w:rsidR="00C25F89" w:rsidRPr="00D40579">
              <w:rPr>
                <w:rStyle w:val="Hyperlink"/>
              </w:rPr>
              <w:t>Text alternative for Figure A-3</w:t>
            </w:r>
            <w:r w:rsidR="00C25F89">
              <w:rPr>
                <w:webHidden/>
              </w:rPr>
              <w:tab/>
            </w:r>
            <w:r w:rsidR="00C25F89">
              <w:rPr>
                <w:webHidden/>
              </w:rPr>
              <w:fldChar w:fldCharType="begin"/>
            </w:r>
            <w:r w:rsidR="00C25F89">
              <w:rPr>
                <w:webHidden/>
              </w:rPr>
              <w:instrText xml:space="preserve"> PAGEREF _Toc117758360 \h </w:instrText>
            </w:r>
            <w:r w:rsidR="00C25F89">
              <w:rPr>
                <w:webHidden/>
              </w:rPr>
            </w:r>
            <w:r w:rsidR="00C25F89">
              <w:rPr>
                <w:webHidden/>
              </w:rPr>
              <w:fldChar w:fldCharType="separate"/>
            </w:r>
            <w:r w:rsidR="00C25F89">
              <w:rPr>
                <w:webHidden/>
              </w:rPr>
              <w:t>152</w:t>
            </w:r>
            <w:r w:rsidR="00C25F89">
              <w:rPr>
                <w:webHidden/>
              </w:rPr>
              <w:fldChar w:fldCharType="end"/>
            </w:r>
          </w:hyperlink>
        </w:p>
        <w:p w14:paraId="468ADB81" w14:textId="3CFE3124" w:rsidR="00C25F89" w:rsidRDefault="00612340">
          <w:pPr>
            <w:pStyle w:val="TOC2"/>
            <w:tabs>
              <w:tab w:val="left" w:pos="1418"/>
            </w:tabs>
            <w:rPr>
              <w:rFonts w:asciiTheme="minorHAnsi" w:eastAsiaTheme="minorEastAsia" w:hAnsiTheme="minorHAnsi" w:cstheme="minorBidi"/>
            </w:rPr>
          </w:pPr>
          <w:hyperlink w:anchor="_Toc117758361" w:history="1">
            <w:r w:rsidR="00C25F89" w:rsidRPr="00D40579">
              <w:rPr>
                <w:rStyle w:val="Hyperlink"/>
              </w:rPr>
              <w:t>I.4.</w:t>
            </w:r>
            <w:r w:rsidR="00C25F89">
              <w:rPr>
                <w:rFonts w:asciiTheme="minorHAnsi" w:eastAsiaTheme="minorEastAsia" w:hAnsiTheme="minorHAnsi" w:cstheme="minorBidi"/>
              </w:rPr>
              <w:tab/>
            </w:r>
            <w:r w:rsidR="00C25F89" w:rsidRPr="00D40579">
              <w:rPr>
                <w:rStyle w:val="Hyperlink"/>
              </w:rPr>
              <w:t>Text alternative for Figure B-1</w:t>
            </w:r>
            <w:r w:rsidR="00C25F89">
              <w:rPr>
                <w:webHidden/>
              </w:rPr>
              <w:tab/>
            </w:r>
            <w:r w:rsidR="00C25F89">
              <w:rPr>
                <w:webHidden/>
              </w:rPr>
              <w:fldChar w:fldCharType="begin"/>
            </w:r>
            <w:r w:rsidR="00C25F89">
              <w:rPr>
                <w:webHidden/>
              </w:rPr>
              <w:instrText xml:space="preserve"> PAGEREF _Toc117758361 \h </w:instrText>
            </w:r>
            <w:r w:rsidR="00C25F89">
              <w:rPr>
                <w:webHidden/>
              </w:rPr>
            </w:r>
            <w:r w:rsidR="00C25F89">
              <w:rPr>
                <w:webHidden/>
              </w:rPr>
              <w:fldChar w:fldCharType="separate"/>
            </w:r>
            <w:r w:rsidR="00C25F89">
              <w:rPr>
                <w:webHidden/>
              </w:rPr>
              <w:t>153</w:t>
            </w:r>
            <w:r w:rsidR="00C25F89">
              <w:rPr>
                <w:webHidden/>
              </w:rPr>
              <w:fldChar w:fldCharType="end"/>
            </w:r>
          </w:hyperlink>
        </w:p>
        <w:p w14:paraId="5813B7DB" w14:textId="440AD96E" w:rsidR="00C25F89" w:rsidRDefault="00612340">
          <w:pPr>
            <w:pStyle w:val="TOC2"/>
            <w:tabs>
              <w:tab w:val="left" w:pos="1418"/>
            </w:tabs>
            <w:rPr>
              <w:rFonts w:asciiTheme="minorHAnsi" w:eastAsiaTheme="minorEastAsia" w:hAnsiTheme="minorHAnsi" w:cstheme="minorBidi"/>
            </w:rPr>
          </w:pPr>
          <w:hyperlink w:anchor="_Toc117758362" w:history="1">
            <w:r w:rsidR="00C25F89" w:rsidRPr="00D40579">
              <w:rPr>
                <w:rStyle w:val="Hyperlink"/>
              </w:rPr>
              <w:t>I.5.</w:t>
            </w:r>
            <w:r w:rsidR="00C25F89">
              <w:rPr>
                <w:rFonts w:asciiTheme="minorHAnsi" w:eastAsiaTheme="minorEastAsia" w:hAnsiTheme="minorHAnsi" w:cstheme="minorBidi"/>
              </w:rPr>
              <w:tab/>
            </w:r>
            <w:r w:rsidR="00C25F89" w:rsidRPr="00D40579">
              <w:rPr>
                <w:rStyle w:val="Hyperlink"/>
              </w:rPr>
              <w:t>Text alternative for Figure B-2</w:t>
            </w:r>
            <w:r w:rsidR="00C25F89">
              <w:rPr>
                <w:webHidden/>
              </w:rPr>
              <w:tab/>
            </w:r>
            <w:r w:rsidR="00C25F89">
              <w:rPr>
                <w:webHidden/>
              </w:rPr>
              <w:fldChar w:fldCharType="begin"/>
            </w:r>
            <w:r w:rsidR="00C25F89">
              <w:rPr>
                <w:webHidden/>
              </w:rPr>
              <w:instrText xml:space="preserve"> PAGEREF _Toc117758362 \h </w:instrText>
            </w:r>
            <w:r w:rsidR="00C25F89">
              <w:rPr>
                <w:webHidden/>
              </w:rPr>
            </w:r>
            <w:r w:rsidR="00C25F89">
              <w:rPr>
                <w:webHidden/>
              </w:rPr>
              <w:fldChar w:fldCharType="separate"/>
            </w:r>
            <w:r w:rsidR="00C25F89">
              <w:rPr>
                <w:webHidden/>
              </w:rPr>
              <w:t>153</w:t>
            </w:r>
            <w:r w:rsidR="00C25F89">
              <w:rPr>
                <w:webHidden/>
              </w:rPr>
              <w:fldChar w:fldCharType="end"/>
            </w:r>
          </w:hyperlink>
        </w:p>
        <w:p w14:paraId="07813E27" w14:textId="245055FA" w:rsidR="00C25F89" w:rsidRDefault="00612340">
          <w:pPr>
            <w:pStyle w:val="TOC2"/>
            <w:tabs>
              <w:tab w:val="left" w:pos="1418"/>
            </w:tabs>
            <w:rPr>
              <w:rFonts w:asciiTheme="minorHAnsi" w:eastAsiaTheme="minorEastAsia" w:hAnsiTheme="minorHAnsi" w:cstheme="minorBidi"/>
            </w:rPr>
          </w:pPr>
          <w:hyperlink w:anchor="_Toc117758363" w:history="1">
            <w:r w:rsidR="00C25F89" w:rsidRPr="00D40579">
              <w:rPr>
                <w:rStyle w:val="Hyperlink"/>
              </w:rPr>
              <w:t>I.6.</w:t>
            </w:r>
            <w:r w:rsidR="00C25F89">
              <w:rPr>
                <w:rFonts w:asciiTheme="minorHAnsi" w:eastAsiaTheme="minorEastAsia" w:hAnsiTheme="minorHAnsi" w:cstheme="minorBidi"/>
              </w:rPr>
              <w:tab/>
            </w:r>
            <w:r w:rsidR="00C25F89" w:rsidRPr="00D40579">
              <w:rPr>
                <w:rStyle w:val="Hyperlink"/>
              </w:rPr>
              <w:t>Text alternative for Figure B-3</w:t>
            </w:r>
            <w:r w:rsidR="00C25F89">
              <w:rPr>
                <w:webHidden/>
              </w:rPr>
              <w:tab/>
            </w:r>
            <w:r w:rsidR="00C25F89">
              <w:rPr>
                <w:webHidden/>
              </w:rPr>
              <w:fldChar w:fldCharType="begin"/>
            </w:r>
            <w:r w:rsidR="00C25F89">
              <w:rPr>
                <w:webHidden/>
              </w:rPr>
              <w:instrText xml:space="preserve"> PAGEREF _Toc117758363 \h </w:instrText>
            </w:r>
            <w:r w:rsidR="00C25F89">
              <w:rPr>
                <w:webHidden/>
              </w:rPr>
            </w:r>
            <w:r w:rsidR="00C25F89">
              <w:rPr>
                <w:webHidden/>
              </w:rPr>
              <w:fldChar w:fldCharType="separate"/>
            </w:r>
            <w:r w:rsidR="00C25F89">
              <w:rPr>
                <w:webHidden/>
              </w:rPr>
              <w:t>154</w:t>
            </w:r>
            <w:r w:rsidR="00C25F89">
              <w:rPr>
                <w:webHidden/>
              </w:rPr>
              <w:fldChar w:fldCharType="end"/>
            </w:r>
          </w:hyperlink>
        </w:p>
        <w:p w14:paraId="043A1FBC" w14:textId="2C4729F0" w:rsidR="00C25F89" w:rsidRDefault="00612340">
          <w:pPr>
            <w:pStyle w:val="TOC2"/>
            <w:tabs>
              <w:tab w:val="left" w:pos="1418"/>
            </w:tabs>
            <w:rPr>
              <w:rFonts w:asciiTheme="minorHAnsi" w:eastAsiaTheme="minorEastAsia" w:hAnsiTheme="minorHAnsi" w:cstheme="minorBidi"/>
            </w:rPr>
          </w:pPr>
          <w:hyperlink w:anchor="_Toc117758364" w:history="1">
            <w:r w:rsidR="00C25F89" w:rsidRPr="00D40579">
              <w:rPr>
                <w:rStyle w:val="Hyperlink"/>
              </w:rPr>
              <w:t>I.7.</w:t>
            </w:r>
            <w:r w:rsidR="00C25F89">
              <w:rPr>
                <w:rFonts w:asciiTheme="minorHAnsi" w:eastAsiaTheme="minorEastAsia" w:hAnsiTheme="minorHAnsi" w:cstheme="minorBidi"/>
              </w:rPr>
              <w:tab/>
            </w:r>
            <w:r w:rsidR="00C25F89" w:rsidRPr="00D40579">
              <w:rPr>
                <w:rStyle w:val="Hyperlink"/>
              </w:rPr>
              <w:t>Text alternative for Figure B-4</w:t>
            </w:r>
            <w:r w:rsidR="00C25F89">
              <w:rPr>
                <w:webHidden/>
              </w:rPr>
              <w:tab/>
            </w:r>
            <w:r w:rsidR="00C25F89">
              <w:rPr>
                <w:webHidden/>
              </w:rPr>
              <w:fldChar w:fldCharType="begin"/>
            </w:r>
            <w:r w:rsidR="00C25F89">
              <w:rPr>
                <w:webHidden/>
              </w:rPr>
              <w:instrText xml:space="preserve"> PAGEREF _Toc117758364 \h </w:instrText>
            </w:r>
            <w:r w:rsidR="00C25F89">
              <w:rPr>
                <w:webHidden/>
              </w:rPr>
            </w:r>
            <w:r w:rsidR="00C25F89">
              <w:rPr>
                <w:webHidden/>
              </w:rPr>
              <w:fldChar w:fldCharType="separate"/>
            </w:r>
            <w:r w:rsidR="00C25F89">
              <w:rPr>
                <w:webHidden/>
              </w:rPr>
              <w:t>155</w:t>
            </w:r>
            <w:r w:rsidR="00C25F89">
              <w:rPr>
                <w:webHidden/>
              </w:rPr>
              <w:fldChar w:fldCharType="end"/>
            </w:r>
          </w:hyperlink>
        </w:p>
        <w:p w14:paraId="44E0204D" w14:textId="1B78E44F" w:rsidR="00C25F89" w:rsidRDefault="00612340">
          <w:pPr>
            <w:pStyle w:val="TOC2"/>
            <w:tabs>
              <w:tab w:val="left" w:pos="1418"/>
            </w:tabs>
            <w:rPr>
              <w:rFonts w:asciiTheme="minorHAnsi" w:eastAsiaTheme="minorEastAsia" w:hAnsiTheme="minorHAnsi" w:cstheme="minorBidi"/>
            </w:rPr>
          </w:pPr>
          <w:hyperlink w:anchor="_Toc117758365" w:history="1">
            <w:r w:rsidR="00C25F89" w:rsidRPr="00D40579">
              <w:rPr>
                <w:rStyle w:val="Hyperlink"/>
              </w:rPr>
              <w:t>I.8.</w:t>
            </w:r>
            <w:r w:rsidR="00C25F89">
              <w:rPr>
                <w:rFonts w:asciiTheme="minorHAnsi" w:eastAsiaTheme="minorEastAsia" w:hAnsiTheme="minorHAnsi" w:cstheme="minorBidi"/>
              </w:rPr>
              <w:tab/>
            </w:r>
            <w:r w:rsidR="00C25F89" w:rsidRPr="00D40579">
              <w:rPr>
                <w:rStyle w:val="Hyperlink"/>
              </w:rPr>
              <w:t>Text alternative for Figure B-5</w:t>
            </w:r>
            <w:r w:rsidR="00C25F89">
              <w:rPr>
                <w:webHidden/>
              </w:rPr>
              <w:tab/>
            </w:r>
            <w:r w:rsidR="00C25F89">
              <w:rPr>
                <w:webHidden/>
              </w:rPr>
              <w:fldChar w:fldCharType="begin"/>
            </w:r>
            <w:r w:rsidR="00C25F89">
              <w:rPr>
                <w:webHidden/>
              </w:rPr>
              <w:instrText xml:space="preserve"> PAGEREF _Toc117758365 \h </w:instrText>
            </w:r>
            <w:r w:rsidR="00C25F89">
              <w:rPr>
                <w:webHidden/>
              </w:rPr>
            </w:r>
            <w:r w:rsidR="00C25F89">
              <w:rPr>
                <w:webHidden/>
              </w:rPr>
              <w:fldChar w:fldCharType="separate"/>
            </w:r>
            <w:r w:rsidR="00C25F89">
              <w:rPr>
                <w:webHidden/>
              </w:rPr>
              <w:t>155</w:t>
            </w:r>
            <w:r w:rsidR="00C25F89">
              <w:rPr>
                <w:webHidden/>
              </w:rPr>
              <w:fldChar w:fldCharType="end"/>
            </w:r>
          </w:hyperlink>
        </w:p>
        <w:p w14:paraId="6543FBDE" w14:textId="076222E2" w:rsidR="00C25F89" w:rsidRDefault="00612340">
          <w:pPr>
            <w:pStyle w:val="TOC2"/>
            <w:tabs>
              <w:tab w:val="left" w:pos="1418"/>
            </w:tabs>
            <w:rPr>
              <w:rFonts w:asciiTheme="minorHAnsi" w:eastAsiaTheme="minorEastAsia" w:hAnsiTheme="minorHAnsi" w:cstheme="minorBidi"/>
            </w:rPr>
          </w:pPr>
          <w:hyperlink w:anchor="_Toc117758366" w:history="1">
            <w:r w:rsidR="00C25F89" w:rsidRPr="00D40579">
              <w:rPr>
                <w:rStyle w:val="Hyperlink"/>
              </w:rPr>
              <w:t>I.9.</w:t>
            </w:r>
            <w:r w:rsidR="00C25F89">
              <w:rPr>
                <w:rFonts w:asciiTheme="minorHAnsi" w:eastAsiaTheme="minorEastAsia" w:hAnsiTheme="minorHAnsi" w:cstheme="minorBidi"/>
              </w:rPr>
              <w:tab/>
            </w:r>
            <w:r w:rsidR="00C25F89" w:rsidRPr="00D40579">
              <w:rPr>
                <w:rStyle w:val="Hyperlink"/>
              </w:rPr>
              <w:t>Alternative text for figures</w:t>
            </w:r>
            <w:r w:rsidR="00C25F89">
              <w:rPr>
                <w:webHidden/>
              </w:rPr>
              <w:tab/>
            </w:r>
            <w:r w:rsidR="00C25F89">
              <w:rPr>
                <w:webHidden/>
              </w:rPr>
              <w:fldChar w:fldCharType="begin"/>
            </w:r>
            <w:r w:rsidR="00C25F89">
              <w:rPr>
                <w:webHidden/>
              </w:rPr>
              <w:instrText xml:space="preserve"> PAGEREF _Toc117758366 \h </w:instrText>
            </w:r>
            <w:r w:rsidR="00C25F89">
              <w:rPr>
                <w:webHidden/>
              </w:rPr>
            </w:r>
            <w:r w:rsidR="00C25F89">
              <w:rPr>
                <w:webHidden/>
              </w:rPr>
              <w:fldChar w:fldCharType="separate"/>
            </w:r>
            <w:r w:rsidR="00C25F89">
              <w:rPr>
                <w:webHidden/>
              </w:rPr>
              <w:t>156</w:t>
            </w:r>
            <w:r w:rsidR="00C25F89">
              <w:rPr>
                <w:webHidden/>
              </w:rPr>
              <w:fldChar w:fldCharType="end"/>
            </w:r>
          </w:hyperlink>
        </w:p>
        <w:p w14:paraId="7C2261F1" w14:textId="023E987E" w:rsidR="00C25F89" w:rsidRDefault="00612340">
          <w:pPr>
            <w:pStyle w:val="TOC2"/>
            <w:tabs>
              <w:tab w:val="left" w:pos="1540"/>
            </w:tabs>
            <w:rPr>
              <w:rFonts w:asciiTheme="minorHAnsi" w:eastAsiaTheme="minorEastAsia" w:hAnsiTheme="minorHAnsi" w:cstheme="minorBidi"/>
            </w:rPr>
          </w:pPr>
          <w:hyperlink w:anchor="_Toc117758367" w:history="1">
            <w:r w:rsidR="00C25F89" w:rsidRPr="00D40579">
              <w:rPr>
                <w:rStyle w:val="Hyperlink"/>
              </w:rPr>
              <w:t>I.10.</w:t>
            </w:r>
            <w:r w:rsidR="00C25F89">
              <w:rPr>
                <w:rFonts w:asciiTheme="minorHAnsi" w:eastAsiaTheme="minorEastAsia" w:hAnsiTheme="minorHAnsi" w:cstheme="minorBidi"/>
              </w:rPr>
              <w:tab/>
            </w:r>
            <w:r w:rsidR="00C25F89" w:rsidRPr="00D40579">
              <w:rPr>
                <w:rStyle w:val="Hyperlink"/>
              </w:rPr>
              <w:t>Text alternative for Figure B-6a</w:t>
            </w:r>
            <w:r w:rsidR="00C25F89">
              <w:rPr>
                <w:webHidden/>
              </w:rPr>
              <w:tab/>
            </w:r>
            <w:r w:rsidR="00C25F89">
              <w:rPr>
                <w:webHidden/>
              </w:rPr>
              <w:fldChar w:fldCharType="begin"/>
            </w:r>
            <w:r w:rsidR="00C25F89">
              <w:rPr>
                <w:webHidden/>
              </w:rPr>
              <w:instrText xml:space="preserve"> PAGEREF _Toc117758367 \h </w:instrText>
            </w:r>
            <w:r w:rsidR="00C25F89">
              <w:rPr>
                <w:webHidden/>
              </w:rPr>
            </w:r>
            <w:r w:rsidR="00C25F89">
              <w:rPr>
                <w:webHidden/>
              </w:rPr>
              <w:fldChar w:fldCharType="separate"/>
            </w:r>
            <w:r w:rsidR="00C25F89">
              <w:rPr>
                <w:webHidden/>
              </w:rPr>
              <w:t>156</w:t>
            </w:r>
            <w:r w:rsidR="00C25F89">
              <w:rPr>
                <w:webHidden/>
              </w:rPr>
              <w:fldChar w:fldCharType="end"/>
            </w:r>
          </w:hyperlink>
        </w:p>
        <w:p w14:paraId="4E1442C7" w14:textId="074FDED3" w:rsidR="00C25F89" w:rsidRDefault="00612340">
          <w:pPr>
            <w:pStyle w:val="TOC2"/>
            <w:tabs>
              <w:tab w:val="left" w:pos="1540"/>
            </w:tabs>
            <w:rPr>
              <w:rFonts w:asciiTheme="minorHAnsi" w:eastAsiaTheme="minorEastAsia" w:hAnsiTheme="minorHAnsi" w:cstheme="minorBidi"/>
            </w:rPr>
          </w:pPr>
          <w:hyperlink w:anchor="_Toc117758368" w:history="1">
            <w:r w:rsidR="00C25F89" w:rsidRPr="00D40579">
              <w:rPr>
                <w:rStyle w:val="Hyperlink"/>
              </w:rPr>
              <w:t>I.11.</w:t>
            </w:r>
            <w:r w:rsidR="00C25F89">
              <w:rPr>
                <w:rFonts w:asciiTheme="minorHAnsi" w:eastAsiaTheme="minorEastAsia" w:hAnsiTheme="minorHAnsi" w:cstheme="minorBidi"/>
              </w:rPr>
              <w:tab/>
            </w:r>
            <w:r w:rsidR="00C25F89" w:rsidRPr="00D40579">
              <w:rPr>
                <w:rStyle w:val="Hyperlink"/>
              </w:rPr>
              <w:t>Text alternative for Figures B-7 and B-8</w:t>
            </w:r>
            <w:r w:rsidR="00C25F89">
              <w:rPr>
                <w:webHidden/>
              </w:rPr>
              <w:tab/>
            </w:r>
            <w:r w:rsidR="00C25F89">
              <w:rPr>
                <w:webHidden/>
              </w:rPr>
              <w:fldChar w:fldCharType="begin"/>
            </w:r>
            <w:r w:rsidR="00C25F89">
              <w:rPr>
                <w:webHidden/>
              </w:rPr>
              <w:instrText xml:space="preserve"> PAGEREF _Toc117758368 \h </w:instrText>
            </w:r>
            <w:r w:rsidR="00C25F89">
              <w:rPr>
                <w:webHidden/>
              </w:rPr>
            </w:r>
            <w:r w:rsidR="00C25F89">
              <w:rPr>
                <w:webHidden/>
              </w:rPr>
              <w:fldChar w:fldCharType="separate"/>
            </w:r>
            <w:r w:rsidR="00C25F89">
              <w:rPr>
                <w:webHidden/>
              </w:rPr>
              <w:t>157</w:t>
            </w:r>
            <w:r w:rsidR="00C25F89">
              <w:rPr>
                <w:webHidden/>
              </w:rPr>
              <w:fldChar w:fldCharType="end"/>
            </w:r>
          </w:hyperlink>
        </w:p>
        <w:p w14:paraId="7A52993E" w14:textId="65013B03" w:rsidR="00C25F89" w:rsidRDefault="00612340">
          <w:pPr>
            <w:pStyle w:val="TOC3"/>
            <w:rPr>
              <w:rFonts w:asciiTheme="minorHAnsi" w:eastAsiaTheme="minorEastAsia" w:hAnsiTheme="minorHAnsi" w:cstheme="minorBidi"/>
            </w:rPr>
          </w:pPr>
          <w:hyperlink w:anchor="_Toc117758369" w:history="1">
            <w:r w:rsidR="00C25F89" w:rsidRPr="00D40579">
              <w:rPr>
                <w:rStyle w:val="Hyperlink"/>
              </w:rPr>
              <w:t>Text alternative for Figure B7</w:t>
            </w:r>
            <w:r w:rsidR="00C25F89">
              <w:rPr>
                <w:webHidden/>
              </w:rPr>
              <w:tab/>
            </w:r>
            <w:r w:rsidR="00C25F89">
              <w:rPr>
                <w:webHidden/>
              </w:rPr>
              <w:fldChar w:fldCharType="begin"/>
            </w:r>
            <w:r w:rsidR="00C25F89">
              <w:rPr>
                <w:webHidden/>
              </w:rPr>
              <w:instrText xml:space="preserve"> PAGEREF _Toc117758369 \h </w:instrText>
            </w:r>
            <w:r w:rsidR="00C25F89">
              <w:rPr>
                <w:webHidden/>
              </w:rPr>
            </w:r>
            <w:r w:rsidR="00C25F89">
              <w:rPr>
                <w:webHidden/>
              </w:rPr>
              <w:fldChar w:fldCharType="separate"/>
            </w:r>
            <w:r w:rsidR="00C25F89">
              <w:rPr>
                <w:webHidden/>
              </w:rPr>
              <w:t>157</w:t>
            </w:r>
            <w:r w:rsidR="00C25F89">
              <w:rPr>
                <w:webHidden/>
              </w:rPr>
              <w:fldChar w:fldCharType="end"/>
            </w:r>
          </w:hyperlink>
        </w:p>
        <w:p w14:paraId="4DCDCE44" w14:textId="266B6D43" w:rsidR="00C25F89" w:rsidRDefault="00612340">
          <w:pPr>
            <w:pStyle w:val="TOC3"/>
            <w:rPr>
              <w:rFonts w:asciiTheme="minorHAnsi" w:eastAsiaTheme="minorEastAsia" w:hAnsiTheme="minorHAnsi" w:cstheme="minorBidi"/>
            </w:rPr>
          </w:pPr>
          <w:hyperlink w:anchor="_Toc117758370" w:history="1">
            <w:r w:rsidR="00C25F89" w:rsidRPr="00D40579">
              <w:rPr>
                <w:rStyle w:val="Hyperlink"/>
              </w:rPr>
              <w:t>Text alternative for Figure B-8</w:t>
            </w:r>
            <w:r w:rsidR="00C25F89">
              <w:rPr>
                <w:webHidden/>
              </w:rPr>
              <w:tab/>
            </w:r>
            <w:r w:rsidR="00C25F89">
              <w:rPr>
                <w:webHidden/>
              </w:rPr>
              <w:fldChar w:fldCharType="begin"/>
            </w:r>
            <w:r w:rsidR="00C25F89">
              <w:rPr>
                <w:webHidden/>
              </w:rPr>
              <w:instrText xml:space="preserve"> PAGEREF _Toc117758370 \h </w:instrText>
            </w:r>
            <w:r w:rsidR="00C25F89">
              <w:rPr>
                <w:webHidden/>
              </w:rPr>
            </w:r>
            <w:r w:rsidR="00C25F89">
              <w:rPr>
                <w:webHidden/>
              </w:rPr>
              <w:fldChar w:fldCharType="separate"/>
            </w:r>
            <w:r w:rsidR="00C25F89">
              <w:rPr>
                <w:webHidden/>
              </w:rPr>
              <w:t>158</w:t>
            </w:r>
            <w:r w:rsidR="00C25F89">
              <w:rPr>
                <w:webHidden/>
              </w:rPr>
              <w:fldChar w:fldCharType="end"/>
            </w:r>
          </w:hyperlink>
        </w:p>
        <w:p w14:paraId="6B6EF286" w14:textId="205115F6" w:rsidR="00C25F89" w:rsidRDefault="00612340">
          <w:pPr>
            <w:pStyle w:val="TOC2"/>
            <w:tabs>
              <w:tab w:val="left" w:pos="1540"/>
            </w:tabs>
            <w:rPr>
              <w:rFonts w:asciiTheme="minorHAnsi" w:eastAsiaTheme="minorEastAsia" w:hAnsiTheme="minorHAnsi" w:cstheme="minorBidi"/>
            </w:rPr>
          </w:pPr>
          <w:hyperlink w:anchor="_Toc117758371" w:history="1">
            <w:r w:rsidR="00C25F89" w:rsidRPr="00D40579">
              <w:rPr>
                <w:rStyle w:val="Hyperlink"/>
              </w:rPr>
              <w:t>I.12.</w:t>
            </w:r>
            <w:r w:rsidR="00C25F89">
              <w:rPr>
                <w:rFonts w:asciiTheme="minorHAnsi" w:eastAsiaTheme="minorEastAsia" w:hAnsiTheme="minorHAnsi" w:cstheme="minorBidi"/>
              </w:rPr>
              <w:tab/>
            </w:r>
            <w:r w:rsidR="00C25F89" w:rsidRPr="00D40579">
              <w:rPr>
                <w:rStyle w:val="Hyperlink"/>
              </w:rPr>
              <w:t>Text alternative for Figure B-9</w:t>
            </w:r>
            <w:r w:rsidR="00C25F89">
              <w:rPr>
                <w:webHidden/>
              </w:rPr>
              <w:tab/>
            </w:r>
            <w:r w:rsidR="00C25F89">
              <w:rPr>
                <w:webHidden/>
              </w:rPr>
              <w:fldChar w:fldCharType="begin"/>
            </w:r>
            <w:r w:rsidR="00C25F89">
              <w:rPr>
                <w:webHidden/>
              </w:rPr>
              <w:instrText xml:space="preserve"> PAGEREF _Toc117758371 \h </w:instrText>
            </w:r>
            <w:r w:rsidR="00C25F89">
              <w:rPr>
                <w:webHidden/>
              </w:rPr>
            </w:r>
            <w:r w:rsidR="00C25F89">
              <w:rPr>
                <w:webHidden/>
              </w:rPr>
              <w:fldChar w:fldCharType="separate"/>
            </w:r>
            <w:r w:rsidR="00C25F89">
              <w:rPr>
                <w:webHidden/>
              </w:rPr>
              <w:t>158</w:t>
            </w:r>
            <w:r w:rsidR="00C25F89">
              <w:rPr>
                <w:webHidden/>
              </w:rPr>
              <w:fldChar w:fldCharType="end"/>
            </w:r>
          </w:hyperlink>
        </w:p>
        <w:p w14:paraId="1A5AE722" w14:textId="40907EEF" w:rsidR="00C25F89" w:rsidRDefault="00612340">
          <w:pPr>
            <w:pStyle w:val="TOC2"/>
            <w:tabs>
              <w:tab w:val="left" w:pos="1540"/>
            </w:tabs>
            <w:rPr>
              <w:rFonts w:asciiTheme="minorHAnsi" w:eastAsiaTheme="minorEastAsia" w:hAnsiTheme="minorHAnsi" w:cstheme="minorBidi"/>
            </w:rPr>
          </w:pPr>
          <w:hyperlink w:anchor="_Toc117758372" w:history="1">
            <w:r w:rsidR="00C25F89" w:rsidRPr="00D40579">
              <w:rPr>
                <w:rStyle w:val="Hyperlink"/>
              </w:rPr>
              <w:t>I.13.</w:t>
            </w:r>
            <w:r w:rsidR="00C25F89">
              <w:rPr>
                <w:rFonts w:asciiTheme="minorHAnsi" w:eastAsiaTheme="minorEastAsia" w:hAnsiTheme="minorHAnsi" w:cstheme="minorBidi"/>
              </w:rPr>
              <w:tab/>
            </w:r>
            <w:r w:rsidR="00C25F89" w:rsidRPr="00D40579">
              <w:rPr>
                <w:rStyle w:val="Hyperlink"/>
              </w:rPr>
              <w:t>Alternative Text for Figure APP C-1</w:t>
            </w:r>
            <w:r w:rsidR="00C25F89">
              <w:rPr>
                <w:webHidden/>
              </w:rPr>
              <w:tab/>
            </w:r>
            <w:r w:rsidR="00C25F89">
              <w:rPr>
                <w:webHidden/>
              </w:rPr>
              <w:fldChar w:fldCharType="begin"/>
            </w:r>
            <w:r w:rsidR="00C25F89">
              <w:rPr>
                <w:webHidden/>
              </w:rPr>
              <w:instrText xml:space="preserve"> PAGEREF _Toc117758372 \h </w:instrText>
            </w:r>
            <w:r w:rsidR="00C25F89">
              <w:rPr>
                <w:webHidden/>
              </w:rPr>
            </w:r>
            <w:r w:rsidR="00C25F89">
              <w:rPr>
                <w:webHidden/>
              </w:rPr>
              <w:fldChar w:fldCharType="separate"/>
            </w:r>
            <w:r w:rsidR="00C25F89">
              <w:rPr>
                <w:webHidden/>
              </w:rPr>
              <w:t>159</w:t>
            </w:r>
            <w:r w:rsidR="00C25F89">
              <w:rPr>
                <w:webHidden/>
              </w:rPr>
              <w:fldChar w:fldCharType="end"/>
            </w:r>
          </w:hyperlink>
        </w:p>
        <w:p w14:paraId="2C61BEEC" w14:textId="164F5282" w:rsidR="00C25F89" w:rsidRDefault="00612340">
          <w:pPr>
            <w:pStyle w:val="TOC1"/>
            <w:rPr>
              <w:rFonts w:asciiTheme="minorHAnsi" w:eastAsiaTheme="minorEastAsia" w:hAnsiTheme="minorHAnsi" w:cstheme="minorBidi"/>
              <w:b w:val="0"/>
            </w:rPr>
          </w:pPr>
          <w:hyperlink w:anchor="_Toc117758373" w:history="1">
            <w:r w:rsidR="00C25F89" w:rsidRPr="00D40579">
              <w:rPr>
                <w:rStyle w:val="Hyperlink"/>
              </w:rPr>
              <w:t>References</w:t>
            </w:r>
            <w:r w:rsidR="00C25F89">
              <w:rPr>
                <w:webHidden/>
              </w:rPr>
              <w:tab/>
            </w:r>
            <w:r w:rsidR="00C25F89">
              <w:rPr>
                <w:webHidden/>
              </w:rPr>
              <w:fldChar w:fldCharType="begin"/>
            </w:r>
            <w:r w:rsidR="00C25F89">
              <w:rPr>
                <w:webHidden/>
              </w:rPr>
              <w:instrText xml:space="preserve"> PAGEREF _Toc117758373 \h </w:instrText>
            </w:r>
            <w:r w:rsidR="00C25F89">
              <w:rPr>
                <w:webHidden/>
              </w:rPr>
            </w:r>
            <w:r w:rsidR="00C25F89">
              <w:rPr>
                <w:webHidden/>
              </w:rPr>
              <w:fldChar w:fldCharType="separate"/>
            </w:r>
            <w:r w:rsidR="00C25F89">
              <w:rPr>
                <w:webHidden/>
              </w:rPr>
              <w:t>161</w:t>
            </w:r>
            <w:r w:rsidR="00C25F89">
              <w:rPr>
                <w:webHidden/>
              </w:rPr>
              <w:fldChar w:fldCharType="end"/>
            </w:r>
          </w:hyperlink>
        </w:p>
        <w:p w14:paraId="7070CB96" w14:textId="3CE626B9" w:rsidR="0005577A" w:rsidRDefault="0005577A" w:rsidP="007501B9">
          <w:r>
            <w:rPr>
              <w:noProof/>
            </w:rPr>
            <w:fldChar w:fldCharType="end"/>
          </w:r>
        </w:p>
      </w:sdtContent>
    </w:sdt>
    <w:p w14:paraId="40946E92" w14:textId="23EC68F9" w:rsidR="008F59A8" w:rsidRPr="00047426" w:rsidRDefault="008F59A8" w:rsidP="00897C5B">
      <w:pPr>
        <w:pStyle w:val="Heading2"/>
      </w:pPr>
      <w:r w:rsidRPr="00047426">
        <w:br w:type="page"/>
      </w:r>
      <w:bookmarkStart w:id="18" w:name="_Toc381796425"/>
      <w:bookmarkStart w:id="19" w:name="_Toc395200736"/>
      <w:bookmarkStart w:id="20" w:name="_Toc399247191"/>
      <w:bookmarkStart w:id="21" w:name="_Toc402884710"/>
      <w:bookmarkStart w:id="22" w:name="_Toc117758206"/>
      <w:r w:rsidRPr="00047426">
        <w:lastRenderedPageBreak/>
        <w:t>Tables</w:t>
      </w:r>
      <w:bookmarkEnd w:id="18"/>
      <w:bookmarkEnd w:id="19"/>
      <w:bookmarkEnd w:id="20"/>
      <w:bookmarkEnd w:id="21"/>
      <w:bookmarkEnd w:id="22"/>
    </w:p>
    <w:p w14:paraId="6D191E85" w14:textId="47CB4687" w:rsidR="00CD590F" w:rsidRDefault="00CD590F" w:rsidP="007501B9">
      <w:pPr>
        <w:pStyle w:val="TableofFigures"/>
        <w:rPr>
          <w:rStyle w:val="Hyperlink"/>
          <w:color w:val="auto"/>
          <w:u w:val="none"/>
        </w:rPr>
      </w:pPr>
      <w:bookmarkStart w:id="23" w:name="_Toc381796426"/>
      <w:bookmarkStart w:id="24" w:name="_Toc395200737"/>
      <w:bookmarkStart w:id="25" w:name="_Toc399247192"/>
      <w:bookmarkStart w:id="26" w:name="_Toc402884711"/>
      <w:r>
        <w:rPr>
          <w:rStyle w:val="Hyperlink"/>
          <w:color w:val="auto"/>
          <w:u w:val="none"/>
        </w:rPr>
        <w:t>ES-1</w:t>
      </w:r>
      <w:r w:rsidR="001F479F">
        <w:rPr>
          <w:rStyle w:val="Hyperlink"/>
          <w:color w:val="auto"/>
          <w:u w:val="none"/>
        </w:rPr>
        <w:tab/>
      </w:r>
      <w:r w:rsidR="001F479F" w:rsidRPr="001F479F">
        <w:rPr>
          <w:rStyle w:val="Hyperlink"/>
          <w:color w:val="auto"/>
          <w:u w:val="none"/>
        </w:rPr>
        <w:t>Average healthcare costs per patient over 12 months for each study arm (adjusted trial-based cost analysis): base case</w:t>
      </w:r>
      <w:r w:rsidR="001F479F">
        <w:rPr>
          <w:rStyle w:val="Hyperlink"/>
          <w:color w:val="auto"/>
          <w:u w:val="none"/>
        </w:rPr>
        <w:t>………………………………</w:t>
      </w:r>
      <w:r w:rsidR="001F479F">
        <w:rPr>
          <w:rStyle w:val="Hyperlink"/>
          <w:color w:val="auto"/>
          <w:u w:val="none"/>
        </w:rPr>
        <w:tab/>
        <w:t>……1</w:t>
      </w:r>
      <w:r w:rsidR="006D1719">
        <w:rPr>
          <w:rStyle w:val="Hyperlink"/>
          <w:color w:val="auto"/>
          <w:u w:val="none"/>
        </w:rPr>
        <w:t>5</w:t>
      </w:r>
    </w:p>
    <w:p w14:paraId="0E8C5471" w14:textId="1F3B00FF" w:rsidR="00CD590F" w:rsidRDefault="00CD590F" w:rsidP="007501B9">
      <w:pPr>
        <w:pStyle w:val="TableofFigures"/>
        <w:rPr>
          <w:rStyle w:val="Hyperlink"/>
          <w:color w:val="auto"/>
          <w:u w:val="none"/>
        </w:rPr>
      </w:pPr>
      <w:r>
        <w:rPr>
          <w:rStyle w:val="Hyperlink"/>
          <w:color w:val="auto"/>
          <w:u w:val="none"/>
        </w:rPr>
        <w:t>ES-2</w:t>
      </w:r>
      <w:r w:rsidR="001F479F">
        <w:rPr>
          <w:rStyle w:val="Hyperlink"/>
          <w:color w:val="auto"/>
          <w:u w:val="none"/>
        </w:rPr>
        <w:tab/>
      </w:r>
      <w:r w:rsidR="001F479F" w:rsidRPr="001F479F">
        <w:rPr>
          <w:rStyle w:val="Hyperlink"/>
          <w:color w:val="auto"/>
          <w:u w:val="none"/>
        </w:rPr>
        <w:t>Projected people in residential aged care who would be eligible for the proposed pharmacist review over five years</w:t>
      </w:r>
      <w:r w:rsidR="001F479F">
        <w:rPr>
          <w:rStyle w:val="Hyperlink"/>
          <w:color w:val="auto"/>
          <w:u w:val="none"/>
        </w:rPr>
        <w:t xml:space="preserve"> …………………………</w:t>
      </w:r>
      <w:r w:rsidR="001F479F">
        <w:rPr>
          <w:rStyle w:val="Hyperlink"/>
          <w:color w:val="auto"/>
          <w:u w:val="none"/>
        </w:rPr>
        <w:tab/>
        <w:t>1</w:t>
      </w:r>
      <w:r w:rsidR="00E80C8F">
        <w:rPr>
          <w:rStyle w:val="Hyperlink"/>
          <w:color w:val="auto"/>
          <w:u w:val="none"/>
        </w:rPr>
        <w:t>5</w:t>
      </w:r>
    </w:p>
    <w:p w14:paraId="26B0105D" w14:textId="5E901FAF" w:rsidR="006D1719" w:rsidRDefault="007F64AF" w:rsidP="007501B9">
      <w:pPr>
        <w:pStyle w:val="TableofFigures"/>
        <w:rPr>
          <w:rStyle w:val="Hyperlink"/>
          <w:color w:val="auto"/>
          <w:u w:val="none"/>
        </w:rPr>
      </w:pPr>
      <w:r w:rsidRPr="00047426">
        <w:rPr>
          <w:rStyle w:val="Hyperlink"/>
          <w:color w:val="auto"/>
          <w:u w:val="none"/>
        </w:rPr>
        <w:t>B-1</w:t>
      </w:r>
      <w:r w:rsidRPr="00047426">
        <w:rPr>
          <w:rStyle w:val="Hyperlink"/>
          <w:color w:val="auto"/>
          <w:u w:val="none"/>
        </w:rPr>
        <w:tab/>
      </w:r>
      <w:r w:rsidR="006D1719">
        <w:rPr>
          <w:rStyle w:val="Hyperlink"/>
          <w:color w:val="auto"/>
          <w:u w:val="none"/>
        </w:rPr>
        <w:t xml:space="preserve">Search terms used </w:t>
      </w:r>
      <w:r w:rsidR="00D655B3">
        <w:rPr>
          <w:rStyle w:val="Hyperlink"/>
          <w:color w:val="auto"/>
          <w:u w:val="none"/>
        </w:rPr>
        <w:t>(lite</w:t>
      </w:r>
      <w:r w:rsidR="006D1719">
        <w:rPr>
          <w:rStyle w:val="Hyperlink"/>
          <w:color w:val="auto"/>
          <w:u w:val="none"/>
        </w:rPr>
        <w:t>rature seasrch platform)..</w:t>
      </w:r>
      <w:r w:rsidR="006D1719">
        <w:rPr>
          <w:rStyle w:val="Hyperlink"/>
          <w:color w:val="auto"/>
          <w:u w:val="none"/>
        </w:rPr>
        <w:tab/>
        <w:t>24</w:t>
      </w:r>
    </w:p>
    <w:p w14:paraId="3556F9ED" w14:textId="6AEDA818" w:rsidR="007F64AF" w:rsidRPr="00047426" w:rsidRDefault="006D1719" w:rsidP="007501B9">
      <w:pPr>
        <w:pStyle w:val="TableofFigures"/>
        <w:rPr>
          <w:rStyle w:val="Hyperlink"/>
          <w:color w:val="auto"/>
          <w:u w:val="none"/>
        </w:rPr>
      </w:pPr>
      <w:r>
        <w:rPr>
          <w:rStyle w:val="Hyperlink"/>
          <w:color w:val="auto"/>
          <w:u w:val="none"/>
        </w:rPr>
        <w:t>B-2</w:t>
      </w:r>
      <w:r>
        <w:rPr>
          <w:rStyle w:val="Hyperlink"/>
          <w:color w:val="auto"/>
          <w:u w:val="none"/>
        </w:rPr>
        <w:tab/>
      </w:r>
      <w:r w:rsidR="007F64AF" w:rsidRPr="00047426">
        <w:rPr>
          <w:rStyle w:val="Hyperlink"/>
          <w:color w:val="auto"/>
          <w:u w:val="none"/>
        </w:rPr>
        <w:t xml:space="preserve">Assessment and pharmacist service schedule. </w:t>
      </w:r>
      <w:r w:rsidR="007F64AF" w:rsidRPr="00047426">
        <w:rPr>
          <w:rStyle w:val="Hyperlink"/>
          <w:color w:val="auto"/>
          <w:u w:val="none"/>
        </w:rPr>
        <w:tab/>
        <w:t>3</w:t>
      </w:r>
      <w:r w:rsidR="00E80C8F">
        <w:rPr>
          <w:rStyle w:val="Hyperlink"/>
          <w:color w:val="auto"/>
          <w:u w:val="none"/>
        </w:rPr>
        <w:t>6</w:t>
      </w:r>
    </w:p>
    <w:p w14:paraId="0B958F9B" w14:textId="23D69FA3" w:rsidR="006D1719" w:rsidRPr="006D1719" w:rsidRDefault="007F64AF" w:rsidP="007501B9">
      <w:pPr>
        <w:pStyle w:val="TableofFigures"/>
      </w:pPr>
      <w:r w:rsidRPr="00047426">
        <w:rPr>
          <w:rStyle w:val="Hyperlink"/>
          <w:color w:val="auto"/>
          <w:u w:val="none"/>
        </w:rPr>
        <w:t>B-</w:t>
      </w:r>
      <w:r w:rsidR="006D1719">
        <w:rPr>
          <w:rStyle w:val="Hyperlink"/>
          <w:color w:val="auto"/>
          <w:u w:val="none"/>
        </w:rPr>
        <w:t>3</w:t>
      </w:r>
      <w:r w:rsidRPr="00047426">
        <w:rPr>
          <w:rStyle w:val="Hyperlink"/>
          <w:color w:val="auto"/>
          <w:u w:val="none"/>
        </w:rPr>
        <w:tab/>
        <w:t>Assessment of risk</w:t>
      </w:r>
      <w:r w:rsidR="006D1719">
        <w:rPr>
          <w:rStyle w:val="Hyperlink"/>
          <w:color w:val="auto"/>
          <w:u w:val="none"/>
        </w:rPr>
        <w:t xml:space="preserve"> of bias for ReMInDAR </w:t>
      </w:r>
      <w:r w:rsidR="00E80C8F">
        <w:rPr>
          <w:rStyle w:val="Hyperlink"/>
          <w:color w:val="auto"/>
          <w:u w:val="none"/>
        </w:rPr>
        <w:t xml:space="preserve">trial. </w:t>
      </w:r>
      <w:r w:rsidR="00E80C8F">
        <w:rPr>
          <w:rStyle w:val="Hyperlink"/>
          <w:color w:val="auto"/>
          <w:u w:val="none"/>
        </w:rPr>
        <w:tab/>
        <w:t>39</w:t>
      </w:r>
    </w:p>
    <w:p w14:paraId="7499BDE5" w14:textId="7B4D5A53" w:rsidR="006D1719" w:rsidRPr="006D1719" w:rsidRDefault="007F64AF" w:rsidP="007501B9">
      <w:pPr>
        <w:pStyle w:val="TableofFigures"/>
      </w:pPr>
      <w:r w:rsidRPr="00047426">
        <w:rPr>
          <w:rStyle w:val="Hyperlink"/>
          <w:color w:val="auto"/>
          <w:u w:val="none"/>
        </w:rPr>
        <w:t>B-</w:t>
      </w:r>
      <w:r w:rsidR="006D1719">
        <w:rPr>
          <w:rStyle w:val="Hyperlink"/>
          <w:color w:val="auto"/>
          <w:u w:val="none"/>
        </w:rPr>
        <w:t>4</w:t>
      </w:r>
      <w:r w:rsidRPr="00047426">
        <w:rPr>
          <w:rStyle w:val="Hyperlink"/>
          <w:color w:val="auto"/>
          <w:u w:val="none"/>
        </w:rPr>
        <w:tab/>
        <w:t xml:space="preserve">Characteristics of residential aged care facilities and resident </w:t>
      </w:r>
      <w:r w:rsidRPr="00C0471A">
        <w:rPr>
          <w:rStyle w:val="Hyperlink"/>
          <w:color w:val="auto"/>
          <w:u w:val="none"/>
        </w:rPr>
        <w:t>populations in the 39</w:t>
      </w:r>
      <w:r w:rsidR="006D1719">
        <w:rPr>
          <w:rStyle w:val="Hyperlink"/>
          <w:color w:val="auto"/>
          <w:u w:val="none"/>
        </w:rPr>
        <w:t xml:space="preserve"> ReMInDAR trial RACF sites</w:t>
      </w:r>
      <w:r w:rsidR="007501B9">
        <w:rPr>
          <w:rStyle w:val="Hyperlink"/>
          <w:color w:val="auto"/>
          <w:u w:val="none"/>
        </w:rPr>
        <w:t xml:space="preserve">. </w:t>
      </w:r>
      <w:r w:rsidR="006D1719">
        <w:rPr>
          <w:rStyle w:val="Hyperlink"/>
          <w:color w:val="auto"/>
          <w:u w:val="none"/>
        </w:rPr>
        <w:tab/>
        <w:t>4</w:t>
      </w:r>
      <w:r w:rsidR="00E80C8F">
        <w:rPr>
          <w:rStyle w:val="Hyperlink"/>
          <w:color w:val="auto"/>
          <w:u w:val="none"/>
        </w:rPr>
        <w:t>0</w:t>
      </w:r>
    </w:p>
    <w:p w14:paraId="672D55C1" w14:textId="7F7094A4" w:rsidR="000F3E39" w:rsidRPr="00C0471A" w:rsidRDefault="000F3E39" w:rsidP="007501B9">
      <w:pPr>
        <w:pStyle w:val="TableofFigures"/>
      </w:pPr>
      <w:r w:rsidRPr="00C0471A">
        <w:t>B-5a</w:t>
      </w:r>
      <w:r w:rsidRPr="00C0471A">
        <w:tab/>
        <w:t>ReMInDAR baseline cohort, clinical descriptors for participants by intervention arm.</w:t>
      </w:r>
      <w:r w:rsidRPr="00C0471A">
        <w:tab/>
        <w:t>4</w:t>
      </w:r>
      <w:r w:rsidR="00E80C8F">
        <w:t>3</w:t>
      </w:r>
    </w:p>
    <w:p w14:paraId="33D3E2AE" w14:textId="42B91AF3" w:rsidR="006D1719" w:rsidRPr="00C0471A" w:rsidRDefault="000F3E39" w:rsidP="007501B9">
      <w:pPr>
        <w:pStyle w:val="TableofFigures"/>
      </w:pPr>
      <w:r w:rsidRPr="00C0471A">
        <w:t>B-5b</w:t>
      </w:r>
      <w:r w:rsidRPr="00C0471A">
        <w:tab/>
        <w:t>ReMInDAR baseline cohort, medicine descriptors for participants by intervention arm…..</w:t>
      </w:r>
      <w:r w:rsidRPr="00C0471A">
        <w:tab/>
      </w:r>
      <w:r w:rsidR="006D1719">
        <w:t>4</w:t>
      </w:r>
      <w:r w:rsidR="00E80C8F">
        <w:t>4</w:t>
      </w:r>
    </w:p>
    <w:p w14:paraId="6836DC8E" w14:textId="66ADF362" w:rsidR="006D1719" w:rsidRPr="006D1719" w:rsidRDefault="00C0471A" w:rsidP="007501B9">
      <w:pPr>
        <w:pStyle w:val="TableofFigures"/>
      </w:pPr>
      <w:r w:rsidRPr="00CC6BF4">
        <w:rPr>
          <w:rStyle w:val="Hyperlink"/>
          <w:color w:val="auto"/>
          <w:u w:val="none"/>
        </w:rPr>
        <w:t>B-6</w:t>
      </w:r>
      <w:r w:rsidR="00A63D40" w:rsidRPr="00CC6BF4">
        <w:rPr>
          <w:rStyle w:val="Hyperlink"/>
          <w:color w:val="auto"/>
          <w:u w:val="none"/>
        </w:rPr>
        <w:tab/>
      </w:r>
      <w:r w:rsidR="006D1719">
        <w:rPr>
          <w:rStyle w:val="Hyperlink"/>
          <w:color w:val="auto"/>
          <w:u w:val="none"/>
        </w:rPr>
        <w:t>Proportion of persons with a problem or symptom reported at each session..</w:t>
      </w:r>
      <w:r w:rsidR="006D1719">
        <w:rPr>
          <w:rStyle w:val="Hyperlink"/>
          <w:color w:val="auto"/>
          <w:u w:val="none"/>
        </w:rPr>
        <w:tab/>
        <w:t>4</w:t>
      </w:r>
      <w:r w:rsidR="00E80C8F">
        <w:rPr>
          <w:rStyle w:val="Hyperlink"/>
          <w:color w:val="auto"/>
          <w:u w:val="none"/>
        </w:rPr>
        <w:t>6</w:t>
      </w:r>
    </w:p>
    <w:p w14:paraId="440D8AC3" w14:textId="72F6943E" w:rsidR="006D1719" w:rsidRDefault="006D1719" w:rsidP="007501B9">
      <w:pPr>
        <w:pStyle w:val="TableofFigures"/>
      </w:pPr>
      <w:r w:rsidRPr="00CC6BF4">
        <w:rPr>
          <w:rStyle w:val="Hyperlink"/>
          <w:color w:val="auto"/>
          <w:u w:val="none"/>
        </w:rPr>
        <w:t>B-7</w:t>
      </w:r>
      <w:r w:rsidRPr="00CC6BF4">
        <w:t xml:space="preserve"> </w:t>
      </w:r>
      <w:r>
        <w:tab/>
      </w:r>
      <w:r w:rsidR="00A63D40" w:rsidRPr="00CC6BF4">
        <w:rPr>
          <w:rStyle w:val="Hyperlink"/>
          <w:color w:val="auto"/>
          <w:u w:val="none"/>
        </w:rPr>
        <w:t xml:space="preserve">Frailty outcome. </w:t>
      </w:r>
      <w:r w:rsidR="00A63D40" w:rsidRPr="00CC6BF4">
        <w:rPr>
          <w:rStyle w:val="Hyperlink"/>
          <w:color w:val="auto"/>
          <w:u w:val="none"/>
        </w:rPr>
        <w:tab/>
        <w:t>5</w:t>
      </w:r>
      <w:r w:rsidR="00E80C8F">
        <w:rPr>
          <w:rStyle w:val="Hyperlink"/>
          <w:color w:val="auto"/>
          <w:u w:val="none"/>
        </w:rPr>
        <w:t>0</w:t>
      </w:r>
    </w:p>
    <w:p w14:paraId="52B5CA7A" w14:textId="7BC520A4" w:rsidR="006D1719" w:rsidRPr="006D1719" w:rsidRDefault="006D1719" w:rsidP="007501B9">
      <w:pPr>
        <w:pStyle w:val="TableofFigures"/>
      </w:pPr>
      <w:r>
        <w:t>B-8</w:t>
      </w:r>
      <w:r w:rsidR="00832854" w:rsidRPr="00CC6BF4">
        <w:tab/>
      </w:r>
      <w:r w:rsidR="00832854" w:rsidRPr="00832854">
        <w:t>Imputation of Frailty measurements after COVID-19 access restrictions…</w:t>
      </w:r>
      <w:r w:rsidR="00832854" w:rsidRPr="00832854">
        <w:tab/>
      </w:r>
      <w:r w:rsidR="00D929CA" w:rsidRPr="00CC6BF4">
        <w:t>5</w:t>
      </w:r>
      <w:r w:rsidR="00E80C8F">
        <w:t>2</w:t>
      </w:r>
    </w:p>
    <w:p w14:paraId="22BB03C8" w14:textId="2B49B263" w:rsidR="00832854" w:rsidRPr="00CC6BF4" w:rsidRDefault="00CC6BF4" w:rsidP="007501B9">
      <w:pPr>
        <w:pStyle w:val="TableofFigures"/>
      </w:pPr>
      <w:r w:rsidRPr="00CC6BF4">
        <w:t>B-</w:t>
      </w:r>
      <w:r w:rsidR="006D1719">
        <w:t>9a</w:t>
      </w:r>
      <w:r w:rsidR="00832854" w:rsidRPr="00CC6BF4">
        <w:tab/>
        <w:t xml:space="preserve">Secondary outcomes. </w:t>
      </w:r>
      <w:r w:rsidR="00832854" w:rsidRPr="00CC6BF4">
        <w:tab/>
        <w:t>5</w:t>
      </w:r>
      <w:r w:rsidR="00E80C8F">
        <w:t>4</w:t>
      </w:r>
    </w:p>
    <w:p w14:paraId="6C6F845A" w14:textId="70B460E5" w:rsidR="006D1719" w:rsidRPr="00CC6BF4" w:rsidRDefault="006D1719" w:rsidP="007501B9">
      <w:pPr>
        <w:pStyle w:val="TableofFigures"/>
      </w:pPr>
      <w:r>
        <w:t>B-9</w:t>
      </w:r>
      <w:r w:rsidR="00CC6BF4" w:rsidRPr="00CC6BF4">
        <w:t>b</w:t>
      </w:r>
      <w:r w:rsidR="00832854" w:rsidRPr="00CC6BF4">
        <w:tab/>
        <w:t>Clinical interpretation of secondary outcomes</w:t>
      </w:r>
      <w:r>
        <w:tab/>
        <w:t>5</w:t>
      </w:r>
      <w:r w:rsidR="00E80C8F">
        <w:t>4</w:t>
      </w:r>
    </w:p>
    <w:p w14:paraId="5A619D43" w14:textId="22E95DF3" w:rsidR="00AF7432" w:rsidRPr="00CC6BF4" w:rsidRDefault="00CC6BF4" w:rsidP="007501B9">
      <w:pPr>
        <w:pStyle w:val="TableofFigures"/>
        <w:rPr>
          <w:rStyle w:val="Hyperlink"/>
          <w:color w:val="auto"/>
          <w:u w:val="none"/>
        </w:rPr>
      </w:pPr>
      <w:r w:rsidRPr="00CC6BF4">
        <w:t>B-</w:t>
      </w:r>
      <w:r w:rsidR="00AF7432">
        <w:t>10</w:t>
      </w:r>
      <w:r w:rsidR="00832854" w:rsidRPr="00CC6BF4">
        <w:tab/>
        <w:t>Exploratory analyses of a 2-point MoCA decline between intervention and control arms</w:t>
      </w:r>
      <w:r w:rsidRPr="00CC6BF4">
        <w:tab/>
        <w:t>5</w:t>
      </w:r>
      <w:r w:rsidR="00E80C8F">
        <w:t>6</w:t>
      </w:r>
    </w:p>
    <w:p w14:paraId="0617F18F" w14:textId="3DB8CA95" w:rsidR="00AF7432" w:rsidRPr="00AF7432" w:rsidRDefault="00C0471A" w:rsidP="007501B9">
      <w:pPr>
        <w:pStyle w:val="TableofFigures"/>
      </w:pPr>
      <w:r>
        <w:rPr>
          <w:rStyle w:val="Hyperlink"/>
          <w:color w:val="auto"/>
          <w:u w:val="none"/>
        </w:rPr>
        <w:t>B-</w:t>
      </w:r>
      <w:r w:rsidR="00CC6BF4">
        <w:rPr>
          <w:rStyle w:val="Hyperlink"/>
          <w:color w:val="auto"/>
          <w:u w:val="none"/>
        </w:rPr>
        <w:t>1</w:t>
      </w:r>
      <w:r w:rsidR="00AF7432">
        <w:rPr>
          <w:rStyle w:val="Hyperlink"/>
          <w:color w:val="auto"/>
          <w:u w:val="none"/>
        </w:rPr>
        <w:t>1</w:t>
      </w:r>
      <w:r w:rsidR="00DB4629" w:rsidRPr="00047426">
        <w:rPr>
          <w:rStyle w:val="Hyperlink"/>
          <w:color w:val="auto"/>
          <w:u w:val="none"/>
        </w:rPr>
        <w:tab/>
        <w:t>Adverse events.</w:t>
      </w:r>
      <w:r w:rsidR="00DB4629" w:rsidRPr="00047426">
        <w:rPr>
          <w:rStyle w:val="Hyperlink"/>
          <w:color w:val="auto"/>
          <w:u w:val="none"/>
        </w:rPr>
        <w:tab/>
      </w:r>
      <w:r w:rsidR="00AF7432">
        <w:rPr>
          <w:rStyle w:val="Hyperlink"/>
          <w:color w:val="auto"/>
          <w:u w:val="none"/>
        </w:rPr>
        <w:t>5</w:t>
      </w:r>
      <w:r w:rsidR="00E80C8F">
        <w:rPr>
          <w:rStyle w:val="Hyperlink"/>
          <w:color w:val="auto"/>
          <w:u w:val="none"/>
        </w:rPr>
        <w:t>7</w:t>
      </w:r>
    </w:p>
    <w:p w14:paraId="5D5F1485" w14:textId="66840945" w:rsidR="00CC6BF4" w:rsidRDefault="00AF7432" w:rsidP="007501B9">
      <w:pPr>
        <w:pStyle w:val="TableofFigures"/>
      </w:pPr>
      <w:r>
        <w:t>B-12</w:t>
      </w:r>
      <w:r w:rsidR="00E62631">
        <w:tab/>
      </w:r>
      <w:r w:rsidR="00CC6BF4" w:rsidRPr="00E62631">
        <w:t>Comparison of differences in adverse drug events for each trial arm.</w:t>
      </w:r>
      <w:r w:rsidR="00E62631">
        <w:tab/>
      </w:r>
      <w:r w:rsidR="00E80C8F">
        <w:t>58</w:t>
      </w:r>
    </w:p>
    <w:p w14:paraId="2AF417A9" w14:textId="170A7A8D" w:rsidR="00AF7432" w:rsidRPr="00CC6BF4" w:rsidRDefault="00AF7432" w:rsidP="007501B9">
      <w:pPr>
        <w:pStyle w:val="TableofFigures"/>
      </w:pPr>
      <w:r>
        <w:t>B-13</w:t>
      </w:r>
      <w:r>
        <w:tab/>
        <w:t xml:space="preserve"> Comparison of differences in falls for each trail arm …</w:t>
      </w:r>
      <w:r>
        <w:tab/>
      </w:r>
      <w:r w:rsidR="00E80C8F">
        <w:t>58</w:t>
      </w:r>
    </w:p>
    <w:p w14:paraId="23A30F61" w14:textId="071ABEA9" w:rsidR="00CC6BF4" w:rsidRPr="00CC6BF4" w:rsidRDefault="00CC6BF4" w:rsidP="007501B9">
      <w:pPr>
        <w:pStyle w:val="TableofFigures"/>
      </w:pPr>
      <w:r w:rsidRPr="00CC6BF4">
        <w:t>C-1</w:t>
      </w:r>
      <w:r w:rsidRPr="00CC6BF4">
        <w:tab/>
        <w:t>Comparison of demographics and baseline data for the ITT study population and the sub-groups with MBS administrative costing data…..</w:t>
      </w:r>
      <w:r w:rsidRPr="00CC6BF4">
        <w:tab/>
      </w:r>
      <w:r w:rsidR="00AF7432">
        <w:t>6</w:t>
      </w:r>
      <w:r w:rsidR="00E80C8F">
        <w:t>3</w:t>
      </w:r>
    </w:p>
    <w:p w14:paraId="4191C6A4" w14:textId="3DB796A1" w:rsidR="00CC6BF4" w:rsidRPr="00CC6BF4" w:rsidRDefault="00CC6BF4" w:rsidP="007501B9">
      <w:pPr>
        <w:pStyle w:val="TableofFigures"/>
      </w:pPr>
      <w:r w:rsidRPr="00CC6BF4">
        <w:t>C-2</w:t>
      </w:r>
      <w:r w:rsidRPr="00CC6BF4">
        <w:tab/>
        <w:t>Comparison of demographics and baseline data for the ITT study population and the sub-groups with PBS administrative costing data.</w:t>
      </w:r>
      <w:r w:rsidR="00E62631" w:rsidRPr="00E62631">
        <w:tab/>
      </w:r>
      <w:r w:rsidR="00AF7432">
        <w:t>6</w:t>
      </w:r>
      <w:r w:rsidR="00E80C8F">
        <w:t>4</w:t>
      </w:r>
    </w:p>
    <w:p w14:paraId="107E6995" w14:textId="55DA71F4" w:rsidR="00CC6BF4" w:rsidRPr="00CC6BF4" w:rsidRDefault="00CC6BF4" w:rsidP="007501B9">
      <w:pPr>
        <w:pStyle w:val="TableofFigures"/>
      </w:pPr>
      <w:r w:rsidRPr="00CC6BF4">
        <w:t xml:space="preserve">D-1. </w:t>
      </w:r>
      <w:r w:rsidRPr="00CC6BF4">
        <w:tab/>
        <w:t>Classification of the comparative effectiveness and safety of the proposed therapeutic medical service compared with its main comparator and guide to the suitable type of economic evaluation</w:t>
      </w:r>
      <w:r w:rsidR="00E62631" w:rsidRPr="00E62631">
        <w:tab/>
      </w:r>
      <w:r w:rsidR="00AF7432">
        <w:t>6</w:t>
      </w:r>
      <w:r w:rsidR="00E80C8F">
        <w:t>6</w:t>
      </w:r>
    </w:p>
    <w:p w14:paraId="2787B39B" w14:textId="0D84E1F4" w:rsidR="00AF7432" w:rsidRPr="00CC6BF4" w:rsidRDefault="00CC6BF4" w:rsidP="007501B9">
      <w:pPr>
        <w:pStyle w:val="TableofFigures"/>
      </w:pPr>
      <w:r w:rsidRPr="00CC6BF4">
        <w:t>D-2</w:t>
      </w:r>
      <w:r w:rsidRPr="00CC6BF4">
        <w:tab/>
        <w:t>Summary of the economic evaluation</w:t>
      </w:r>
      <w:r w:rsidR="00E62631" w:rsidRPr="00E62631">
        <w:tab/>
      </w:r>
      <w:r w:rsidR="00E80C8F">
        <w:t>67</w:t>
      </w:r>
    </w:p>
    <w:p w14:paraId="48598038" w14:textId="199A1B08" w:rsidR="00CC6BF4" w:rsidRPr="00CC6BF4" w:rsidRDefault="00CC6BF4" w:rsidP="007501B9">
      <w:pPr>
        <w:pStyle w:val="TableofFigures"/>
      </w:pPr>
      <w:r w:rsidRPr="00CC6BF4">
        <w:t>D-3</w:t>
      </w:r>
      <w:r w:rsidRPr="00CC6BF4">
        <w:tab/>
        <w:t xml:space="preserve">Published literature comparing the costs of pharmacist-led medication reviews with usual care among older adults in aged care facilities. </w:t>
      </w:r>
      <w:r w:rsidR="00E62631" w:rsidRPr="00E62631">
        <w:tab/>
      </w:r>
      <w:r w:rsidR="00E80C8F">
        <w:t>68</w:t>
      </w:r>
    </w:p>
    <w:p w14:paraId="2C98D304" w14:textId="6114586D" w:rsidR="00CC6BF4" w:rsidRPr="00CC6BF4" w:rsidRDefault="00CC6BF4" w:rsidP="007501B9">
      <w:pPr>
        <w:pStyle w:val="TableofFigures"/>
      </w:pPr>
      <w:r w:rsidRPr="00CC6BF4">
        <w:t>D-4</w:t>
      </w:r>
      <w:r w:rsidRPr="00CC6BF4">
        <w:tab/>
        <w:t xml:space="preserve"> Summary of the data collection and valuation sources used to estimate healthcare resource costs</w:t>
      </w:r>
      <w:r w:rsidR="00E62631" w:rsidRPr="00E62631">
        <w:tab/>
      </w:r>
      <w:r w:rsidR="00E80C8F">
        <w:t>71</w:t>
      </w:r>
    </w:p>
    <w:p w14:paraId="7DE3FECA" w14:textId="1E8E8564" w:rsidR="00CC6BF4" w:rsidRPr="00CC6BF4" w:rsidRDefault="00CC6BF4" w:rsidP="007501B9">
      <w:pPr>
        <w:pStyle w:val="TableofFigures"/>
      </w:pPr>
      <w:r w:rsidRPr="00CC6BF4">
        <w:t>D-5</w:t>
      </w:r>
      <w:r w:rsidRPr="00CC6BF4">
        <w:tab/>
        <w:t>Residential Aged Care Subsidies and Supplements, basic daily ACFI subsidy rates</w:t>
      </w:r>
      <w:r w:rsidR="00E62631" w:rsidRPr="00E62631">
        <w:tab/>
      </w:r>
      <w:r w:rsidR="00E80C8F">
        <w:t>73</w:t>
      </w:r>
    </w:p>
    <w:p w14:paraId="2EB29062" w14:textId="7873B481" w:rsidR="00CC6BF4" w:rsidRPr="00CC6BF4" w:rsidRDefault="00CC6BF4" w:rsidP="007501B9">
      <w:pPr>
        <w:pStyle w:val="TableofFigures"/>
      </w:pPr>
      <w:r w:rsidRPr="00CC6BF4">
        <w:t>D-6</w:t>
      </w:r>
      <w:r w:rsidRPr="00CC6BF4">
        <w:tab/>
        <w:t>Daily health-related ACFI subsidy rates observed in each arm and adjusted for baseline difference</w:t>
      </w:r>
      <w:r w:rsidR="00E62631" w:rsidRPr="00E62631">
        <w:tab/>
      </w:r>
      <w:r w:rsidR="00AF7432">
        <w:t>7</w:t>
      </w:r>
      <w:r w:rsidR="00E80C8F">
        <w:t>4</w:t>
      </w:r>
    </w:p>
    <w:p w14:paraId="1359C2F7" w14:textId="3FCA7BF9" w:rsidR="00CC6BF4" w:rsidRPr="00CC6BF4" w:rsidRDefault="00CC6BF4" w:rsidP="007501B9">
      <w:pPr>
        <w:pStyle w:val="TableofFigures"/>
      </w:pPr>
      <w:r w:rsidRPr="00CC6BF4">
        <w:t>D-7</w:t>
      </w:r>
      <w:r w:rsidRPr="00CC6BF4">
        <w:tab/>
        <w:t>Number of healthcare services provided over 12 months for each study arm (disaggregated base case)</w:t>
      </w:r>
      <w:r w:rsidR="00E62631" w:rsidRPr="00E62631">
        <w:tab/>
      </w:r>
      <w:r w:rsidR="00E80C8F">
        <w:t>76</w:t>
      </w:r>
    </w:p>
    <w:p w14:paraId="75993C84" w14:textId="46C3D70D" w:rsidR="00CC6BF4" w:rsidRPr="00CC6BF4" w:rsidRDefault="00CC6BF4" w:rsidP="007501B9">
      <w:pPr>
        <w:pStyle w:val="TableofFigures"/>
      </w:pPr>
      <w:r w:rsidRPr="00CC6BF4">
        <w:t>D-8</w:t>
      </w:r>
      <w:r w:rsidRPr="00CC6BF4">
        <w:tab/>
      </w:r>
      <w:r w:rsidR="00D655B3">
        <w:t>Medicare Benefits Schedule (</w:t>
      </w:r>
      <w:r w:rsidRPr="00CC6BF4">
        <w:t>MBS</w:t>
      </w:r>
      <w:r w:rsidR="00D655B3">
        <w:t>)</w:t>
      </w:r>
      <w:r w:rsidRPr="00CC6BF4">
        <w:t xml:space="preserve"> costs in each arm of the study</w:t>
      </w:r>
      <w:r w:rsidR="00E62631" w:rsidRPr="00E62631">
        <w:tab/>
      </w:r>
      <w:r w:rsidR="00E80C8F">
        <w:t>77</w:t>
      </w:r>
    </w:p>
    <w:p w14:paraId="12B39C67" w14:textId="00C499C9" w:rsidR="00CC6BF4" w:rsidRPr="00CC6BF4" w:rsidRDefault="00CC6BF4" w:rsidP="007501B9">
      <w:pPr>
        <w:pStyle w:val="TableofFigures"/>
      </w:pPr>
      <w:r w:rsidRPr="00CC6BF4">
        <w:t>D-9</w:t>
      </w:r>
      <w:r w:rsidRPr="00CC6BF4">
        <w:tab/>
      </w:r>
      <w:r w:rsidR="00D655B3">
        <w:t>Pharmaceutical Benefits S</w:t>
      </w:r>
      <w:r w:rsidR="00F462B9">
        <w:t>cheme</w:t>
      </w:r>
      <w:r w:rsidR="00D655B3">
        <w:t xml:space="preserve"> (</w:t>
      </w:r>
      <w:r w:rsidRPr="00CC6BF4">
        <w:t>PBS</w:t>
      </w:r>
      <w:r w:rsidR="00D655B3">
        <w:t>)</w:t>
      </w:r>
      <w:r w:rsidRPr="00CC6BF4">
        <w:t xml:space="preserve"> costs in each arm of the study</w:t>
      </w:r>
      <w:r w:rsidR="00E62631" w:rsidRPr="00E62631">
        <w:tab/>
      </w:r>
      <w:r w:rsidR="00E80C8F">
        <w:t>77</w:t>
      </w:r>
    </w:p>
    <w:p w14:paraId="0F83C60E" w14:textId="1C558A6F" w:rsidR="00CC6BF4" w:rsidRPr="00CC6BF4" w:rsidRDefault="00CC6BF4" w:rsidP="007501B9">
      <w:pPr>
        <w:pStyle w:val="TableofFigures"/>
      </w:pPr>
      <w:r w:rsidRPr="00CC6BF4">
        <w:t>D-10</w:t>
      </w:r>
      <w:r w:rsidRPr="00CC6BF4">
        <w:tab/>
        <w:t>Hospital costs over 12 months in each arm.</w:t>
      </w:r>
      <w:r w:rsidR="00E62631" w:rsidRPr="00E62631">
        <w:tab/>
      </w:r>
      <w:r w:rsidR="00E80C8F">
        <w:t>78</w:t>
      </w:r>
    </w:p>
    <w:p w14:paraId="4D51C820" w14:textId="140C9B84" w:rsidR="00CC6BF4" w:rsidRPr="00CC6BF4" w:rsidRDefault="00CC6BF4" w:rsidP="007501B9">
      <w:pPr>
        <w:pStyle w:val="TableofFigures"/>
      </w:pPr>
      <w:r w:rsidRPr="00CC6BF4">
        <w:t>D-11</w:t>
      </w:r>
      <w:r w:rsidRPr="00CC6BF4">
        <w:tab/>
        <w:t>Estimated health-related ACFI subsidies per resident incorporating observed changes to the average daily rate in each arm, applied over one year (adjusted for baseline difference).</w:t>
      </w:r>
      <w:r w:rsidR="00E62631" w:rsidRPr="00E62631">
        <w:tab/>
      </w:r>
      <w:r w:rsidR="00E80C8F">
        <w:t>79</w:t>
      </w:r>
    </w:p>
    <w:p w14:paraId="55774093" w14:textId="7E1C2585" w:rsidR="00CC6BF4" w:rsidRPr="00CC6BF4" w:rsidRDefault="00CC6BF4" w:rsidP="007501B9">
      <w:pPr>
        <w:pStyle w:val="TableofFigures"/>
      </w:pPr>
      <w:r w:rsidRPr="00CC6BF4">
        <w:t>D-12</w:t>
      </w:r>
      <w:r w:rsidRPr="00CC6BF4">
        <w:tab/>
        <w:t>Allied health services costs in each arm of the study</w:t>
      </w:r>
      <w:r w:rsidR="00E62631" w:rsidRPr="00E62631">
        <w:tab/>
      </w:r>
      <w:r w:rsidR="00E80C8F">
        <w:t>79</w:t>
      </w:r>
    </w:p>
    <w:p w14:paraId="5AF53625" w14:textId="19C24445" w:rsidR="00CC6BF4" w:rsidRPr="00CC6BF4" w:rsidRDefault="00CC6BF4" w:rsidP="007501B9">
      <w:pPr>
        <w:pStyle w:val="TableofFigures"/>
      </w:pPr>
      <w:r w:rsidRPr="00CC6BF4">
        <w:t>D-13</w:t>
      </w:r>
      <w:r w:rsidRPr="00CC6BF4">
        <w:tab/>
        <w:t>Average healthcare costs per patient over 12 months for each study arm (adjusted trial-based cost analysis): base case</w:t>
      </w:r>
      <w:r w:rsidR="00E62631" w:rsidRPr="00E62631">
        <w:tab/>
      </w:r>
      <w:r w:rsidR="00F03C0B">
        <w:t>8</w:t>
      </w:r>
      <w:r w:rsidR="00E80C8F">
        <w:t>0</w:t>
      </w:r>
    </w:p>
    <w:p w14:paraId="0C2B151E" w14:textId="6ECB149F" w:rsidR="00CC6BF4" w:rsidRPr="00CC6BF4" w:rsidRDefault="00CC6BF4" w:rsidP="007501B9">
      <w:pPr>
        <w:pStyle w:val="TableofFigures"/>
      </w:pPr>
      <w:r w:rsidRPr="00CC6BF4">
        <w:t>D-14</w:t>
      </w:r>
      <w:r w:rsidRPr="00CC6BF4">
        <w:tab/>
        <w:t>Average healthcare costs per patient over 12 months for each study arm (adjusted trial-based cost analysis): base case</w:t>
      </w:r>
      <w:r w:rsidR="00E62631" w:rsidRPr="00E62631">
        <w:tab/>
      </w:r>
      <w:r w:rsidR="00F03C0B">
        <w:t>8</w:t>
      </w:r>
      <w:r w:rsidR="00E80C8F">
        <w:t>1</w:t>
      </w:r>
    </w:p>
    <w:p w14:paraId="6BD5D40C" w14:textId="318F559F" w:rsidR="00CC6BF4" w:rsidRPr="00CC6BF4" w:rsidRDefault="00CC6BF4" w:rsidP="007501B9">
      <w:pPr>
        <w:pStyle w:val="TableofFigures"/>
      </w:pPr>
      <w:r w:rsidRPr="00CC6BF4">
        <w:t>D-15</w:t>
      </w:r>
      <w:r w:rsidRPr="00CC6BF4">
        <w:tab/>
        <w:t>Scenario analysis of the trial-based analysis</w:t>
      </w:r>
      <w:r w:rsidR="00E62631" w:rsidRPr="00E62631">
        <w:tab/>
      </w:r>
      <w:r w:rsidR="00F03C0B">
        <w:t>8</w:t>
      </w:r>
      <w:r w:rsidR="00E80C8F">
        <w:t>1</w:t>
      </w:r>
    </w:p>
    <w:p w14:paraId="0534BA63" w14:textId="44A48D69" w:rsidR="00CC6BF4" w:rsidRPr="00CC6BF4" w:rsidRDefault="00CC6BF4" w:rsidP="007501B9">
      <w:pPr>
        <w:pStyle w:val="TableofFigures"/>
      </w:pPr>
      <w:r w:rsidRPr="00CC6BF4">
        <w:lastRenderedPageBreak/>
        <w:t>E-1</w:t>
      </w:r>
      <w:r w:rsidRPr="00CC6BF4">
        <w:tab/>
        <w:t>Data and sources used in the financial analysis</w:t>
      </w:r>
      <w:r w:rsidR="00E62631" w:rsidRPr="00E62631">
        <w:tab/>
      </w:r>
      <w:r w:rsidR="00F03C0B">
        <w:t>8</w:t>
      </w:r>
      <w:r w:rsidR="00E80C8F">
        <w:t>2</w:t>
      </w:r>
    </w:p>
    <w:p w14:paraId="52DF1C57" w14:textId="77A61DB8" w:rsidR="00CC6BF4" w:rsidRPr="00CC6BF4" w:rsidRDefault="00CC6BF4" w:rsidP="007501B9">
      <w:pPr>
        <w:pStyle w:val="TableofFigures"/>
      </w:pPr>
      <w:r w:rsidRPr="00CC6BF4">
        <w:t>E-2</w:t>
      </w:r>
      <w:r w:rsidRPr="00CC6BF4">
        <w:tab/>
        <w:t>Number of people who received permanent residential aged care, 2015-16 to 2019-20</w:t>
      </w:r>
      <w:r w:rsidR="00E62631" w:rsidRPr="00E62631">
        <w:tab/>
      </w:r>
      <w:r w:rsidR="00F03C0B">
        <w:t>8</w:t>
      </w:r>
      <w:r w:rsidR="00E80C8F">
        <w:t>2</w:t>
      </w:r>
    </w:p>
    <w:p w14:paraId="544F0E2B" w14:textId="70095B68" w:rsidR="00CC6BF4" w:rsidRPr="00CC6BF4" w:rsidRDefault="00CC6BF4" w:rsidP="007501B9">
      <w:pPr>
        <w:pStyle w:val="TableofFigures"/>
      </w:pPr>
      <w:r w:rsidRPr="00CC6BF4">
        <w:t>E-3</w:t>
      </w:r>
      <w:r w:rsidRPr="00CC6BF4">
        <w:tab/>
        <w:t>Projected people in residential aged care who would be eligible for the proposed pharmacist review over five years</w:t>
      </w:r>
      <w:r w:rsidR="00E62631" w:rsidRPr="00E62631">
        <w:tab/>
      </w:r>
      <w:r w:rsidR="00E80C8F">
        <w:t>83</w:t>
      </w:r>
    </w:p>
    <w:p w14:paraId="77DF7C48" w14:textId="4CF86835" w:rsidR="00CC6BF4" w:rsidRPr="00CC6BF4" w:rsidRDefault="00CC6BF4" w:rsidP="007501B9">
      <w:pPr>
        <w:pStyle w:val="TableofFigures"/>
      </w:pPr>
      <w:r w:rsidRPr="00CC6BF4">
        <w:t>E-4</w:t>
      </w:r>
      <w:r w:rsidRPr="00CC6BF4">
        <w:tab/>
        <w:t>Total costs to Commonwealth health budgets associated with pharmacist intervention</w:t>
      </w:r>
      <w:r w:rsidR="00E62631" w:rsidRPr="00E62631">
        <w:tab/>
      </w:r>
      <w:r w:rsidR="00F03C0B">
        <w:t>8</w:t>
      </w:r>
      <w:r w:rsidR="00E80C8F">
        <w:t>4</w:t>
      </w:r>
    </w:p>
    <w:p w14:paraId="1AAE4562" w14:textId="3ACE28A0" w:rsidR="00CC6BF4" w:rsidRPr="00CC6BF4" w:rsidRDefault="00EA5C91" w:rsidP="007501B9">
      <w:pPr>
        <w:pStyle w:val="TableofFigures"/>
      </w:pPr>
      <w:r>
        <w:t>E-5</w:t>
      </w:r>
      <w:r w:rsidR="00CC6BF4" w:rsidRPr="00CC6BF4">
        <w:tab/>
        <w:t>Sensitivity analyses around the financial implications to the MBS and Commonwealth health budgets</w:t>
      </w:r>
      <w:r w:rsidR="00E62631" w:rsidRPr="00E62631">
        <w:tab/>
      </w:r>
      <w:r w:rsidR="00F03C0B">
        <w:t>8</w:t>
      </w:r>
      <w:r>
        <w:t>6</w:t>
      </w:r>
    </w:p>
    <w:p w14:paraId="2AA87B7F" w14:textId="295E1E7D" w:rsidR="00CC6BF4" w:rsidRPr="00CC6BF4" w:rsidRDefault="00CC6BF4" w:rsidP="007501B9">
      <w:pPr>
        <w:pStyle w:val="TableofFigures"/>
      </w:pPr>
      <w:r w:rsidRPr="00CC6BF4">
        <w:t>App</w:t>
      </w:r>
      <w:r w:rsidR="00A5671A">
        <w:t xml:space="preserve"> </w:t>
      </w:r>
      <w:r w:rsidRPr="00CC6BF4">
        <w:t>B-1</w:t>
      </w:r>
      <w:r w:rsidRPr="00CC6BF4">
        <w:tab/>
        <w:t>Search terms used (literature search platform)</w:t>
      </w:r>
      <w:r w:rsidR="00E62631" w:rsidRPr="00E62631">
        <w:tab/>
      </w:r>
      <w:r w:rsidR="00F03C0B">
        <w:t>1</w:t>
      </w:r>
      <w:r w:rsidR="00EA5C91">
        <w:t>06</w:t>
      </w:r>
    </w:p>
    <w:p w14:paraId="1C968823" w14:textId="5081C993" w:rsidR="00CC6BF4" w:rsidRPr="00CC6BF4" w:rsidRDefault="00CC6BF4" w:rsidP="007501B9">
      <w:pPr>
        <w:pStyle w:val="TableofFigures"/>
      </w:pPr>
      <w:r w:rsidRPr="00CC6BF4">
        <w:t>App</w:t>
      </w:r>
      <w:r w:rsidR="00A5671A">
        <w:t xml:space="preserve"> </w:t>
      </w:r>
      <w:r w:rsidRPr="00CC6BF4">
        <w:t>B-2</w:t>
      </w:r>
      <w:r w:rsidRPr="00CC6BF4">
        <w:tab/>
        <w:t>Application of PRISMA selection criteria</w:t>
      </w:r>
      <w:r w:rsidR="00E62631" w:rsidRPr="00E62631">
        <w:tab/>
      </w:r>
      <w:r w:rsidR="00A5671A">
        <w:t>1</w:t>
      </w:r>
      <w:r w:rsidR="00EA5C91">
        <w:t>08</w:t>
      </w:r>
    </w:p>
    <w:p w14:paraId="55F167C0" w14:textId="024CDFBF" w:rsidR="00CC6BF4" w:rsidRPr="00CC6BF4" w:rsidRDefault="00CC6BF4" w:rsidP="007501B9">
      <w:pPr>
        <w:pStyle w:val="TableofFigures"/>
      </w:pPr>
      <w:r w:rsidRPr="00CC6BF4">
        <w:t>App</w:t>
      </w:r>
      <w:r w:rsidR="00A5671A">
        <w:t xml:space="preserve"> </w:t>
      </w:r>
      <w:r w:rsidRPr="00CC6BF4">
        <w:t>B-3</w:t>
      </w:r>
      <w:r w:rsidRPr="00CC6BF4">
        <w:tab/>
        <w:t>Key features of the included evidence comparing Intervention group with Control group</w:t>
      </w:r>
      <w:r w:rsidR="00E62631" w:rsidRPr="00E62631">
        <w:tab/>
      </w:r>
      <w:r w:rsidR="00A5671A">
        <w:t>11</w:t>
      </w:r>
      <w:r w:rsidR="00EA5C91">
        <w:t>1</w:t>
      </w:r>
    </w:p>
    <w:p w14:paraId="469F414D" w14:textId="7835DF3A" w:rsidR="001E0942" w:rsidRPr="00047426" w:rsidRDefault="001E0942" w:rsidP="007501B9">
      <w:pPr>
        <w:pStyle w:val="TableofFigures"/>
        <w:rPr>
          <w:rStyle w:val="Hyperlink"/>
          <w:color w:val="auto"/>
          <w:u w:val="none"/>
        </w:rPr>
      </w:pPr>
      <w:r w:rsidRPr="00047426">
        <w:rPr>
          <w:rStyle w:val="Hyperlink"/>
          <w:color w:val="auto"/>
          <w:u w:val="none"/>
        </w:rPr>
        <w:t xml:space="preserve">App C-1 </w:t>
      </w:r>
      <w:r w:rsidRPr="00047426">
        <w:rPr>
          <w:rStyle w:val="Hyperlink"/>
          <w:color w:val="auto"/>
          <w:u w:val="none"/>
        </w:rPr>
        <w:tab/>
        <w:t xml:space="preserve">Contracted Performance Indicator 1 – demonstration of resident and consumer engagement. </w:t>
      </w:r>
      <w:r w:rsidRPr="00047426">
        <w:rPr>
          <w:rStyle w:val="Hyperlink"/>
          <w:color w:val="auto"/>
          <w:u w:val="none"/>
        </w:rPr>
        <w:tab/>
        <w:t>1</w:t>
      </w:r>
      <w:r w:rsidR="00EA5C91">
        <w:rPr>
          <w:rStyle w:val="Hyperlink"/>
          <w:color w:val="auto"/>
          <w:u w:val="none"/>
        </w:rPr>
        <w:t>21</w:t>
      </w:r>
    </w:p>
    <w:p w14:paraId="4F732652" w14:textId="4D25D7BE" w:rsidR="001E0942" w:rsidRPr="00047426" w:rsidRDefault="001E0942" w:rsidP="007501B9">
      <w:pPr>
        <w:pStyle w:val="TableofFigures"/>
        <w:rPr>
          <w:rStyle w:val="Hyperlink"/>
          <w:color w:val="auto"/>
          <w:u w:val="none"/>
        </w:rPr>
      </w:pPr>
      <w:r w:rsidRPr="00047426">
        <w:rPr>
          <w:rStyle w:val="Hyperlink"/>
          <w:color w:val="auto"/>
          <w:u w:val="none"/>
        </w:rPr>
        <w:t>App C</w:t>
      </w:r>
      <w:r w:rsidR="00A5671A">
        <w:rPr>
          <w:rStyle w:val="Hyperlink"/>
          <w:color w:val="auto"/>
          <w:u w:val="none"/>
        </w:rPr>
        <w:t>-</w:t>
      </w:r>
      <w:r w:rsidRPr="00047426">
        <w:rPr>
          <w:rStyle w:val="Hyperlink"/>
          <w:color w:val="auto"/>
          <w:u w:val="none"/>
        </w:rPr>
        <w:t>2</w:t>
      </w:r>
      <w:r w:rsidRPr="00047426">
        <w:rPr>
          <w:rStyle w:val="Hyperlink"/>
          <w:color w:val="auto"/>
          <w:u w:val="none"/>
        </w:rPr>
        <w:tab/>
        <w:t xml:space="preserve">Contracted Performance Indicator 2 – demonstration of expanded pathways of pharmacist service delivery that improve documented resident health outcomes to inform a cost effectiveness analysis. </w:t>
      </w:r>
      <w:r w:rsidRPr="00047426">
        <w:rPr>
          <w:rStyle w:val="Hyperlink"/>
          <w:color w:val="auto"/>
          <w:u w:val="none"/>
        </w:rPr>
        <w:tab/>
        <w:t>1</w:t>
      </w:r>
      <w:r w:rsidR="00EA5C91">
        <w:rPr>
          <w:rStyle w:val="Hyperlink"/>
          <w:color w:val="auto"/>
          <w:u w:val="none"/>
        </w:rPr>
        <w:t>22</w:t>
      </w:r>
    </w:p>
    <w:p w14:paraId="69A1189E" w14:textId="03EE57FA" w:rsidR="00BA75B3" w:rsidRDefault="00BA75B3" w:rsidP="007501B9">
      <w:pPr>
        <w:pStyle w:val="TableofFigures"/>
        <w:rPr>
          <w:rStyle w:val="Hyperlink"/>
          <w:color w:val="auto"/>
          <w:u w:val="none"/>
        </w:rPr>
      </w:pPr>
      <w:r w:rsidRPr="00047426">
        <w:rPr>
          <w:rStyle w:val="Hyperlink"/>
          <w:color w:val="auto"/>
          <w:u w:val="none"/>
        </w:rPr>
        <w:t>App C</w:t>
      </w:r>
      <w:r w:rsidR="00A5671A">
        <w:rPr>
          <w:rStyle w:val="Hyperlink"/>
          <w:color w:val="auto"/>
          <w:u w:val="none"/>
        </w:rPr>
        <w:t>-</w:t>
      </w:r>
      <w:r w:rsidRPr="00047426">
        <w:rPr>
          <w:rStyle w:val="Hyperlink"/>
          <w:color w:val="auto"/>
          <w:u w:val="none"/>
        </w:rPr>
        <w:t>3</w:t>
      </w:r>
      <w:r w:rsidRPr="00047426">
        <w:rPr>
          <w:rStyle w:val="Hyperlink"/>
          <w:color w:val="auto"/>
          <w:u w:val="none"/>
        </w:rPr>
        <w:tab/>
        <w:t>Summary table of engagement and training activities for pha</w:t>
      </w:r>
      <w:r w:rsidR="00A5671A">
        <w:rPr>
          <w:rStyle w:val="Hyperlink"/>
          <w:color w:val="auto"/>
          <w:u w:val="none"/>
        </w:rPr>
        <w:t>r</w:t>
      </w:r>
      <w:r w:rsidR="00EA5C91">
        <w:rPr>
          <w:rStyle w:val="Hyperlink"/>
          <w:color w:val="auto"/>
          <w:u w:val="none"/>
        </w:rPr>
        <w:t xml:space="preserve">macists for ReMInDAR trial. </w:t>
      </w:r>
      <w:r w:rsidR="00EA5C91">
        <w:rPr>
          <w:rStyle w:val="Hyperlink"/>
          <w:color w:val="auto"/>
          <w:u w:val="none"/>
        </w:rPr>
        <w:tab/>
        <w:t>123</w:t>
      </w:r>
    </w:p>
    <w:p w14:paraId="427A295B" w14:textId="52F136EA" w:rsidR="00A5671A" w:rsidRDefault="00A5671A" w:rsidP="007501B9">
      <w:pPr>
        <w:pStyle w:val="TableofFigures"/>
        <w:rPr>
          <w:rStyle w:val="Hyperlink"/>
          <w:color w:val="auto"/>
          <w:u w:val="none"/>
        </w:rPr>
      </w:pPr>
      <w:r w:rsidRPr="00A5671A">
        <w:rPr>
          <w:rStyle w:val="Hyperlink"/>
          <w:color w:val="auto"/>
          <w:u w:val="none"/>
        </w:rPr>
        <w:t>App C-4</w:t>
      </w:r>
      <w:r w:rsidRPr="00A5671A">
        <w:rPr>
          <w:rStyle w:val="Hyperlink"/>
          <w:color w:val="auto"/>
          <w:u w:val="none"/>
        </w:rPr>
        <w:tab/>
        <w:t>Contract</w:t>
      </w:r>
      <w:r w:rsidR="00EA5C91">
        <w:rPr>
          <w:rStyle w:val="Hyperlink"/>
          <w:color w:val="auto"/>
          <w:u w:val="none"/>
        </w:rPr>
        <w:t>ed Performance Indicator 3..</w:t>
      </w:r>
      <w:r w:rsidR="00EA5C91">
        <w:rPr>
          <w:rStyle w:val="Hyperlink"/>
          <w:color w:val="auto"/>
          <w:u w:val="none"/>
        </w:rPr>
        <w:tab/>
        <w:t>123</w:t>
      </w:r>
    </w:p>
    <w:p w14:paraId="00AFAEB0" w14:textId="10BBDF8D" w:rsidR="00A5671A" w:rsidRDefault="00A5671A" w:rsidP="007501B9">
      <w:pPr>
        <w:pStyle w:val="TableofFigures"/>
      </w:pPr>
      <w:r>
        <w:t>App E-1</w:t>
      </w:r>
      <w:r>
        <w:tab/>
      </w:r>
      <w:r w:rsidR="0033664F" w:rsidRPr="0033664F">
        <w:t>Cox proportional hazards model for mortality</w:t>
      </w:r>
      <w:r w:rsidR="00EA5C91">
        <w:t>..</w:t>
      </w:r>
      <w:r w:rsidR="00EA5C91">
        <w:tab/>
        <w:t>126</w:t>
      </w:r>
    </w:p>
    <w:p w14:paraId="28FE2A9E" w14:textId="171E52F1" w:rsidR="0033664F" w:rsidRDefault="0033664F" w:rsidP="007501B9">
      <w:pPr>
        <w:pStyle w:val="TableofFigures"/>
      </w:pPr>
      <w:r>
        <w:t>AppE-2</w:t>
      </w:r>
      <w:r>
        <w:tab/>
      </w:r>
      <w:r w:rsidRPr="0033664F">
        <w:t>Kruskal Wallis Test indicating difference in frailty at baseline between groups, excluding deaths and post-randomisation withdrawals</w:t>
      </w:r>
      <w:r>
        <w:t>…</w:t>
      </w:r>
      <w:r>
        <w:tab/>
        <w:t>1</w:t>
      </w:r>
      <w:r w:rsidR="00EA5C91">
        <w:t>27</w:t>
      </w:r>
    </w:p>
    <w:p w14:paraId="1C8CABD3" w14:textId="10E6671A" w:rsidR="00A5671A" w:rsidRDefault="00A5671A" w:rsidP="007501B9">
      <w:pPr>
        <w:pStyle w:val="TableofFigures"/>
      </w:pPr>
      <w:r>
        <w:t>App E-3</w:t>
      </w:r>
      <w:r>
        <w:tab/>
      </w:r>
      <w:r w:rsidR="0033664F" w:rsidRPr="0033664F">
        <w:rPr>
          <w:rFonts w:cstheme="minorHAnsi"/>
        </w:rPr>
        <w:t>Kruskal Wallis Test indicating difference in frailty</w:t>
      </w:r>
      <w:r w:rsidR="0033664F" w:rsidRPr="0033664F">
        <w:t xml:space="preserve"> at baseline between groups, when withdrawals and deaths are included…</w:t>
      </w:r>
      <w:r w:rsidR="0033664F">
        <w:tab/>
        <w:t>1</w:t>
      </w:r>
      <w:r w:rsidR="00EA5C91">
        <w:t>27</w:t>
      </w:r>
    </w:p>
    <w:p w14:paraId="2803EB47" w14:textId="4390B2CD" w:rsidR="00A5671A" w:rsidRDefault="00A5671A" w:rsidP="007501B9">
      <w:pPr>
        <w:pStyle w:val="TableofFigures"/>
      </w:pPr>
      <w:r>
        <w:t>App E-4</w:t>
      </w:r>
      <w:r>
        <w:tab/>
      </w:r>
      <w:r w:rsidR="0033664F" w:rsidRPr="0033664F">
        <w:t>Kruskal Wallis Test indicating difference in weight at baseline between groups, when withdrawals and deaths are excluded</w:t>
      </w:r>
      <w:r w:rsidR="0033664F">
        <w:t>…</w:t>
      </w:r>
      <w:r w:rsidR="0033664F">
        <w:tab/>
        <w:t>1</w:t>
      </w:r>
      <w:r w:rsidR="00EA5C91">
        <w:t>28</w:t>
      </w:r>
    </w:p>
    <w:p w14:paraId="5B4D709A" w14:textId="397E24E5" w:rsidR="00A5671A" w:rsidRDefault="00A5671A" w:rsidP="007501B9">
      <w:pPr>
        <w:pStyle w:val="TableofFigures"/>
      </w:pPr>
      <w:r>
        <w:t>App E-5</w:t>
      </w:r>
      <w:r>
        <w:tab/>
      </w:r>
      <w:r w:rsidR="0033664F">
        <w:t>Kruskal Wallis Test indicating difference in weight</w:t>
      </w:r>
      <w:r w:rsidR="0033664F" w:rsidRPr="0092779F">
        <w:t xml:space="preserve"> at baseline between groups, when withdrawals and deaths are included</w:t>
      </w:r>
      <w:r w:rsidR="00EA5C91">
        <w:t>…</w:t>
      </w:r>
      <w:r w:rsidR="00EA5C91">
        <w:tab/>
        <w:t>128</w:t>
      </w:r>
    </w:p>
    <w:p w14:paraId="45AC2602" w14:textId="17B783BA" w:rsidR="00A5671A" w:rsidRDefault="00A5671A" w:rsidP="007501B9">
      <w:pPr>
        <w:pStyle w:val="TableofFigures"/>
      </w:pPr>
      <w:r>
        <w:t>App E-6</w:t>
      </w:r>
      <w:r>
        <w:tab/>
      </w:r>
      <w:r w:rsidR="0033664F" w:rsidRPr="0033664F">
        <w:t>Kruskal Wallis Test indicating difference in MoCA at baseline between groups, when withdrawals and deaths are excluded</w:t>
      </w:r>
      <w:r w:rsidR="00EA5C91">
        <w:t>….</w:t>
      </w:r>
      <w:r w:rsidR="00EA5C91">
        <w:tab/>
        <w:t>128</w:t>
      </w:r>
    </w:p>
    <w:p w14:paraId="41D3EC4B" w14:textId="5C0B0B91" w:rsidR="00A5671A" w:rsidRDefault="00A5671A" w:rsidP="007501B9">
      <w:pPr>
        <w:pStyle w:val="TableofFigures"/>
      </w:pPr>
      <w:r>
        <w:t>App E-7</w:t>
      </w:r>
      <w:r>
        <w:tab/>
      </w:r>
      <w:r w:rsidR="0033664F" w:rsidRPr="0033664F">
        <w:t>Kruskal Wallis Test indicating difference in MoCA at baseline between groups, when withdrawals and deaths are included</w:t>
      </w:r>
      <w:r w:rsidR="0033664F">
        <w:t>.</w:t>
      </w:r>
      <w:r w:rsidR="0033664F">
        <w:tab/>
        <w:t>.1</w:t>
      </w:r>
      <w:r w:rsidR="00EA5C91">
        <w:t>28</w:t>
      </w:r>
    </w:p>
    <w:p w14:paraId="659CB1DF" w14:textId="6B98AF39" w:rsidR="00A5671A" w:rsidRDefault="00A5671A" w:rsidP="007501B9">
      <w:pPr>
        <w:pStyle w:val="TableofFigures"/>
      </w:pPr>
      <w:r>
        <w:t>App E-8</w:t>
      </w:r>
      <w:r>
        <w:tab/>
      </w:r>
      <w:r w:rsidR="0033664F" w:rsidRPr="0033664F">
        <w:t>Results for modelled scenarios for survivor causal effect for Frailty Index</w:t>
      </w:r>
      <w:r w:rsidR="0033664F">
        <w:t>..</w:t>
      </w:r>
      <w:r w:rsidR="0033664F">
        <w:tab/>
        <w:t>13</w:t>
      </w:r>
      <w:r w:rsidR="00EA5C91">
        <w:t>0</w:t>
      </w:r>
    </w:p>
    <w:p w14:paraId="67F1BAFA" w14:textId="559EF7B6" w:rsidR="00A5671A" w:rsidRDefault="00A5671A" w:rsidP="007501B9">
      <w:pPr>
        <w:pStyle w:val="TableofFigures"/>
      </w:pPr>
      <w:r>
        <w:t>App E-9</w:t>
      </w:r>
      <w:r>
        <w:tab/>
      </w:r>
      <w:r w:rsidR="0033664F" w:rsidRPr="0033664F">
        <w:t>Results for modelled scenarios for survivor causal effect for Weight</w:t>
      </w:r>
      <w:r w:rsidR="00EA5C91">
        <w:t>..</w:t>
      </w:r>
      <w:r w:rsidR="00EA5C91">
        <w:tab/>
        <w:t>131</w:t>
      </w:r>
    </w:p>
    <w:p w14:paraId="46235347" w14:textId="6309AA19" w:rsidR="00A5671A" w:rsidRDefault="00A5671A" w:rsidP="007501B9">
      <w:pPr>
        <w:pStyle w:val="TableofFigures"/>
      </w:pPr>
      <w:r>
        <w:t>App E-10</w:t>
      </w:r>
      <w:r>
        <w:tab/>
      </w:r>
      <w:r w:rsidR="0033664F" w:rsidRPr="0033664F">
        <w:t>Results for modelled scenarios for survivor causal effect for MoCA</w:t>
      </w:r>
      <w:r w:rsidR="0033664F">
        <w:t>..</w:t>
      </w:r>
      <w:r w:rsidR="0033664F">
        <w:tab/>
        <w:t>13</w:t>
      </w:r>
      <w:r w:rsidR="00EA5C91">
        <w:t>2</w:t>
      </w:r>
    </w:p>
    <w:p w14:paraId="3F822B82" w14:textId="43D4FF81" w:rsidR="00A5671A" w:rsidRDefault="00A5671A" w:rsidP="007501B9">
      <w:pPr>
        <w:pStyle w:val="TableofFigures"/>
      </w:pPr>
      <w:r>
        <w:t>App F-1</w:t>
      </w:r>
      <w:r>
        <w:tab/>
      </w:r>
      <w:r w:rsidR="000C3C05" w:rsidRPr="000C3C05">
        <w:t xml:space="preserve">Outpatient clinic visits recorded in Tasmanian Hospital data files and allocated codes and costs  </w:t>
      </w:r>
      <w:r w:rsidR="00EA5C91">
        <w:tab/>
        <w:t>135</w:t>
      </w:r>
    </w:p>
    <w:p w14:paraId="747F31F5" w14:textId="77777777" w:rsidR="00A5671A" w:rsidRPr="00A5671A" w:rsidRDefault="00A5671A" w:rsidP="007501B9">
      <w:pPr>
        <w:rPr>
          <w:noProof/>
        </w:rPr>
      </w:pPr>
    </w:p>
    <w:p w14:paraId="07EF766F" w14:textId="5B59A709" w:rsidR="00310008" w:rsidRPr="00047426" w:rsidRDefault="00310008" w:rsidP="00897C5B">
      <w:pPr>
        <w:pStyle w:val="Heading2"/>
      </w:pPr>
      <w:bookmarkStart w:id="27" w:name="_Toc117758207"/>
      <w:r w:rsidRPr="00047426">
        <w:t>Boxes</w:t>
      </w:r>
      <w:bookmarkEnd w:id="23"/>
      <w:bookmarkEnd w:id="24"/>
      <w:bookmarkEnd w:id="25"/>
      <w:bookmarkEnd w:id="26"/>
      <w:bookmarkEnd w:id="27"/>
    </w:p>
    <w:p w14:paraId="42E70FCF" w14:textId="7479DE72" w:rsidR="00EB6EA4" w:rsidRDefault="0086593E">
      <w:pPr>
        <w:pStyle w:val="TableofFigures"/>
      </w:pPr>
      <w:r w:rsidRPr="00047426">
        <w:rPr>
          <w:rFonts w:asciiTheme="minorHAnsi" w:hAnsiTheme="minorHAnsi" w:cstheme="minorBidi"/>
        </w:rPr>
        <w:fldChar w:fldCharType="begin"/>
      </w:r>
      <w:r w:rsidR="008A46A4" w:rsidRPr="00047426">
        <w:instrText xml:space="preserve"> TOC \h \z \c "Box" </w:instrText>
      </w:r>
      <w:r w:rsidRPr="00047426">
        <w:rPr>
          <w:rFonts w:asciiTheme="minorHAnsi" w:hAnsiTheme="minorHAnsi" w:cstheme="minorBidi"/>
        </w:rPr>
        <w:fldChar w:fldCharType="separate"/>
      </w:r>
      <w:hyperlink w:anchor="_Toc67918562" w:history="1">
        <w:r w:rsidR="00EB6EA4" w:rsidRPr="004A11DC">
          <w:rPr>
            <w:rStyle w:val="Hyperlink"/>
          </w:rPr>
          <w:t>Box 1</w:t>
        </w:r>
        <w:r w:rsidR="00EB6EA4">
          <w:tab/>
        </w:r>
        <w:r w:rsidR="00EB6EA4" w:rsidRPr="004A11DC">
          <w:rPr>
            <w:rStyle w:val="Hyperlink"/>
          </w:rPr>
          <w:t>Criteria for identifying and selecting studies to determine the safety of a pharmacist-led service in persons resident in aged care taking four or more medicines or at least one medicine with anticholinergic or sedative properties</w:t>
        </w:r>
        <w:r w:rsidR="00EB6EA4">
          <w:rPr>
            <w:webHidden/>
          </w:rPr>
          <w:tab/>
        </w:r>
        <w:r w:rsidR="00EB6EA4">
          <w:rPr>
            <w:webHidden/>
          </w:rPr>
          <w:fldChar w:fldCharType="begin"/>
        </w:r>
        <w:r w:rsidR="00EB6EA4">
          <w:rPr>
            <w:webHidden/>
          </w:rPr>
          <w:instrText xml:space="preserve"> PAGEREF _Toc67918562 \h </w:instrText>
        </w:r>
        <w:r w:rsidR="00EB6EA4">
          <w:rPr>
            <w:webHidden/>
          </w:rPr>
        </w:r>
        <w:r w:rsidR="00EB6EA4">
          <w:rPr>
            <w:webHidden/>
          </w:rPr>
          <w:fldChar w:fldCharType="separate"/>
        </w:r>
        <w:r w:rsidR="00164214">
          <w:rPr>
            <w:webHidden/>
          </w:rPr>
          <w:t>23</w:t>
        </w:r>
        <w:r w:rsidR="00EB6EA4">
          <w:rPr>
            <w:webHidden/>
          </w:rPr>
          <w:fldChar w:fldCharType="end"/>
        </w:r>
      </w:hyperlink>
    </w:p>
    <w:p w14:paraId="0C112C49" w14:textId="47813550" w:rsidR="008A46A4" w:rsidRPr="00047426" w:rsidRDefault="0086593E" w:rsidP="00897C5B">
      <w:pPr>
        <w:pStyle w:val="Heading2"/>
      </w:pPr>
      <w:r w:rsidRPr="00047426">
        <w:rPr>
          <w:rFonts w:eastAsiaTheme="minorEastAsia"/>
        </w:rPr>
        <w:fldChar w:fldCharType="end"/>
      </w:r>
      <w:bookmarkStart w:id="28" w:name="_Toc381796427"/>
      <w:bookmarkStart w:id="29" w:name="_Toc395200738"/>
      <w:bookmarkStart w:id="30" w:name="_Toc399247193"/>
      <w:bookmarkStart w:id="31" w:name="_Toc402884712"/>
      <w:bookmarkStart w:id="32" w:name="_Toc117758208"/>
      <w:r w:rsidR="004152F9" w:rsidRPr="00047426">
        <w:t>Figures</w:t>
      </w:r>
      <w:bookmarkEnd w:id="28"/>
      <w:bookmarkEnd w:id="29"/>
      <w:bookmarkEnd w:id="30"/>
      <w:bookmarkEnd w:id="31"/>
      <w:bookmarkEnd w:id="32"/>
    </w:p>
    <w:p w14:paraId="704EC72B" w14:textId="29124A3F" w:rsidR="008F59A8" w:rsidRPr="00047426" w:rsidRDefault="008724B7" w:rsidP="00536011">
      <w:pPr>
        <w:pStyle w:val="TableofFigures"/>
        <w:spacing w:after="0"/>
        <w:rPr>
          <w:rStyle w:val="Hyperlink"/>
          <w:color w:val="auto"/>
          <w:u w:val="none"/>
        </w:rPr>
      </w:pPr>
      <w:r w:rsidRPr="00047426">
        <w:rPr>
          <w:rStyle w:val="Hyperlink"/>
          <w:color w:val="auto"/>
          <w:u w:val="none"/>
        </w:rPr>
        <w:t>ES-1</w:t>
      </w:r>
      <w:r w:rsidRPr="00047426">
        <w:rPr>
          <w:rStyle w:val="Hyperlink"/>
          <w:color w:val="auto"/>
          <w:u w:val="none"/>
        </w:rPr>
        <w:tab/>
      </w:r>
      <w:r w:rsidR="00B44575" w:rsidRPr="00047426">
        <w:rPr>
          <w:rStyle w:val="Hyperlink"/>
          <w:color w:val="auto"/>
          <w:u w:val="none"/>
        </w:rPr>
        <w:t>Flow chart indicating the clinical algorithm proposed for the new service in comparison to the clinical algorithm f</w:t>
      </w:r>
      <w:r w:rsidR="0003006B" w:rsidRPr="00047426">
        <w:rPr>
          <w:rStyle w:val="Hyperlink"/>
          <w:color w:val="auto"/>
          <w:u w:val="none"/>
        </w:rPr>
        <w:t xml:space="preserve">or the comparator of usual care. </w:t>
      </w:r>
      <w:r w:rsidRPr="00047426">
        <w:rPr>
          <w:rStyle w:val="Hyperlink"/>
          <w:color w:val="auto"/>
          <w:u w:val="none"/>
        </w:rPr>
        <w:tab/>
      </w:r>
      <w:r w:rsidR="00B44575" w:rsidRPr="00047426">
        <w:rPr>
          <w:rStyle w:val="Hyperlink"/>
          <w:color w:val="auto"/>
          <w:u w:val="none"/>
        </w:rPr>
        <w:t>1</w:t>
      </w:r>
      <w:r w:rsidR="006C68CF">
        <w:rPr>
          <w:rStyle w:val="Hyperlink"/>
          <w:color w:val="auto"/>
          <w:u w:val="none"/>
        </w:rPr>
        <w:t>2</w:t>
      </w:r>
    </w:p>
    <w:p w14:paraId="7A424C42" w14:textId="0F3A48C2" w:rsidR="00B44575" w:rsidRPr="00047426" w:rsidRDefault="008724B7" w:rsidP="00536011">
      <w:pPr>
        <w:pStyle w:val="TableofFigures"/>
        <w:spacing w:after="0"/>
        <w:rPr>
          <w:rStyle w:val="Hyperlink"/>
          <w:color w:val="auto"/>
          <w:u w:val="none"/>
        </w:rPr>
      </w:pPr>
      <w:r w:rsidRPr="00047426">
        <w:rPr>
          <w:rStyle w:val="Hyperlink"/>
          <w:color w:val="auto"/>
          <w:u w:val="none"/>
        </w:rPr>
        <w:t>ES-2</w:t>
      </w:r>
      <w:r w:rsidRPr="00047426">
        <w:rPr>
          <w:rStyle w:val="Hyperlink"/>
          <w:color w:val="auto"/>
          <w:u w:val="none"/>
        </w:rPr>
        <w:tab/>
      </w:r>
      <w:r w:rsidR="00B44575" w:rsidRPr="00047426">
        <w:rPr>
          <w:rStyle w:val="Hyperlink"/>
          <w:color w:val="auto"/>
          <w:u w:val="none"/>
        </w:rPr>
        <w:t>Flow chart indicating the clinical</w:t>
      </w:r>
      <w:r w:rsidRPr="00047426">
        <w:rPr>
          <w:rStyle w:val="Hyperlink"/>
          <w:color w:val="auto"/>
          <w:u w:val="none"/>
        </w:rPr>
        <w:t xml:space="preserve"> algorithm proposed for the new </w:t>
      </w:r>
      <w:r w:rsidR="00B44575" w:rsidRPr="00047426">
        <w:rPr>
          <w:rStyle w:val="Hyperlink"/>
          <w:color w:val="auto"/>
          <w:u w:val="none"/>
        </w:rPr>
        <w:t>service.</w:t>
      </w:r>
      <w:r w:rsidRPr="00047426">
        <w:rPr>
          <w:rStyle w:val="Hyperlink"/>
          <w:color w:val="auto"/>
          <w:u w:val="none"/>
        </w:rPr>
        <w:t xml:space="preserve"> </w:t>
      </w:r>
      <w:r w:rsidRPr="00047426">
        <w:rPr>
          <w:rStyle w:val="Hyperlink"/>
          <w:color w:val="auto"/>
          <w:u w:val="none"/>
        </w:rPr>
        <w:tab/>
        <w:t>1</w:t>
      </w:r>
      <w:r w:rsidR="006C68CF">
        <w:rPr>
          <w:rStyle w:val="Hyperlink"/>
          <w:color w:val="auto"/>
          <w:u w:val="none"/>
        </w:rPr>
        <w:t>3</w:t>
      </w:r>
    </w:p>
    <w:p w14:paraId="46BE5A32" w14:textId="0C9B74AC" w:rsidR="0003006B" w:rsidRPr="00047426" w:rsidRDefault="0003006B" w:rsidP="00536011">
      <w:pPr>
        <w:pStyle w:val="TableofFigures"/>
        <w:spacing w:after="0"/>
        <w:rPr>
          <w:rStyle w:val="Hyperlink"/>
          <w:color w:val="auto"/>
          <w:u w:val="none"/>
        </w:rPr>
      </w:pPr>
      <w:r w:rsidRPr="00047426">
        <w:rPr>
          <w:rStyle w:val="Hyperlink"/>
          <w:color w:val="auto"/>
          <w:u w:val="none"/>
        </w:rPr>
        <w:t>A-1</w:t>
      </w:r>
      <w:r w:rsidRPr="00047426">
        <w:rPr>
          <w:rStyle w:val="Hyperlink"/>
          <w:color w:val="auto"/>
          <w:u w:val="none"/>
        </w:rPr>
        <w:tab/>
        <w:t>The relationship between medicines, medicine-induced deterioration,</w:t>
      </w:r>
      <w:r w:rsidR="00C0471A">
        <w:rPr>
          <w:rStyle w:val="Hyperlink"/>
          <w:color w:val="auto"/>
          <w:u w:val="none"/>
        </w:rPr>
        <w:t xml:space="preserve"> frailty and adverse events. </w:t>
      </w:r>
      <w:r w:rsidR="00C0471A">
        <w:rPr>
          <w:rStyle w:val="Hyperlink"/>
          <w:color w:val="auto"/>
          <w:u w:val="none"/>
        </w:rPr>
        <w:tab/>
        <w:t>2</w:t>
      </w:r>
      <w:r w:rsidR="006C68CF">
        <w:rPr>
          <w:rStyle w:val="Hyperlink"/>
          <w:color w:val="auto"/>
          <w:u w:val="none"/>
        </w:rPr>
        <w:t>0</w:t>
      </w:r>
    </w:p>
    <w:p w14:paraId="1E4A7574" w14:textId="3EB525EA" w:rsidR="0003006B" w:rsidRPr="00047426" w:rsidRDefault="0003006B" w:rsidP="00536011">
      <w:pPr>
        <w:pStyle w:val="TableofFigures"/>
        <w:spacing w:after="0"/>
        <w:rPr>
          <w:rStyle w:val="Hyperlink"/>
          <w:color w:val="auto"/>
          <w:u w:val="none"/>
        </w:rPr>
      </w:pPr>
      <w:r w:rsidRPr="00047426">
        <w:rPr>
          <w:rStyle w:val="Hyperlink"/>
          <w:color w:val="auto"/>
          <w:u w:val="none"/>
        </w:rPr>
        <w:lastRenderedPageBreak/>
        <w:t>A-2</w:t>
      </w:r>
      <w:r w:rsidRPr="00047426">
        <w:rPr>
          <w:rStyle w:val="Hyperlink"/>
          <w:color w:val="auto"/>
          <w:u w:val="none"/>
        </w:rPr>
        <w:tab/>
        <w:t>Clinical management algorithm for the proposed pharmacist service in comparison to usual care.</w:t>
      </w:r>
      <w:r w:rsidRPr="00047426">
        <w:rPr>
          <w:rStyle w:val="Hyperlink"/>
          <w:color w:val="auto"/>
          <w:u w:val="none"/>
        </w:rPr>
        <w:tab/>
        <w:t xml:space="preserve"> 2</w:t>
      </w:r>
      <w:r w:rsidR="006C68CF">
        <w:rPr>
          <w:rStyle w:val="Hyperlink"/>
          <w:color w:val="auto"/>
          <w:u w:val="none"/>
        </w:rPr>
        <w:t>1</w:t>
      </w:r>
    </w:p>
    <w:p w14:paraId="03AD9DA1" w14:textId="08ACF56B" w:rsidR="006C68CF" w:rsidRPr="006C68CF" w:rsidRDefault="00B569F3" w:rsidP="006C68CF">
      <w:pPr>
        <w:pStyle w:val="TableofFigures"/>
        <w:spacing w:after="0"/>
      </w:pPr>
      <w:r w:rsidRPr="00047426">
        <w:rPr>
          <w:rStyle w:val="Hyperlink"/>
          <w:color w:val="auto"/>
          <w:u w:val="none"/>
        </w:rPr>
        <w:t>A-3</w:t>
      </w:r>
      <w:r w:rsidRPr="00047426">
        <w:rPr>
          <w:rStyle w:val="Hyperlink"/>
          <w:color w:val="auto"/>
          <w:u w:val="none"/>
        </w:rPr>
        <w:tab/>
        <w:t xml:space="preserve">Clinical management algorithm for proposed pharmacist service. </w:t>
      </w:r>
      <w:r w:rsidRPr="00047426">
        <w:rPr>
          <w:rStyle w:val="Hyperlink"/>
          <w:color w:val="auto"/>
          <w:u w:val="none"/>
        </w:rPr>
        <w:tab/>
        <w:t>2</w:t>
      </w:r>
      <w:r w:rsidR="006C68CF">
        <w:rPr>
          <w:rStyle w:val="Hyperlink"/>
          <w:color w:val="auto"/>
          <w:u w:val="none"/>
        </w:rPr>
        <w:t>2</w:t>
      </w:r>
    </w:p>
    <w:p w14:paraId="5C7F248E" w14:textId="201FEB17" w:rsidR="006C68CF" w:rsidRDefault="00A14062" w:rsidP="006C68CF">
      <w:pPr>
        <w:pStyle w:val="TableofFigures"/>
        <w:spacing w:after="0"/>
        <w:rPr>
          <w:rStyle w:val="Hyperlink"/>
          <w:color w:val="auto"/>
          <w:u w:val="none"/>
        </w:rPr>
      </w:pPr>
      <w:r w:rsidRPr="00047426">
        <w:rPr>
          <w:rStyle w:val="Hyperlink"/>
          <w:color w:val="auto"/>
          <w:u w:val="none"/>
        </w:rPr>
        <w:t>B-1</w:t>
      </w:r>
      <w:r w:rsidRPr="00047426">
        <w:rPr>
          <w:rStyle w:val="Hyperlink"/>
          <w:color w:val="auto"/>
          <w:u w:val="none"/>
        </w:rPr>
        <w:tab/>
      </w:r>
      <w:r w:rsidR="006C68CF">
        <w:rPr>
          <w:rStyle w:val="Hyperlink"/>
          <w:color w:val="auto"/>
          <w:u w:val="none"/>
        </w:rPr>
        <w:t>Summary of the process used to identify and select studies for assessment…</w:t>
      </w:r>
      <w:r w:rsidR="006C68CF">
        <w:rPr>
          <w:rStyle w:val="Hyperlink"/>
          <w:color w:val="auto"/>
          <w:u w:val="none"/>
        </w:rPr>
        <w:tab/>
        <w:t>26</w:t>
      </w:r>
    </w:p>
    <w:p w14:paraId="6DD82F7C" w14:textId="6C7828D2" w:rsidR="006C68CF" w:rsidRPr="006C68CF" w:rsidRDefault="006C68CF" w:rsidP="006C68CF">
      <w:pPr>
        <w:pStyle w:val="TableofFigures"/>
        <w:spacing w:after="0"/>
      </w:pPr>
      <w:r>
        <w:rPr>
          <w:rStyle w:val="Hyperlink"/>
          <w:color w:val="auto"/>
          <w:u w:val="none"/>
        </w:rPr>
        <w:t>B-2</w:t>
      </w:r>
      <w:r>
        <w:rPr>
          <w:rStyle w:val="Hyperlink"/>
          <w:color w:val="auto"/>
          <w:u w:val="none"/>
        </w:rPr>
        <w:tab/>
      </w:r>
      <w:r w:rsidR="00A14062" w:rsidRPr="00047426">
        <w:rPr>
          <w:rStyle w:val="Hyperlink"/>
          <w:color w:val="auto"/>
          <w:u w:val="none"/>
        </w:rPr>
        <w:t xml:space="preserve">ReMInDAR recruitment and trial delivery flow chart. </w:t>
      </w:r>
      <w:r w:rsidR="00A14062" w:rsidRPr="00047426">
        <w:rPr>
          <w:rStyle w:val="Hyperlink"/>
          <w:color w:val="auto"/>
          <w:u w:val="none"/>
        </w:rPr>
        <w:tab/>
      </w:r>
      <w:r w:rsidR="00EA5C91">
        <w:rPr>
          <w:rStyle w:val="Hyperlink"/>
          <w:color w:val="auto"/>
          <w:u w:val="none"/>
        </w:rPr>
        <w:t>28</w:t>
      </w:r>
    </w:p>
    <w:p w14:paraId="057E6E96" w14:textId="11C98536" w:rsidR="006C68CF" w:rsidRPr="006C68CF" w:rsidRDefault="00A14062" w:rsidP="006C68CF">
      <w:pPr>
        <w:pStyle w:val="TableofFigures"/>
        <w:spacing w:after="0"/>
      </w:pPr>
      <w:r w:rsidRPr="00047426">
        <w:rPr>
          <w:rStyle w:val="Hyperlink"/>
          <w:color w:val="auto"/>
          <w:u w:val="none"/>
        </w:rPr>
        <w:t>B-</w:t>
      </w:r>
      <w:r w:rsidR="006C68CF">
        <w:rPr>
          <w:rStyle w:val="Hyperlink"/>
          <w:color w:val="auto"/>
          <w:u w:val="none"/>
        </w:rPr>
        <w:t>3</w:t>
      </w:r>
      <w:r w:rsidRPr="00047426">
        <w:rPr>
          <w:rStyle w:val="Hyperlink"/>
          <w:color w:val="auto"/>
          <w:u w:val="none"/>
        </w:rPr>
        <w:tab/>
        <w:t xml:space="preserve">Flow chart for sessional pharmacist visit. </w:t>
      </w:r>
      <w:r w:rsidRPr="00047426">
        <w:rPr>
          <w:rStyle w:val="Hyperlink"/>
          <w:color w:val="auto"/>
          <w:u w:val="none"/>
        </w:rPr>
        <w:tab/>
        <w:t>3</w:t>
      </w:r>
      <w:r w:rsidR="00EA5C91">
        <w:rPr>
          <w:rStyle w:val="Hyperlink"/>
          <w:color w:val="auto"/>
          <w:u w:val="none"/>
        </w:rPr>
        <w:t>1</w:t>
      </w:r>
    </w:p>
    <w:p w14:paraId="2DFAA391" w14:textId="64EA71C8" w:rsidR="006C68CF" w:rsidRPr="006C68CF" w:rsidRDefault="00A37458" w:rsidP="006C68CF">
      <w:pPr>
        <w:pStyle w:val="TableofFigures"/>
        <w:spacing w:after="0"/>
      </w:pPr>
      <w:r w:rsidRPr="00047426">
        <w:rPr>
          <w:rStyle w:val="Hyperlink"/>
          <w:color w:val="auto"/>
          <w:u w:val="none"/>
        </w:rPr>
        <w:t>B-</w:t>
      </w:r>
      <w:r w:rsidR="006C68CF">
        <w:rPr>
          <w:rStyle w:val="Hyperlink"/>
          <w:color w:val="auto"/>
          <w:u w:val="none"/>
        </w:rPr>
        <w:t>4</w:t>
      </w:r>
      <w:r w:rsidRPr="00047426">
        <w:rPr>
          <w:rStyle w:val="Hyperlink"/>
          <w:color w:val="auto"/>
          <w:u w:val="none"/>
        </w:rPr>
        <w:tab/>
        <w:t xml:space="preserve">ReMInDAR consort diagram illustrating the numbers and flow of residents in RACF who were screened, excluded, enrolled, randomised and followed up at each time-point. </w:t>
      </w:r>
      <w:r w:rsidRPr="00047426">
        <w:rPr>
          <w:rStyle w:val="Hyperlink"/>
          <w:color w:val="auto"/>
          <w:u w:val="none"/>
        </w:rPr>
        <w:tab/>
        <w:t>4</w:t>
      </w:r>
      <w:r w:rsidR="00EA5C91">
        <w:rPr>
          <w:rStyle w:val="Hyperlink"/>
          <w:color w:val="auto"/>
          <w:u w:val="none"/>
        </w:rPr>
        <w:t>1</w:t>
      </w:r>
    </w:p>
    <w:p w14:paraId="5014ED07" w14:textId="1D0D7C11" w:rsidR="00C0471A" w:rsidRDefault="00A63D40" w:rsidP="00E62631">
      <w:pPr>
        <w:pStyle w:val="TableofFigures"/>
        <w:spacing w:after="0"/>
        <w:rPr>
          <w:rStyle w:val="Hyperlink"/>
          <w:color w:val="auto"/>
          <w:u w:val="none"/>
        </w:rPr>
      </w:pPr>
      <w:r w:rsidRPr="00047426">
        <w:rPr>
          <w:rStyle w:val="Hyperlink"/>
          <w:color w:val="auto"/>
          <w:u w:val="none"/>
        </w:rPr>
        <w:t>B-</w:t>
      </w:r>
      <w:r w:rsidR="006C68CF">
        <w:rPr>
          <w:rStyle w:val="Hyperlink"/>
          <w:color w:val="auto"/>
          <w:u w:val="none"/>
        </w:rPr>
        <w:t>5</w:t>
      </w:r>
      <w:r w:rsidRPr="00047426">
        <w:rPr>
          <w:rStyle w:val="Hyperlink"/>
          <w:color w:val="auto"/>
          <w:u w:val="none"/>
        </w:rPr>
        <w:tab/>
      </w:r>
      <w:r w:rsidR="00C0471A" w:rsidRPr="00C0471A">
        <w:rPr>
          <w:rStyle w:val="Hyperlink"/>
          <w:color w:val="auto"/>
          <w:u w:val="none"/>
        </w:rPr>
        <w:t>Deaths in ReMInDAR cohort by trial arm aligned to timing of pharmacist session…..</w:t>
      </w:r>
      <w:r w:rsidR="00E62631">
        <w:rPr>
          <w:rStyle w:val="Hyperlink"/>
          <w:color w:val="auto"/>
          <w:u w:val="none"/>
        </w:rPr>
        <w:tab/>
        <w:t>4</w:t>
      </w:r>
      <w:r w:rsidR="00EA5C91">
        <w:rPr>
          <w:rStyle w:val="Hyperlink"/>
          <w:color w:val="auto"/>
          <w:u w:val="none"/>
        </w:rPr>
        <w:t>2</w:t>
      </w:r>
    </w:p>
    <w:p w14:paraId="6383F025" w14:textId="13CF0E4A" w:rsidR="006C68CF" w:rsidRPr="006C68CF" w:rsidRDefault="00C0471A" w:rsidP="006C68CF">
      <w:pPr>
        <w:pStyle w:val="TableofFigures"/>
        <w:spacing w:after="0"/>
      </w:pPr>
      <w:r w:rsidRPr="00047426">
        <w:rPr>
          <w:rStyle w:val="Hyperlink"/>
          <w:color w:val="auto"/>
          <w:u w:val="none"/>
        </w:rPr>
        <w:t>B-</w:t>
      </w:r>
      <w:r w:rsidR="006C68CF">
        <w:rPr>
          <w:rStyle w:val="Hyperlink"/>
          <w:color w:val="auto"/>
          <w:u w:val="none"/>
        </w:rPr>
        <w:t>6</w:t>
      </w:r>
      <w:r>
        <w:rPr>
          <w:rStyle w:val="Hyperlink"/>
          <w:color w:val="auto"/>
          <w:u w:val="none"/>
        </w:rPr>
        <w:tab/>
      </w:r>
      <w:r w:rsidR="00A63D40" w:rsidRPr="00047426">
        <w:rPr>
          <w:rStyle w:val="Hyperlink"/>
          <w:color w:val="auto"/>
          <w:u w:val="none"/>
        </w:rPr>
        <w:t>Pharmacist</w:t>
      </w:r>
      <w:r w:rsidR="006C68CF">
        <w:rPr>
          <w:rStyle w:val="Hyperlink"/>
          <w:color w:val="auto"/>
          <w:u w:val="none"/>
        </w:rPr>
        <w:t xml:space="preserve"> documentation by recipient. </w:t>
      </w:r>
      <w:r w:rsidR="006C68CF">
        <w:rPr>
          <w:rStyle w:val="Hyperlink"/>
          <w:color w:val="auto"/>
          <w:u w:val="none"/>
        </w:rPr>
        <w:tab/>
        <w:t>4</w:t>
      </w:r>
      <w:r w:rsidR="00EA5C91">
        <w:rPr>
          <w:rStyle w:val="Hyperlink"/>
          <w:color w:val="auto"/>
          <w:u w:val="none"/>
        </w:rPr>
        <w:t>6</w:t>
      </w:r>
    </w:p>
    <w:p w14:paraId="5C2B659C" w14:textId="6C284927" w:rsidR="006C68CF" w:rsidRDefault="006C68CF" w:rsidP="00536011">
      <w:pPr>
        <w:pStyle w:val="TableofFigures"/>
        <w:spacing w:after="0"/>
        <w:rPr>
          <w:rStyle w:val="Hyperlink"/>
          <w:color w:val="auto"/>
          <w:u w:val="none"/>
        </w:rPr>
      </w:pPr>
      <w:r>
        <w:rPr>
          <w:rStyle w:val="Hyperlink"/>
          <w:color w:val="auto"/>
          <w:u w:val="none"/>
        </w:rPr>
        <w:t>B7</w:t>
      </w:r>
      <w:r>
        <w:rPr>
          <w:rStyle w:val="Hyperlink"/>
          <w:color w:val="auto"/>
          <w:u w:val="none"/>
        </w:rPr>
        <w:tab/>
        <w:t>Number of problems of symptom reports per person per session..</w:t>
      </w:r>
      <w:r>
        <w:rPr>
          <w:rStyle w:val="Hyperlink"/>
          <w:color w:val="auto"/>
          <w:u w:val="none"/>
        </w:rPr>
        <w:tab/>
        <w:t>47</w:t>
      </w:r>
    </w:p>
    <w:p w14:paraId="608B4CA9" w14:textId="5B088512" w:rsidR="006C68CF" w:rsidRPr="006C68CF" w:rsidRDefault="006C68CF" w:rsidP="006C68CF">
      <w:pPr>
        <w:pStyle w:val="TableofFigures"/>
        <w:spacing w:after="0"/>
        <w:rPr>
          <w:rStyle w:val="Hyperlink"/>
          <w:color w:val="auto"/>
          <w:u w:val="none"/>
        </w:rPr>
      </w:pPr>
      <w:r>
        <w:rPr>
          <w:rStyle w:val="Hyperlink"/>
          <w:color w:val="auto"/>
          <w:u w:val="none"/>
        </w:rPr>
        <w:t>B-8</w:t>
      </w:r>
      <w:r>
        <w:rPr>
          <w:rStyle w:val="Hyperlink"/>
          <w:color w:val="auto"/>
          <w:u w:val="none"/>
        </w:rPr>
        <w:tab/>
      </w:r>
      <w:r w:rsidRPr="006C68CF">
        <w:rPr>
          <w:rStyle w:val="Hyperlink"/>
          <w:color w:val="auto"/>
          <w:u w:val="none"/>
        </w:rPr>
        <w:t>Probability to develop a new medicine related problem, by session…</w:t>
      </w:r>
      <w:r w:rsidRPr="006C68CF">
        <w:rPr>
          <w:rStyle w:val="Hyperlink"/>
          <w:color w:val="auto"/>
          <w:u w:val="none"/>
        </w:rPr>
        <w:tab/>
        <w:t>47</w:t>
      </w:r>
    </w:p>
    <w:p w14:paraId="74F24E9A" w14:textId="69C8ED28" w:rsidR="006C68CF" w:rsidRDefault="006C68CF" w:rsidP="006C68CF">
      <w:pPr>
        <w:pStyle w:val="TableofFigures"/>
        <w:spacing w:after="0"/>
        <w:rPr>
          <w:rStyle w:val="Hyperlink"/>
          <w:color w:val="auto"/>
          <w:u w:val="none"/>
        </w:rPr>
      </w:pPr>
      <w:r w:rsidRPr="006C68CF">
        <w:rPr>
          <w:rStyle w:val="Hyperlink"/>
          <w:color w:val="auto"/>
          <w:u w:val="none"/>
        </w:rPr>
        <w:t>B-9</w:t>
      </w:r>
      <w:r w:rsidRPr="006C68CF">
        <w:rPr>
          <w:rStyle w:val="Hyperlink"/>
          <w:color w:val="auto"/>
          <w:u w:val="none"/>
        </w:rPr>
        <w:tab/>
        <w:t>Proportion of the population with medicine related problems identified…</w:t>
      </w:r>
      <w:r w:rsidRPr="006C68CF">
        <w:rPr>
          <w:rStyle w:val="Hyperlink"/>
          <w:color w:val="auto"/>
          <w:u w:val="none"/>
        </w:rPr>
        <w:tab/>
        <w:t>.4</w:t>
      </w:r>
      <w:r w:rsidR="00EA5C91">
        <w:rPr>
          <w:rStyle w:val="Hyperlink"/>
          <w:color w:val="auto"/>
          <w:u w:val="none"/>
        </w:rPr>
        <w:t>8</w:t>
      </w:r>
    </w:p>
    <w:p w14:paraId="748BD3D3" w14:textId="25F8262F" w:rsidR="006C68CF" w:rsidRPr="006C68CF" w:rsidRDefault="006C68CF" w:rsidP="006C68CF">
      <w:pPr>
        <w:pStyle w:val="TableofFigures"/>
        <w:spacing w:after="0"/>
        <w:rPr>
          <w:rStyle w:val="Hyperlink"/>
          <w:color w:val="auto"/>
          <w:u w:val="none"/>
        </w:rPr>
      </w:pPr>
      <w:r w:rsidRPr="006C68CF">
        <w:rPr>
          <w:rStyle w:val="Hyperlink"/>
          <w:color w:val="auto"/>
          <w:u w:val="none"/>
        </w:rPr>
        <w:t xml:space="preserve">B-10 </w:t>
      </w:r>
      <w:r>
        <w:rPr>
          <w:rStyle w:val="Hyperlink"/>
          <w:color w:val="auto"/>
          <w:u w:val="none"/>
        </w:rPr>
        <w:tab/>
      </w:r>
      <w:r w:rsidRPr="006C68CF">
        <w:rPr>
          <w:rStyle w:val="Hyperlink"/>
          <w:color w:val="auto"/>
          <w:u w:val="none"/>
        </w:rPr>
        <w:t>Proportion of the population with recommendations to change medicine..</w:t>
      </w:r>
      <w:r w:rsidRPr="006C68CF">
        <w:rPr>
          <w:rStyle w:val="Hyperlink"/>
          <w:color w:val="auto"/>
          <w:u w:val="none"/>
        </w:rPr>
        <w:tab/>
        <w:t>49</w:t>
      </w:r>
    </w:p>
    <w:p w14:paraId="6DDE6859" w14:textId="5C94CAC2" w:rsidR="00C0471A" w:rsidRPr="00276B5A" w:rsidRDefault="006C68CF" w:rsidP="006C68CF">
      <w:pPr>
        <w:pStyle w:val="TableofFigures"/>
        <w:spacing w:after="0"/>
      </w:pPr>
      <w:r>
        <w:rPr>
          <w:rStyle w:val="Hyperlink"/>
          <w:color w:val="auto"/>
          <w:u w:val="none"/>
        </w:rPr>
        <w:t>B-11</w:t>
      </w:r>
      <w:r w:rsidR="00A63D40" w:rsidRPr="00047426">
        <w:rPr>
          <w:rStyle w:val="Hyperlink"/>
          <w:color w:val="auto"/>
          <w:u w:val="none"/>
        </w:rPr>
        <w:tab/>
      </w:r>
      <w:r w:rsidR="00C0471A" w:rsidRPr="00276B5A">
        <w:t>Modelled mean change in Frailty Index from baseline in intervention and control arms..</w:t>
      </w:r>
      <w:r w:rsidR="00C0471A" w:rsidRPr="00276B5A">
        <w:tab/>
        <w:t>5</w:t>
      </w:r>
      <w:r w:rsidR="00EA5C91">
        <w:t>1</w:t>
      </w:r>
    </w:p>
    <w:p w14:paraId="08560F7A" w14:textId="2B84473E" w:rsidR="00C0471A" w:rsidRPr="00EF66EF" w:rsidRDefault="006C68CF" w:rsidP="00EF66EF">
      <w:pPr>
        <w:pStyle w:val="TableofFigures"/>
        <w:spacing w:after="0"/>
        <w:rPr>
          <w:rStyle w:val="Hyperlink"/>
          <w:color w:val="auto"/>
          <w:u w:val="none"/>
        </w:rPr>
      </w:pPr>
      <w:r w:rsidRPr="00EF66EF">
        <w:rPr>
          <w:rStyle w:val="Hyperlink"/>
          <w:color w:val="auto"/>
          <w:u w:val="none"/>
        </w:rPr>
        <w:t>B-12</w:t>
      </w:r>
      <w:r w:rsidR="00C0471A" w:rsidRPr="00EF66EF">
        <w:rPr>
          <w:rStyle w:val="Hyperlink"/>
          <w:color w:val="auto"/>
          <w:u w:val="none"/>
        </w:rPr>
        <w:tab/>
        <w:t>Modelled mean change in MoCA from baseline in intervention and control arms….</w:t>
      </w:r>
      <w:r w:rsidR="00C0471A" w:rsidRPr="00EF66EF">
        <w:rPr>
          <w:rStyle w:val="Hyperlink"/>
          <w:color w:val="auto"/>
          <w:u w:val="none"/>
        </w:rPr>
        <w:tab/>
      </w:r>
      <w:r w:rsidR="00276B5A" w:rsidRPr="00EF66EF">
        <w:rPr>
          <w:rStyle w:val="Hyperlink"/>
          <w:color w:val="auto"/>
          <w:u w:val="none"/>
        </w:rPr>
        <w:t>5</w:t>
      </w:r>
      <w:r w:rsidR="00EA5C91" w:rsidRPr="00EF66EF">
        <w:rPr>
          <w:rStyle w:val="Hyperlink"/>
          <w:color w:val="auto"/>
          <w:u w:val="none"/>
        </w:rPr>
        <w:t>5</w:t>
      </w:r>
    </w:p>
    <w:p w14:paraId="689C7995" w14:textId="5918A182" w:rsidR="00C0471A" w:rsidRPr="00EF66EF" w:rsidRDefault="006C68CF" w:rsidP="00EF66EF">
      <w:pPr>
        <w:pStyle w:val="TableofFigures"/>
        <w:spacing w:after="0"/>
        <w:rPr>
          <w:rStyle w:val="Hyperlink"/>
          <w:color w:val="auto"/>
          <w:u w:val="none"/>
        </w:rPr>
      </w:pPr>
      <w:r w:rsidRPr="00EF66EF">
        <w:rPr>
          <w:rStyle w:val="Hyperlink"/>
          <w:color w:val="auto"/>
          <w:u w:val="none"/>
        </w:rPr>
        <w:t>B-13</w:t>
      </w:r>
      <w:r w:rsidR="00C0471A" w:rsidRPr="00EF66EF">
        <w:rPr>
          <w:rStyle w:val="Hyperlink"/>
          <w:color w:val="auto"/>
          <w:u w:val="none"/>
        </w:rPr>
        <w:tab/>
        <w:t>Modelled mean change in weight from baseline in intervention and control arms….</w:t>
      </w:r>
      <w:r w:rsidR="00C0471A" w:rsidRPr="00EF66EF">
        <w:rPr>
          <w:rStyle w:val="Hyperlink"/>
          <w:color w:val="auto"/>
          <w:u w:val="none"/>
        </w:rPr>
        <w:tab/>
      </w:r>
      <w:r w:rsidR="00EA5C91" w:rsidRPr="00EF66EF">
        <w:rPr>
          <w:rStyle w:val="Hyperlink"/>
          <w:color w:val="auto"/>
          <w:u w:val="none"/>
        </w:rPr>
        <w:t>55</w:t>
      </w:r>
    </w:p>
    <w:p w14:paraId="355D4BB6" w14:textId="3431C22F" w:rsidR="006C68CF" w:rsidRPr="00EF66EF" w:rsidRDefault="006C68CF" w:rsidP="00EF66EF">
      <w:pPr>
        <w:pStyle w:val="TableofFigures"/>
        <w:spacing w:after="0"/>
        <w:rPr>
          <w:rStyle w:val="Hyperlink"/>
          <w:color w:val="auto"/>
          <w:u w:val="none"/>
        </w:rPr>
      </w:pPr>
      <w:r w:rsidRPr="00EF66EF">
        <w:rPr>
          <w:rStyle w:val="Hyperlink"/>
          <w:color w:val="auto"/>
          <w:u w:val="none"/>
        </w:rPr>
        <w:t>B-14</w:t>
      </w:r>
      <w:r w:rsidRPr="00EF66EF">
        <w:rPr>
          <w:rStyle w:val="Hyperlink"/>
          <w:color w:val="auto"/>
          <w:u w:val="none"/>
        </w:rPr>
        <w:tab/>
        <w:t>Preventability characterisation of adverse medicine events..</w:t>
      </w:r>
      <w:r w:rsidRPr="00EF66EF">
        <w:rPr>
          <w:rStyle w:val="Hyperlink"/>
          <w:color w:val="auto"/>
          <w:u w:val="none"/>
        </w:rPr>
        <w:tab/>
      </w:r>
      <w:r w:rsidR="00EA5C91" w:rsidRPr="00EF66EF">
        <w:rPr>
          <w:rStyle w:val="Hyperlink"/>
          <w:color w:val="auto"/>
          <w:u w:val="none"/>
        </w:rPr>
        <w:t>57</w:t>
      </w:r>
    </w:p>
    <w:p w14:paraId="0055EE67" w14:textId="1656ACD6" w:rsidR="00E62631" w:rsidRPr="00EF66EF" w:rsidRDefault="006C68CF" w:rsidP="00EF66EF">
      <w:pPr>
        <w:pStyle w:val="TableofFigures"/>
        <w:spacing w:after="0"/>
        <w:rPr>
          <w:rStyle w:val="Hyperlink"/>
          <w:color w:val="auto"/>
          <w:u w:val="none"/>
        </w:rPr>
      </w:pPr>
      <w:r w:rsidRPr="00EF66EF">
        <w:rPr>
          <w:rStyle w:val="Hyperlink"/>
          <w:color w:val="auto"/>
          <w:u w:val="none"/>
        </w:rPr>
        <w:t>B-15</w:t>
      </w:r>
      <w:r w:rsidRPr="00EF66EF">
        <w:rPr>
          <w:rStyle w:val="Hyperlink"/>
          <w:color w:val="auto"/>
          <w:u w:val="none"/>
        </w:rPr>
        <w:tab/>
        <w:t>Predicted changes in activity across a 12 month period when medicine loads are changed..</w:t>
      </w:r>
      <w:r w:rsidRPr="00EF66EF">
        <w:rPr>
          <w:rStyle w:val="Hyperlink"/>
          <w:color w:val="auto"/>
          <w:u w:val="none"/>
        </w:rPr>
        <w:tab/>
      </w:r>
      <w:r w:rsidR="00EA5C91" w:rsidRPr="00EF66EF">
        <w:rPr>
          <w:rStyle w:val="Hyperlink"/>
          <w:color w:val="auto"/>
          <w:u w:val="none"/>
        </w:rPr>
        <w:t>59</w:t>
      </w:r>
    </w:p>
    <w:p w14:paraId="2B9827D0" w14:textId="45891024" w:rsidR="00E62631" w:rsidRPr="00EF66EF" w:rsidRDefault="00E62631" w:rsidP="00EF66EF">
      <w:pPr>
        <w:pStyle w:val="TableofFigures"/>
        <w:spacing w:after="0"/>
        <w:rPr>
          <w:rStyle w:val="Hyperlink"/>
          <w:color w:val="auto"/>
          <w:u w:val="none"/>
        </w:rPr>
      </w:pPr>
      <w:r w:rsidRPr="00EF66EF">
        <w:rPr>
          <w:rStyle w:val="Hyperlink"/>
          <w:color w:val="auto"/>
          <w:u w:val="none"/>
        </w:rPr>
        <w:t>E-1</w:t>
      </w:r>
      <w:r w:rsidRPr="00EF66EF">
        <w:rPr>
          <w:rStyle w:val="Hyperlink"/>
          <w:color w:val="auto"/>
          <w:u w:val="none"/>
        </w:rPr>
        <w:tab/>
        <w:t>Number of people in permanent residential aged care, projected to 2025-26……</w:t>
      </w:r>
      <w:r w:rsidRPr="00EF66EF">
        <w:rPr>
          <w:rStyle w:val="Hyperlink"/>
          <w:color w:val="auto"/>
          <w:u w:val="none"/>
        </w:rPr>
        <w:tab/>
      </w:r>
      <w:r w:rsidR="00F03C0B" w:rsidRPr="00EF66EF">
        <w:rPr>
          <w:rStyle w:val="Hyperlink"/>
          <w:color w:val="auto"/>
          <w:u w:val="none"/>
        </w:rPr>
        <w:t>8</w:t>
      </w:r>
      <w:r w:rsidR="00EA5C91" w:rsidRPr="00EF66EF">
        <w:rPr>
          <w:rStyle w:val="Hyperlink"/>
          <w:color w:val="auto"/>
          <w:u w:val="none"/>
        </w:rPr>
        <w:t>3</w:t>
      </w:r>
    </w:p>
    <w:p w14:paraId="29B54121" w14:textId="00BD3473" w:rsidR="00E62631" w:rsidRPr="00EF66EF" w:rsidRDefault="00E62631" w:rsidP="00EF66EF">
      <w:pPr>
        <w:pStyle w:val="TableofFigures"/>
        <w:spacing w:after="0"/>
        <w:rPr>
          <w:rStyle w:val="Hyperlink"/>
          <w:color w:val="auto"/>
          <w:u w:val="none"/>
        </w:rPr>
      </w:pPr>
      <w:r w:rsidRPr="00EF66EF">
        <w:rPr>
          <w:rStyle w:val="Hyperlink"/>
          <w:color w:val="auto"/>
          <w:u w:val="none"/>
        </w:rPr>
        <w:t>F-1</w:t>
      </w:r>
      <w:r w:rsidRPr="00EF66EF">
        <w:rPr>
          <w:rStyle w:val="Hyperlink"/>
          <w:color w:val="auto"/>
          <w:u w:val="none"/>
        </w:rPr>
        <w:tab/>
        <w:t>Conceptual framework of the service.</w:t>
      </w:r>
      <w:r w:rsidR="00276B5A" w:rsidRPr="00EF66EF">
        <w:rPr>
          <w:rStyle w:val="Hyperlink"/>
          <w:color w:val="auto"/>
          <w:u w:val="none"/>
        </w:rPr>
        <w:tab/>
      </w:r>
      <w:r w:rsidR="00F03C0B" w:rsidRPr="00EF66EF">
        <w:rPr>
          <w:rStyle w:val="Hyperlink"/>
          <w:color w:val="auto"/>
          <w:u w:val="none"/>
        </w:rPr>
        <w:t>1</w:t>
      </w:r>
      <w:r w:rsidR="00EA5C91" w:rsidRPr="00EF66EF">
        <w:rPr>
          <w:rStyle w:val="Hyperlink"/>
          <w:color w:val="auto"/>
          <w:u w:val="none"/>
        </w:rPr>
        <w:t>00</w:t>
      </w:r>
    </w:p>
    <w:p w14:paraId="29904E4E" w14:textId="0949C1E1" w:rsidR="00E62631" w:rsidRPr="00276B5A" w:rsidRDefault="00E62631" w:rsidP="00276B5A">
      <w:pPr>
        <w:pStyle w:val="TableofFigures"/>
        <w:spacing w:after="0"/>
        <w:rPr>
          <w:rStyle w:val="Hyperlink"/>
          <w:color w:val="auto"/>
          <w:u w:val="none"/>
        </w:rPr>
      </w:pPr>
      <w:r w:rsidRPr="00276B5A">
        <w:rPr>
          <w:rStyle w:val="Hyperlink"/>
          <w:color w:val="auto"/>
          <w:u w:val="none"/>
        </w:rPr>
        <w:t>AppB-</w:t>
      </w:r>
      <w:r w:rsidR="00490A71">
        <w:rPr>
          <w:rStyle w:val="Hyperlink"/>
          <w:color w:val="auto"/>
          <w:u w:val="none"/>
        </w:rPr>
        <w:t>1</w:t>
      </w:r>
      <w:r w:rsidRPr="00276B5A">
        <w:rPr>
          <w:rStyle w:val="Hyperlink"/>
          <w:color w:val="auto"/>
          <w:u w:val="none"/>
        </w:rPr>
        <w:tab/>
        <w:t>Summary of the process used to identify and select studies for assessment</w:t>
      </w:r>
      <w:r w:rsidR="00276B5A">
        <w:rPr>
          <w:rStyle w:val="Hyperlink"/>
          <w:color w:val="auto"/>
          <w:u w:val="none"/>
        </w:rPr>
        <w:tab/>
      </w:r>
      <w:r w:rsidR="00F03C0B">
        <w:rPr>
          <w:rStyle w:val="Hyperlink"/>
          <w:color w:val="auto"/>
          <w:u w:val="none"/>
        </w:rPr>
        <w:t>1</w:t>
      </w:r>
      <w:r w:rsidR="00EA5C91">
        <w:rPr>
          <w:rStyle w:val="Hyperlink"/>
          <w:color w:val="auto"/>
          <w:u w:val="none"/>
        </w:rPr>
        <w:t>09</w:t>
      </w:r>
    </w:p>
    <w:p w14:paraId="2018CC79" w14:textId="5156C88C" w:rsidR="00E62631" w:rsidRPr="00276B5A" w:rsidRDefault="00490A71" w:rsidP="00276B5A">
      <w:pPr>
        <w:pStyle w:val="TableofFigures"/>
        <w:spacing w:after="0"/>
        <w:rPr>
          <w:rStyle w:val="Hyperlink"/>
          <w:color w:val="auto"/>
          <w:u w:val="none"/>
        </w:rPr>
      </w:pPr>
      <w:r>
        <w:rPr>
          <w:rStyle w:val="Hyperlink"/>
          <w:color w:val="auto"/>
          <w:u w:val="none"/>
        </w:rPr>
        <w:t>AppB-2</w:t>
      </w:r>
      <w:r w:rsidR="00E62631" w:rsidRPr="00276B5A">
        <w:rPr>
          <w:rStyle w:val="Hyperlink"/>
          <w:color w:val="auto"/>
          <w:u w:val="none"/>
        </w:rPr>
        <w:tab/>
        <w:t>Summary of risk of bias, assessed with Cochrane’s Risk of Bias tool</w:t>
      </w:r>
      <w:r w:rsidR="00276B5A">
        <w:rPr>
          <w:rStyle w:val="Hyperlink"/>
          <w:color w:val="auto"/>
          <w:u w:val="none"/>
        </w:rPr>
        <w:tab/>
      </w:r>
      <w:r w:rsidR="00EA5C91">
        <w:rPr>
          <w:rStyle w:val="Hyperlink"/>
          <w:color w:val="auto"/>
          <w:u w:val="none"/>
        </w:rPr>
        <w:t>110</w:t>
      </w:r>
    </w:p>
    <w:p w14:paraId="2018A20E" w14:textId="3ED4EB7C" w:rsidR="00E62631" w:rsidRPr="00E62631" w:rsidRDefault="00E62631" w:rsidP="0033664F">
      <w:pPr>
        <w:pStyle w:val="TableofFigures"/>
        <w:spacing w:after="0"/>
      </w:pPr>
      <w:r w:rsidRPr="00276B5A">
        <w:rPr>
          <w:rStyle w:val="Hyperlink"/>
          <w:color w:val="auto"/>
          <w:u w:val="none"/>
        </w:rPr>
        <w:t>AppE-1</w:t>
      </w:r>
      <w:r w:rsidRPr="00276B5A">
        <w:rPr>
          <w:rStyle w:val="Hyperlink"/>
          <w:color w:val="auto"/>
          <w:u w:val="none"/>
        </w:rPr>
        <w:tab/>
        <w:t>Test for survivor bias using the Kaplan Meier curve for mortality.</w:t>
      </w:r>
      <w:r w:rsidR="00276B5A">
        <w:rPr>
          <w:rStyle w:val="Hyperlink"/>
          <w:color w:val="auto"/>
          <w:u w:val="none"/>
        </w:rPr>
        <w:tab/>
      </w:r>
      <w:r w:rsidR="00EA5C91">
        <w:rPr>
          <w:rStyle w:val="Hyperlink"/>
          <w:color w:val="auto"/>
          <w:u w:val="none"/>
        </w:rPr>
        <w:t>126</w:t>
      </w:r>
    </w:p>
    <w:p w14:paraId="467761C0" w14:textId="1FC78548" w:rsidR="00E62631" w:rsidRDefault="00E62631" w:rsidP="007501B9"/>
    <w:p w14:paraId="4450E39D" w14:textId="77777777" w:rsidR="00E62631" w:rsidRPr="00E62631" w:rsidRDefault="00E62631" w:rsidP="007501B9">
      <w:pPr>
        <w:sectPr w:rsidR="00E62631" w:rsidRPr="00E62631" w:rsidSect="0080059D">
          <w:headerReference w:type="even" r:id="rId12"/>
          <w:headerReference w:type="default" r:id="rId13"/>
          <w:footerReference w:type="even" r:id="rId14"/>
          <w:footerReference w:type="default" r:id="rId15"/>
          <w:headerReference w:type="first" r:id="rId16"/>
          <w:type w:val="oddPage"/>
          <w:pgSz w:w="11906" w:h="16838"/>
          <w:pgMar w:top="1440" w:right="1440" w:bottom="1440" w:left="1440" w:header="720" w:footer="720" w:gutter="0"/>
          <w:paperSrc w:first="2" w:other="2"/>
          <w:pgNumType w:fmt="lowerRoman"/>
          <w:cols w:space="720"/>
          <w:docGrid w:linePitch="299"/>
        </w:sectPr>
      </w:pPr>
    </w:p>
    <w:p w14:paraId="07B5753F" w14:textId="77777777" w:rsidR="0011266C" w:rsidRPr="00F42B1D" w:rsidRDefault="0011266C" w:rsidP="0011266C">
      <w:pPr>
        <w:pStyle w:val="Heading1"/>
      </w:pPr>
      <w:bookmarkStart w:id="33" w:name="_Toc355274699"/>
      <w:bookmarkStart w:id="34" w:name="_Ref363826811"/>
      <w:bookmarkStart w:id="35" w:name="_Toc379118061"/>
      <w:bookmarkStart w:id="36" w:name="_Toc381796437"/>
      <w:bookmarkStart w:id="37" w:name="_Toc117758209"/>
      <w:bookmarkStart w:id="38" w:name="_Toc451749499"/>
      <w:bookmarkStart w:id="39" w:name="_Toc236559502"/>
      <w:bookmarkStart w:id="40" w:name="_Toc379118056"/>
      <w:bookmarkStart w:id="41" w:name="_Toc381796428"/>
      <w:r w:rsidRPr="00F42B1D">
        <w:lastRenderedPageBreak/>
        <w:t>Acronyms and Abbreviations</w:t>
      </w:r>
      <w:bookmarkEnd w:id="33"/>
      <w:bookmarkEnd w:id="34"/>
      <w:bookmarkEnd w:id="35"/>
      <w:bookmarkEnd w:id="36"/>
      <w:bookmarkEnd w:id="37"/>
    </w:p>
    <w:tbl>
      <w:tblPr>
        <w:tblStyle w:val="ListTable3"/>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Caption w:val="abbreviations"/>
        <w:tblDescription w:val="Table describing the full text meaning of acronymns and abbreviations in the document"/>
      </w:tblPr>
      <w:tblGrid>
        <w:gridCol w:w="3539"/>
        <w:gridCol w:w="5480"/>
      </w:tblGrid>
      <w:tr w:rsidR="0011266C" w14:paraId="38D07CCF" w14:textId="77777777" w:rsidTr="008F1E8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539" w:type="dxa"/>
            <w:tcBorders>
              <w:bottom w:val="none" w:sz="0" w:space="0" w:color="auto"/>
              <w:right w:val="none" w:sz="0" w:space="0" w:color="auto"/>
            </w:tcBorders>
          </w:tcPr>
          <w:p w14:paraId="575F9866" w14:textId="30E25002" w:rsidR="0011266C" w:rsidRPr="00AB5D96" w:rsidRDefault="0011266C" w:rsidP="0011266C">
            <w:pPr>
              <w:pStyle w:val="TableHeader"/>
              <w:rPr>
                <w:b/>
              </w:rPr>
            </w:pPr>
            <w:bookmarkStart w:id="42" w:name="ColumnTitle_1"/>
            <w:bookmarkEnd w:id="42"/>
            <w:r w:rsidRPr="00AB5D96">
              <w:rPr>
                <w:b/>
              </w:rPr>
              <w:t>Acronym/</w:t>
            </w:r>
            <w:r>
              <w:rPr>
                <w:b/>
              </w:rPr>
              <w:t>A</w:t>
            </w:r>
            <w:r w:rsidRPr="00AB5D96">
              <w:rPr>
                <w:b/>
              </w:rPr>
              <w:t>bbreviation</w:t>
            </w:r>
          </w:p>
        </w:tc>
        <w:tc>
          <w:tcPr>
            <w:tcW w:w="5480" w:type="dxa"/>
          </w:tcPr>
          <w:p w14:paraId="096668D6" w14:textId="77777777" w:rsidR="0011266C" w:rsidRPr="00AB5D96" w:rsidRDefault="0011266C" w:rsidP="0011266C">
            <w:pPr>
              <w:pStyle w:val="TableHeader"/>
              <w:cnfStyle w:val="100000000000" w:firstRow="1" w:lastRow="0" w:firstColumn="0" w:lastColumn="0" w:oddVBand="0" w:evenVBand="0" w:oddHBand="0" w:evenHBand="0" w:firstRowFirstColumn="0" w:firstRowLastColumn="0" w:lastRowFirstColumn="0" w:lastRowLastColumn="0"/>
              <w:rPr>
                <w:b/>
              </w:rPr>
            </w:pPr>
            <w:r w:rsidRPr="00AB5D96">
              <w:rPr>
                <w:b/>
              </w:rPr>
              <w:t>Meaning</w:t>
            </w:r>
          </w:p>
        </w:tc>
      </w:tr>
      <w:tr w:rsidR="0011266C" w14:paraId="3C371CD7" w14:textId="77777777" w:rsidTr="0011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tcPr>
          <w:p w14:paraId="1373214B" w14:textId="0D30E2C9" w:rsidR="0011266C" w:rsidRDefault="0011266C" w:rsidP="0011266C">
            <w:pPr>
              <w:pStyle w:val="Tabletext1"/>
            </w:pPr>
            <w:r>
              <w:t>ADE</w:t>
            </w:r>
          </w:p>
        </w:tc>
        <w:tc>
          <w:tcPr>
            <w:tcW w:w="5480" w:type="dxa"/>
            <w:tcBorders>
              <w:top w:val="none" w:sz="0" w:space="0" w:color="auto"/>
              <w:bottom w:val="none" w:sz="0" w:space="0" w:color="auto"/>
            </w:tcBorders>
          </w:tcPr>
          <w:p w14:paraId="5E45F0E3" w14:textId="0DF6B75B" w:rsidR="0011266C" w:rsidRDefault="0011266C" w:rsidP="0011266C">
            <w:pPr>
              <w:pStyle w:val="Tabletext1"/>
              <w:cnfStyle w:val="000000100000" w:firstRow="0" w:lastRow="0" w:firstColumn="0" w:lastColumn="0" w:oddVBand="0" w:evenVBand="0" w:oddHBand="1" w:evenHBand="0" w:firstRowFirstColumn="0" w:firstRowLastColumn="0" w:lastRowFirstColumn="0" w:lastRowLastColumn="0"/>
            </w:pPr>
            <w:r>
              <w:t>Adverse drug event</w:t>
            </w:r>
          </w:p>
        </w:tc>
      </w:tr>
      <w:tr w:rsidR="0011266C" w14:paraId="068C926A" w14:textId="77777777" w:rsidTr="0011266C">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tcPr>
          <w:p w14:paraId="7DE2BFDB" w14:textId="6480FE6C" w:rsidR="0011266C" w:rsidRDefault="0011266C" w:rsidP="0011266C">
            <w:pPr>
              <w:pStyle w:val="Tabletext1"/>
            </w:pPr>
            <w:r>
              <w:t>ADL</w:t>
            </w:r>
          </w:p>
        </w:tc>
        <w:tc>
          <w:tcPr>
            <w:tcW w:w="5480" w:type="dxa"/>
          </w:tcPr>
          <w:p w14:paraId="7EE73296" w14:textId="0C9DABA2" w:rsidR="0011266C" w:rsidRDefault="0011266C" w:rsidP="0011266C">
            <w:pPr>
              <w:pStyle w:val="Tabletext1"/>
              <w:cnfStyle w:val="000000000000" w:firstRow="0" w:lastRow="0" w:firstColumn="0" w:lastColumn="0" w:oddVBand="0" w:evenVBand="0" w:oddHBand="0" w:evenHBand="0" w:firstRowFirstColumn="0" w:firstRowLastColumn="0" w:lastRowFirstColumn="0" w:lastRowLastColumn="0"/>
            </w:pPr>
            <w:r>
              <w:t>Activity of Daily Living</w:t>
            </w:r>
          </w:p>
        </w:tc>
      </w:tr>
      <w:tr w:rsidR="0011266C" w14:paraId="5EA837FD" w14:textId="77777777" w:rsidTr="0011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tcPr>
          <w:p w14:paraId="37D77B7E" w14:textId="46A92B85" w:rsidR="0011266C" w:rsidRDefault="0011266C" w:rsidP="0011266C">
            <w:pPr>
              <w:pStyle w:val="Tabletext1"/>
            </w:pPr>
            <w:r w:rsidRPr="00F42B1D">
              <w:t>AIHW</w:t>
            </w:r>
          </w:p>
        </w:tc>
        <w:tc>
          <w:tcPr>
            <w:tcW w:w="5480" w:type="dxa"/>
            <w:tcBorders>
              <w:top w:val="none" w:sz="0" w:space="0" w:color="auto"/>
              <w:bottom w:val="none" w:sz="0" w:space="0" w:color="auto"/>
            </w:tcBorders>
          </w:tcPr>
          <w:p w14:paraId="60A96C2F" w14:textId="19DB2EB3" w:rsidR="0011266C" w:rsidRDefault="0011266C" w:rsidP="0011266C">
            <w:pPr>
              <w:pStyle w:val="Tabletext1"/>
              <w:cnfStyle w:val="000000100000" w:firstRow="0" w:lastRow="0" w:firstColumn="0" w:lastColumn="0" w:oddVBand="0" w:evenVBand="0" w:oddHBand="1" w:evenHBand="0" w:firstRowFirstColumn="0" w:firstRowLastColumn="0" w:lastRowFirstColumn="0" w:lastRowLastColumn="0"/>
            </w:pPr>
            <w:r w:rsidRPr="00F42B1D">
              <w:t>Australian Institute of Health and Welfare</w:t>
            </w:r>
          </w:p>
        </w:tc>
      </w:tr>
      <w:tr w:rsidR="0011266C" w14:paraId="788C3A75" w14:textId="77777777" w:rsidTr="0011266C">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tcPr>
          <w:p w14:paraId="295A3EEC" w14:textId="77777777" w:rsidR="0011266C" w:rsidRDefault="0011266C" w:rsidP="0011266C">
            <w:pPr>
              <w:pStyle w:val="Tabletext1"/>
            </w:pPr>
            <w:r w:rsidRPr="00F42B1D">
              <w:t>ACFI</w:t>
            </w:r>
          </w:p>
        </w:tc>
        <w:tc>
          <w:tcPr>
            <w:tcW w:w="5480" w:type="dxa"/>
          </w:tcPr>
          <w:p w14:paraId="062C9CE9" w14:textId="77777777" w:rsidR="0011266C" w:rsidRDefault="0011266C" w:rsidP="0011266C">
            <w:pPr>
              <w:pStyle w:val="Tabletext1"/>
              <w:cnfStyle w:val="000000000000" w:firstRow="0" w:lastRow="0" w:firstColumn="0" w:lastColumn="0" w:oddVBand="0" w:evenVBand="0" w:oddHBand="0" w:evenHBand="0" w:firstRowFirstColumn="0" w:firstRowLastColumn="0" w:lastRowFirstColumn="0" w:lastRowLastColumn="0"/>
            </w:pPr>
            <w:r w:rsidRPr="00F42B1D">
              <w:t>Aged Care Funding Instrument</w:t>
            </w:r>
          </w:p>
        </w:tc>
      </w:tr>
      <w:tr w:rsidR="0011266C" w14:paraId="0F6BE8EE" w14:textId="77777777" w:rsidTr="0011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tcPr>
          <w:p w14:paraId="25154BB3" w14:textId="62084521" w:rsidR="0011266C" w:rsidRDefault="0011266C" w:rsidP="0011266C">
            <w:pPr>
              <w:pStyle w:val="Tabletext1"/>
            </w:pPr>
            <w:r>
              <w:t>BEH</w:t>
            </w:r>
          </w:p>
        </w:tc>
        <w:tc>
          <w:tcPr>
            <w:tcW w:w="5480" w:type="dxa"/>
            <w:tcBorders>
              <w:top w:val="none" w:sz="0" w:space="0" w:color="auto"/>
              <w:bottom w:val="none" w:sz="0" w:space="0" w:color="auto"/>
            </w:tcBorders>
          </w:tcPr>
          <w:p w14:paraId="2E8A6C5D" w14:textId="4FAFDA6A" w:rsidR="0011266C" w:rsidRDefault="0011266C" w:rsidP="0011266C">
            <w:pPr>
              <w:pStyle w:val="Tabletext1"/>
              <w:cnfStyle w:val="000000100000" w:firstRow="0" w:lastRow="0" w:firstColumn="0" w:lastColumn="0" w:oddVBand="0" w:evenVBand="0" w:oddHBand="1" w:evenHBand="0" w:firstRowFirstColumn="0" w:firstRowLastColumn="0" w:lastRowFirstColumn="0" w:lastRowLastColumn="0"/>
            </w:pPr>
            <w:r>
              <w:t>behaviour</w:t>
            </w:r>
          </w:p>
        </w:tc>
      </w:tr>
      <w:tr w:rsidR="0011266C" w14:paraId="07A906DB" w14:textId="77777777" w:rsidTr="0011266C">
        <w:tc>
          <w:tcPr>
            <w:cnfStyle w:val="001000000000" w:firstRow="0" w:lastRow="0" w:firstColumn="1" w:lastColumn="0" w:oddVBand="0" w:evenVBand="0" w:oddHBand="0" w:evenHBand="0" w:firstRowFirstColumn="0" w:firstRowLastColumn="0" w:lastRowFirstColumn="0" w:lastRowLastColumn="0"/>
            <w:tcW w:w="3539" w:type="dxa"/>
          </w:tcPr>
          <w:p w14:paraId="3AEE4587" w14:textId="1DDD3B99" w:rsidR="0011266C" w:rsidRDefault="0011266C" w:rsidP="0011266C">
            <w:pPr>
              <w:pStyle w:val="Tabletext1"/>
            </w:pPr>
            <w:r w:rsidRPr="00F42B1D">
              <w:t>BMI</w:t>
            </w:r>
          </w:p>
        </w:tc>
        <w:tc>
          <w:tcPr>
            <w:tcW w:w="5480" w:type="dxa"/>
          </w:tcPr>
          <w:p w14:paraId="61EE225C" w14:textId="75AB823A" w:rsidR="0011266C" w:rsidRDefault="0011266C" w:rsidP="0011266C">
            <w:pPr>
              <w:pStyle w:val="Tabletext1"/>
              <w:cnfStyle w:val="000000000000" w:firstRow="0" w:lastRow="0" w:firstColumn="0" w:lastColumn="0" w:oddVBand="0" w:evenVBand="0" w:oddHBand="0" w:evenHBand="0" w:firstRowFirstColumn="0" w:firstRowLastColumn="0" w:lastRowFirstColumn="0" w:lastRowLastColumn="0"/>
            </w:pPr>
            <w:r w:rsidRPr="00F42B1D">
              <w:t>Body Mass Index</w:t>
            </w:r>
          </w:p>
        </w:tc>
      </w:tr>
      <w:tr w:rsidR="0011266C" w14:paraId="56BD7DF2" w14:textId="77777777" w:rsidTr="0011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tcBorders>
          </w:tcPr>
          <w:p w14:paraId="0AB79FF1" w14:textId="7D97DA1F" w:rsidR="0011266C" w:rsidRDefault="0011266C" w:rsidP="0011266C">
            <w:pPr>
              <w:pStyle w:val="Tabletext1"/>
            </w:pPr>
            <w:r>
              <w:t>CHC</w:t>
            </w:r>
          </w:p>
        </w:tc>
        <w:tc>
          <w:tcPr>
            <w:tcW w:w="5480" w:type="dxa"/>
            <w:tcBorders>
              <w:top w:val="none" w:sz="0" w:space="0" w:color="auto"/>
              <w:bottom w:val="none" w:sz="0" w:space="0" w:color="auto"/>
            </w:tcBorders>
          </w:tcPr>
          <w:p w14:paraId="417F9680" w14:textId="6A1DC365" w:rsidR="0011266C" w:rsidRDefault="0011266C" w:rsidP="0011266C">
            <w:pPr>
              <w:pStyle w:val="Tabletext1"/>
              <w:cnfStyle w:val="000000100000" w:firstRow="0" w:lastRow="0" w:firstColumn="0" w:lastColumn="0" w:oddVBand="0" w:evenVBand="0" w:oddHBand="1" w:evenHBand="0" w:firstRowFirstColumn="0" w:firstRowLastColumn="0" w:lastRowFirstColumn="0" w:lastRowLastColumn="0"/>
            </w:pPr>
            <w:r>
              <w:t>Complex Health Care</w:t>
            </w:r>
          </w:p>
        </w:tc>
      </w:tr>
      <w:tr w:rsidR="0011266C" w14:paraId="3B625A11" w14:textId="77777777" w:rsidTr="0011266C">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tcPr>
          <w:p w14:paraId="39D3AE54" w14:textId="77777777" w:rsidR="0011266C" w:rsidRDefault="0011266C" w:rsidP="0011266C">
            <w:pPr>
              <w:pStyle w:val="Tabletext1"/>
            </w:pPr>
            <w:r w:rsidRPr="00F42B1D">
              <w:t>CI</w:t>
            </w:r>
          </w:p>
        </w:tc>
        <w:tc>
          <w:tcPr>
            <w:tcW w:w="5480" w:type="dxa"/>
          </w:tcPr>
          <w:p w14:paraId="08D3AB61" w14:textId="77777777" w:rsidR="0011266C" w:rsidRDefault="0011266C" w:rsidP="0011266C">
            <w:pPr>
              <w:pStyle w:val="Tabletext1"/>
              <w:cnfStyle w:val="000000000000" w:firstRow="0" w:lastRow="0" w:firstColumn="0" w:lastColumn="0" w:oddVBand="0" w:evenVBand="0" w:oddHBand="0" w:evenHBand="0" w:firstRowFirstColumn="0" w:firstRowLastColumn="0" w:lastRowFirstColumn="0" w:lastRowLastColumn="0"/>
            </w:pPr>
            <w:r w:rsidRPr="00F42B1D">
              <w:t>confidence interval</w:t>
            </w:r>
          </w:p>
        </w:tc>
      </w:tr>
      <w:tr w:rsidR="0011266C" w14:paraId="3A0619B7" w14:textId="77777777" w:rsidTr="0011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tcPr>
          <w:p w14:paraId="47260FFF" w14:textId="77777777" w:rsidR="0011266C" w:rsidRDefault="0011266C" w:rsidP="0011266C">
            <w:pPr>
              <w:pStyle w:val="Tabletext1"/>
            </w:pPr>
            <w:r w:rsidRPr="00F42B1D">
              <w:t>EQ-5D</w:t>
            </w:r>
          </w:p>
        </w:tc>
        <w:tc>
          <w:tcPr>
            <w:tcW w:w="5480" w:type="dxa"/>
            <w:tcBorders>
              <w:top w:val="none" w:sz="0" w:space="0" w:color="auto"/>
              <w:bottom w:val="none" w:sz="0" w:space="0" w:color="auto"/>
            </w:tcBorders>
          </w:tcPr>
          <w:p w14:paraId="1A4090F7" w14:textId="77777777" w:rsidR="0011266C" w:rsidRDefault="0011266C" w:rsidP="0011266C">
            <w:pPr>
              <w:pStyle w:val="Tabletext1"/>
              <w:cnfStyle w:val="000000100000" w:firstRow="0" w:lastRow="0" w:firstColumn="0" w:lastColumn="0" w:oddVBand="0" w:evenVBand="0" w:oddHBand="1" w:evenHBand="0" w:firstRowFirstColumn="0" w:firstRowLastColumn="0" w:lastRowFirstColumn="0" w:lastRowLastColumn="0"/>
            </w:pPr>
            <w:proofErr w:type="spellStart"/>
            <w:r w:rsidRPr="00F42B1D">
              <w:t>EuroQol</w:t>
            </w:r>
            <w:proofErr w:type="spellEnd"/>
            <w:r w:rsidRPr="00F42B1D">
              <w:t xml:space="preserve"> 5 Dimension (health quality of life assessment tool)</w:t>
            </w:r>
          </w:p>
        </w:tc>
      </w:tr>
      <w:tr w:rsidR="0011266C" w14:paraId="493D29B8" w14:textId="77777777" w:rsidTr="0011266C">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tcPr>
          <w:p w14:paraId="17154DFC" w14:textId="77777777" w:rsidR="0011266C" w:rsidRDefault="0011266C" w:rsidP="0011266C">
            <w:pPr>
              <w:pStyle w:val="Tabletext1"/>
            </w:pPr>
            <w:r w:rsidRPr="00F42B1D">
              <w:t>GP</w:t>
            </w:r>
          </w:p>
        </w:tc>
        <w:tc>
          <w:tcPr>
            <w:tcW w:w="5480" w:type="dxa"/>
          </w:tcPr>
          <w:p w14:paraId="275D817C" w14:textId="77777777" w:rsidR="0011266C" w:rsidRDefault="0011266C" w:rsidP="0011266C">
            <w:pPr>
              <w:pStyle w:val="Tabletext1"/>
              <w:cnfStyle w:val="000000000000" w:firstRow="0" w:lastRow="0" w:firstColumn="0" w:lastColumn="0" w:oddVBand="0" w:evenVBand="0" w:oddHBand="0" w:evenHBand="0" w:firstRowFirstColumn="0" w:firstRowLastColumn="0" w:lastRowFirstColumn="0" w:lastRowLastColumn="0"/>
            </w:pPr>
            <w:r w:rsidRPr="00F42B1D">
              <w:t>General Practitioner</w:t>
            </w:r>
          </w:p>
        </w:tc>
      </w:tr>
      <w:tr w:rsidR="0011266C" w14:paraId="77D33292" w14:textId="77777777" w:rsidTr="00A717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tcPr>
          <w:p w14:paraId="4A76501C" w14:textId="77777777" w:rsidR="0011266C" w:rsidRDefault="0011266C" w:rsidP="0011266C">
            <w:pPr>
              <w:pStyle w:val="Tabletext1"/>
            </w:pPr>
            <w:r w:rsidRPr="00F42B1D">
              <w:t>HTA</w:t>
            </w:r>
          </w:p>
        </w:tc>
        <w:tc>
          <w:tcPr>
            <w:tcW w:w="5480" w:type="dxa"/>
            <w:tcBorders>
              <w:top w:val="none" w:sz="0" w:space="0" w:color="auto"/>
              <w:bottom w:val="none" w:sz="0" w:space="0" w:color="auto"/>
            </w:tcBorders>
          </w:tcPr>
          <w:p w14:paraId="37EC1AF6" w14:textId="77777777" w:rsidR="0011266C" w:rsidRDefault="0011266C" w:rsidP="0011266C">
            <w:pPr>
              <w:pStyle w:val="Tabletext1"/>
              <w:cnfStyle w:val="000000100000" w:firstRow="0" w:lastRow="0" w:firstColumn="0" w:lastColumn="0" w:oddVBand="0" w:evenVBand="0" w:oddHBand="1" w:evenHBand="0" w:firstRowFirstColumn="0" w:firstRowLastColumn="0" w:lastRowFirstColumn="0" w:lastRowLastColumn="0"/>
            </w:pPr>
            <w:r w:rsidRPr="00F42B1D">
              <w:t>health technology assessment</w:t>
            </w:r>
          </w:p>
        </w:tc>
      </w:tr>
      <w:tr w:rsidR="0011266C" w14:paraId="20A64C58" w14:textId="77777777" w:rsidTr="0011266C">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tcPr>
          <w:p w14:paraId="6FF8BCE4" w14:textId="7B29597C" w:rsidR="0011266C" w:rsidRDefault="0011266C" w:rsidP="0011266C">
            <w:pPr>
              <w:pStyle w:val="Tabletext1"/>
            </w:pPr>
            <w:r>
              <w:t>ITT</w:t>
            </w:r>
          </w:p>
        </w:tc>
        <w:tc>
          <w:tcPr>
            <w:tcW w:w="5480" w:type="dxa"/>
          </w:tcPr>
          <w:p w14:paraId="4D3FB8ED" w14:textId="0DE9F8A5" w:rsidR="0011266C" w:rsidRDefault="0011266C" w:rsidP="0011266C">
            <w:pPr>
              <w:pStyle w:val="Tabletext1"/>
              <w:cnfStyle w:val="000000000000" w:firstRow="0" w:lastRow="0" w:firstColumn="0" w:lastColumn="0" w:oddVBand="0" w:evenVBand="0" w:oddHBand="0" w:evenHBand="0" w:firstRowFirstColumn="0" w:firstRowLastColumn="0" w:lastRowFirstColumn="0" w:lastRowLastColumn="0"/>
            </w:pPr>
            <w:r>
              <w:t>intention to treat</w:t>
            </w:r>
          </w:p>
        </w:tc>
      </w:tr>
      <w:tr w:rsidR="0011266C" w14:paraId="0ED5FDD5" w14:textId="77777777" w:rsidTr="00A717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tcBorders>
          </w:tcPr>
          <w:p w14:paraId="73507B84" w14:textId="2CCAB07F" w:rsidR="0011266C" w:rsidRDefault="00A7172F" w:rsidP="0011266C">
            <w:pPr>
              <w:pStyle w:val="Tabletext1"/>
            </w:pPr>
            <w:r w:rsidRPr="00F42B1D">
              <w:t>IQR</w:t>
            </w:r>
          </w:p>
        </w:tc>
        <w:tc>
          <w:tcPr>
            <w:tcW w:w="5480" w:type="dxa"/>
            <w:tcBorders>
              <w:top w:val="none" w:sz="0" w:space="0" w:color="auto"/>
              <w:bottom w:val="none" w:sz="0" w:space="0" w:color="auto"/>
            </w:tcBorders>
          </w:tcPr>
          <w:p w14:paraId="719F7EF2" w14:textId="685FE6D2" w:rsidR="0011266C" w:rsidRDefault="0011266C" w:rsidP="0011266C">
            <w:pPr>
              <w:pStyle w:val="Tabletext1"/>
              <w:cnfStyle w:val="000000100000" w:firstRow="0" w:lastRow="0" w:firstColumn="0" w:lastColumn="0" w:oddVBand="0" w:evenVBand="0" w:oddHBand="1" w:evenHBand="0" w:firstRowFirstColumn="0" w:firstRowLastColumn="0" w:lastRowFirstColumn="0" w:lastRowLastColumn="0"/>
            </w:pPr>
            <w:r w:rsidRPr="00F42B1D">
              <w:t>Interquartile Range</w:t>
            </w:r>
          </w:p>
        </w:tc>
      </w:tr>
      <w:tr w:rsidR="0011266C" w14:paraId="628175EA" w14:textId="77777777" w:rsidTr="0011266C">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tcPr>
          <w:p w14:paraId="26CB8331" w14:textId="77777777" w:rsidR="0011266C" w:rsidRDefault="0011266C" w:rsidP="0011266C">
            <w:pPr>
              <w:pStyle w:val="Tabletext1"/>
            </w:pPr>
            <w:r w:rsidRPr="00F42B1D">
              <w:t>MBS</w:t>
            </w:r>
          </w:p>
        </w:tc>
        <w:tc>
          <w:tcPr>
            <w:tcW w:w="5480" w:type="dxa"/>
          </w:tcPr>
          <w:p w14:paraId="6874C39E" w14:textId="77777777" w:rsidR="0011266C" w:rsidRDefault="0011266C" w:rsidP="0011266C">
            <w:pPr>
              <w:pStyle w:val="Tabletext1"/>
              <w:cnfStyle w:val="000000000000" w:firstRow="0" w:lastRow="0" w:firstColumn="0" w:lastColumn="0" w:oddVBand="0" w:evenVBand="0" w:oddHBand="0" w:evenHBand="0" w:firstRowFirstColumn="0" w:firstRowLastColumn="0" w:lastRowFirstColumn="0" w:lastRowLastColumn="0"/>
            </w:pPr>
            <w:r w:rsidRPr="00F42B1D">
              <w:t>Medicare Benefits Schedule</w:t>
            </w:r>
          </w:p>
        </w:tc>
      </w:tr>
      <w:tr w:rsidR="0011266C" w14:paraId="6ECDBADD" w14:textId="77777777" w:rsidTr="0011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tcPr>
          <w:p w14:paraId="1B9572F8" w14:textId="77777777" w:rsidR="0011266C" w:rsidRDefault="0011266C" w:rsidP="0011266C">
            <w:pPr>
              <w:pStyle w:val="Tabletext1"/>
            </w:pPr>
            <w:r w:rsidRPr="00F42B1D">
              <w:t>MD</w:t>
            </w:r>
          </w:p>
        </w:tc>
        <w:tc>
          <w:tcPr>
            <w:tcW w:w="5480" w:type="dxa"/>
            <w:tcBorders>
              <w:top w:val="none" w:sz="0" w:space="0" w:color="auto"/>
              <w:bottom w:val="none" w:sz="0" w:space="0" w:color="auto"/>
            </w:tcBorders>
          </w:tcPr>
          <w:p w14:paraId="4F684938" w14:textId="77777777" w:rsidR="0011266C" w:rsidRDefault="0011266C" w:rsidP="0011266C">
            <w:pPr>
              <w:pStyle w:val="Tabletext1"/>
              <w:cnfStyle w:val="000000100000" w:firstRow="0" w:lastRow="0" w:firstColumn="0" w:lastColumn="0" w:oddVBand="0" w:evenVBand="0" w:oddHBand="1" w:evenHBand="0" w:firstRowFirstColumn="0" w:firstRowLastColumn="0" w:lastRowFirstColumn="0" w:lastRowLastColumn="0"/>
            </w:pPr>
            <w:r w:rsidRPr="00F42B1D">
              <w:t>mean difference</w:t>
            </w:r>
          </w:p>
        </w:tc>
      </w:tr>
      <w:tr w:rsidR="0011266C" w14:paraId="6657DCE1" w14:textId="77777777" w:rsidTr="0011266C">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tcPr>
          <w:p w14:paraId="6586A219" w14:textId="77777777" w:rsidR="0011266C" w:rsidRDefault="0011266C" w:rsidP="0011266C">
            <w:pPr>
              <w:pStyle w:val="Tabletext1"/>
            </w:pPr>
            <w:r w:rsidRPr="00F42B1D">
              <w:t>MoCA</w:t>
            </w:r>
          </w:p>
        </w:tc>
        <w:tc>
          <w:tcPr>
            <w:tcW w:w="5480" w:type="dxa"/>
          </w:tcPr>
          <w:p w14:paraId="790595FC" w14:textId="77777777" w:rsidR="0011266C" w:rsidRDefault="0011266C" w:rsidP="0011266C">
            <w:pPr>
              <w:pStyle w:val="Tabletext1"/>
              <w:cnfStyle w:val="000000000000" w:firstRow="0" w:lastRow="0" w:firstColumn="0" w:lastColumn="0" w:oddVBand="0" w:evenVBand="0" w:oddHBand="0" w:evenHBand="0" w:firstRowFirstColumn="0" w:firstRowLastColumn="0" w:lastRowFirstColumn="0" w:lastRowLastColumn="0"/>
            </w:pPr>
            <w:r w:rsidRPr="00F42B1D">
              <w:t>Montreal Cognitive Assessment</w:t>
            </w:r>
          </w:p>
        </w:tc>
      </w:tr>
      <w:tr w:rsidR="0011266C" w14:paraId="0D1AA1D8" w14:textId="77777777" w:rsidTr="0011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tcPr>
          <w:p w14:paraId="53C19926" w14:textId="77777777" w:rsidR="0011266C" w:rsidRDefault="0011266C" w:rsidP="0011266C">
            <w:pPr>
              <w:pStyle w:val="Tabletext1"/>
            </w:pPr>
            <w:r w:rsidRPr="00F42B1D">
              <w:t>MSAC</w:t>
            </w:r>
          </w:p>
        </w:tc>
        <w:tc>
          <w:tcPr>
            <w:tcW w:w="5480" w:type="dxa"/>
            <w:tcBorders>
              <w:top w:val="none" w:sz="0" w:space="0" w:color="auto"/>
              <w:bottom w:val="none" w:sz="0" w:space="0" w:color="auto"/>
            </w:tcBorders>
          </w:tcPr>
          <w:p w14:paraId="451D38D8" w14:textId="77777777" w:rsidR="0011266C" w:rsidRDefault="0011266C" w:rsidP="0011266C">
            <w:pPr>
              <w:pStyle w:val="Tabletext1"/>
              <w:cnfStyle w:val="000000100000" w:firstRow="0" w:lastRow="0" w:firstColumn="0" w:lastColumn="0" w:oddVBand="0" w:evenVBand="0" w:oddHBand="1" w:evenHBand="0" w:firstRowFirstColumn="0" w:firstRowLastColumn="0" w:lastRowFirstColumn="0" w:lastRowLastColumn="0"/>
            </w:pPr>
            <w:r w:rsidRPr="00F42B1D">
              <w:t>Medical Services Advisory Committee</w:t>
            </w:r>
          </w:p>
        </w:tc>
      </w:tr>
      <w:tr w:rsidR="0011266C" w14:paraId="014E1498" w14:textId="77777777" w:rsidTr="0011266C">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tcPr>
          <w:p w14:paraId="51BF9A1C" w14:textId="77777777" w:rsidR="0011266C" w:rsidRDefault="0011266C" w:rsidP="0011266C">
            <w:pPr>
              <w:pStyle w:val="Tabletext1"/>
            </w:pPr>
            <w:r w:rsidRPr="00F42B1D">
              <w:t>MVPA</w:t>
            </w:r>
          </w:p>
        </w:tc>
        <w:tc>
          <w:tcPr>
            <w:tcW w:w="5480" w:type="dxa"/>
          </w:tcPr>
          <w:p w14:paraId="3E87F851" w14:textId="77777777" w:rsidR="0011266C" w:rsidRDefault="0011266C" w:rsidP="0011266C">
            <w:pPr>
              <w:pStyle w:val="Tabletext1"/>
              <w:cnfStyle w:val="000000000000" w:firstRow="0" w:lastRow="0" w:firstColumn="0" w:lastColumn="0" w:oddVBand="0" w:evenVBand="0" w:oddHBand="0" w:evenHBand="0" w:firstRowFirstColumn="0" w:firstRowLastColumn="0" w:lastRowFirstColumn="0" w:lastRowLastColumn="0"/>
            </w:pPr>
            <w:r w:rsidRPr="00F42B1D">
              <w:t>Moderate and Vigorous Physical Activity</w:t>
            </w:r>
          </w:p>
        </w:tc>
      </w:tr>
      <w:tr w:rsidR="0011266C" w14:paraId="61704B30" w14:textId="77777777" w:rsidTr="00A717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tcPr>
          <w:p w14:paraId="17BEA64F" w14:textId="10813889" w:rsidR="0011266C" w:rsidRDefault="0011266C" w:rsidP="00A7172F">
            <w:pPr>
              <w:pStyle w:val="Tabletext1"/>
            </w:pPr>
            <w:r>
              <w:t>NEP</w:t>
            </w:r>
          </w:p>
        </w:tc>
        <w:tc>
          <w:tcPr>
            <w:tcW w:w="5480" w:type="dxa"/>
            <w:tcBorders>
              <w:top w:val="none" w:sz="0" w:space="0" w:color="auto"/>
              <w:bottom w:val="none" w:sz="0" w:space="0" w:color="auto"/>
            </w:tcBorders>
          </w:tcPr>
          <w:p w14:paraId="6409A79E" w14:textId="1191B330" w:rsidR="0011266C" w:rsidRDefault="0011266C" w:rsidP="00A7172F">
            <w:pPr>
              <w:pStyle w:val="Tabletext1"/>
              <w:cnfStyle w:val="000000100000" w:firstRow="0" w:lastRow="0" w:firstColumn="0" w:lastColumn="0" w:oddVBand="0" w:evenVBand="0" w:oddHBand="1" w:evenHBand="0" w:firstRowFirstColumn="0" w:firstRowLastColumn="0" w:lastRowFirstColumn="0" w:lastRowLastColumn="0"/>
            </w:pPr>
            <w:r>
              <w:t>National Efficient Price</w:t>
            </w:r>
          </w:p>
        </w:tc>
      </w:tr>
      <w:tr w:rsidR="00A7172F" w14:paraId="1D036DE5" w14:textId="77777777" w:rsidTr="0011266C">
        <w:tc>
          <w:tcPr>
            <w:cnfStyle w:val="001000000000" w:firstRow="0" w:lastRow="0" w:firstColumn="1" w:lastColumn="0" w:oddVBand="0" w:evenVBand="0" w:oddHBand="0" w:evenHBand="0" w:firstRowFirstColumn="0" w:firstRowLastColumn="0" w:lastRowFirstColumn="0" w:lastRowLastColumn="0"/>
            <w:tcW w:w="3539" w:type="dxa"/>
          </w:tcPr>
          <w:p w14:paraId="3CF0F337" w14:textId="37042FFF" w:rsidR="00A7172F" w:rsidRDefault="00A7172F" w:rsidP="0011266C">
            <w:pPr>
              <w:pStyle w:val="Tabletext1"/>
            </w:pPr>
            <w:r>
              <w:t>NNT</w:t>
            </w:r>
          </w:p>
        </w:tc>
        <w:tc>
          <w:tcPr>
            <w:tcW w:w="5480" w:type="dxa"/>
          </w:tcPr>
          <w:p w14:paraId="02AF6006" w14:textId="1F891381" w:rsidR="00A7172F" w:rsidRDefault="00A7172F" w:rsidP="0011266C">
            <w:pPr>
              <w:pStyle w:val="Tabletext1"/>
              <w:cnfStyle w:val="000000000000" w:firstRow="0" w:lastRow="0" w:firstColumn="0" w:lastColumn="0" w:oddVBand="0" w:evenVBand="0" w:oddHBand="0" w:evenHBand="0" w:firstRowFirstColumn="0" w:firstRowLastColumn="0" w:lastRowFirstColumn="0" w:lastRowLastColumn="0"/>
            </w:pPr>
            <w:r>
              <w:t>Number Needed to Treat</w:t>
            </w:r>
          </w:p>
        </w:tc>
      </w:tr>
      <w:tr w:rsidR="00A7172F" w14:paraId="2CE81B7A" w14:textId="77777777" w:rsidTr="00A717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tcBorders>
          </w:tcPr>
          <w:p w14:paraId="41672458" w14:textId="3D720058" w:rsidR="00A7172F" w:rsidRDefault="00A7172F" w:rsidP="0011266C">
            <w:pPr>
              <w:pStyle w:val="Tabletext1"/>
            </w:pPr>
            <w:r>
              <w:t>NWA</w:t>
            </w:r>
          </w:p>
        </w:tc>
        <w:tc>
          <w:tcPr>
            <w:tcW w:w="5480" w:type="dxa"/>
            <w:tcBorders>
              <w:top w:val="none" w:sz="0" w:space="0" w:color="auto"/>
              <w:bottom w:val="none" w:sz="0" w:space="0" w:color="auto"/>
            </w:tcBorders>
          </w:tcPr>
          <w:p w14:paraId="2CEA205B" w14:textId="37F6DA9F" w:rsidR="00A7172F" w:rsidRDefault="00A7172F" w:rsidP="0011266C">
            <w:pPr>
              <w:pStyle w:val="Tabletext1"/>
              <w:cnfStyle w:val="000000100000" w:firstRow="0" w:lastRow="0" w:firstColumn="0" w:lastColumn="0" w:oddVBand="0" w:evenVBand="0" w:oddHBand="1" w:evenHBand="0" w:firstRowFirstColumn="0" w:firstRowLastColumn="0" w:lastRowFirstColumn="0" w:lastRowLastColumn="0"/>
            </w:pPr>
            <w:r w:rsidRPr="007043DD">
              <w:t>National Weighted Activity Unit</w:t>
            </w:r>
          </w:p>
        </w:tc>
      </w:tr>
      <w:tr w:rsidR="00A7172F" w14:paraId="1034A6B7" w14:textId="77777777" w:rsidTr="0011266C">
        <w:tc>
          <w:tcPr>
            <w:cnfStyle w:val="001000000000" w:firstRow="0" w:lastRow="0" w:firstColumn="1" w:lastColumn="0" w:oddVBand="0" w:evenVBand="0" w:oddHBand="0" w:evenHBand="0" w:firstRowFirstColumn="0" w:firstRowLastColumn="0" w:lastRowFirstColumn="0" w:lastRowLastColumn="0"/>
            <w:tcW w:w="3539" w:type="dxa"/>
          </w:tcPr>
          <w:p w14:paraId="6831883D" w14:textId="652C546D" w:rsidR="00A7172F" w:rsidRDefault="00A7172F" w:rsidP="0011266C">
            <w:pPr>
              <w:pStyle w:val="Tabletext1"/>
            </w:pPr>
            <w:r>
              <w:t>OR</w:t>
            </w:r>
          </w:p>
        </w:tc>
        <w:tc>
          <w:tcPr>
            <w:tcW w:w="5480" w:type="dxa"/>
          </w:tcPr>
          <w:p w14:paraId="4F447476" w14:textId="241AE1C1" w:rsidR="00A7172F" w:rsidRDefault="00A7172F" w:rsidP="0011266C">
            <w:pPr>
              <w:pStyle w:val="Tabletext1"/>
              <w:cnfStyle w:val="000000000000" w:firstRow="0" w:lastRow="0" w:firstColumn="0" w:lastColumn="0" w:oddVBand="0" w:evenVBand="0" w:oddHBand="0" w:evenHBand="0" w:firstRowFirstColumn="0" w:firstRowLastColumn="0" w:lastRowFirstColumn="0" w:lastRowLastColumn="0"/>
            </w:pPr>
            <w:r>
              <w:t>Odds Ratio</w:t>
            </w:r>
          </w:p>
        </w:tc>
      </w:tr>
      <w:tr w:rsidR="00A7172F" w14:paraId="4505DC0E" w14:textId="77777777" w:rsidTr="00A717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tcBorders>
          </w:tcPr>
          <w:p w14:paraId="1B77F2EB" w14:textId="509017BD" w:rsidR="00A7172F" w:rsidRDefault="00A7172F" w:rsidP="0011266C">
            <w:pPr>
              <w:pStyle w:val="Tabletext1"/>
            </w:pPr>
            <w:r>
              <w:t>OPD</w:t>
            </w:r>
          </w:p>
        </w:tc>
        <w:tc>
          <w:tcPr>
            <w:tcW w:w="5480" w:type="dxa"/>
            <w:tcBorders>
              <w:top w:val="none" w:sz="0" w:space="0" w:color="auto"/>
              <w:bottom w:val="none" w:sz="0" w:space="0" w:color="auto"/>
            </w:tcBorders>
          </w:tcPr>
          <w:p w14:paraId="63AED3F2" w14:textId="497FBEB8" w:rsidR="00A7172F" w:rsidRDefault="00A7172F" w:rsidP="0011266C">
            <w:pPr>
              <w:pStyle w:val="Tabletext1"/>
              <w:cnfStyle w:val="000000100000" w:firstRow="0" w:lastRow="0" w:firstColumn="0" w:lastColumn="0" w:oddVBand="0" w:evenVBand="0" w:oddHBand="1" w:evenHBand="0" w:firstRowFirstColumn="0" w:firstRowLastColumn="0" w:lastRowFirstColumn="0" w:lastRowLastColumn="0"/>
            </w:pPr>
            <w:proofErr w:type="gramStart"/>
            <w:r>
              <w:t>Out Patient</w:t>
            </w:r>
            <w:proofErr w:type="gramEnd"/>
            <w:r>
              <w:t xml:space="preserve"> Department</w:t>
            </w:r>
          </w:p>
        </w:tc>
      </w:tr>
      <w:tr w:rsidR="00A7172F" w14:paraId="309A1F96" w14:textId="77777777" w:rsidTr="0011266C">
        <w:tc>
          <w:tcPr>
            <w:cnfStyle w:val="001000000000" w:firstRow="0" w:lastRow="0" w:firstColumn="1" w:lastColumn="0" w:oddVBand="0" w:evenVBand="0" w:oddHBand="0" w:evenHBand="0" w:firstRowFirstColumn="0" w:firstRowLastColumn="0" w:lastRowFirstColumn="0" w:lastRowLastColumn="0"/>
            <w:tcW w:w="3539" w:type="dxa"/>
          </w:tcPr>
          <w:p w14:paraId="69C94A6E" w14:textId="650917BD" w:rsidR="00A7172F" w:rsidRDefault="00A7172F" w:rsidP="0011266C">
            <w:pPr>
              <w:pStyle w:val="Tabletext1"/>
            </w:pPr>
            <w:r w:rsidRPr="00F42B1D">
              <w:t>PAS</w:t>
            </w:r>
          </w:p>
        </w:tc>
        <w:tc>
          <w:tcPr>
            <w:tcW w:w="5480" w:type="dxa"/>
          </w:tcPr>
          <w:p w14:paraId="6A393B05" w14:textId="5CD266C4" w:rsidR="00A7172F" w:rsidRDefault="00A7172F" w:rsidP="0011266C">
            <w:pPr>
              <w:pStyle w:val="Tabletext1"/>
              <w:cnfStyle w:val="000000000000" w:firstRow="0" w:lastRow="0" w:firstColumn="0" w:lastColumn="0" w:oddVBand="0" w:evenVBand="0" w:oddHBand="0" w:evenHBand="0" w:firstRowFirstColumn="0" w:firstRowLastColumn="0" w:lastRowFirstColumn="0" w:lastRowLastColumn="0"/>
            </w:pPr>
            <w:r w:rsidRPr="00F42B1D">
              <w:t>Psychogeriatric Assessment Scale</w:t>
            </w:r>
          </w:p>
        </w:tc>
      </w:tr>
      <w:tr w:rsidR="0011266C" w14:paraId="7329324F" w14:textId="77777777" w:rsidTr="0011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tcPr>
          <w:p w14:paraId="2C0154C5" w14:textId="77777777" w:rsidR="0011266C" w:rsidRDefault="0011266C" w:rsidP="0011266C">
            <w:pPr>
              <w:pStyle w:val="Tabletext1"/>
            </w:pPr>
            <w:r w:rsidRPr="00F42B1D">
              <w:t>PASC</w:t>
            </w:r>
          </w:p>
        </w:tc>
        <w:tc>
          <w:tcPr>
            <w:tcW w:w="5480" w:type="dxa"/>
            <w:tcBorders>
              <w:top w:val="none" w:sz="0" w:space="0" w:color="auto"/>
              <w:bottom w:val="none" w:sz="0" w:space="0" w:color="auto"/>
            </w:tcBorders>
          </w:tcPr>
          <w:p w14:paraId="4A1DC55C" w14:textId="77777777" w:rsidR="0011266C" w:rsidRDefault="0011266C" w:rsidP="0011266C">
            <w:pPr>
              <w:pStyle w:val="Tabletext1"/>
              <w:cnfStyle w:val="000000100000" w:firstRow="0" w:lastRow="0" w:firstColumn="0" w:lastColumn="0" w:oddVBand="0" w:evenVBand="0" w:oddHBand="1" w:evenHBand="0" w:firstRowFirstColumn="0" w:firstRowLastColumn="0" w:lastRowFirstColumn="0" w:lastRowLastColumn="0"/>
            </w:pPr>
            <w:r>
              <w:t>PICO-c</w:t>
            </w:r>
            <w:r w:rsidRPr="00F42B1D">
              <w:t>onfirmation Advisory Sub-Committee of the MSAC</w:t>
            </w:r>
          </w:p>
        </w:tc>
      </w:tr>
      <w:tr w:rsidR="0011266C" w14:paraId="6B09BF76" w14:textId="77777777" w:rsidTr="0011266C">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tcPr>
          <w:p w14:paraId="0E7C0361" w14:textId="77777777" w:rsidR="0011266C" w:rsidRDefault="0011266C" w:rsidP="0011266C">
            <w:pPr>
              <w:pStyle w:val="Tabletext1"/>
            </w:pPr>
            <w:r>
              <w:t>PBS</w:t>
            </w:r>
          </w:p>
          <w:p w14:paraId="469A4B52" w14:textId="77777777" w:rsidR="0011266C" w:rsidRDefault="0011266C" w:rsidP="0011266C">
            <w:pPr>
              <w:pStyle w:val="Tabletext1"/>
            </w:pPr>
            <w:r>
              <w:t>PICO</w:t>
            </w:r>
          </w:p>
        </w:tc>
        <w:tc>
          <w:tcPr>
            <w:tcW w:w="5480" w:type="dxa"/>
          </w:tcPr>
          <w:p w14:paraId="284873A3" w14:textId="77777777" w:rsidR="0011266C" w:rsidRDefault="0011266C" w:rsidP="0011266C">
            <w:pPr>
              <w:pStyle w:val="Tabletext1"/>
              <w:cnfStyle w:val="000000000000" w:firstRow="0" w:lastRow="0" w:firstColumn="0" w:lastColumn="0" w:oddVBand="0" w:evenVBand="0" w:oddHBand="0" w:evenHBand="0" w:firstRowFirstColumn="0" w:firstRowLastColumn="0" w:lastRowFirstColumn="0" w:lastRowLastColumn="0"/>
            </w:pPr>
            <w:r>
              <w:t>Pharmaceutical Benefits Scheme</w:t>
            </w:r>
          </w:p>
          <w:p w14:paraId="7E890ECD" w14:textId="77777777" w:rsidR="0011266C" w:rsidRDefault="0011266C" w:rsidP="0011266C">
            <w:pPr>
              <w:pStyle w:val="Tabletext1"/>
              <w:cnfStyle w:val="000000000000" w:firstRow="0" w:lastRow="0" w:firstColumn="0" w:lastColumn="0" w:oddVBand="0" w:evenVBand="0" w:oddHBand="0" w:evenHBand="0" w:firstRowFirstColumn="0" w:firstRowLastColumn="0" w:lastRowFirstColumn="0" w:lastRowLastColumn="0"/>
            </w:pPr>
            <w:r w:rsidRPr="00F42B1D">
              <w:t>Population, Intervention, Comparator, Outcome</w:t>
            </w:r>
          </w:p>
        </w:tc>
      </w:tr>
      <w:tr w:rsidR="0011266C" w14:paraId="6DEBB3C3" w14:textId="77777777" w:rsidTr="00A717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tcPr>
          <w:p w14:paraId="70030EC5" w14:textId="77777777" w:rsidR="0011266C" w:rsidRDefault="0011266C" w:rsidP="0011266C">
            <w:pPr>
              <w:pStyle w:val="Tabletext1"/>
            </w:pPr>
            <w:r w:rsidRPr="00F42B1D">
              <w:t>PIN</w:t>
            </w:r>
          </w:p>
        </w:tc>
        <w:tc>
          <w:tcPr>
            <w:tcW w:w="5480" w:type="dxa"/>
            <w:tcBorders>
              <w:top w:val="none" w:sz="0" w:space="0" w:color="auto"/>
              <w:bottom w:val="none" w:sz="0" w:space="0" w:color="auto"/>
            </w:tcBorders>
          </w:tcPr>
          <w:p w14:paraId="405A93FA" w14:textId="77777777" w:rsidR="0011266C" w:rsidRDefault="0011266C" w:rsidP="0011266C">
            <w:pPr>
              <w:pStyle w:val="Tabletext1"/>
              <w:cnfStyle w:val="000000100000" w:firstRow="0" w:lastRow="0" w:firstColumn="0" w:lastColumn="0" w:oddVBand="0" w:evenVBand="0" w:oddHBand="1" w:evenHBand="0" w:firstRowFirstColumn="0" w:firstRowLastColumn="0" w:lastRowFirstColumn="0" w:lastRowLastColumn="0"/>
            </w:pPr>
            <w:r w:rsidRPr="00F42B1D">
              <w:t>Patient Identification Number</w:t>
            </w:r>
          </w:p>
        </w:tc>
      </w:tr>
      <w:tr w:rsidR="0011266C" w14:paraId="5310CB14" w14:textId="77777777" w:rsidTr="0011266C">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tcPr>
          <w:p w14:paraId="44144F19" w14:textId="3C93EC62" w:rsidR="0011266C" w:rsidRDefault="0011266C" w:rsidP="0011266C">
            <w:pPr>
              <w:pStyle w:val="Tabletext1"/>
            </w:pPr>
            <w:r w:rsidRPr="00F42B1D">
              <w:t>PRN</w:t>
            </w:r>
          </w:p>
        </w:tc>
        <w:tc>
          <w:tcPr>
            <w:tcW w:w="5480" w:type="dxa"/>
          </w:tcPr>
          <w:p w14:paraId="10E8EE75" w14:textId="746B67E6" w:rsidR="0011266C" w:rsidRDefault="0011266C" w:rsidP="0011266C">
            <w:pPr>
              <w:pStyle w:val="Tabletext1"/>
              <w:cnfStyle w:val="000000000000" w:firstRow="0" w:lastRow="0" w:firstColumn="0" w:lastColumn="0" w:oddVBand="0" w:evenVBand="0" w:oddHBand="0" w:evenHBand="0" w:firstRowFirstColumn="0" w:firstRowLastColumn="0" w:lastRowFirstColumn="0" w:lastRowLastColumn="0"/>
            </w:pPr>
            <w:r w:rsidRPr="00F42B1D">
              <w:rPr>
                <w:i/>
              </w:rPr>
              <w:t>Pro re nata</w:t>
            </w:r>
            <w:r w:rsidRPr="00F42B1D">
              <w:t xml:space="preserve"> “as needed”</w:t>
            </w:r>
          </w:p>
        </w:tc>
      </w:tr>
      <w:tr w:rsidR="00A7172F" w14:paraId="194EDB33" w14:textId="77777777" w:rsidTr="00A717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tcBorders>
          </w:tcPr>
          <w:p w14:paraId="59D5AD3E" w14:textId="5C2712CF" w:rsidR="00A7172F" w:rsidRPr="00F42B1D" w:rsidRDefault="00A7172F" w:rsidP="0011266C">
            <w:pPr>
              <w:pStyle w:val="Tabletext1"/>
            </w:pPr>
            <w:r w:rsidRPr="00F42B1D">
              <w:t>RACF</w:t>
            </w:r>
          </w:p>
        </w:tc>
        <w:tc>
          <w:tcPr>
            <w:tcW w:w="5480" w:type="dxa"/>
            <w:tcBorders>
              <w:top w:val="none" w:sz="0" w:space="0" w:color="auto"/>
              <w:bottom w:val="none" w:sz="0" w:space="0" w:color="auto"/>
            </w:tcBorders>
          </w:tcPr>
          <w:p w14:paraId="75640633" w14:textId="39D8E5E3" w:rsidR="00A7172F" w:rsidRPr="00A7172F" w:rsidRDefault="00A7172F" w:rsidP="0011266C">
            <w:pPr>
              <w:pStyle w:val="Tabletext1"/>
              <w:cnfStyle w:val="000000100000" w:firstRow="0" w:lastRow="0" w:firstColumn="0" w:lastColumn="0" w:oddVBand="0" w:evenVBand="0" w:oddHBand="1" w:evenHBand="0" w:firstRowFirstColumn="0" w:firstRowLastColumn="0" w:lastRowFirstColumn="0" w:lastRowLastColumn="0"/>
              <w:rPr>
                <w:iCs/>
              </w:rPr>
            </w:pPr>
            <w:r w:rsidRPr="00F42B1D">
              <w:t>Residential Aged Care Facility</w:t>
            </w:r>
          </w:p>
        </w:tc>
      </w:tr>
      <w:tr w:rsidR="00A7172F" w14:paraId="5B117482" w14:textId="77777777" w:rsidTr="0011266C">
        <w:tc>
          <w:tcPr>
            <w:cnfStyle w:val="001000000000" w:firstRow="0" w:lastRow="0" w:firstColumn="1" w:lastColumn="0" w:oddVBand="0" w:evenVBand="0" w:oddHBand="0" w:evenHBand="0" w:firstRowFirstColumn="0" w:firstRowLastColumn="0" w:lastRowFirstColumn="0" w:lastRowLastColumn="0"/>
            <w:tcW w:w="3539" w:type="dxa"/>
          </w:tcPr>
          <w:p w14:paraId="5229D82A" w14:textId="2962E0D9" w:rsidR="00A7172F" w:rsidRPr="00F42B1D" w:rsidRDefault="00A7172F" w:rsidP="0011266C">
            <w:pPr>
              <w:pStyle w:val="Tabletext1"/>
            </w:pPr>
            <w:r>
              <w:t>RCT</w:t>
            </w:r>
          </w:p>
        </w:tc>
        <w:tc>
          <w:tcPr>
            <w:tcW w:w="5480" w:type="dxa"/>
          </w:tcPr>
          <w:p w14:paraId="2A56B2AE" w14:textId="30442EEC" w:rsidR="00A7172F" w:rsidRPr="00A7172F" w:rsidRDefault="00A7172F" w:rsidP="0011266C">
            <w:pPr>
              <w:pStyle w:val="Tabletext1"/>
              <w:cnfStyle w:val="000000000000" w:firstRow="0" w:lastRow="0" w:firstColumn="0" w:lastColumn="0" w:oddVBand="0" w:evenVBand="0" w:oddHBand="0" w:evenHBand="0" w:firstRowFirstColumn="0" w:firstRowLastColumn="0" w:lastRowFirstColumn="0" w:lastRowLastColumn="0"/>
              <w:rPr>
                <w:iCs/>
              </w:rPr>
            </w:pPr>
            <w:r>
              <w:t>Randomised Control Trial</w:t>
            </w:r>
          </w:p>
        </w:tc>
      </w:tr>
      <w:tr w:rsidR="0011266C" w14:paraId="474AC16E" w14:textId="77777777" w:rsidTr="00A717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tcPr>
          <w:p w14:paraId="464BB088" w14:textId="77777777" w:rsidR="0011266C" w:rsidRDefault="0011266C" w:rsidP="0011266C">
            <w:pPr>
              <w:pStyle w:val="Tabletext1"/>
            </w:pPr>
            <w:r w:rsidRPr="00F42B1D">
              <w:t>RMMR</w:t>
            </w:r>
          </w:p>
        </w:tc>
        <w:tc>
          <w:tcPr>
            <w:tcW w:w="5480" w:type="dxa"/>
            <w:tcBorders>
              <w:top w:val="none" w:sz="0" w:space="0" w:color="auto"/>
              <w:bottom w:val="none" w:sz="0" w:space="0" w:color="auto"/>
            </w:tcBorders>
          </w:tcPr>
          <w:p w14:paraId="60C02B52" w14:textId="77777777" w:rsidR="0011266C" w:rsidRDefault="0011266C" w:rsidP="0011266C">
            <w:pPr>
              <w:pStyle w:val="Tabletext1"/>
              <w:cnfStyle w:val="000000100000" w:firstRow="0" w:lastRow="0" w:firstColumn="0" w:lastColumn="0" w:oddVBand="0" w:evenVBand="0" w:oddHBand="1" w:evenHBand="0" w:firstRowFirstColumn="0" w:firstRowLastColumn="0" w:lastRowFirstColumn="0" w:lastRowLastColumn="0"/>
            </w:pPr>
            <w:r w:rsidRPr="00F42B1D">
              <w:t xml:space="preserve">Residential Medication Management Review </w:t>
            </w:r>
          </w:p>
        </w:tc>
      </w:tr>
      <w:tr w:rsidR="0011266C" w14:paraId="7E63AF93" w14:textId="77777777" w:rsidTr="0011266C">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tcPr>
          <w:p w14:paraId="2DA704D8" w14:textId="668FF890" w:rsidR="0011266C" w:rsidRDefault="0011266C" w:rsidP="00A7172F">
            <w:pPr>
              <w:pStyle w:val="Tabletext1"/>
            </w:pPr>
            <w:r>
              <w:t>RR</w:t>
            </w:r>
          </w:p>
        </w:tc>
        <w:tc>
          <w:tcPr>
            <w:tcW w:w="5480" w:type="dxa"/>
          </w:tcPr>
          <w:p w14:paraId="76AA4D48" w14:textId="3C3F93F0" w:rsidR="0011266C" w:rsidRDefault="0011266C" w:rsidP="00A7172F">
            <w:pPr>
              <w:pStyle w:val="Tabletext1"/>
              <w:cnfStyle w:val="000000000000" w:firstRow="0" w:lastRow="0" w:firstColumn="0" w:lastColumn="0" w:oddVBand="0" w:evenVBand="0" w:oddHBand="0" w:evenHBand="0" w:firstRowFirstColumn="0" w:firstRowLastColumn="0" w:lastRowFirstColumn="0" w:lastRowLastColumn="0"/>
            </w:pPr>
            <w:r>
              <w:t>rate ratio</w:t>
            </w:r>
          </w:p>
        </w:tc>
      </w:tr>
      <w:tr w:rsidR="00A7172F" w14:paraId="1ED4B7E5" w14:textId="77777777" w:rsidTr="00A717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tcBorders>
          </w:tcPr>
          <w:p w14:paraId="50DBC3B5" w14:textId="309BDD92" w:rsidR="00A7172F" w:rsidRDefault="00A7172F" w:rsidP="0011266C">
            <w:pPr>
              <w:pStyle w:val="Tabletext1"/>
            </w:pPr>
            <w:r>
              <w:t>SA</w:t>
            </w:r>
          </w:p>
        </w:tc>
        <w:tc>
          <w:tcPr>
            <w:tcW w:w="5480" w:type="dxa"/>
            <w:tcBorders>
              <w:top w:val="none" w:sz="0" w:space="0" w:color="auto"/>
              <w:bottom w:val="none" w:sz="0" w:space="0" w:color="auto"/>
            </w:tcBorders>
          </w:tcPr>
          <w:p w14:paraId="19EFC7E7" w14:textId="6AECEFC3" w:rsidR="00A7172F" w:rsidRDefault="00A7172F" w:rsidP="0011266C">
            <w:pPr>
              <w:pStyle w:val="Tabletext1"/>
              <w:cnfStyle w:val="000000100000" w:firstRow="0" w:lastRow="0" w:firstColumn="0" w:lastColumn="0" w:oddVBand="0" w:evenVBand="0" w:oddHBand="1" w:evenHBand="0" w:firstRowFirstColumn="0" w:firstRowLastColumn="0" w:lastRowFirstColumn="0" w:lastRowLastColumn="0"/>
            </w:pPr>
            <w:r>
              <w:t>South Australia</w:t>
            </w:r>
          </w:p>
        </w:tc>
      </w:tr>
      <w:tr w:rsidR="00A7172F" w14:paraId="474AD52C" w14:textId="77777777" w:rsidTr="0011266C">
        <w:tc>
          <w:tcPr>
            <w:cnfStyle w:val="001000000000" w:firstRow="0" w:lastRow="0" w:firstColumn="1" w:lastColumn="0" w:oddVBand="0" w:evenVBand="0" w:oddHBand="0" w:evenHBand="0" w:firstRowFirstColumn="0" w:firstRowLastColumn="0" w:lastRowFirstColumn="0" w:lastRowLastColumn="0"/>
            <w:tcW w:w="3539" w:type="dxa"/>
          </w:tcPr>
          <w:p w14:paraId="68292BFC" w14:textId="333F6E6A" w:rsidR="00A7172F" w:rsidRDefault="00A7172F" w:rsidP="0011266C">
            <w:pPr>
              <w:pStyle w:val="Tabletext1"/>
            </w:pPr>
            <w:r>
              <w:t>SACE</w:t>
            </w:r>
          </w:p>
        </w:tc>
        <w:tc>
          <w:tcPr>
            <w:tcW w:w="5480" w:type="dxa"/>
          </w:tcPr>
          <w:p w14:paraId="0E896094" w14:textId="0B070BC7" w:rsidR="00A7172F" w:rsidRDefault="00A7172F" w:rsidP="0011266C">
            <w:pPr>
              <w:pStyle w:val="Tabletext1"/>
              <w:cnfStyle w:val="000000000000" w:firstRow="0" w:lastRow="0" w:firstColumn="0" w:lastColumn="0" w:oddVBand="0" w:evenVBand="0" w:oddHBand="0" w:evenHBand="0" w:firstRowFirstColumn="0" w:firstRowLastColumn="0" w:lastRowFirstColumn="0" w:lastRowLastColumn="0"/>
            </w:pPr>
            <w:r>
              <w:t>survivor average causal effect</w:t>
            </w:r>
          </w:p>
        </w:tc>
      </w:tr>
      <w:tr w:rsidR="00A7172F" w14:paraId="13E5A843" w14:textId="77777777" w:rsidTr="00A717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tcBorders>
          </w:tcPr>
          <w:p w14:paraId="3D00C7BF" w14:textId="77CBDE0E" w:rsidR="00A7172F" w:rsidRDefault="00A7172F" w:rsidP="0011266C">
            <w:pPr>
              <w:pStyle w:val="Tabletext1"/>
            </w:pPr>
            <w:r>
              <w:t>SD</w:t>
            </w:r>
          </w:p>
        </w:tc>
        <w:tc>
          <w:tcPr>
            <w:tcW w:w="5480" w:type="dxa"/>
            <w:tcBorders>
              <w:top w:val="none" w:sz="0" w:space="0" w:color="auto"/>
              <w:bottom w:val="none" w:sz="0" w:space="0" w:color="auto"/>
            </w:tcBorders>
          </w:tcPr>
          <w:p w14:paraId="61FBCC9E" w14:textId="4647D898" w:rsidR="00A7172F" w:rsidRDefault="00A7172F" w:rsidP="0011266C">
            <w:pPr>
              <w:pStyle w:val="Tabletext1"/>
              <w:cnfStyle w:val="000000100000" w:firstRow="0" w:lastRow="0" w:firstColumn="0" w:lastColumn="0" w:oddVBand="0" w:evenVBand="0" w:oddHBand="1" w:evenHBand="0" w:firstRowFirstColumn="0" w:firstRowLastColumn="0" w:lastRowFirstColumn="0" w:lastRowLastColumn="0"/>
            </w:pPr>
            <w:r>
              <w:t>standard deviation</w:t>
            </w:r>
          </w:p>
        </w:tc>
      </w:tr>
      <w:tr w:rsidR="00A7172F" w14:paraId="500E6335" w14:textId="77777777" w:rsidTr="0011266C">
        <w:tc>
          <w:tcPr>
            <w:cnfStyle w:val="001000000000" w:firstRow="0" w:lastRow="0" w:firstColumn="1" w:lastColumn="0" w:oddVBand="0" w:evenVBand="0" w:oddHBand="0" w:evenHBand="0" w:firstRowFirstColumn="0" w:firstRowLastColumn="0" w:lastRowFirstColumn="0" w:lastRowLastColumn="0"/>
            <w:tcW w:w="3539" w:type="dxa"/>
          </w:tcPr>
          <w:p w14:paraId="65711160" w14:textId="47AEFEAA" w:rsidR="00A7172F" w:rsidRDefault="00A7172F" w:rsidP="0011266C">
            <w:pPr>
              <w:pStyle w:val="Tabletext1"/>
            </w:pPr>
            <w:r>
              <w:t>SE</w:t>
            </w:r>
          </w:p>
        </w:tc>
        <w:tc>
          <w:tcPr>
            <w:tcW w:w="5480" w:type="dxa"/>
          </w:tcPr>
          <w:p w14:paraId="3DB47C39" w14:textId="49821210" w:rsidR="00A7172F" w:rsidRDefault="00A7172F" w:rsidP="0011266C">
            <w:pPr>
              <w:pStyle w:val="Tabletext1"/>
              <w:cnfStyle w:val="000000000000" w:firstRow="0" w:lastRow="0" w:firstColumn="0" w:lastColumn="0" w:oddVBand="0" w:evenVBand="0" w:oddHBand="0" w:evenHBand="0" w:firstRowFirstColumn="0" w:firstRowLastColumn="0" w:lastRowFirstColumn="0" w:lastRowLastColumn="0"/>
            </w:pPr>
            <w:r>
              <w:t>standard error</w:t>
            </w:r>
          </w:p>
        </w:tc>
      </w:tr>
      <w:tr w:rsidR="00A7172F" w14:paraId="496E7144" w14:textId="77777777" w:rsidTr="00A717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tcBorders>
          </w:tcPr>
          <w:p w14:paraId="36B70A3E" w14:textId="1D3023BE" w:rsidR="00A7172F" w:rsidRDefault="00A7172F" w:rsidP="0011266C">
            <w:pPr>
              <w:pStyle w:val="Tabletext1"/>
            </w:pPr>
            <w:r>
              <w:t>Tas</w:t>
            </w:r>
          </w:p>
        </w:tc>
        <w:tc>
          <w:tcPr>
            <w:tcW w:w="5480" w:type="dxa"/>
            <w:tcBorders>
              <w:top w:val="none" w:sz="0" w:space="0" w:color="auto"/>
              <w:bottom w:val="none" w:sz="0" w:space="0" w:color="auto"/>
            </w:tcBorders>
          </w:tcPr>
          <w:p w14:paraId="2710C551" w14:textId="3DC6A35A" w:rsidR="00A7172F" w:rsidRDefault="00A7172F" w:rsidP="0011266C">
            <w:pPr>
              <w:pStyle w:val="Tabletext1"/>
              <w:cnfStyle w:val="000000100000" w:firstRow="0" w:lastRow="0" w:firstColumn="0" w:lastColumn="0" w:oddVBand="0" w:evenVBand="0" w:oddHBand="1" w:evenHBand="0" w:firstRowFirstColumn="0" w:firstRowLastColumn="0" w:lastRowFirstColumn="0" w:lastRowLastColumn="0"/>
            </w:pPr>
            <w:r>
              <w:t>Tasmania</w:t>
            </w:r>
          </w:p>
        </w:tc>
      </w:tr>
    </w:tbl>
    <w:p w14:paraId="0E6D88EC" w14:textId="77777777" w:rsidR="0011266C" w:rsidRPr="00183E4D" w:rsidRDefault="0011266C" w:rsidP="007501B9">
      <w:r>
        <w:br w:type="page"/>
      </w:r>
    </w:p>
    <w:p w14:paraId="4D2463DC" w14:textId="5E108A1D" w:rsidR="002F5F9B" w:rsidRPr="00F95283" w:rsidRDefault="000D1300" w:rsidP="00391CFD">
      <w:pPr>
        <w:pStyle w:val="Heading1"/>
      </w:pPr>
      <w:bookmarkStart w:id="43" w:name="_Toc117758210"/>
      <w:bookmarkEnd w:id="38"/>
      <w:r w:rsidRPr="00F95283">
        <w:lastRenderedPageBreak/>
        <w:t>Executive S</w:t>
      </w:r>
      <w:r w:rsidR="002F5F9B" w:rsidRPr="00F95283">
        <w:t>ummary</w:t>
      </w:r>
      <w:bookmarkEnd w:id="39"/>
      <w:bookmarkEnd w:id="40"/>
      <w:bookmarkEnd w:id="41"/>
      <w:bookmarkEnd w:id="43"/>
    </w:p>
    <w:p w14:paraId="13585432" w14:textId="22F8F224" w:rsidR="009C787D" w:rsidRPr="0030380B" w:rsidRDefault="009C787D" w:rsidP="007501B9">
      <w:pPr>
        <w:rPr>
          <w:b/>
          <w:bCs/>
        </w:rPr>
      </w:pPr>
      <w:bookmarkStart w:id="44" w:name="_Toc381796429"/>
      <w:proofErr w:type="spellStart"/>
      <w:r w:rsidRPr="0030380B">
        <w:rPr>
          <w:b/>
          <w:bCs/>
        </w:rPr>
        <w:t>ReMInDAR</w:t>
      </w:r>
      <w:proofErr w:type="spellEnd"/>
      <w:r w:rsidRPr="0030380B">
        <w:rPr>
          <w:b/>
          <w:bCs/>
        </w:rPr>
        <w:t xml:space="preserve"> -</w:t>
      </w:r>
      <w:r w:rsidR="00536011" w:rsidRPr="0030380B">
        <w:rPr>
          <w:b/>
          <w:bCs/>
        </w:rPr>
        <w:t xml:space="preserve"> </w:t>
      </w:r>
      <w:r w:rsidRPr="0030380B">
        <w:rPr>
          <w:b/>
          <w:bCs/>
        </w:rPr>
        <w:t xml:space="preserve">Reducing </w:t>
      </w:r>
      <w:r w:rsidR="00DF7550" w:rsidRPr="0030380B">
        <w:rPr>
          <w:b/>
          <w:bCs/>
        </w:rPr>
        <w:t>Medicine-induced</w:t>
      </w:r>
      <w:r w:rsidRPr="0030380B">
        <w:rPr>
          <w:b/>
          <w:bCs/>
        </w:rPr>
        <w:t xml:space="preserve"> Deterioration and Adverse Reactions Trial</w:t>
      </w:r>
    </w:p>
    <w:p w14:paraId="3EA2C467" w14:textId="4D245F55" w:rsidR="00FF0CB9" w:rsidRPr="00F95283" w:rsidRDefault="009C787D" w:rsidP="007501B9">
      <w:r w:rsidRPr="00F95283">
        <w:t xml:space="preserve">This submission-based assessment examines the evidence to the support listing of a regular pharmacist-led </w:t>
      </w:r>
      <w:r w:rsidR="00DF7550" w:rsidRPr="00F95283">
        <w:t>service to reduce medicine-</w:t>
      </w:r>
      <w:r w:rsidRPr="00F95283">
        <w:t>induced deterioration and adverse reactions on the Medicare Benefits Schedule (MBS)</w:t>
      </w:r>
      <w:r w:rsidR="007501B9">
        <w:t xml:space="preserve">. </w:t>
      </w:r>
      <w:r w:rsidRPr="00F95283">
        <w:t xml:space="preserve">The service would be used in the Australian residential aged care facility setting for the prevention and management of </w:t>
      </w:r>
      <w:r w:rsidR="00DF7550" w:rsidRPr="00F95283">
        <w:t>medicine-induced</w:t>
      </w:r>
      <w:r w:rsidRPr="00F95283">
        <w:t xml:space="preserve"> deterioration and adverse reaction</w:t>
      </w:r>
      <w:r w:rsidRPr="00735BF1">
        <w:t>s</w:t>
      </w:r>
      <w:r w:rsidR="007501B9">
        <w:t xml:space="preserve">. </w:t>
      </w:r>
      <w:r w:rsidRPr="00735BF1">
        <w:t xml:space="preserve">The target population are </w:t>
      </w:r>
      <w:r w:rsidR="00FF0CB9" w:rsidRPr="00735BF1">
        <w:t xml:space="preserve">elderly </w:t>
      </w:r>
      <w:r w:rsidRPr="00735BF1">
        <w:t xml:space="preserve">people who reside in residential aged care facilities </w:t>
      </w:r>
      <w:r w:rsidR="00B56952">
        <w:t xml:space="preserve">and who are </w:t>
      </w:r>
      <w:r w:rsidRPr="00735BF1">
        <w:t xml:space="preserve">on 4 or more medicines or at least one </w:t>
      </w:r>
      <w:r w:rsidR="0073066E" w:rsidRPr="00735BF1">
        <w:t xml:space="preserve">medicine with </w:t>
      </w:r>
      <w:r w:rsidRPr="00735BF1">
        <w:t xml:space="preserve">anticholinergic or sedative </w:t>
      </w:r>
      <w:proofErr w:type="gramStart"/>
      <w:r w:rsidR="0073066E" w:rsidRPr="00C00BFC">
        <w:t>properties</w:t>
      </w:r>
      <w:r w:rsidR="00735BF1" w:rsidRPr="00D36143">
        <w:t>, and</w:t>
      </w:r>
      <w:proofErr w:type="gramEnd"/>
      <w:r w:rsidR="00735BF1" w:rsidRPr="00D36143">
        <w:t xml:space="preserve"> have a cognition score (MoCA) of 18 or higher</w:t>
      </w:r>
      <w:r w:rsidR="00675708">
        <w:t xml:space="preserve"> (corresponding to no or mild cognitive impairment)</w:t>
      </w:r>
      <w:r w:rsidR="00B56952">
        <w:t>,</w:t>
      </w:r>
      <w:r w:rsidR="00735BF1" w:rsidRPr="00D36143">
        <w:t xml:space="preserve"> and a frailty index less than 0.4.</w:t>
      </w:r>
    </w:p>
    <w:p w14:paraId="05556CC7" w14:textId="0AD1C0C2" w:rsidR="009C787D" w:rsidRPr="00F95283" w:rsidRDefault="009C787D" w:rsidP="007501B9">
      <w:r w:rsidRPr="00F95283">
        <w:t xml:space="preserve">We propose that the successful listing of the pharmacist-led service in the target population and setting will lead to a reduction the rate of </w:t>
      </w:r>
      <w:r w:rsidR="00DB54F7" w:rsidRPr="00F95283">
        <w:t>cognitive decline among</w:t>
      </w:r>
      <w:r w:rsidRPr="00F95283">
        <w:t xml:space="preserve"> residents in aged care over time</w:t>
      </w:r>
      <w:r w:rsidR="00B56952">
        <w:t xml:space="preserve"> and savings to the health care system</w:t>
      </w:r>
      <w:r w:rsidRPr="00F95283">
        <w:t>.</w:t>
      </w:r>
    </w:p>
    <w:p w14:paraId="393ABB1A" w14:textId="04AD6CA6" w:rsidR="007D7A19" w:rsidRPr="000C65BB" w:rsidRDefault="005319D0" w:rsidP="00897C5B">
      <w:pPr>
        <w:pStyle w:val="Heading2"/>
      </w:pPr>
      <w:bookmarkStart w:id="45" w:name="_Toc117758211"/>
      <w:bookmarkEnd w:id="44"/>
      <w:r w:rsidRPr="000C65BB">
        <w:t>ES.1.</w:t>
      </w:r>
      <w:r w:rsidR="006570F7">
        <w:tab/>
      </w:r>
      <w:r w:rsidR="007D7A19" w:rsidRPr="000C65BB">
        <w:t xml:space="preserve">Alignment with agreed </w:t>
      </w:r>
      <w:r w:rsidR="0088661A" w:rsidRPr="000C65BB">
        <w:t>PICO Confirmation</w:t>
      </w:r>
      <w:bookmarkEnd w:id="45"/>
    </w:p>
    <w:p w14:paraId="1D289FC0" w14:textId="0E59123B" w:rsidR="00055998" w:rsidRPr="00F95283" w:rsidRDefault="00055998" w:rsidP="007501B9">
      <w:r w:rsidRPr="00F95283">
        <w:t xml:space="preserve">The </w:t>
      </w:r>
      <w:proofErr w:type="spellStart"/>
      <w:r w:rsidRPr="00F95283">
        <w:t>ReMInDAR</w:t>
      </w:r>
      <w:proofErr w:type="spellEnd"/>
      <w:r w:rsidRPr="00F95283">
        <w:t xml:space="preserve"> trial was funded by the Australian Government Department of Health </w:t>
      </w:r>
      <w:r w:rsidR="00B56952">
        <w:t>under</w:t>
      </w:r>
      <w:r w:rsidRPr="00F95283">
        <w:t xml:space="preserve"> the Sixth Community Pharmacy Agreement Pharmacy Trial Program</w:t>
      </w:r>
      <w:r w:rsidR="00B56952">
        <w:t>. T</w:t>
      </w:r>
      <w:r w:rsidR="00A541EB" w:rsidRPr="00F95283">
        <w:t xml:space="preserve">he trial proposal was reviewed by the </w:t>
      </w:r>
      <w:r w:rsidR="00B4794B" w:rsidRPr="00B4794B">
        <w:t>PICO Advisory Sub-committee (PASC) of the Medical Services Advisory Committee</w:t>
      </w:r>
      <w:r w:rsidR="00A541EB" w:rsidRPr="00F95283">
        <w:t>.</w:t>
      </w:r>
    </w:p>
    <w:p w14:paraId="3A855148" w14:textId="63370C64" w:rsidR="00E11B65" w:rsidRPr="00F95283" w:rsidRDefault="00E11B65" w:rsidP="007501B9">
      <w:r w:rsidRPr="00F95283">
        <w:t xml:space="preserve">This submission-based assessment of </w:t>
      </w:r>
      <w:r w:rsidR="00690870" w:rsidRPr="00F95283">
        <w:t xml:space="preserve">the </w:t>
      </w:r>
      <w:r w:rsidRPr="00F95283">
        <w:t xml:space="preserve">Reducing </w:t>
      </w:r>
      <w:r w:rsidR="00DF7550" w:rsidRPr="00F95283">
        <w:t>Medicine-induced</w:t>
      </w:r>
      <w:r w:rsidRPr="00F95283">
        <w:t xml:space="preserve"> Deterioration and Adverse Reactions (</w:t>
      </w:r>
      <w:proofErr w:type="spellStart"/>
      <w:r w:rsidRPr="00F95283">
        <w:t>ReMInDAR</w:t>
      </w:r>
      <w:proofErr w:type="spellEnd"/>
      <w:r w:rsidRPr="00F95283">
        <w:t xml:space="preserve">) </w:t>
      </w:r>
      <w:r w:rsidR="00690870" w:rsidRPr="00F95283">
        <w:t xml:space="preserve">trial </w:t>
      </w:r>
      <w:r w:rsidRPr="00F95283">
        <w:t>addresses</w:t>
      </w:r>
      <w:r w:rsidR="00C1153D">
        <w:t xml:space="preserve"> </w:t>
      </w:r>
      <w:r w:rsidRPr="00F95283">
        <w:t xml:space="preserve">the required </w:t>
      </w:r>
      <w:r w:rsidR="00B4794B" w:rsidRPr="00F95283">
        <w:t xml:space="preserve">population, intervention, </w:t>
      </w:r>
      <w:proofErr w:type="gramStart"/>
      <w:r w:rsidR="00B4794B" w:rsidRPr="00F95283">
        <w:t>comparison</w:t>
      </w:r>
      <w:proofErr w:type="gramEnd"/>
      <w:r w:rsidR="00B4794B" w:rsidRPr="00F95283">
        <w:t xml:space="preserve"> and outcomes </w:t>
      </w:r>
      <w:r w:rsidR="00B4794B">
        <w:t>(</w:t>
      </w:r>
      <w:r w:rsidRPr="00F95283">
        <w:t>PICO</w:t>
      </w:r>
      <w:r w:rsidR="00B4794B">
        <w:t>)</w:t>
      </w:r>
      <w:r w:rsidRPr="00F95283">
        <w:t xml:space="preserve"> </w:t>
      </w:r>
      <w:r w:rsidR="001C5CA3" w:rsidRPr="00F95283">
        <w:t xml:space="preserve">outlined in the </w:t>
      </w:r>
      <w:r w:rsidR="00B4794B">
        <w:t>trial</w:t>
      </w:r>
      <w:r w:rsidR="001C5CA3" w:rsidRPr="00F95283">
        <w:t xml:space="preserve"> protocol</w:t>
      </w:r>
      <w:r w:rsidRPr="00F95283">
        <w:t>.</w:t>
      </w:r>
    </w:p>
    <w:p w14:paraId="278C0A67" w14:textId="52753541" w:rsidR="008C7152" w:rsidRPr="00F95283" w:rsidRDefault="005319D0" w:rsidP="00897C5B">
      <w:pPr>
        <w:pStyle w:val="Heading2"/>
      </w:pPr>
      <w:bookmarkStart w:id="46" w:name="_Toc395200742"/>
      <w:bookmarkStart w:id="47" w:name="_Toc117758212"/>
      <w:r w:rsidRPr="00F95283">
        <w:t>ES.2.</w:t>
      </w:r>
      <w:r w:rsidR="006570F7">
        <w:tab/>
      </w:r>
      <w:r w:rsidR="008A6152" w:rsidRPr="00F95283">
        <w:t xml:space="preserve">Proposed </w:t>
      </w:r>
      <w:r w:rsidR="00630910" w:rsidRPr="00F95283">
        <w:t>M</w:t>
      </w:r>
      <w:r w:rsidR="008A6152" w:rsidRPr="00F95283">
        <w:t xml:space="preserve">edical </w:t>
      </w:r>
      <w:r w:rsidR="00630910" w:rsidRPr="00F95283">
        <w:t>S</w:t>
      </w:r>
      <w:r w:rsidR="008A6152" w:rsidRPr="00F95283">
        <w:t>ervice</w:t>
      </w:r>
      <w:bookmarkEnd w:id="46"/>
      <w:bookmarkEnd w:id="47"/>
    </w:p>
    <w:p w14:paraId="77EA73A6" w14:textId="2E9FC4C9" w:rsidR="00B4794B" w:rsidRPr="00F42B1D" w:rsidRDefault="00DB54F7" w:rsidP="007501B9">
      <w:bookmarkStart w:id="48" w:name="_Hlk53759227"/>
      <w:bookmarkStart w:id="49" w:name="_Toc379118248"/>
      <w:bookmarkStart w:id="50" w:name="_Toc381796432"/>
      <w:r w:rsidRPr="00F95283">
        <w:t>The p</w:t>
      </w:r>
      <w:r w:rsidR="00B70150" w:rsidRPr="00F95283">
        <w:t>roposed service is a pharmacist-</w:t>
      </w:r>
      <w:r w:rsidRPr="00F95283">
        <w:t>led service</w:t>
      </w:r>
      <w:r w:rsidR="00C340AA" w:rsidRPr="00F95283">
        <w:t xml:space="preserve"> to prevent </w:t>
      </w:r>
      <w:r w:rsidR="00DF7550" w:rsidRPr="00F95283">
        <w:t>medicine-induced</w:t>
      </w:r>
      <w:r w:rsidR="00C340AA" w:rsidRPr="00F95283">
        <w:t xml:space="preserve"> deterioration and adverse medicine reactions among</w:t>
      </w:r>
      <w:r w:rsidR="003438E2" w:rsidRPr="00F95283">
        <w:t xml:space="preserve"> </w:t>
      </w:r>
      <w:r w:rsidR="001C5CA3" w:rsidRPr="00F95283">
        <w:t>residents</w:t>
      </w:r>
      <w:r w:rsidR="003438E2" w:rsidRPr="00F95283">
        <w:t xml:space="preserve"> in aged care facilities</w:t>
      </w:r>
      <w:r w:rsidR="007501B9">
        <w:t xml:space="preserve">. </w:t>
      </w:r>
      <w:r w:rsidR="00B4794B" w:rsidRPr="00F42B1D">
        <w:t xml:space="preserve">Pharmacists trained in the detection of signs and symptoms of medicine-induced deterioration </w:t>
      </w:r>
      <w:r w:rsidR="00A0710D">
        <w:t>review</w:t>
      </w:r>
      <w:r w:rsidR="00B4794B" w:rsidRPr="00F42B1D">
        <w:t xml:space="preserve"> targeted residents in aged care facilities </w:t>
      </w:r>
      <w:r w:rsidR="00B4794B">
        <w:t>every eight weeks</w:t>
      </w:r>
      <w:r w:rsidR="007501B9">
        <w:t xml:space="preserve">. </w:t>
      </w:r>
      <w:r w:rsidR="00B4794B" w:rsidRPr="00F42B1D">
        <w:t>The review include</w:t>
      </w:r>
      <w:r w:rsidR="00B4794B">
        <w:t>s</w:t>
      </w:r>
      <w:r w:rsidR="00B4794B" w:rsidRPr="00F42B1D">
        <w:t xml:space="preserve"> assessment of resident or carer reported changes in health, assessment of changes in cognition, physical activity, strength, sleep, and review of the resident care assessment record to identify any signs of medicine-induced deterioration or adverse medicine events</w:t>
      </w:r>
      <w:r w:rsidR="007501B9">
        <w:t xml:space="preserve">. </w:t>
      </w:r>
      <w:r w:rsidR="00B4794B" w:rsidRPr="00F42B1D">
        <w:t xml:space="preserve">Recommendations concerning medication management </w:t>
      </w:r>
      <w:r w:rsidR="00B4794B">
        <w:t>are</w:t>
      </w:r>
      <w:r w:rsidR="00B4794B" w:rsidRPr="00F42B1D">
        <w:t xml:space="preserve"> made to the resident’s general practitioner, residents themselves </w:t>
      </w:r>
      <w:r w:rsidR="00B4794B">
        <w:t>or</w:t>
      </w:r>
      <w:r w:rsidR="00B4794B" w:rsidRPr="00F42B1D">
        <w:t xml:space="preserve"> facility care staff </w:t>
      </w:r>
      <w:proofErr w:type="gramStart"/>
      <w:r w:rsidR="00B4794B" w:rsidRPr="00F42B1D">
        <w:t>in order to</w:t>
      </w:r>
      <w:proofErr w:type="gramEnd"/>
      <w:r w:rsidR="00B4794B" w:rsidRPr="00F42B1D">
        <w:t xml:space="preserve"> prevent or mitigate harm from medicine</w:t>
      </w:r>
      <w:r w:rsidR="00B4794B">
        <w:t>s</w:t>
      </w:r>
      <w:r w:rsidR="00B4794B" w:rsidRPr="00F42B1D">
        <w:t>.</w:t>
      </w:r>
    </w:p>
    <w:p w14:paraId="78639B37" w14:textId="267C7D0F" w:rsidR="00B4794B" w:rsidRPr="00F42B1D" w:rsidRDefault="00B4794B" w:rsidP="007501B9">
      <w:r w:rsidRPr="00F42B1D">
        <w:lastRenderedPageBreak/>
        <w:t>The proposed pharmacist service in aged care facilities is currently not available in any private or public setting in Australia</w:t>
      </w:r>
      <w:r w:rsidR="007501B9">
        <w:t xml:space="preserve">. </w:t>
      </w:r>
      <w:r w:rsidRPr="00F42B1D">
        <w:t xml:space="preserve">It </w:t>
      </w:r>
      <w:r>
        <w:t>is proposed that it</w:t>
      </w:r>
      <w:r w:rsidRPr="00F42B1D">
        <w:t xml:space="preserve"> be offered in addition to usual care for the defined subgroup of the population of residents in aged care facilities.</w:t>
      </w:r>
    </w:p>
    <w:p w14:paraId="049ABF6A" w14:textId="1D1894FF" w:rsidR="008F1D1C" w:rsidRPr="00F95283" w:rsidRDefault="005319D0" w:rsidP="00897C5B">
      <w:pPr>
        <w:pStyle w:val="Heading2"/>
      </w:pPr>
      <w:bookmarkStart w:id="51" w:name="_Toc117758213"/>
      <w:bookmarkStart w:id="52" w:name="_Toc395200743"/>
      <w:bookmarkEnd w:id="48"/>
      <w:r w:rsidRPr="00F95283">
        <w:t>ES.3.</w:t>
      </w:r>
      <w:r w:rsidR="006570F7">
        <w:tab/>
      </w:r>
      <w:r w:rsidR="008F1D1C" w:rsidRPr="00F95283">
        <w:t>Proposal for Public Funding</w:t>
      </w:r>
      <w:bookmarkEnd w:id="51"/>
    </w:p>
    <w:p w14:paraId="4F63598D" w14:textId="77777777" w:rsidR="00B4794B" w:rsidRPr="00B4794B" w:rsidRDefault="00B4794B" w:rsidP="007501B9">
      <w:r w:rsidRPr="00B4794B">
        <w:t>The proposal for funding is:</w:t>
      </w:r>
    </w:p>
    <w:p w14:paraId="316F51A3" w14:textId="56439268" w:rsidR="00B4794B" w:rsidRPr="0065713A" w:rsidRDefault="00B4794B" w:rsidP="0030380B">
      <w:pPr>
        <w:pStyle w:val="ListBullet"/>
      </w:pPr>
      <w:r w:rsidRPr="00B4794B">
        <w:t>A pharmacist service to prevent medication-related decline in residents of aged care facilities. At least 8 weeks must elapse between services for the same resident.</w:t>
      </w:r>
    </w:p>
    <w:p w14:paraId="169BA4C5" w14:textId="77777777" w:rsidR="00B4794B" w:rsidRDefault="00B4794B" w:rsidP="007501B9">
      <w:r w:rsidRPr="0065713A">
        <w:t>The program funding mechanism for the proposed service and fee structure would require negotiation between the relevant government department and ind</w:t>
      </w:r>
      <w:r>
        <w:t>ustry stakeholders.</w:t>
      </w:r>
    </w:p>
    <w:p w14:paraId="0FA8D38F" w14:textId="7868B756" w:rsidR="008F1D1C" w:rsidRPr="00F95283" w:rsidRDefault="005319D0" w:rsidP="00897C5B">
      <w:pPr>
        <w:pStyle w:val="Heading2"/>
      </w:pPr>
      <w:bookmarkStart w:id="53" w:name="_Toc117758214"/>
      <w:r w:rsidRPr="00F95283">
        <w:t>ES.4.</w:t>
      </w:r>
      <w:r w:rsidR="006570F7">
        <w:tab/>
      </w:r>
      <w:r w:rsidR="008F1D1C" w:rsidRPr="00F95283">
        <w:t>Population</w:t>
      </w:r>
      <w:bookmarkEnd w:id="53"/>
    </w:p>
    <w:p w14:paraId="5AC8D217" w14:textId="23A5BA44" w:rsidR="003C4CDF" w:rsidRPr="00F95283" w:rsidRDefault="00943E98" w:rsidP="007501B9">
      <w:r w:rsidRPr="00272384">
        <w:t>The proposed service will be provided to r</w:t>
      </w:r>
      <w:r w:rsidR="003C4CDF" w:rsidRPr="00272384">
        <w:t xml:space="preserve">esidents of </w:t>
      </w:r>
      <w:r w:rsidR="00812C48">
        <w:t>aged care</w:t>
      </w:r>
      <w:r w:rsidR="003C4CDF" w:rsidRPr="00272384">
        <w:t xml:space="preserve"> facilities </w:t>
      </w:r>
      <w:r w:rsidR="00B4794B">
        <w:t xml:space="preserve">who are taking </w:t>
      </w:r>
      <w:r w:rsidR="003C4CDF" w:rsidRPr="00272384">
        <w:t xml:space="preserve">4 or more medicines or at least one </w:t>
      </w:r>
      <w:r w:rsidR="000A0DBB" w:rsidRPr="00272384">
        <w:t xml:space="preserve">medicine with </w:t>
      </w:r>
      <w:r w:rsidR="003C4CDF" w:rsidRPr="00272384">
        <w:t xml:space="preserve">anticholinergic or sedative </w:t>
      </w:r>
      <w:r w:rsidR="000A0DBB" w:rsidRPr="00272384">
        <w:t>properti</w:t>
      </w:r>
      <w:r w:rsidR="000A0DBB" w:rsidRPr="00C00BFC">
        <w:t>es</w:t>
      </w:r>
      <w:r w:rsidR="00272384" w:rsidRPr="00C00BFC">
        <w:t xml:space="preserve">; </w:t>
      </w:r>
      <w:r w:rsidR="00272384" w:rsidRPr="00D36143">
        <w:t xml:space="preserve">and </w:t>
      </w:r>
      <w:r w:rsidR="00B4794B">
        <w:t xml:space="preserve">who </w:t>
      </w:r>
      <w:r w:rsidR="00272384" w:rsidRPr="00D36143">
        <w:t xml:space="preserve">have a cognition score (MoCA) of 18 or higher </w:t>
      </w:r>
      <w:r w:rsidR="00164214">
        <w:t xml:space="preserve">(corresponding to no or mild cognitive decline) </w:t>
      </w:r>
      <w:r w:rsidR="00272384" w:rsidRPr="00D36143">
        <w:t>an</w:t>
      </w:r>
      <w:r w:rsidR="00EB6346">
        <w:t>d a frailty index less than 0.4</w:t>
      </w:r>
      <w:r w:rsidR="00B4794B">
        <w:t>.</w:t>
      </w:r>
    </w:p>
    <w:p w14:paraId="1540BF5B" w14:textId="2DC94A51" w:rsidR="00753141" w:rsidRPr="00F95283" w:rsidRDefault="005319D0" w:rsidP="00897C5B">
      <w:pPr>
        <w:pStyle w:val="Heading2"/>
      </w:pPr>
      <w:bookmarkStart w:id="54" w:name="_Toc395200744"/>
      <w:bookmarkStart w:id="55" w:name="_Toc117758215"/>
      <w:bookmarkStart w:id="56" w:name="_Toc379118249"/>
      <w:bookmarkStart w:id="57" w:name="_Toc381796433"/>
      <w:bookmarkEnd w:id="49"/>
      <w:bookmarkEnd w:id="50"/>
      <w:bookmarkEnd w:id="52"/>
      <w:r w:rsidRPr="00F95283">
        <w:t>ES.5.</w:t>
      </w:r>
      <w:r w:rsidR="006570F7">
        <w:tab/>
      </w:r>
      <w:r w:rsidR="005602D3" w:rsidRPr="00F95283">
        <w:t xml:space="preserve">Comparator </w:t>
      </w:r>
      <w:r w:rsidR="00630910" w:rsidRPr="00F95283">
        <w:t>D</w:t>
      </w:r>
      <w:r w:rsidR="005602D3" w:rsidRPr="00F95283">
        <w:t>etail</w:t>
      </w:r>
      <w:r w:rsidR="00753141" w:rsidRPr="00F95283">
        <w:t>s</w:t>
      </w:r>
      <w:bookmarkEnd w:id="54"/>
      <w:bookmarkEnd w:id="55"/>
    </w:p>
    <w:p w14:paraId="6FF9B7E2" w14:textId="77777777" w:rsidR="003C4CDF" w:rsidRPr="00F95283" w:rsidRDefault="003C4CDF" w:rsidP="007501B9">
      <w:r w:rsidRPr="00F95283">
        <w:t>The comparator for assessment of th</w:t>
      </w:r>
      <w:r w:rsidR="00747D2E" w:rsidRPr="00F95283">
        <w:t>e</w:t>
      </w:r>
      <w:r w:rsidRPr="00F95283">
        <w:t xml:space="preserve"> proposed service is ‘usual care’ as currently provided to residents in all Australian residential aged care facilities. </w:t>
      </w:r>
      <w:r w:rsidR="00747D2E" w:rsidRPr="00F95283">
        <w:t>R</w:t>
      </w:r>
      <w:r w:rsidRPr="00F95283">
        <w:t>esidents are entitled to</w:t>
      </w:r>
      <w:r w:rsidR="004152F9" w:rsidRPr="00F95283">
        <w:t xml:space="preserve"> a Residential Medication Management Review by a pharmacist.</w:t>
      </w:r>
    </w:p>
    <w:p w14:paraId="5A105149" w14:textId="6C49722D" w:rsidR="008C7152" w:rsidRPr="00F95283" w:rsidRDefault="005319D0" w:rsidP="00897C5B">
      <w:pPr>
        <w:pStyle w:val="Heading2"/>
      </w:pPr>
      <w:bookmarkStart w:id="58" w:name="_Toc395200745"/>
      <w:bookmarkStart w:id="59" w:name="_Toc117758216"/>
      <w:r w:rsidRPr="00F95283">
        <w:t>ES.6.</w:t>
      </w:r>
      <w:r w:rsidR="006570F7">
        <w:tab/>
      </w:r>
      <w:r w:rsidR="008C7152" w:rsidRPr="00F95283">
        <w:t xml:space="preserve">Clinical </w:t>
      </w:r>
      <w:bookmarkEnd w:id="56"/>
      <w:bookmarkEnd w:id="57"/>
      <w:bookmarkEnd w:id="58"/>
      <w:r w:rsidR="00D544ED" w:rsidRPr="00F95283">
        <w:t>management algorithm</w:t>
      </w:r>
      <w:bookmarkEnd w:id="59"/>
    </w:p>
    <w:p w14:paraId="3F0B44D9" w14:textId="6FA54C80" w:rsidR="00747D2E" w:rsidRPr="00F95283" w:rsidRDefault="00B4794B" w:rsidP="007501B9">
      <w:r>
        <w:t>R</w:t>
      </w:r>
      <w:r w:rsidR="007A2E0D" w:rsidRPr="00F95283">
        <w:t>esidents w</w:t>
      </w:r>
      <w:r w:rsidR="00451372" w:rsidRPr="00F95283">
        <w:t>ill</w:t>
      </w:r>
      <w:r w:rsidR="007A2E0D" w:rsidRPr="00F95283">
        <w:t xml:space="preserve"> receive </w:t>
      </w:r>
      <w:r w:rsidR="00451372" w:rsidRPr="00F95283">
        <w:t xml:space="preserve">the proposed pharmacist-led service </w:t>
      </w:r>
      <w:r>
        <w:t xml:space="preserve">every eight weeks </w:t>
      </w:r>
      <w:r w:rsidR="00451372" w:rsidRPr="00F95283">
        <w:t>in addition to ‘usual care’</w:t>
      </w:r>
      <w:r w:rsidR="007501B9">
        <w:t xml:space="preserve">. </w:t>
      </w:r>
      <w:r w:rsidR="00457707" w:rsidRPr="00F95283">
        <w:t xml:space="preserve">The service is </w:t>
      </w:r>
      <w:r w:rsidR="00451372" w:rsidRPr="00F95283">
        <w:t>comprised o</w:t>
      </w:r>
      <w:r w:rsidR="009C14F4" w:rsidRPr="00F95283">
        <w:t>f regular pharmacist-led assessments of residents in aged care to detect signs and symptoms of medicine-induced deterioration and adverse events</w:t>
      </w:r>
      <w:r w:rsidR="007501B9">
        <w:t xml:space="preserve">. </w:t>
      </w:r>
      <w:r w:rsidR="009C14F4" w:rsidRPr="00F95283">
        <w:t xml:space="preserve">Recommendations concerning medication management will be made to the resident’s general practitioner, residents themselves and facility care staff </w:t>
      </w:r>
      <w:proofErr w:type="gramStart"/>
      <w:r w:rsidR="009C14F4" w:rsidRPr="00F95283">
        <w:t>in order to</w:t>
      </w:r>
      <w:proofErr w:type="gramEnd"/>
      <w:r w:rsidR="009C14F4" w:rsidRPr="00F95283">
        <w:t xml:space="preserve"> prevent or mitigate harm from </w:t>
      </w:r>
      <w:r w:rsidR="00DF7550" w:rsidRPr="00F95283">
        <w:t>medicine-induced</w:t>
      </w:r>
      <w:r w:rsidR="009C14F4" w:rsidRPr="00F95283">
        <w:t xml:space="preserve"> deterioration and adverse reactions</w:t>
      </w:r>
      <w:r w:rsidR="00CF7374" w:rsidRPr="00F95283">
        <w:t xml:space="preserve"> (Figure </w:t>
      </w:r>
      <w:r w:rsidR="005319D0" w:rsidRPr="00F95283">
        <w:t>ES-</w:t>
      </w:r>
      <w:r w:rsidR="00225AF6" w:rsidRPr="00F95283">
        <w:t>2</w:t>
      </w:r>
      <w:r w:rsidR="00CF7374" w:rsidRPr="00F95283">
        <w:t>)</w:t>
      </w:r>
      <w:r w:rsidR="009C14F4" w:rsidRPr="00F95283">
        <w:t>.</w:t>
      </w:r>
    </w:p>
    <w:p w14:paraId="40A8646E" w14:textId="171DED81" w:rsidR="00225AF6" w:rsidRDefault="00225AF6" w:rsidP="007501B9">
      <w:r w:rsidRPr="00F95283">
        <w:t>In the absence of the proposed pharmacist-led service for eligible populations ‘usual care’ as currently provided to residents in all Australian residential aged care fa</w:t>
      </w:r>
      <w:r w:rsidR="003E4D0A">
        <w:t>cilities would remain in place.</w:t>
      </w:r>
    </w:p>
    <w:p w14:paraId="5848D257" w14:textId="0C49730D" w:rsidR="00141744" w:rsidRPr="0030380B" w:rsidRDefault="00612340" w:rsidP="0030380B">
      <w:hyperlink w:anchor="_G.1_Text_alternative" w:history="1">
        <w:r w:rsidR="00141744" w:rsidRPr="0030380B">
          <w:rPr>
            <w:rStyle w:val="Hyperlink"/>
          </w:rPr>
          <w:t>Text alternative for Figure ES-1 and ES-2</w:t>
        </w:r>
      </w:hyperlink>
    </w:p>
    <w:p w14:paraId="43EBD7A1" w14:textId="77777777" w:rsidR="00903F24" w:rsidRDefault="00903F24" w:rsidP="00D9115F">
      <w:pPr>
        <w:pStyle w:val="hidden"/>
        <w:rPr>
          <w:rStyle w:val="TableHeadingChar"/>
        </w:rPr>
      </w:pPr>
      <w:r w:rsidRPr="00903F24">
        <w:rPr>
          <w:rStyle w:val="TableHeadingChar"/>
          <w:rFonts w:ascii="Arial" w:hAnsi="Arial" w:cs="Arial"/>
          <w:b w:val="0"/>
          <w:noProof/>
        </w:rPr>
        <w:lastRenderedPageBreak/>
        <w:drawing>
          <wp:inline distT="0" distB="0" distL="0" distR="0" wp14:anchorId="0447DA14" wp14:editId="19BB0101">
            <wp:extent cx="5067300" cy="3350142"/>
            <wp:effectExtent l="0" t="0" r="0" b="0"/>
            <wp:docPr id="9" name="Picture 9" descr="Figure ES-1 is a flow chart indicating the clinical algorithm proposed for the new ReMInDAR pharmacy service in comparison to the clinical algorithm for the comparator of usual care. Residents in an aged care were allocated to one of two arms. Either the comparator arm of the trial where they continued to receive usual care regardless of any medicine or frailty changes during the year. Or they were allocated to the intervention arm of the trial where they received an additional regular pharmacist service. This additional service is further outlined in the next figure.&#10;&#10;Text alternative hyperlink provides full descriptions of Figure ES-1" title="Flow chart indicating the clinical algorithm proposed for the new service in comparison to usual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71667" cy="3353029"/>
                    </a:xfrm>
                    <a:prstGeom prst="rect">
                      <a:avLst/>
                    </a:prstGeom>
                    <a:noFill/>
                    <a:ln>
                      <a:noFill/>
                    </a:ln>
                  </pic:spPr>
                </pic:pic>
              </a:graphicData>
            </a:graphic>
          </wp:inline>
        </w:drawing>
      </w:r>
    </w:p>
    <w:p w14:paraId="5BD4D056" w14:textId="154C236C" w:rsidR="00CF7374" w:rsidRPr="00F95283" w:rsidRDefault="00CF7374" w:rsidP="00897C5B">
      <w:pPr>
        <w:pStyle w:val="Caption"/>
      </w:pPr>
      <w:r w:rsidRPr="000F4D7B">
        <w:t xml:space="preserve">Figure </w:t>
      </w:r>
      <w:r w:rsidR="008C0B8D" w:rsidRPr="000F4D7B">
        <w:t>ES-</w:t>
      </w:r>
      <w:r w:rsidR="002E287B" w:rsidRPr="000F4D7B">
        <w:t>1</w:t>
      </w:r>
      <w:r w:rsidRPr="000F4D7B">
        <w:t>: Flow chart indicating the clinical algorithm proposed for the new service in comparison to the clinical algorithm for the comparator of usual care.</w:t>
      </w:r>
      <w:r w:rsidRPr="00F95283">
        <w:br w:type="page"/>
      </w:r>
    </w:p>
    <w:p w14:paraId="62706CA9" w14:textId="0CA69B18" w:rsidR="00D9115F" w:rsidRDefault="00B4794B" w:rsidP="00897C5B">
      <w:pPr>
        <w:pStyle w:val="Caption"/>
        <w:rPr>
          <w:noProof/>
        </w:rPr>
      </w:pPr>
      <w:r>
        <w:rPr>
          <w:noProof/>
        </w:rPr>
        <w:lastRenderedPageBreak/>
        <w:drawing>
          <wp:inline distT="0" distB="0" distL="0" distR="0" wp14:anchorId="6E989C64" wp14:editId="6B924431">
            <wp:extent cx="5731510" cy="5045075"/>
            <wp:effectExtent l="0" t="0" r="2540" b="3175"/>
            <wp:docPr id="50" name="Picture 50" descr="This figure is a flow chart indicating the clinical algorithm proposed for the new service in comparison to the clinical algorithm for the comparator of usual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his figure is a flow chart indicating the clinical algorithm proposed for the new service in comparison to the clinical algorithm for the comparator of usual care"/>
                    <pic:cNvPicPr/>
                  </pic:nvPicPr>
                  <pic:blipFill>
                    <a:blip r:embed="rId18"/>
                    <a:stretch>
                      <a:fillRect/>
                    </a:stretch>
                  </pic:blipFill>
                  <pic:spPr>
                    <a:xfrm>
                      <a:off x="0" y="0"/>
                      <a:ext cx="5731510" cy="5045075"/>
                    </a:xfrm>
                    <a:prstGeom prst="rect">
                      <a:avLst/>
                    </a:prstGeom>
                  </pic:spPr>
                </pic:pic>
              </a:graphicData>
            </a:graphic>
          </wp:inline>
        </w:drawing>
      </w:r>
      <w:r w:rsidR="00CF7374" w:rsidRPr="00842DFA">
        <w:t xml:space="preserve">Figure </w:t>
      </w:r>
      <w:r w:rsidR="008C0B8D" w:rsidRPr="00842DFA">
        <w:t>ES-2</w:t>
      </w:r>
      <w:r w:rsidR="00CF7374" w:rsidRPr="00842DFA">
        <w:t>: Flow chart indicating the clinical algorith</w:t>
      </w:r>
      <w:r w:rsidR="00076108" w:rsidRPr="00842DFA">
        <w:t>m proposed for the new service.</w:t>
      </w:r>
    </w:p>
    <w:p w14:paraId="2CFC71DB" w14:textId="30895FF5" w:rsidR="00CF7374" w:rsidRPr="004B14E9" w:rsidRDefault="002E287B" w:rsidP="004B14E9">
      <w:r w:rsidRPr="004B14E9">
        <w:t xml:space="preserve">Abbreviations: AE – adverse event, </w:t>
      </w:r>
      <w:r w:rsidR="00CF7374" w:rsidRPr="004B14E9">
        <w:t>MCSD = minimum clinically significant difference.</w:t>
      </w:r>
      <w:r w:rsidR="000268E9" w:rsidRPr="004B14E9">
        <w:t xml:space="preserve"> </w:t>
      </w:r>
    </w:p>
    <w:p w14:paraId="6BA89CAC" w14:textId="67AC6B75" w:rsidR="00FB6A8A" w:rsidRPr="00F95283" w:rsidRDefault="005319D0" w:rsidP="00897C5B">
      <w:pPr>
        <w:pStyle w:val="Heading2"/>
      </w:pPr>
      <w:bookmarkStart w:id="60" w:name="_ES.7_Key_Differences"/>
      <w:bookmarkStart w:id="61" w:name="_Toc395200746"/>
      <w:bookmarkStart w:id="62" w:name="_Toc117758217"/>
      <w:bookmarkStart w:id="63" w:name="_Toc379118058"/>
      <w:bookmarkStart w:id="64" w:name="_Toc379118250"/>
      <w:bookmarkStart w:id="65" w:name="_Toc381796434"/>
      <w:bookmarkEnd w:id="60"/>
      <w:r w:rsidRPr="00F95283">
        <w:t>ES.7</w:t>
      </w:r>
      <w:r w:rsidR="006570F7">
        <w:tab/>
      </w:r>
      <w:r w:rsidR="00630910" w:rsidRPr="00F95283">
        <w:t>Key Differences in the D</w:t>
      </w:r>
      <w:r w:rsidR="00FB6A8A" w:rsidRPr="00F95283">
        <w:t xml:space="preserve">elivery of the </w:t>
      </w:r>
      <w:r w:rsidR="00630910" w:rsidRPr="00F95283">
        <w:t>Proposed Medical Service and the Main C</w:t>
      </w:r>
      <w:r w:rsidR="00FB6A8A" w:rsidRPr="00F95283">
        <w:t>omparator</w:t>
      </w:r>
      <w:bookmarkEnd w:id="61"/>
      <w:bookmarkEnd w:id="62"/>
    </w:p>
    <w:p w14:paraId="3E8F6294" w14:textId="1BD4FD5E" w:rsidR="003B5F79" w:rsidRPr="00F95283" w:rsidRDefault="003B5F79" w:rsidP="007501B9">
      <w:r w:rsidRPr="00F95283">
        <w:t xml:space="preserve">The key difference of the proposed service to the comparator of usual care is </w:t>
      </w:r>
      <w:r w:rsidR="00747D2E" w:rsidRPr="00F95283">
        <w:t>the</w:t>
      </w:r>
      <w:r w:rsidRPr="00F95283">
        <w:t xml:space="preserve"> addition</w:t>
      </w:r>
      <w:r w:rsidR="00747D2E" w:rsidRPr="00F95283">
        <w:t xml:space="preserve"> of the</w:t>
      </w:r>
      <w:r w:rsidRPr="00F95283">
        <w:t xml:space="preserve"> pharmacist-led service</w:t>
      </w:r>
      <w:r w:rsidR="00B4794B">
        <w:t xml:space="preserve"> that has a particular focus on detecting and avoiding harms from medicines, rather than usual care which has a focus on resolving medication related problems</w:t>
      </w:r>
      <w:r w:rsidR="007501B9">
        <w:t xml:space="preserve">. </w:t>
      </w:r>
      <w:r w:rsidRPr="00F95283">
        <w:t xml:space="preserve">The service is comprised of pharmacist-led assessments </w:t>
      </w:r>
      <w:r w:rsidR="00BE0587">
        <w:t xml:space="preserve">every eight weeks </w:t>
      </w:r>
      <w:r w:rsidRPr="00F95283">
        <w:t>of residents in aged care to detect signs and symptoms of medicine-induced d</w:t>
      </w:r>
      <w:r w:rsidR="005319D0" w:rsidRPr="00F95283">
        <w:t>eterioration and adverse events</w:t>
      </w:r>
      <w:r w:rsidR="007501B9">
        <w:t xml:space="preserve">. </w:t>
      </w:r>
      <w:r w:rsidR="00B4794B" w:rsidRPr="00F42B1D">
        <w:t>The review include</w:t>
      </w:r>
      <w:r w:rsidR="00B4794B">
        <w:t>s</w:t>
      </w:r>
      <w:r w:rsidR="00B4794B" w:rsidRPr="00F42B1D">
        <w:t xml:space="preserve"> assessment of resident or carer reported changes in health, assessment of changes in cognition, physical activity, strength, sleep, and review of the resident care assessment record to identify any signs of medicine-induced deterioration or adverse medicine events. </w:t>
      </w:r>
      <w:r w:rsidRPr="00F95283">
        <w:t xml:space="preserve">Recommendations concerning medication management </w:t>
      </w:r>
      <w:r w:rsidR="00BE0587">
        <w:t>are</w:t>
      </w:r>
      <w:r w:rsidRPr="00F95283">
        <w:t xml:space="preserve"> </w:t>
      </w:r>
      <w:r w:rsidRPr="00F95283">
        <w:lastRenderedPageBreak/>
        <w:t xml:space="preserve">made to the resident’s general practitioner, residents themselves and facility care staff </w:t>
      </w:r>
      <w:proofErr w:type="gramStart"/>
      <w:r w:rsidRPr="00F95283">
        <w:t>in order to</w:t>
      </w:r>
      <w:proofErr w:type="gramEnd"/>
      <w:r w:rsidRPr="00F95283">
        <w:t xml:space="preserve"> prevent or mitigate harm from </w:t>
      </w:r>
      <w:r w:rsidR="00DF7550" w:rsidRPr="00F95283">
        <w:t>medicine-induced</w:t>
      </w:r>
      <w:r w:rsidRPr="00F95283">
        <w:t xml:space="preserve"> deterioration and adverse reactions</w:t>
      </w:r>
      <w:r w:rsidR="00076108">
        <w:t>.</w:t>
      </w:r>
    </w:p>
    <w:p w14:paraId="1DC5976B" w14:textId="1775BEEA" w:rsidR="00224E39" w:rsidRPr="00F95283" w:rsidRDefault="005319D0" w:rsidP="00897C5B">
      <w:pPr>
        <w:pStyle w:val="Heading2"/>
      </w:pPr>
      <w:bookmarkStart w:id="66" w:name="_Toc395200747"/>
      <w:bookmarkStart w:id="67" w:name="_Toc426968105"/>
      <w:bookmarkStart w:id="68" w:name="_Toc117758218"/>
      <w:r w:rsidRPr="00F95283">
        <w:t>ES.8</w:t>
      </w:r>
      <w:r w:rsidR="006570F7">
        <w:tab/>
      </w:r>
      <w:r w:rsidR="00224E39" w:rsidRPr="00F95283">
        <w:t>Clinical Claim</w:t>
      </w:r>
      <w:bookmarkEnd w:id="66"/>
      <w:bookmarkEnd w:id="67"/>
      <w:bookmarkEnd w:id="68"/>
    </w:p>
    <w:p w14:paraId="404E9A92" w14:textId="2346CF93" w:rsidR="001E07A9" w:rsidRPr="00F95283" w:rsidRDefault="00BE0587" w:rsidP="007501B9">
      <w:r w:rsidRPr="00F42B1D">
        <w:t xml:space="preserve">The clinical claim is that the pharmacist-led intervention is more effective than usual care for </w:t>
      </w:r>
      <w:r>
        <w:t>reducing medicine induced deterioration in persons resident in aged care wh</w:t>
      </w:r>
      <w:r w:rsidR="00675708">
        <w:t xml:space="preserve">o have a cognition score 18 or </w:t>
      </w:r>
      <w:r>
        <w:t xml:space="preserve">higher </w:t>
      </w:r>
      <w:r w:rsidR="00675708">
        <w:t xml:space="preserve">(corresponding to no or mild cognitive impairment) </w:t>
      </w:r>
      <w:r>
        <w:t xml:space="preserve">and a frailty index score of 0.4 or less as evidenced by maintenance of </w:t>
      </w:r>
      <w:r w:rsidRPr="00F42B1D">
        <w:t>cognition.</w:t>
      </w:r>
    </w:p>
    <w:p w14:paraId="228C9D72" w14:textId="2C6992CF" w:rsidR="00A36EB9" w:rsidRPr="00F95283" w:rsidRDefault="005319D0" w:rsidP="00897C5B">
      <w:pPr>
        <w:pStyle w:val="Heading2"/>
      </w:pPr>
      <w:bookmarkStart w:id="69" w:name="_Toc395200750"/>
      <w:bookmarkStart w:id="70" w:name="_Toc117758219"/>
      <w:bookmarkEnd w:id="63"/>
      <w:bookmarkEnd w:id="64"/>
      <w:bookmarkEnd w:id="65"/>
      <w:r w:rsidRPr="00F95283">
        <w:t>ES.9</w:t>
      </w:r>
      <w:r w:rsidR="006570F7">
        <w:tab/>
      </w:r>
      <w:r w:rsidR="00A36EB9" w:rsidRPr="00F95283">
        <w:t>Results</w:t>
      </w:r>
      <w:bookmarkEnd w:id="69"/>
      <w:bookmarkEnd w:id="70"/>
    </w:p>
    <w:p w14:paraId="0780E00E" w14:textId="3722A035" w:rsidR="00E91BE1" w:rsidRPr="00F95283" w:rsidRDefault="003E4D0A" w:rsidP="00897C5B">
      <w:pPr>
        <w:pStyle w:val="Heading3"/>
      </w:pPr>
      <w:bookmarkStart w:id="71" w:name="_Toc117758220"/>
      <w:r>
        <w:t>ES.9.1</w:t>
      </w:r>
      <w:r w:rsidR="006570F7">
        <w:tab/>
      </w:r>
      <w:r w:rsidR="000C65BB">
        <w:t>Effectiveness</w:t>
      </w:r>
      <w:bookmarkEnd w:id="71"/>
    </w:p>
    <w:p w14:paraId="1E50CC31" w14:textId="7A9923B5" w:rsidR="00BE0587" w:rsidRDefault="004C6BA9" w:rsidP="007501B9">
      <w:r w:rsidRPr="00F95283">
        <w:t xml:space="preserve">The </w:t>
      </w:r>
      <w:proofErr w:type="spellStart"/>
      <w:r w:rsidRPr="00F95283">
        <w:t>ReMInDAR</w:t>
      </w:r>
      <w:proofErr w:type="spellEnd"/>
      <w:r w:rsidRPr="00F95283">
        <w:t xml:space="preserve"> trial was a multicentre, open-label randomised controlled trial of a pharmacist</w:t>
      </w:r>
      <w:r w:rsidR="005319D0" w:rsidRPr="00F95283">
        <w:t>-led</w:t>
      </w:r>
      <w:r w:rsidRPr="00F95283">
        <w:t xml:space="preserve"> service with </w:t>
      </w:r>
      <w:proofErr w:type="gramStart"/>
      <w:r w:rsidRPr="00F95283">
        <w:t>12 month</w:t>
      </w:r>
      <w:proofErr w:type="gramEnd"/>
      <w:r w:rsidRPr="00F95283">
        <w:t xml:space="preserve"> follow-up undertaken in 39 aged care facilities in South Australia and Tasmania</w:t>
      </w:r>
      <w:r w:rsidR="007501B9">
        <w:t xml:space="preserve">. </w:t>
      </w:r>
      <w:r w:rsidRPr="00F95283">
        <w:t>In total</w:t>
      </w:r>
      <w:r w:rsidR="006F2D31" w:rsidRPr="00F95283">
        <w:t>, 282 participants were randomised, with 248 completing the trial</w:t>
      </w:r>
      <w:r w:rsidR="007501B9">
        <w:t xml:space="preserve">. </w:t>
      </w:r>
      <w:proofErr w:type="gramStart"/>
      <w:r w:rsidR="006F2D31" w:rsidRPr="00F95283">
        <w:t>Twelve month</w:t>
      </w:r>
      <w:proofErr w:type="gramEnd"/>
      <w:r w:rsidR="006F2D31" w:rsidRPr="00F95283">
        <w:t xml:space="preserve"> data were collected for 97 intervention and 111 control participants</w:t>
      </w:r>
      <w:r w:rsidR="007501B9">
        <w:t xml:space="preserve">. </w:t>
      </w:r>
      <w:r w:rsidR="006F2D31" w:rsidRPr="00F95283">
        <w:t xml:space="preserve">Groups were similar at baseline </w:t>
      </w:r>
      <w:proofErr w:type="gramStart"/>
      <w:r w:rsidR="006F2D31" w:rsidRPr="00F95283">
        <w:t>with the exc</w:t>
      </w:r>
      <w:r w:rsidR="00675708">
        <w:t>eption of</w:t>
      </w:r>
      <w:proofErr w:type="gramEnd"/>
      <w:r w:rsidR="00675708">
        <w:t xml:space="preserve"> weight and cognition.</w:t>
      </w:r>
    </w:p>
    <w:p w14:paraId="448FD7E9" w14:textId="6DAF65B4" w:rsidR="00BE0587" w:rsidRDefault="006F2D31" w:rsidP="007501B9">
      <w:r w:rsidRPr="00F95283">
        <w:t>In total 575 pharmacist sessions with intervention participants were undertaken</w:t>
      </w:r>
      <w:r w:rsidR="007501B9">
        <w:t xml:space="preserve">. </w:t>
      </w:r>
      <w:r w:rsidR="00BE0587">
        <w:t>In total 112 (97%) of the 115 people who received the service had at least one medicine related problem or symptom report identified</w:t>
      </w:r>
      <w:r w:rsidR="007501B9">
        <w:t xml:space="preserve">. </w:t>
      </w:r>
      <w:r w:rsidR="00BE0587" w:rsidRPr="00F42B1D">
        <w:t xml:space="preserve">In total, </w:t>
      </w:r>
      <w:r w:rsidR="00BE0587">
        <w:t xml:space="preserve">pharmacists identified 673 </w:t>
      </w:r>
      <w:r w:rsidR="00BE0587" w:rsidRPr="00F42B1D">
        <w:t xml:space="preserve">medicine related problems </w:t>
      </w:r>
      <w:r w:rsidR="00BE0587">
        <w:t xml:space="preserve">or symptom reports; </w:t>
      </w:r>
      <w:r w:rsidR="00BE0587" w:rsidRPr="00F42B1D">
        <w:t>(averaging six per person adjusted for follow-up time</w:t>
      </w:r>
      <w:r w:rsidR="00BE0587">
        <w:t>)</w:t>
      </w:r>
      <w:r w:rsidR="007501B9">
        <w:t xml:space="preserve">. </w:t>
      </w:r>
      <w:r w:rsidR="00BE0587">
        <w:t>The proportion of people with a problem or symptom report at each session was consistently above 60%, ranging from 79% in the first two sessions d</w:t>
      </w:r>
      <w:r w:rsidR="00675708">
        <w:t>own to 64% by the sixth session</w:t>
      </w:r>
      <w:r w:rsidR="007501B9">
        <w:t xml:space="preserve">. </w:t>
      </w:r>
      <w:r w:rsidR="00BE0587">
        <w:t>Fifty percent of residents had five or more problems or symptoms identified across the study period (range 1 to 29)</w:t>
      </w:r>
      <w:r w:rsidR="007501B9">
        <w:t xml:space="preserve">. </w:t>
      </w:r>
      <w:r w:rsidR="00BE0587">
        <w:t>Over 50% of the population had an adverse reaction or toxicity problem, 50% over or under-treatment, 57% required education or information for the resident or staff and for over 80% pharmacists made symptom reports</w:t>
      </w:r>
      <w:r w:rsidR="007501B9">
        <w:t xml:space="preserve">. </w:t>
      </w:r>
      <w:r w:rsidR="00BE0587">
        <w:t>Analysis of the time to develop a new problem found that 50% of the population had developed a new problem by the next session and 75% had a new problem by the subsequent session, this suggests the time between pharmacist reviews was appropriate at intervals of eight weeks</w:t>
      </w:r>
      <w:r w:rsidR="007501B9">
        <w:t xml:space="preserve">. </w:t>
      </w:r>
      <w:r w:rsidR="00BE0587">
        <w:t>At the level of the individual, pharmacists made recommendations to reduce medicine use for 61% of the population, while recommendations to increase use were made for 29%</w:t>
      </w:r>
      <w:r w:rsidR="007501B9">
        <w:t xml:space="preserve">. </w:t>
      </w:r>
      <w:r w:rsidR="00BE0587">
        <w:t>The classes accounting for over 60% of the recommendations for reduced use were opioids antipsychotics, sedative medicines, antidepressants, anti</w:t>
      </w:r>
      <w:r w:rsidR="003A7B42">
        <w:t>-Parkinson</w:t>
      </w:r>
      <w:r w:rsidR="00BE0587">
        <w:t xml:space="preserve"> agents, proton pump inhibitors, diuretics (predominantly </w:t>
      </w:r>
      <w:r w:rsidR="00D21538">
        <w:t>furosemide</w:t>
      </w:r>
      <w:r w:rsidR="00BE0587">
        <w:t>), and statins.</w:t>
      </w:r>
    </w:p>
    <w:p w14:paraId="558ACDA7" w14:textId="1DE4D897" w:rsidR="00BE0587" w:rsidRDefault="00BE0587" w:rsidP="007501B9">
      <w:r>
        <w:lastRenderedPageBreak/>
        <w:t>With regards to the primary outcome of a change in frailty scores, n</w:t>
      </w:r>
      <w:r w:rsidR="006F2D31" w:rsidRPr="00FE517B">
        <w:t>o significant difference was found between groups</w:t>
      </w:r>
      <w:r w:rsidR="00675708">
        <w:t>.</w:t>
      </w:r>
    </w:p>
    <w:p w14:paraId="1AD1D1BF" w14:textId="2C21BC49" w:rsidR="00BE0587" w:rsidRPr="00BB74AC" w:rsidRDefault="004C6BA9" w:rsidP="007501B9">
      <w:r w:rsidRPr="00FE517B">
        <w:t xml:space="preserve">There was a statistically significant result for cognition, with an observed mean difference of </w:t>
      </w:r>
      <w:proofErr w:type="gramStart"/>
      <w:r w:rsidRPr="00FE517B">
        <w:t>1.36 point</w:t>
      </w:r>
      <w:proofErr w:type="gramEnd"/>
      <w:r w:rsidRPr="00FE517B">
        <w:t xml:space="preserve"> change at 12 months</w:t>
      </w:r>
      <w:r w:rsidR="007501B9">
        <w:t xml:space="preserve">. </w:t>
      </w:r>
      <w:r w:rsidR="00BE0587">
        <w:t xml:space="preserve">A </w:t>
      </w:r>
      <w:r w:rsidR="00BE0587" w:rsidRPr="009C65F7">
        <w:rPr>
          <w:i/>
        </w:rPr>
        <w:t>post hoc</w:t>
      </w:r>
      <w:r w:rsidR="00BE0587">
        <w:t xml:space="preserve"> analysis identified that in the intervention arm an additional 12% of residents avoided clinically significant cognitive decline in 12 months</w:t>
      </w:r>
      <w:r w:rsidR="007501B9">
        <w:t xml:space="preserve">. </w:t>
      </w:r>
      <w:r w:rsidR="00BE0587">
        <w:t>This represents a NNT (number needed to treat/provide intervention to) of 8.33</w:t>
      </w:r>
      <w:r w:rsidR="00D21538">
        <w:t>;</w:t>
      </w:r>
      <w:r w:rsidR="00BE0587">
        <w:t xml:space="preserve"> </w:t>
      </w:r>
      <w:proofErr w:type="gramStart"/>
      <w:r w:rsidR="00D21538">
        <w:t>i</w:t>
      </w:r>
      <w:r w:rsidR="003A7B42">
        <w:t>.e</w:t>
      </w:r>
      <w:r w:rsidR="00D21538">
        <w:t>.</w:t>
      </w:r>
      <w:proofErr w:type="gramEnd"/>
      <w:r w:rsidR="00BE0587">
        <w:t xml:space="preserve"> for every 8.33 residents that pharmacists reviewed </w:t>
      </w:r>
      <w:r w:rsidR="00D21538">
        <w:t>every eight weeks</w:t>
      </w:r>
      <w:r w:rsidR="00BE0587">
        <w:t xml:space="preserve"> over a year, it would be expected that one would avoid a clinically-relevant cognitive decline.</w:t>
      </w:r>
    </w:p>
    <w:p w14:paraId="57E92CDC" w14:textId="1C6BB5B8" w:rsidR="00BE0587" w:rsidRDefault="004C6BA9" w:rsidP="007501B9">
      <w:r w:rsidRPr="00BE0587">
        <w:t xml:space="preserve">Weight </w:t>
      </w:r>
      <w:r w:rsidR="00D36143" w:rsidRPr="00BE0587">
        <w:t xml:space="preserve">was </w:t>
      </w:r>
      <w:r w:rsidRPr="00BE0587">
        <w:t xml:space="preserve">also </w:t>
      </w:r>
      <w:r w:rsidR="00D36143" w:rsidRPr="00BE0587">
        <w:t xml:space="preserve">found to be </w:t>
      </w:r>
      <w:r w:rsidRPr="00BE0587">
        <w:t>statistically significantly different, with the control arm gaining more weight than the intervention arm. (1.34 kg)</w:t>
      </w:r>
      <w:r w:rsidR="007501B9">
        <w:t xml:space="preserve">. </w:t>
      </w:r>
      <w:r w:rsidR="00D36143" w:rsidRPr="00BE0587">
        <w:t xml:space="preserve">However, </w:t>
      </w:r>
      <w:r w:rsidR="0038208D">
        <w:t xml:space="preserve">a post hoc </w:t>
      </w:r>
      <w:r w:rsidR="00D36143" w:rsidRPr="00BE0587">
        <w:t xml:space="preserve">subgroup analysis indicated that this was variable across the subgroups </w:t>
      </w:r>
      <w:r w:rsidR="0038208D">
        <w:t>making it</w:t>
      </w:r>
      <w:r w:rsidR="00D36143" w:rsidRPr="00BE0587">
        <w:t xml:space="preserve"> </w:t>
      </w:r>
      <w:r w:rsidR="00D85146">
        <w:t xml:space="preserve">less clear if </w:t>
      </w:r>
      <w:r w:rsidR="0038208D">
        <w:t>this was an</w:t>
      </w:r>
      <w:r w:rsidR="00D36143" w:rsidRPr="00BE0587">
        <w:t xml:space="preserve"> intervention</w:t>
      </w:r>
      <w:r w:rsidR="0038208D">
        <w:t xml:space="preserve"> effect</w:t>
      </w:r>
      <w:r w:rsidR="007501B9">
        <w:t xml:space="preserve">. </w:t>
      </w:r>
      <w:r w:rsidRPr="00FE517B">
        <w:t xml:space="preserve">The secondary outcomes analysed for physical activity and sleep utilised data from the </w:t>
      </w:r>
      <w:proofErr w:type="spellStart"/>
      <w:r w:rsidRPr="00FE517B">
        <w:t>GENEActiv</w:t>
      </w:r>
      <w:proofErr w:type="spellEnd"/>
      <w:r w:rsidRPr="00FE517B">
        <w:t xml:space="preserve"> accelerometers</w:t>
      </w:r>
      <w:r w:rsidR="007501B9">
        <w:t xml:space="preserve">. </w:t>
      </w:r>
      <w:r w:rsidRPr="00FE517B">
        <w:t xml:space="preserve">No significant results were </w:t>
      </w:r>
      <w:proofErr w:type="gramStart"/>
      <w:r w:rsidRPr="00FE517B">
        <w:t>found,</w:t>
      </w:r>
      <w:proofErr w:type="gramEnd"/>
      <w:r w:rsidRPr="00FE517B">
        <w:t xml:space="preserve"> however, the point estimates favoured the intervention arm for overall amount of time spent in moderate activity, the length of each bout of time of moderate or vigorous activity, sedentary behaviour and sleep efficiency</w:t>
      </w:r>
      <w:r w:rsidR="007501B9">
        <w:t xml:space="preserve">. </w:t>
      </w:r>
      <w:r w:rsidRPr="00FE517B">
        <w:t xml:space="preserve">Clinically, </w:t>
      </w:r>
      <w:r w:rsidR="00C1796F" w:rsidRPr="00FE517B">
        <w:t xml:space="preserve">the expectation of trajectory in this population is towards a decline in function </w:t>
      </w:r>
      <w:r w:rsidR="00C1796F" w:rsidRPr="00FE517B">
        <w:fldChar w:fldCharType="begin"/>
      </w:r>
      <w:r w:rsidR="00C86345">
        <w:instrText xml:space="preserve"> ADDIN EN.CITE &lt;EndNote&gt;&lt;Cite&gt;&lt;Author&gt;Parry&lt;/Author&gt;&lt;Year&gt;2019&lt;/Year&gt;&lt;RecNum&gt;48&lt;/RecNum&gt;&lt;DisplayText&gt;(1)&lt;/DisplayText&gt;&lt;record&gt;&lt;rec-number&gt;48&lt;/rec-number&gt;&lt;foreign-keys&gt;&lt;key app="EN" db-id="9s5z5ped05vxdnede99vfsxhtzavzdzs2d5r" timestamp="1603844729"&gt;48&lt;/key&gt;&lt;/foreign-keys&gt;&lt;ref-type name="Journal Article"&gt;17&lt;/ref-type&gt;&lt;contributors&gt;&lt;authors&gt;&lt;author&gt;Parry, Sharon&lt;/author&gt;&lt;author&gt;Chow, Marilyn&lt;/author&gt;&lt;author&gt;Batchelor, Frances&lt;/author&gt;&lt;author&gt;Fary, Robyn E&lt;/author&gt;&lt;/authors&gt;&lt;/contributors&gt;&lt;titles&gt;&lt;title&gt;Physical activity and sedentary behaviour in a residential aged care facility&lt;/title&gt;&lt;secondary-title&gt;Australasian journal on ageing&lt;/secondary-title&gt;&lt;/titles&gt;&lt;periodical&gt;&lt;full-title&gt;Australasian journal on ageing&lt;/full-title&gt;&lt;/periodical&gt;&lt;pages&gt;E12-E18&lt;/pages&gt;&lt;volume&gt;38&lt;/volume&gt;&lt;number&gt;1&lt;/number&gt;&lt;dates&gt;&lt;year&gt;2019&lt;/year&gt;&lt;/dates&gt;&lt;isbn&gt;1440-6381&lt;/isbn&gt;&lt;urls&gt;&lt;/urls&gt;&lt;/record&gt;&lt;/Cite&gt;&lt;/EndNote&gt;</w:instrText>
      </w:r>
      <w:r w:rsidR="00C1796F" w:rsidRPr="00FE517B">
        <w:fldChar w:fldCharType="separate"/>
      </w:r>
      <w:r w:rsidR="00C86345">
        <w:rPr>
          <w:noProof/>
        </w:rPr>
        <w:t>(</w:t>
      </w:r>
      <w:hyperlink w:anchor="_ENREF_1" w:tooltip="Parry, 2019 #48" w:history="1">
        <w:r w:rsidR="00EB6EA4">
          <w:rPr>
            <w:noProof/>
          </w:rPr>
          <w:t>1</w:t>
        </w:r>
      </w:hyperlink>
      <w:r w:rsidR="00C86345">
        <w:rPr>
          <w:noProof/>
        </w:rPr>
        <w:t>)</w:t>
      </w:r>
      <w:r w:rsidR="00C1796F" w:rsidRPr="00FE517B">
        <w:fldChar w:fldCharType="end"/>
      </w:r>
      <w:r w:rsidR="00C1796F" w:rsidRPr="00FE517B">
        <w:t xml:space="preserve">, so a trend </w:t>
      </w:r>
      <w:r w:rsidR="00BE0587">
        <w:t xml:space="preserve">improved </w:t>
      </w:r>
      <w:r w:rsidR="00C1796F" w:rsidRPr="00FE517B">
        <w:t>function</w:t>
      </w:r>
      <w:r w:rsidR="00BE0587">
        <w:t xml:space="preserve">  could be viewed as a </w:t>
      </w:r>
      <w:r w:rsidR="00C1796F" w:rsidRPr="00FE517B">
        <w:t>favourable outcome.</w:t>
      </w:r>
      <w:r w:rsidR="0038208D">
        <w:t xml:space="preserve"> No significant difference was observed for quality of life.</w:t>
      </w:r>
    </w:p>
    <w:p w14:paraId="0318C9E3" w14:textId="4D5B8EE3" w:rsidR="00D85146" w:rsidRDefault="00D85146" w:rsidP="007501B9">
      <w:r w:rsidRPr="00F42B1D">
        <w:t xml:space="preserve">During the trial, </w:t>
      </w:r>
      <w:r w:rsidRPr="007B3AF1">
        <w:t>1978 adverse events were</w:t>
      </w:r>
      <w:r w:rsidRPr="00F42B1D">
        <w:t xml:space="preserve"> recorded for trial participants</w:t>
      </w:r>
      <w:r w:rsidR="007501B9">
        <w:t xml:space="preserve">. </w:t>
      </w:r>
      <w:proofErr w:type="gramStart"/>
      <w:r w:rsidRPr="00F42B1D">
        <w:t>The majority of</w:t>
      </w:r>
      <w:proofErr w:type="gramEnd"/>
      <w:r w:rsidRPr="00F42B1D">
        <w:t xml:space="preserve"> these adverse events were for falls or fracture, bleeding or bruising, or gastrointestinal symptoms</w:t>
      </w:r>
      <w:r w:rsidR="007501B9">
        <w:t xml:space="preserve">. </w:t>
      </w:r>
      <w:r w:rsidRPr="00F42B1D">
        <w:t xml:space="preserve">No significant difference was observed in the rate of adverse </w:t>
      </w:r>
      <w:r w:rsidRPr="007B3AF1">
        <w:t>events</w:t>
      </w:r>
      <w:r w:rsidR="007501B9">
        <w:t xml:space="preserve">. </w:t>
      </w:r>
      <w:r>
        <w:t xml:space="preserve">Of the adverse events, 583 were judged to be possible, </w:t>
      </w:r>
      <w:proofErr w:type="gramStart"/>
      <w:r>
        <w:t>probable</w:t>
      </w:r>
      <w:proofErr w:type="gramEnd"/>
      <w:r>
        <w:t xml:space="preserve"> or definite adverse medicine </w:t>
      </w:r>
      <w:r w:rsidRPr="007B3AF1">
        <w:t>events, of which 83% were considered possibly or probably preventable</w:t>
      </w:r>
      <w:r w:rsidR="007501B9">
        <w:t xml:space="preserve">. </w:t>
      </w:r>
      <w:r w:rsidRPr="007B3AF1">
        <w:t>This equates to approximately 20% of residents experiencing one preventable adverse medicine event each month</w:t>
      </w:r>
      <w:r w:rsidR="007501B9">
        <w:t xml:space="preserve">. </w:t>
      </w:r>
      <w:r>
        <w:t>Statistical analyses indicate</w:t>
      </w:r>
      <w:r w:rsidR="0038208D">
        <w:t>d</w:t>
      </w:r>
      <w:r>
        <w:t xml:space="preserve"> n</w:t>
      </w:r>
      <w:r w:rsidRPr="005D6AB0">
        <w:t xml:space="preserve">o difference between the trial arms for </w:t>
      </w:r>
      <w:r>
        <w:t>the rate of adverse medicine events (AME) or</w:t>
      </w:r>
      <w:r w:rsidRPr="007B3AF1">
        <w:t xml:space="preserve"> the rate of preventable adverse medicine events</w:t>
      </w:r>
      <w:r>
        <w:t>.</w:t>
      </w:r>
    </w:p>
    <w:p w14:paraId="65EA4CED" w14:textId="354D5736" w:rsidR="007C1077" w:rsidRDefault="004C6BA9" w:rsidP="007501B9">
      <w:r w:rsidRPr="00FE517B">
        <w:t xml:space="preserve">More than half the participants had their </w:t>
      </w:r>
      <w:proofErr w:type="gramStart"/>
      <w:r w:rsidRPr="00FE517B">
        <w:t>12 month</w:t>
      </w:r>
      <w:proofErr w:type="gramEnd"/>
      <w:r w:rsidRPr="00FE517B">
        <w:t xml:space="preserve"> follow-up measures assessed during the </w:t>
      </w:r>
      <w:r w:rsidR="006B0804">
        <w:t>COVID</w:t>
      </w:r>
      <w:r w:rsidRPr="00FE517B">
        <w:t xml:space="preserve">-19 restrictions which </w:t>
      </w:r>
      <w:r w:rsidR="00BE0587">
        <w:t>appears to have</w:t>
      </w:r>
      <w:r w:rsidRPr="00FE517B">
        <w:t xml:space="preserve"> affected th</w:t>
      </w:r>
      <w:r w:rsidR="00BE0587">
        <w:t>e</w:t>
      </w:r>
      <w:r w:rsidRPr="00FE517B">
        <w:t xml:space="preserve"> result</w:t>
      </w:r>
      <w:r w:rsidR="00BE0587">
        <w:t>s</w:t>
      </w:r>
      <w:r w:rsidRPr="00FE517B">
        <w:t xml:space="preserve"> at 12 months</w:t>
      </w:r>
      <w:r w:rsidR="007501B9">
        <w:t xml:space="preserve">. </w:t>
      </w:r>
      <w:r w:rsidR="007C1077">
        <w:t xml:space="preserve">The point estimates for the primary outcome at 6 and 12 months were larger after excluding or imputing post COVID-19 measurements, however, they did not </w:t>
      </w:r>
      <w:r w:rsidR="00B8120C">
        <w:t>reach statistical significance.</w:t>
      </w:r>
    </w:p>
    <w:p w14:paraId="08372653" w14:textId="3949B993" w:rsidR="000E455E" w:rsidRPr="00F95283" w:rsidRDefault="004C6BA9" w:rsidP="007501B9">
      <w:proofErr w:type="gramStart"/>
      <w:r w:rsidRPr="00FE517B">
        <w:t>On the basis of</w:t>
      </w:r>
      <w:proofErr w:type="gramEnd"/>
      <w:r w:rsidRPr="00FE517B">
        <w:t xml:space="preserve"> the evidence </w:t>
      </w:r>
      <w:r w:rsidR="007C1077">
        <w:t>provided,</w:t>
      </w:r>
      <w:r w:rsidRPr="00FE517B">
        <w:t xml:space="preserve"> relative to the comparator, the intervention </w:t>
      </w:r>
      <w:r w:rsidR="007C1077">
        <w:t>is</w:t>
      </w:r>
      <w:r w:rsidRPr="00FE517B">
        <w:t xml:space="preserve"> superior efficacy with regards to cognition, and is non-inferior </w:t>
      </w:r>
      <w:r w:rsidR="005E1A3B" w:rsidRPr="00FE517B">
        <w:t>for frailty, physical activity, grip strength, and quality of life</w:t>
      </w:r>
      <w:r w:rsidRPr="00FE517B">
        <w:t>.</w:t>
      </w:r>
    </w:p>
    <w:p w14:paraId="46C5EE2E" w14:textId="40DF1719" w:rsidR="000A2C9E" w:rsidRPr="00F95283" w:rsidRDefault="00307E0F" w:rsidP="00897C5B">
      <w:pPr>
        <w:pStyle w:val="Heading2"/>
      </w:pPr>
      <w:bookmarkStart w:id="72" w:name="_Toc395200751"/>
      <w:bookmarkStart w:id="73" w:name="_Toc117758221"/>
      <w:bookmarkStart w:id="74" w:name="_Toc379118059"/>
      <w:bookmarkStart w:id="75" w:name="_Toc379118251"/>
      <w:bookmarkStart w:id="76" w:name="_Toc381796435"/>
      <w:r w:rsidRPr="00F95283">
        <w:lastRenderedPageBreak/>
        <w:t>ES.10</w:t>
      </w:r>
      <w:r w:rsidR="006570F7">
        <w:tab/>
      </w:r>
      <w:r w:rsidR="000A2C9E" w:rsidRPr="00F95283">
        <w:t>Translation Issues</w:t>
      </w:r>
      <w:bookmarkEnd w:id="72"/>
      <w:bookmarkEnd w:id="73"/>
    </w:p>
    <w:p w14:paraId="3E31A62F" w14:textId="78EE434E" w:rsidR="00303107" w:rsidRDefault="00303107" w:rsidP="007501B9">
      <w:bookmarkStart w:id="77" w:name="_Toc395200752"/>
      <w:r w:rsidRPr="00303107">
        <w:t>The health economic analysis was pre-specified as a trial-based analysis, using both outcome and cost data directly measured in the clinical trial</w:t>
      </w:r>
      <w:r w:rsidR="007501B9">
        <w:t xml:space="preserve">. </w:t>
      </w:r>
      <w:r w:rsidRPr="00303107">
        <w:t xml:space="preserve">No additional data sources </w:t>
      </w:r>
      <w:r w:rsidR="007C1077">
        <w:t>we</w:t>
      </w:r>
      <w:r w:rsidRPr="00303107">
        <w:t xml:space="preserve">re utilised, nor </w:t>
      </w:r>
      <w:r w:rsidR="007C1077">
        <w:t>was</w:t>
      </w:r>
      <w:r w:rsidRPr="00303107">
        <w:t xml:space="preserve"> data extrapolated</w:t>
      </w:r>
      <w:r w:rsidR="007501B9">
        <w:t xml:space="preserve">. </w:t>
      </w:r>
      <w:r w:rsidR="00D21538" w:rsidRPr="00303107">
        <w:t>Therefore,</w:t>
      </w:r>
      <w:r w:rsidRPr="00303107">
        <w:t xml:space="preserve"> no significant translation issues apply as the clinical trial, alone, directly informs the analysis</w:t>
      </w:r>
      <w:r w:rsidR="007501B9">
        <w:t xml:space="preserve">. </w:t>
      </w:r>
      <w:r w:rsidRPr="00303107">
        <w:t>Given that some administrative cost data w</w:t>
      </w:r>
      <w:r w:rsidR="007C1077">
        <w:t>ere</w:t>
      </w:r>
      <w:r w:rsidRPr="00303107">
        <w:t xml:space="preserve"> not available for the whole trial population, the applicability of the study sub-group for whom Commonwealth </w:t>
      </w:r>
      <w:r w:rsidR="007C1077">
        <w:t>Medicare Benefits Sch</w:t>
      </w:r>
      <w:r w:rsidR="007D621B">
        <w:t>edule</w:t>
      </w:r>
      <w:r w:rsidR="007C1077">
        <w:t xml:space="preserve"> (</w:t>
      </w:r>
      <w:r w:rsidRPr="00303107">
        <w:t>MBS</w:t>
      </w:r>
      <w:r w:rsidR="007C1077">
        <w:t xml:space="preserve">) and </w:t>
      </w:r>
      <w:r w:rsidRPr="00303107">
        <w:t>P</w:t>
      </w:r>
      <w:r w:rsidR="007C1077">
        <w:t xml:space="preserve">harmaceutical </w:t>
      </w:r>
      <w:r w:rsidRPr="00303107">
        <w:t>B</w:t>
      </w:r>
      <w:r w:rsidR="007C1077">
        <w:t xml:space="preserve">enefits </w:t>
      </w:r>
      <w:r w:rsidRPr="00303107">
        <w:t>S</w:t>
      </w:r>
      <w:r w:rsidR="007C1077">
        <w:t>ch</w:t>
      </w:r>
      <w:r w:rsidR="007D621B">
        <w:t>edule</w:t>
      </w:r>
      <w:r w:rsidR="007C1077">
        <w:t xml:space="preserve"> (PBS)</w:t>
      </w:r>
      <w:r w:rsidRPr="00303107">
        <w:t xml:space="preserve"> costs was available was assessed - this sub-group was found to be representative </w:t>
      </w:r>
      <w:r>
        <w:t>of the broader trial population.</w:t>
      </w:r>
    </w:p>
    <w:p w14:paraId="261B1A51" w14:textId="35135D94" w:rsidR="008C7152" w:rsidRPr="00F95283" w:rsidRDefault="00307E0F" w:rsidP="00897C5B">
      <w:pPr>
        <w:pStyle w:val="Heading2"/>
      </w:pPr>
      <w:bookmarkStart w:id="78" w:name="_Toc117758222"/>
      <w:r w:rsidRPr="00F95283">
        <w:t>ES.11</w:t>
      </w:r>
      <w:r w:rsidR="006570F7">
        <w:tab/>
      </w:r>
      <w:r w:rsidR="008C7152" w:rsidRPr="00F95283">
        <w:t>Economic</w:t>
      </w:r>
      <w:r w:rsidR="000B7EE2" w:rsidRPr="00F95283">
        <w:t xml:space="preserve"> </w:t>
      </w:r>
      <w:bookmarkEnd w:id="74"/>
      <w:bookmarkEnd w:id="75"/>
      <w:bookmarkEnd w:id="76"/>
      <w:r w:rsidR="00D62ADF" w:rsidRPr="00F95283">
        <w:t>Evaluation</w:t>
      </w:r>
      <w:bookmarkEnd w:id="77"/>
      <w:bookmarkEnd w:id="78"/>
    </w:p>
    <w:p w14:paraId="1F3C3DC8" w14:textId="237705C0" w:rsidR="007C1077" w:rsidRDefault="00303107" w:rsidP="007501B9">
      <w:bookmarkStart w:id="79" w:name="_Toc259437725"/>
      <w:bookmarkStart w:id="80" w:name="_Toc395200753"/>
      <w:bookmarkStart w:id="81" w:name="_Toc379118060"/>
      <w:bookmarkStart w:id="82" w:name="_Toc379118252"/>
      <w:r>
        <w:t>The base case result of the trial-based analysis includes pharmacist intervention costs, PBS costs, MBS costs and inpatient</w:t>
      </w:r>
      <w:r w:rsidR="007C1077">
        <w:t xml:space="preserve"> and emergency department (</w:t>
      </w:r>
      <w:r>
        <w:t>ED</w:t>
      </w:r>
      <w:r w:rsidR="007C1077">
        <w:t>)</w:t>
      </w:r>
      <w:r w:rsidR="00B8120C">
        <w:t xml:space="preserve"> hospitalisation costs</w:t>
      </w:r>
      <w:r w:rsidR="00CD590F">
        <w:t xml:space="preserve"> (Table ES-1)</w:t>
      </w:r>
      <w:r w:rsidR="007501B9">
        <w:t xml:space="preserve">. </w:t>
      </w:r>
      <w:r w:rsidR="00756E9F">
        <w:t>Overall,</w:t>
      </w:r>
      <w:r>
        <w:t xml:space="preserve"> a net total incremental healthcare cost of $1,841 per resident over 12 months was associated with the intervention arm</w:t>
      </w:r>
      <w:r w:rsidR="007501B9">
        <w:t xml:space="preserve">. </w:t>
      </w:r>
      <w:r w:rsidR="00756E9F">
        <w:t>However,</w:t>
      </w:r>
      <w:r w:rsidR="007C1077">
        <w:t xml:space="preserve"> the association of the net cost difference with the intervention was highly uncertain</w:t>
      </w:r>
      <w:r w:rsidR="007501B9">
        <w:t xml:space="preserve">. </w:t>
      </w:r>
      <w:r w:rsidR="007C1077">
        <w:t>Aside from the intervention, none of the cost differences were statistically significant and there is a high risk of confounding due to unrelated imbalances in underlying health conditions across the arms, and therefore the analysis results should be interpreted with caution.</w:t>
      </w:r>
    </w:p>
    <w:tbl>
      <w:tblPr>
        <w:tblStyle w:val="ListTable3"/>
        <w:tblW w:w="4950" w:type="pct"/>
        <w:tblLayout w:type="fixed"/>
        <w:tblLook w:val="04A0" w:firstRow="1" w:lastRow="0" w:firstColumn="1" w:lastColumn="0" w:noHBand="0" w:noVBand="1"/>
        <w:tblCaption w:val="Average healthcare costs per patient over 12 months for each study arm (adjusted trial-based cost analysis): base case "/>
        <w:tblDescription w:val="Average healthcare costs per patient over 12 months for each study arm (adjusted trial-based cost analysis): base case "/>
      </w:tblPr>
      <w:tblGrid>
        <w:gridCol w:w="2830"/>
        <w:gridCol w:w="2032"/>
        <w:gridCol w:w="2032"/>
        <w:gridCol w:w="2032"/>
      </w:tblGrid>
      <w:tr w:rsidR="00303107" w:rsidRPr="00897C5B" w14:paraId="607990A2" w14:textId="77777777" w:rsidTr="008F1E88">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1585" w:type="pct"/>
          </w:tcPr>
          <w:p w14:paraId="17531DDE" w14:textId="77777777" w:rsidR="00303107" w:rsidRPr="00897C5B" w:rsidRDefault="00303107" w:rsidP="00897C5B">
            <w:pPr>
              <w:pStyle w:val="TableHeader"/>
              <w:rPr>
                <w:b/>
                <w:bCs w:val="0"/>
              </w:rPr>
            </w:pPr>
            <w:bookmarkStart w:id="83" w:name="ColumnTitle_163"/>
            <w:r w:rsidRPr="00897C5B">
              <w:rPr>
                <w:b/>
                <w:bCs w:val="0"/>
              </w:rPr>
              <w:t>Descriptor</w:t>
            </w:r>
            <w:bookmarkStart w:id="84" w:name="ColumnTitle_34"/>
            <w:bookmarkEnd w:id="84"/>
          </w:p>
        </w:tc>
        <w:tc>
          <w:tcPr>
            <w:tcW w:w="1138" w:type="pct"/>
            <w:noWrap/>
          </w:tcPr>
          <w:p w14:paraId="6AAD86D1" w14:textId="77777777" w:rsidR="00303107" w:rsidRPr="00897C5B" w:rsidRDefault="00303107" w:rsidP="00897C5B">
            <w:pPr>
              <w:pStyle w:val="TableHeader"/>
              <w:cnfStyle w:val="100000000000" w:firstRow="1" w:lastRow="0" w:firstColumn="0" w:lastColumn="0" w:oddVBand="0" w:evenVBand="0" w:oddHBand="0" w:evenHBand="0" w:firstRowFirstColumn="0" w:firstRowLastColumn="0" w:lastRowFirstColumn="0" w:lastRowLastColumn="0"/>
              <w:rPr>
                <w:b/>
                <w:bCs w:val="0"/>
              </w:rPr>
            </w:pPr>
            <w:r w:rsidRPr="00897C5B">
              <w:rPr>
                <w:b/>
                <w:bCs w:val="0"/>
              </w:rPr>
              <w:t>Intervention</w:t>
            </w:r>
          </w:p>
        </w:tc>
        <w:tc>
          <w:tcPr>
            <w:tcW w:w="1138" w:type="pct"/>
            <w:noWrap/>
          </w:tcPr>
          <w:p w14:paraId="1E19F078" w14:textId="77777777" w:rsidR="00303107" w:rsidRPr="00897C5B" w:rsidRDefault="00303107" w:rsidP="00897C5B">
            <w:pPr>
              <w:pStyle w:val="TableHeader"/>
              <w:cnfStyle w:val="100000000000" w:firstRow="1" w:lastRow="0" w:firstColumn="0" w:lastColumn="0" w:oddVBand="0" w:evenVBand="0" w:oddHBand="0" w:evenHBand="0" w:firstRowFirstColumn="0" w:firstRowLastColumn="0" w:lastRowFirstColumn="0" w:lastRowLastColumn="0"/>
              <w:rPr>
                <w:b/>
                <w:bCs w:val="0"/>
              </w:rPr>
            </w:pPr>
            <w:r w:rsidRPr="00897C5B">
              <w:rPr>
                <w:b/>
                <w:bCs w:val="0"/>
              </w:rPr>
              <w:t>Control</w:t>
            </w:r>
          </w:p>
        </w:tc>
        <w:tc>
          <w:tcPr>
            <w:tcW w:w="1138" w:type="pct"/>
          </w:tcPr>
          <w:p w14:paraId="642AFEB0" w14:textId="77777777" w:rsidR="00303107" w:rsidRPr="00897C5B" w:rsidRDefault="00303107" w:rsidP="00897C5B">
            <w:pPr>
              <w:pStyle w:val="TableHeader"/>
              <w:cnfStyle w:val="100000000000" w:firstRow="1" w:lastRow="0" w:firstColumn="0" w:lastColumn="0" w:oddVBand="0" w:evenVBand="0" w:oddHBand="0" w:evenHBand="0" w:firstRowFirstColumn="0" w:firstRowLastColumn="0" w:lastRowFirstColumn="0" w:lastRowLastColumn="0"/>
              <w:rPr>
                <w:b/>
                <w:bCs w:val="0"/>
              </w:rPr>
            </w:pPr>
            <w:r w:rsidRPr="00897C5B">
              <w:rPr>
                <w:b/>
                <w:bCs w:val="0"/>
              </w:rPr>
              <w:t>Increment</w:t>
            </w:r>
          </w:p>
        </w:tc>
      </w:tr>
      <w:bookmarkEnd w:id="83"/>
      <w:tr w:rsidR="00303107" w:rsidRPr="00E91002" w14:paraId="69D3120D" w14:textId="77777777" w:rsidTr="00897C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5" w:type="pct"/>
          </w:tcPr>
          <w:p w14:paraId="32AE89DE" w14:textId="77777777" w:rsidR="00303107" w:rsidRPr="00897C5B" w:rsidRDefault="00303107" w:rsidP="00897C5B">
            <w:pPr>
              <w:pStyle w:val="Tabletext1"/>
              <w:rPr>
                <w:b w:val="0"/>
                <w:bCs w:val="0"/>
              </w:rPr>
            </w:pPr>
            <w:r w:rsidRPr="00897C5B">
              <w:rPr>
                <w:b w:val="0"/>
                <w:bCs w:val="0"/>
              </w:rPr>
              <w:t>Proposed pharmacist review</w:t>
            </w:r>
          </w:p>
        </w:tc>
        <w:tc>
          <w:tcPr>
            <w:tcW w:w="1138" w:type="pct"/>
            <w:noWrap/>
          </w:tcPr>
          <w:p w14:paraId="6CEBDC84" w14:textId="77777777" w:rsidR="00303107" w:rsidRPr="00E91002" w:rsidRDefault="00303107" w:rsidP="00897C5B">
            <w:pPr>
              <w:pStyle w:val="Tabletext1"/>
              <w:jc w:val="right"/>
              <w:cnfStyle w:val="000000100000" w:firstRow="0" w:lastRow="0" w:firstColumn="0" w:lastColumn="0" w:oddVBand="0" w:evenVBand="0" w:oddHBand="1" w:evenHBand="0" w:firstRowFirstColumn="0" w:firstRowLastColumn="0" w:lastRowFirstColumn="0" w:lastRowLastColumn="0"/>
            </w:pPr>
            <w:r w:rsidRPr="00E91002">
              <w:t>$586</w:t>
            </w:r>
          </w:p>
        </w:tc>
        <w:tc>
          <w:tcPr>
            <w:tcW w:w="1138" w:type="pct"/>
            <w:noWrap/>
          </w:tcPr>
          <w:p w14:paraId="2F77B01C" w14:textId="77777777" w:rsidR="00303107" w:rsidRPr="00E91002" w:rsidRDefault="00303107" w:rsidP="00897C5B">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rPr>
            </w:pPr>
          </w:p>
        </w:tc>
        <w:tc>
          <w:tcPr>
            <w:tcW w:w="1138" w:type="pct"/>
          </w:tcPr>
          <w:p w14:paraId="1DABFB44" w14:textId="77777777" w:rsidR="00303107" w:rsidRPr="00E91002" w:rsidRDefault="00303107" w:rsidP="00897C5B">
            <w:pPr>
              <w:pStyle w:val="Tabletext1"/>
              <w:jc w:val="right"/>
              <w:cnfStyle w:val="000000100000" w:firstRow="0" w:lastRow="0" w:firstColumn="0" w:lastColumn="0" w:oddVBand="0" w:evenVBand="0" w:oddHBand="1" w:evenHBand="0" w:firstRowFirstColumn="0" w:firstRowLastColumn="0" w:lastRowFirstColumn="0" w:lastRowLastColumn="0"/>
            </w:pPr>
            <w:r w:rsidRPr="00E91002">
              <w:t>$586</w:t>
            </w:r>
          </w:p>
        </w:tc>
      </w:tr>
      <w:tr w:rsidR="00303107" w:rsidRPr="00E91002" w14:paraId="51209E7F" w14:textId="77777777" w:rsidTr="00897C5B">
        <w:trPr>
          <w:trHeight w:val="300"/>
        </w:trPr>
        <w:tc>
          <w:tcPr>
            <w:cnfStyle w:val="001000000000" w:firstRow="0" w:lastRow="0" w:firstColumn="1" w:lastColumn="0" w:oddVBand="0" w:evenVBand="0" w:oddHBand="0" w:evenHBand="0" w:firstRowFirstColumn="0" w:firstRowLastColumn="0" w:lastRowFirstColumn="0" w:lastRowLastColumn="0"/>
            <w:tcW w:w="1585" w:type="pct"/>
          </w:tcPr>
          <w:p w14:paraId="61687F52" w14:textId="77777777" w:rsidR="00303107" w:rsidRPr="00897C5B" w:rsidRDefault="00303107" w:rsidP="00897C5B">
            <w:pPr>
              <w:pStyle w:val="Tabletext1"/>
              <w:rPr>
                <w:b w:val="0"/>
                <w:bCs w:val="0"/>
              </w:rPr>
            </w:pPr>
            <w:r w:rsidRPr="00897C5B">
              <w:rPr>
                <w:b w:val="0"/>
                <w:bCs w:val="0"/>
              </w:rPr>
              <w:t>Pharmaceuticals (PBS costs)</w:t>
            </w:r>
          </w:p>
        </w:tc>
        <w:tc>
          <w:tcPr>
            <w:tcW w:w="1138" w:type="pct"/>
            <w:noWrap/>
          </w:tcPr>
          <w:p w14:paraId="00E95DA3" w14:textId="77777777" w:rsidR="00303107" w:rsidRPr="00E91002" w:rsidRDefault="00303107" w:rsidP="00897C5B">
            <w:pPr>
              <w:pStyle w:val="Tabletext1"/>
              <w:jc w:val="right"/>
              <w:cnfStyle w:val="000000000000" w:firstRow="0" w:lastRow="0" w:firstColumn="0" w:lastColumn="0" w:oddVBand="0" w:evenVBand="0" w:oddHBand="0" w:evenHBand="0" w:firstRowFirstColumn="0" w:firstRowLastColumn="0" w:lastRowFirstColumn="0" w:lastRowLastColumn="0"/>
            </w:pPr>
            <w:r w:rsidRPr="00E91002">
              <w:t>$2,840</w:t>
            </w:r>
          </w:p>
        </w:tc>
        <w:tc>
          <w:tcPr>
            <w:tcW w:w="1138" w:type="pct"/>
            <w:noWrap/>
          </w:tcPr>
          <w:p w14:paraId="13B9D876" w14:textId="77777777" w:rsidR="00303107" w:rsidRPr="00E91002" w:rsidRDefault="00303107" w:rsidP="00897C5B">
            <w:pPr>
              <w:pStyle w:val="Tabletext1"/>
              <w:jc w:val="right"/>
              <w:cnfStyle w:val="000000000000" w:firstRow="0" w:lastRow="0" w:firstColumn="0" w:lastColumn="0" w:oddVBand="0" w:evenVBand="0" w:oddHBand="0" w:evenHBand="0" w:firstRowFirstColumn="0" w:firstRowLastColumn="0" w:lastRowFirstColumn="0" w:lastRowLastColumn="0"/>
            </w:pPr>
            <w:r w:rsidRPr="00E91002">
              <w:t>$3,504</w:t>
            </w:r>
          </w:p>
        </w:tc>
        <w:tc>
          <w:tcPr>
            <w:tcW w:w="1138" w:type="pct"/>
          </w:tcPr>
          <w:p w14:paraId="5BB1DAB8" w14:textId="77777777" w:rsidR="00303107" w:rsidRPr="00E91002" w:rsidRDefault="00303107" w:rsidP="00897C5B">
            <w:pPr>
              <w:pStyle w:val="Tabletext1"/>
              <w:jc w:val="right"/>
              <w:cnfStyle w:val="000000000000" w:firstRow="0" w:lastRow="0" w:firstColumn="0" w:lastColumn="0" w:oddVBand="0" w:evenVBand="0" w:oddHBand="0" w:evenHBand="0" w:firstRowFirstColumn="0" w:firstRowLastColumn="0" w:lastRowFirstColumn="0" w:lastRowLastColumn="0"/>
            </w:pPr>
            <w:r w:rsidRPr="00E91002">
              <w:t>-$664</w:t>
            </w:r>
          </w:p>
        </w:tc>
      </w:tr>
      <w:tr w:rsidR="00303107" w:rsidRPr="00E91002" w14:paraId="73A08F53" w14:textId="77777777" w:rsidTr="00897C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5" w:type="pct"/>
          </w:tcPr>
          <w:p w14:paraId="6B6D419B" w14:textId="77777777" w:rsidR="00303107" w:rsidRPr="00897C5B" w:rsidRDefault="00303107" w:rsidP="00897C5B">
            <w:pPr>
              <w:pStyle w:val="Tabletext1"/>
              <w:rPr>
                <w:b w:val="0"/>
                <w:bCs w:val="0"/>
              </w:rPr>
            </w:pPr>
            <w:r w:rsidRPr="00897C5B">
              <w:rPr>
                <w:b w:val="0"/>
                <w:bCs w:val="0"/>
              </w:rPr>
              <w:t xml:space="preserve">Medical services (MBS costs) </w:t>
            </w:r>
          </w:p>
        </w:tc>
        <w:tc>
          <w:tcPr>
            <w:tcW w:w="1138" w:type="pct"/>
            <w:noWrap/>
          </w:tcPr>
          <w:p w14:paraId="597ABE7C" w14:textId="77777777" w:rsidR="00303107" w:rsidRPr="00E91002" w:rsidRDefault="00303107" w:rsidP="00897C5B">
            <w:pPr>
              <w:pStyle w:val="Tabletext1"/>
              <w:jc w:val="right"/>
              <w:cnfStyle w:val="000000100000" w:firstRow="0" w:lastRow="0" w:firstColumn="0" w:lastColumn="0" w:oddVBand="0" w:evenVBand="0" w:oddHBand="1" w:evenHBand="0" w:firstRowFirstColumn="0" w:firstRowLastColumn="0" w:lastRowFirstColumn="0" w:lastRowLastColumn="0"/>
            </w:pPr>
            <w:r w:rsidRPr="00E91002">
              <w:t>$2,637</w:t>
            </w:r>
          </w:p>
        </w:tc>
        <w:tc>
          <w:tcPr>
            <w:tcW w:w="1138" w:type="pct"/>
            <w:noWrap/>
          </w:tcPr>
          <w:p w14:paraId="54EA7988" w14:textId="77777777" w:rsidR="00303107" w:rsidRPr="00E91002" w:rsidRDefault="00303107" w:rsidP="00897C5B">
            <w:pPr>
              <w:pStyle w:val="Tabletext1"/>
              <w:jc w:val="right"/>
              <w:cnfStyle w:val="000000100000" w:firstRow="0" w:lastRow="0" w:firstColumn="0" w:lastColumn="0" w:oddVBand="0" w:evenVBand="0" w:oddHBand="1" w:evenHBand="0" w:firstRowFirstColumn="0" w:firstRowLastColumn="0" w:lastRowFirstColumn="0" w:lastRowLastColumn="0"/>
            </w:pPr>
            <w:r w:rsidRPr="00E91002">
              <w:t>$2,357</w:t>
            </w:r>
          </w:p>
        </w:tc>
        <w:tc>
          <w:tcPr>
            <w:tcW w:w="1138" w:type="pct"/>
          </w:tcPr>
          <w:p w14:paraId="4245321E" w14:textId="77777777" w:rsidR="00303107" w:rsidRPr="00E91002" w:rsidRDefault="00303107" w:rsidP="00897C5B">
            <w:pPr>
              <w:pStyle w:val="Tabletext1"/>
              <w:jc w:val="right"/>
              <w:cnfStyle w:val="000000100000" w:firstRow="0" w:lastRow="0" w:firstColumn="0" w:lastColumn="0" w:oddVBand="0" w:evenVBand="0" w:oddHBand="1" w:evenHBand="0" w:firstRowFirstColumn="0" w:firstRowLastColumn="0" w:lastRowFirstColumn="0" w:lastRowLastColumn="0"/>
            </w:pPr>
            <w:r w:rsidRPr="00E91002">
              <w:t>$280</w:t>
            </w:r>
          </w:p>
        </w:tc>
      </w:tr>
      <w:tr w:rsidR="00303107" w:rsidRPr="00E91002" w14:paraId="1A68BC8F" w14:textId="77777777" w:rsidTr="00897C5B">
        <w:trPr>
          <w:trHeight w:val="300"/>
        </w:trPr>
        <w:tc>
          <w:tcPr>
            <w:cnfStyle w:val="001000000000" w:firstRow="0" w:lastRow="0" w:firstColumn="1" w:lastColumn="0" w:oddVBand="0" w:evenVBand="0" w:oddHBand="0" w:evenHBand="0" w:firstRowFirstColumn="0" w:firstRowLastColumn="0" w:lastRowFirstColumn="0" w:lastRowLastColumn="0"/>
            <w:tcW w:w="1585" w:type="pct"/>
          </w:tcPr>
          <w:p w14:paraId="71A7489A" w14:textId="77777777" w:rsidR="00303107" w:rsidRPr="00897C5B" w:rsidRDefault="00303107" w:rsidP="00897C5B">
            <w:pPr>
              <w:pStyle w:val="Tabletext1"/>
              <w:rPr>
                <w:b w:val="0"/>
                <w:bCs w:val="0"/>
              </w:rPr>
            </w:pPr>
            <w:r w:rsidRPr="00897C5B">
              <w:rPr>
                <w:b w:val="0"/>
                <w:bCs w:val="0"/>
              </w:rPr>
              <w:t>Hospital costs - admissions</w:t>
            </w:r>
          </w:p>
        </w:tc>
        <w:tc>
          <w:tcPr>
            <w:tcW w:w="1138" w:type="pct"/>
            <w:noWrap/>
          </w:tcPr>
          <w:p w14:paraId="39993A0D" w14:textId="77777777" w:rsidR="00303107" w:rsidRPr="00E91002" w:rsidRDefault="00303107" w:rsidP="00897C5B">
            <w:pPr>
              <w:pStyle w:val="Tabletext1"/>
              <w:jc w:val="right"/>
              <w:cnfStyle w:val="000000000000" w:firstRow="0" w:lastRow="0" w:firstColumn="0" w:lastColumn="0" w:oddVBand="0" w:evenVBand="0" w:oddHBand="0" w:evenHBand="0" w:firstRowFirstColumn="0" w:firstRowLastColumn="0" w:lastRowFirstColumn="0" w:lastRowLastColumn="0"/>
            </w:pPr>
            <w:r w:rsidRPr="00E91002">
              <w:t>$2,192</w:t>
            </w:r>
          </w:p>
        </w:tc>
        <w:tc>
          <w:tcPr>
            <w:tcW w:w="1138" w:type="pct"/>
            <w:noWrap/>
          </w:tcPr>
          <w:p w14:paraId="4654D32C" w14:textId="77777777" w:rsidR="00303107" w:rsidRPr="00E91002" w:rsidRDefault="00303107" w:rsidP="00897C5B">
            <w:pPr>
              <w:pStyle w:val="Tabletext1"/>
              <w:jc w:val="right"/>
              <w:cnfStyle w:val="000000000000" w:firstRow="0" w:lastRow="0" w:firstColumn="0" w:lastColumn="0" w:oddVBand="0" w:evenVBand="0" w:oddHBand="0" w:evenHBand="0" w:firstRowFirstColumn="0" w:firstRowLastColumn="0" w:lastRowFirstColumn="0" w:lastRowLastColumn="0"/>
            </w:pPr>
            <w:r w:rsidRPr="00E91002">
              <w:t>$623</w:t>
            </w:r>
          </w:p>
        </w:tc>
        <w:tc>
          <w:tcPr>
            <w:tcW w:w="1138" w:type="pct"/>
          </w:tcPr>
          <w:p w14:paraId="3F361FA4" w14:textId="77777777" w:rsidR="00303107" w:rsidRPr="00E91002" w:rsidRDefault="00303107" w:rsidP="00897C5B">
            <w:pPr>
              <w:pStyle w:val="Tabletext1"/>
              <w:jc w:val="right"/>
              <w:cnfStyle w:val="000000000000" w:firstRow="0" w:lastRow="0" w:firstColumn="0" w:lastColumn="0" w:oddVBand="0" w:evenVBand="0" w:oddHBand="0" w:evenHBand="0" w:firstRowFirstColumn="0" w:firstRowLastColumn="0" w:lastRowFirstColumn="0" w:lastRowLastColumn="0"/>
            </w:pPr>
            <w:r w:rsidRPr="00E91002">
              <w:t>$1,569</w:t>
            </w:r>
          </w:p>
        </w:tc>
      </w:tr>
      <w:tr w:rsidR="00303107" w:rsidRPr="00E91002" w14:paraId="164632E9" w14:textId="77777777" w:rsidTr="00897C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5" w:type="pct"/>
          </w:tcPr>
          <w:p w14:paraId="3F167598" w14:textId="77777777" w:rsidR="00303107" w:rsidRPr="00897C5B" w:rsidRDefault="00303107" w:rsidP="00897C5B">
            <w:pPr>
              <w:pStyle w:val="Tabletext1"/>
              <w:rPr>
                <w:b w:val="0"/>
                <w:bCs w:val="0"/>
              </w:rPr>
            </w:pPr>
            <w:r w:rsidRPr="00897C5B">
              <w:rPr>
                <w:b w:val="0"/>
                <w:bCs w:val="0"/>
              </w:rPr>
              <w:t xml:space="preserve">Aged Care subsidies </w:t>
            </w:r>
          </w:p>
        </w:tc>
        <w:tc>
          <w:tcPr>
            <w:tcW w:w="1138" w:type="pct"/>
            <w:noWrap/>
          </w:tcPr>
          <w:p w14:paraId="5BAA122C" w14:textId="77777777" w:rsidR="00303107" w:rsidRPr="00E91002" w:rsidRDefault="00303107" w:rsidP="00897C5B">
            <w:pPr>
              <w:pStyle w:val="Tabletext1"/>
              <w:jc w:val="right"/>
              <w:cnfStyle w:val="000000100000" w:firstRow="0" w:lastRow="0" w:firstColumn="0" w:lastColumn="0" w:oddVBand="0" w:evenVBand="0" w:oddHBand="1" w:evenHBand="0" w:firstRowFirstColumn="0" w:firstRowLastColumn="0" w:lastRowFirstColumn="0" w:lastRowLastColumn="0"/>
            </w:pPr>
            <w:r w:rsidRPr="00E91002">
              <w:t>$56,023</w:t>
            </w:r>
          </w:p>
        </w:tc>
        <w:tc>
          <w:tcPr>
            <w:tcW w:w="1138" w:type="pct"/>
            <w:noWrap/>
          </w:tcPr>
          <w:p w14:paraId="2688068A" w14:textId="77777777" w:rsidR="00303107" w:rsidRPr="00E91002" w:rsidRDefault="00303107" w:rsidP="00897C5B">
            <w:pPr>
              <w:pStyle w:val="Tabletext1"/>
              <w:jc w:val="right"/>
              <w:cnfStyle w:val="000000100000" w:firstRow="0" w:lastRow="0" w:firstColumn="0" w:lastColumn="0" w:oddVBand="0" w:evenVBand="0" w:oddHBand="1" w:evenHBand="0" w:firstRowFirstColumn="0" w:firstRowLastColumn="0" w:lastRowFirstColumn="0" w:lastRowLastColumn="0"/>
            </w:pPr>
            <w:r w:rsidRPr="00E91002">
              <w:t>$55,953</w:t>
            </w:r>
          </w:p>
        </w:tc>
        <w:tc>
          <w:tcPr>
            <w:tcW w:w="1138" w:type="pct"/>
          </w:tcPr>
          <w:p w14:paraId="4B6FACD5" w14:textId="77777777" w:rsidR="00303107" w:rsidRPr="00E91002" w:rsidRDefault="00303107" w:rsidP="00897C5B">
            <w:pPr>
              <w:pStyle w:val="Tabletext1"/>
              <w:jc w:val="right"/>
              <w:cnfStyle w:val="000000100000" w:firstRow="0" w:lastRow="0" w:firstColumn="0" w:lastColumn="0" w:oddVBand="0" w:evenVBand="0" w:oddHBand="1" w:evenHBand="0" w:firstRowFirstColumn="0" w:firstRowLastColumn="0" w:lastRowFirstColumn="0" w:lastRowLastColumn="0"/>
            </w:pPr>
            <w:r w:rsidRPr="00E91002">
              <w:t>$70</w:t>
            </w:r>
          </w:p>
        </w:tc>
      </w:tr>
      <w:tr w:rsidR="00303107" w:rsidRPr="00897C5B" w14:paraId="1C0F8AB9" w14:textId="77777777" w:rsidTr="00897C5B">
        <w:trPr>
          <w:trHeight w:val="291"/>
        </w:trPr>
        <w:tc>
          <w:tcPr>
            <w:cnfStyle w:val="001000000000" w:firstRow="0" w:lastRow="0" w:firstColumn="1" w:lastColumn="0" w:oddVBand="0" w:evenVBand="0" w:oddHBand="0" w:evenHBand="0" w:firstRowFirstColumn="0" w:firstRowLastColumn="0" w:lastRowFirstColumn="0" w:lastRowLastColumn="0"/>
            <w:tcW w:w="1585" w:type="pct"/>
          </w:tcPr>
          <w:p w14:paraId="1E1BCBB8" w14:textId="77777777" w:rsidR="00303107" w:rsidRPr="00897C5B" w:rsidRDefault="00303107" w:rsidP="00897C5B">
            <w:pPr>
              <w:pStyle w:val="Tabletext1"/>
            </w:pPr>
            <w:r w:rsidRPr="00897C5B">
              <w:t>TOTAL</w:t>
            </w:r>
          </w:p>
        </w:tc>
        <w:tc>
          <w:tcPr>
            <w:tcW w:w="1138" w:type="pct"/>
            <w:noWrap/>
          </w:tcPr>
          <w:p w14:paraId="2B6318BA" w14:textId="77777777" w:rsidR="00303107" w:rsidRPr="00897C5B" w:rsidRDefault="00303107" w:rsidP="00897C5B">
            <w:pPr>
              <w:pStyle w:val="Tabletext1"/>
              <w:jc w:val="right"/>
              <w:cnfStyle w:val="000000000000" w:firstRow="0" w:lastRow="0" w:firstColumn="0" w:lastColumn="0" w:oddVBand="0" w:evenVBand="0" w:oddHBand="0" w:evenHBand="0" w:firstRowFirstColumn="0" w:firstRowLastColumn="0" w:lastRowFirstColumn="0" w:lastRowLastColumn="0"/>
              <w:rPr>
                <w:b/>
                <w:bCs/>
              </w:rPr>
            </w:pPr>
            <w:r w:rsidRPr="00897C5B">
              <w:rPr>
                <w:b/>
                <w:bCs/>
              </w:rPr>
              <w:t>$64,278</w:t>
            </w:r>
          </w:p>
        </w:tc>
        <w:tc>
          <w:tcPr>
            <w:tcW w:w="1138" w:type="pct"/>
            <w:noWrap/>
          </w:tcPr>
          <w:p w14:paraId="13B86AF8" w14:textId="77777777" w:rsidR="00303107" w:rsidRPr="00897C5B" w:rsidRDefault="00303107" w:rsidP="00897C5B">
            <w:pPr>
              <w:pStyle w:val="Tabletext1"/>
              <w:jc w:val="right"/>
              <w:cnfStyle w:val="000000000000" w:firstRow="0" w:lastRow="0" w:firstColumn="0" w:lastColumn="0" w:oddVBand="0" w:evenVBand="0" w:oddHBand="0" w:evenHBand="0" w:firstRowFirstColumn="0" w:firstRowLastColumn="0" w:lastRowFirstColumn="0" w:lastRowLastColumn="0"/>
              <w:rPr>
                <w:b/>
                <w:bCs/>
              </w:rPr>
            </w:pPr>
            <w:r w:rsidRPr="00897C5B">
              <w:rPr>
                <w:b/>
                <w:bCs/>
              </w:rPr>
              <w:t>$62,437</w:t>
            </w:r>
          </w:p>
        </w:tc>
        <w:tc>
          <w:tcPr>
            <w:tcW w:w="1138" w:type="pct"/>
          </w:tcPr>
          <w:p w14:paraId="24EC65F1" w14:textId="77777777" w:rsidR="00303107" w:rsidRPr="00897C5B" w:rsidRDefault="00303107" w:rsidP="00897C5B">
            <w:pPr>
              <w:pStyle w:val="Tabletext1"/>
              <w:jc w:val="right"/>
              <w:cnfStyle w:val="000000000000" w:firstRow="0" w:lastRow="0" w:firstColumn="0" w:lastColumn="0" w:oddVBand="0" w:evenVBand="0" w:oddHBand="0" w:evenHBand="0" w:firstRowFirstColumn="0" w:firstRowLastColumn="0" w:lastRowFirstColumn="0" w:lastRowLastColumn="0"/>
              <w:rPr>
                <w:b/>
                <w:bCs/>
              </w:rPr>
            </w:pPr>
            <w:r w:rsidRPr="00897C5B">
              <w:rPr>
                <w:b/>
                <w:bCs/>
              </w:rPr>
              <w:t>$1,841</w:t>
            </w:r>
          </w:p>
        </w:tc>
      </w:tr>
    </w:tbl>
    <w:p w14:paraId="3718A09A" w14:textId="7D52ACA9" w:rsidR="00CD590F" w:rsidRPr="00897C5B" w:rsidRDefault="00CD590F" w:rsidP="00897C5B">
      <w:pPr>
        <w:pStyle w:val="Caption"/>
      </w:pPr>
      <w:r w:rsidRPr="00897C5B">
        <w:t>Table ES-1: Average healthcare costs per patient over 12 months for each study arm (adjusted trial-based cost analysis): base case</w:t>
      </w:r>
    </w:p>
    <w:p w14:paraId="3EEA9174" w14:textId="7664680F" w:rsidR="007C1077" w:rsidRDefault="007C1077" w:rsidP="007501B9">
      <w:r>
        <w:t xml:space="preserve">The observed difference in pharmaceutical costs was in the opposite direction to all other resource </w:t>
      </w:r>
      <w:proofErr w:type="gramStart"/>
      <w:r>
        <w:t>use, and</w:t>
      </w:r>
      <w:proofErr w:type="gramEnd"/>
      <w:r>
        <w:t xml:space="preserve"> showed reduced pharmaceutical costs in the intervention arm</w:t>
      </w:r>
      <w:r w:rsidR="007501B9">
        <w:t xml:space="preserve">. </w:t>
      </w:r>
      <w:r>
        <w:t>This finding is consistent with the findings of previous studies and is considered more likely to be directly associated with the intervention</w:t>
      </w:r>
      <w:r w:rsidR="007501B9">
        <w:t xml:space="preserve">. </w:t>
      </w:r>
      <w:r>
        <w:t>If only the pharmacist and pharmaceutical costs are analysed, the intervention is associated with a net saving of $78 per resident per year.</w:t>
      </w:r>
    </w:p>
    <w:p w14:paraId="47DAF831" w14:textId="5D490A36" w:rsidR="007C1077" w:rsidRPr="00CD590F" w:rsidRDefault="007C1077" w:rsidP="007501B9">
      <w:r>
        <w:t xml:space="preserve">Exploratory trial-based cost-effectiveness analysis around clinically significant cognitive decline estimated a trial-based </w:t>
      </w:r>
      <w:r w:rsidRPr="0086632E">
        <w:t xml:space="preserve">incremental cost-effectiveness ratio of $15,342 per resident </w:t>
      </w:r>
      <w:r w:rsidRPr="0086632E">
        <w:lastRenderedPageBreak/>
        <w:t>avoiding clinically significant cognitive decline</w:t>
      </w:r>
      <w:r>
        <w:t>, in one year</w:t>
      </w:r>
      <w:r w:rsidR="007501B9">
        <w:t xml:space="preserve">. </w:t>
      </w:r>
      <w:r>
        <w:t>If only pharmacist and pharmaceutical costs were considered relevant, the exploratory analysis results in the intervention being dominant; preventing clinically significant cognitive decline and resulting in a net saving due to reduced pharmaceutical expenditure.</w:t>
      </w:r>
    </w:p>
    <w:p w14:paraId="77DFA72A" w14:textId="011B8625" w:rsidR="005278E7" w:rsidRPr="00F95283" w:rsidRDefault="00307E0F" w:rsidP="005B14D9">
      <w:pPr>
        <w:pStyle w:val="Heading2"/>
      </w:pPr>
      <w:bookmarkStart w:id="85" w:name="_Toc117758223"/>
      <w:r w:rsidRPr="00F95283">
        <w:t>ES.12</w:t>
      </w:r>
      <w:r w:rsidR="006570F7">
        <w:tab/>
      </w:r>
      <w:r w:rsidR="000B7A2F" w:rsidRPr="00F95283">
        <w:t>Estimated Extent of Use and Financial I</w:t>
      </w:r>
      <w:r w:rsidR="005278E7" w:rsidRPr="00F95283">
        <w:t>m</w:t>
      </w:r>
      <w:bookmarkEnd w:id="79"/>
      <w:r w:rsidR="005278E7" w:rsidRPr="00F95283">
        <w:t>plications</w:t>
      </w:r>
      <w:bookmarkEnd w:id="80"/>
      <w:bookmarkEnd w:id="85"/>
    </w:p>
    <w:bookmarkEnd w:id="81"/>
    <w:bookmarkEnd w:id="82"/>
    <w:p w14:paraId="7D0387B4" w14:textId="18348C20" w:rsidR="00CD590F" w:rsidRDefault="00CD590F" w:rsidP="007501B9">
      <w:r w:rsidRPr="00183E4D">
        <w:t xml:space="preserve">An epidemiological approach has been used to estimate the financial implications of the introduction of </w:t>
      </w:r>
      <w:r>
        <w:t>pharmacist-led intervention among</w:t>
      </w:r>
      <w:r w:rsidRPr="00A541EB">
        <w:t xml:space="preserve"> residents in aged care facilities</w:t>
      </w:r>
      <w:r w:rsidR="007501B9">
        <w:t xml:space="preserve">. </w:t>
      </w:r>
      <w:r>
        <w:t>Based on projected numbers of people in residential care, estimated intervention eligibility and uptake rates, the pharmacist service may be expected to cost between $5-6 million per year.</w:t>
      </w:r>
    </w:p>
    <w:p w14:paraId="60E725CB" w14:textId="3828E1BB" w:rsidR="00CD590F" w:rsidRDefault="00CD590F" w:rsidP="007501B9">
      <w:r>
        <w:t>If PBS savings are associated with the intervention, as suggested by the clinical trial and consistent with the literature, the pharmacist intervention costs would be fully offset by reduced PBS expenditure and may deliver net savings of approximately $1 million per year</w:t>
      </w:r>
      <w:r w:rsidR="00B8120C">
        <w:t xml:space="preserve"> (Table ES-2)</w:t>
      </w:r>
      <w:r>
        <w:t>.</w:t>
      </w:r>
    </w:p>
    <w:tbl>
      <w:tblPr>
        <w:tblStyle w:val="ListTable3"/>
        <w:tblW w:w="5000" w:type="pct"/>
        <w:tblLayout w:type="fixed"/>
        <w:tblLook w:val="04A0" w:firstRow="1" w:lastRow="0" w:firstColumn="1" w:lastColumn="0" w:noHBand="0" w:noVBand="1"/>
        <w:tblCaption w:val="Projected people in residential aged care who would be eligible for the proposed pharmacist review over five years"/>
        <w:tblDescription w:val="Projected people in residential aged care who would be eligible for the proposed pharmacist review over five years"/>
      </w:tblPr>
      <w:tblGrid>
        <w:gridCol w:w="2688"/>
        <w:gridCol w:w="1276"/>
        <w:gridCol w:w="1275"/>
        <w:gridCol w:w="1277"/>
        <w:gridCol w:w="1277"/>
        <w:gridCol w:w="1223"/>
      </w:tblGrid>
      <w:tr w:rsidR="00F45C1C" w:rsidRPr="005B14D9" w14:paraId="1FE33BC3" w14:textId="77777777" w:rsidTr="008F1E88">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1491" w:type="pct"/>
            <w:noWrap/>
            <w:hideMark/>
          </w:tcPr>
          <w:p w14:paraId="1EA1D515" w14:textId="2F590CA3" w:rsidR="00CD590F" w:rsidRPr="005B14D9" w:rsidRDefault="00045471" w:rsidP="005B14D9">
            <w:pPr>
              <w:pStyle w:val="TableHeaderWhite"/>
              <w:rPr>
                <w:b/>
                <w:bCs w:val="0"/>
              </w:rPr>
            </w:pPr>
            <w:bookmarkStart w:id="86" w:name="Title_20"/>
            <w:bookmarkStart w:id="87" w:name="Title_2" w:colFirst="0" w:colLast="0"/>
            <w:bookmarkEnd w:id="86"/>
            <w:r w:rsidRPr="005B14D9">
              <w:rPr>
                <w:b/>
                <w:bCs w:val="0"/>
              </w:rPr>
              <w:t>Descriptor</w:t>
            </w:r>
          </w:p>
        </w:tc>
        <w:tc>
          <w:tcPr>
            <w:tcW w:w="708" w:type="pct"/>
            <w:noWrap/>
            <w:hideMark/>
          </w:tcPr>
          <w:p w14:paraId="41785587" w14:textId="77777777" w:rsidR="00CD590F" w:rsidRPr="005B14D9" w:rsidRDefault="00CD590F" w:rsidP="005B14D9">
            <w:pPr>
              <w:pStyle w:val="TableHeaderWhite"/>
              <w:jc w:val="right"/>
              <w:cnfStyle w:val="100000000000" w:firstRow="1" w:lastRow="0" w:firstColumn="0" w:lastColumn="0" w:oddVBand="0" w:evenVBand="0" w:oddHBand="0" w:evenHBand="0" w:firstRowFirstColumn="0" w:firstRowLastColumn="0" w:lastRowFirstColumn="0" w:lastRowLastColumn="0"/>
              <w:rPr>
                <w:b/>
                <w:bCs w:val="0"/>
              </w:rPr>
            </w:pPr>
            <w:r w:rsidRPr="005B14D9">
              <w:rPr>
                <w:b/>
                <w:bCs w:val="0"/>
              </w:rPr>
              <w:t>2021-22</w:t>
            </w:r>
          </w:p>
        </w:tc>
        <w:tc>
          <w:tcPr>
            <w:tcW w:w="707" w:type="pct"/>
            <w:noWrap/>
            <w:hideMark/>
          </w:tcPr>
          <w:p w14:paraId="40760026" w14:textId="77777777" w:rsidR="00CD590F" w:rsidRPr="005B14D9" w:rsidRDefault="00CD590F" w:rsidP="005B14D9">
            <w:pPr>
              <w:pStyle w:val="TableHeaderWhite"/>
              <w:jc w:val="right"/>
              <w:cnfStyle w:val="100000000000" w:firstRow="1" w:lastRow="0" w:firstColumn="0" w:lastColumn="0" w:oddVBand="0" w:evenVBand="0" w:oddHBand="0" w:evenHBand="0" w:firstRowFirstColumn="0" w:firstRowLastColumn="0" w:lastRowFirstColumn="0" w:lastRowLastColumn="0"/>
              <w:rPr>
                <w:b/>
                <w:bCs w:val="0"/>
              </w:rPr>
            </w:pPr>
            <w:r w:rsidRPr="005B14D9">
              <w:rPr>
                <w:b/>
                <w:bCs w:val="0"/>
              </w:rPr>
              <w:t>2022-23</w:t>
            </w:r>
          </w:p>
        </w:tc>
        <w:tc>
          <w:tcPr>
            <w:tcW w:w="708" w:type="pct"/>
            <w:noWrap/>
            <w:hideMark/>
          </w:tcPr>
          <w:p w14:paraId="09F07F0F" w14:textId="77777777" w:rsidR="00CD590F" w:rsidRPr="005B14D9" w:rsidRDefault="00CD590F" w:rsidP="005B14D9">
            <w:pPr>
              <w:pStyle w:val="TableHeaderWhite"/>
              <w:jc w:val="right"/>
              <w:cnfStyle w:val="100000000000" w:firstRow="1" w:lastRow="0" w:firstColumn="0" w:lastColumn="0" w:oddVBand="0" w:evenVBand="0" w:oddHBand="0" w:evenHBand="0" w:firstRowFirstColumn="0" w:firstRowLastColumn="0" w:lastRowFirstColumn="0" w:lastRowLastColumn="0"/>
              <w:rPr>
                <w:b/>
                <w:bCs w:val="0"/>
              </w:rPr>
            </w:pPr>
            <w:r w:rsidRPr="005B14D9">
              <w:rPr>
                <w:b/>
                <w:bCs w:val="0"/>
              </w:rPr>
              <w:t>2023-24</w:t>
            </w:r>
          </w:p>
        </w:tc>
        <w:tc>
          <w:tcPr>
            <w:tcW w:w="708" w:type="pct"/>
            <w:noWrap/>
            <w:hideMark/>
          </w:tcPr>
          <w:p w14:paraId="6A472056" w14:textId="77777777" w:rsidR="00CD590F" w:rsidRPr="005B14D9" w:rsidRDefault="00CD590F" w:rsidP="005B14D9">
            <w:pPr>
              <w:pStyle w:val="TableHeaderWhite"/>
              <w:jc w:val="right"/>
              <w:cnfStyle w:val="100000000000" w:firstRow="1" w:lastRow="0" w:firstColumn="0" w:lastColumn="0" w:oddVBand="0" w:evenVBand="0" w:oddHBand="0" w:evenHBand="0" w:firstRowFirstColumn="0" w:firstRowLastColumn="0" w:lastRowFirstColumn="0" w:lastRowLastColumn="0"/>
              <w:rPr>
                <w:b/>
                <w:bCs w:val="0"/>
              </w:rPr>
            </w:pPr>
            <w:r w:rsidRPr="005B14D9">
              <w:rPr>
                <w:b/>
                <w:bCs w:val="0"/>
              </w:rPr>
              <w:t>2024-25</w:t>
            </w:r>
          </w:p>
        </w:tc>
        <w:tc>
          <w:tcPr>
            <w:tcW w:w="679" w:type="pct"/>
            <w:noWrap/>
            <w:hideMark/>
          </w:tcPr>
          <w:p w14:paraId="45B084CB" w14:textId="77777777" w:rsidR="00CD590F" w:rsidRPr="005B14D9" w:rsidRDefault="00CD590F" w:rsidP="005B14D9">
            <w:pPr>
              <w:pStyle w:val="TableHeaderWhite"/>
              <w:jc w:val="right"/>
              <w:cnfStyle w:val="100000000000" w:firstRow="1" w:lastRow="0" w:firstColumn="0" w:lastColumn="0" w:oddVBand="0" w:evenVBand="0" w:oddHBand="0" w:evenHBand="0" w:firstRowFirstColumn="0" w:firstRowLastColumn="0" w:lastRowFirstColumn="0" w:lastRowLastColumn="0"/>
              <w:rPr>
                <w:b/>
                <w:bCs w:val="0"/>
              </w:rPr>
            </w:pPr>
            <w:r w:rsidRPr="005B14D9">
              <w:rPr>
                <w:b/>
                <w:bCs w:val="0"/>
              </w:rPr>
              <w:t>2025-26</w:t>
            </w:r>
          </w:p>
        </w:tc>
      </w:tr>
      <w:bookmarkEnd w:id="87"/>
      <w:tr w:rsidR="00F45C1C" w:rsidRPr="005B14D9" w14:paraId="75617637" w14:textId="77777777" w:rsidTr="005B14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91" w:type="pct"/>
            <w:noWrap/>
            <w:hideMark/>
          </w:tcPr>
          <w:p w14:paraId="6B785D69" w14:textId="77777777" w:rsidR="00CD590F" w:rsidRPr="005B14D9" w:rsidRDefault="00CD590F" w:rsidP="005B14D9">
            <w:pPr>
              <w:pStyle w:val="Tabletext1"/>
              <w:rPr>
                <w:b w:val="0"/>
                <w:bCs w:val="0"/>
              </w:rPr>
            </w:pPr>
            <w:r w:rsidRPr="005B14D9">
              <w:rPr>
                <w:b w:val="0"/>
                <w:bCs w:val="0"/>
              </w:rPr>
              <w:t>No. people in residential aged care</w:t>
            </w:r>
          </w:p>
        </w:tc>
        <w:tc>
          <w:tcPr>
            <w:tcW w:w="708" w:type="pct"/>
            <w:noWrap/>
            <w:hideMark/>
          </w:tcPr>
          <w:p w14:paraId="03A4807B" w14:textId="77777777" w:rsidR="00CD590F" w:rsidRPr="005B14D9" w:rsidRDefault="00CD590F" w:rsidP="005B14D9">
            <w:pPr>
              <w:pStyle w:val="Tabletext1"/>
              <w:jc w:val="right"/>
              <w:cnfStyle w:val="000000100000" w:firstRow="0" w:lastRow="0" w:firstColumn="0" w:lastColumn="0" w:oddVBand="0" w:evenVBand="0" w:oddHBand="1" w:evenHBand="0" w:firstRowFirstColumn="0" w:firstRowLastColumn="0" w:lastRowFirstColumn="0" w:lastRowLastColumn="0"/>
              <w:rPr>
                <w:sz w:val="18"/>
                <w:szCs w:val="20"/>
              </w:rPr>
            </w:pPr>
            <w:r w:rsidRPr="005B14D9">
              <w:rPr>
                <w:sz w:val="18"/>
                <w:szCs w:val="20"/>
              </w:rPr>
              <w:t>249,441</w:t>
            </w:r>
          </w:p>
        </w:tc>
        <w:tc>
          <w:tcPr>
            <w:tcW w:w="707" w:type="pct"/>
            <w:noWrap/>
            <w:hideMark/>
          </w:tcPr>
          <w:p w14:paraId="58E1A18F" w14:textId="77777777" w:rsidR="00CD590F" w:rsidRPr="005B14D9" w:rsidRDefault="00CD590F" w:rsidP="005B14D9">
            <w:pPr>
              <w:pStyle w:val="Tabletext1"/>
              <w:jc w:val="right"/>
              <w:cnfStyle w:val="000000100000" w:firstRow="0" w:lastRow="0" w:firstColumn="0" w:lastColumn="0" w:oddVBand="0" w:evenVBand="0" w:oddHBand="1" w:evenHBand="0" w:firstRowFirstColumn="0" w:firstRowLastColumn="0" w:lastRowFirstColumn="0" w:lastRowLastColumn="0"/>
              <w:rPr>
                <w:sz w:val="18"/>
                <w:szCs w:val="20"/>
              </w:rPr>
            </w:pPr>
            <w:r w:rsidRPr="005B14D9">
              <w:rPr>
                <w:sz w:val="18"/>
                <w:szCs w:val="20"/>
              </w:rPr>
              <w:t>251,651</w:t>
            </w:r>
          </w:p>
        </w:tc>
        <w:tc>
          <w:tcPr>
            <w:tcW w:w="708" w:type="pct"/>
            <w:noWrap/>
            <w:hideMark/>
          </w:tcPr>
          <w:p w14:paraId="62FFD199" w14:textId="77777777" w:rsidR="00CD590F" w:rsidRPr="005B14D9" w:rsidRDefault="00CD590F" w:rsidP="005B14D9">
            <w:pPr>
              <w:pStyle w:val="Tabletext1"/>
              <w:jc w:val="right"/>
              <w:cnfStyle w:val="000000100000" w:firstRow="0" w:lastRow="0" w:firstColumn="0" w:lastColumn="0" w:oddVBand="0" w:evenVBand="0" w:oddHBand="1" w:evenHBand="0" w:firstRowFirstColumn="0" w:firstRowLastColumn="0" w:lastRowFirstColumn="0" w:lastRowLastColumn="0"/>
              <w:rPr>
                <w:sz w:val="18"/>
                <w:szCs w:val="20"/>
              </w:rPr>
            </w:pPr>
            <w:r w:rsidRPr="005B14D9">
              <w:rPr>
                <w:sz w:val="18"/>
                <w:szCs w:val="20"/>
              </w:rPr>
              <w:t>253,860</w:t>
            </w:r>
          </w:p>
        </w:tc>
        <w:tc>
          <w:tcPr>
            <w:tcW w:w="708" w:type="pct"/>
            <w:noWrap/>
            <w:hideMark/>
          </w:tcPr>
          <w:p w14:paraId="0B18D4F2" w14:textId="77777777" w:rsidR="00CD590F" w:rsidRPr="005B14D9" w:rsidRDefault="00CD590F" w:rsidP="005B14D9">
            <w:pPr>
              <w:pStyle w:val="Tabletext1"/>
              <w:jc w:val="right"/>
              <w:cnfStyle w:val="000000100000" w:firstRow="0" w:lastRow="0" w:firstColumn="0" w:lastColumn="0" w:oddVBand="0" w:evenVBand="0" w:oddHBand="1" w:evenHBand="0" w:firstRowFirstColumn="0" w:firstRowLastColumn="0" w:lastRowFirstColumn="0" w:lastRowLastColumn="0"/>
              <w:rPr>
                <w:sz w:val="18"/>
                <w:szCs w:val="20"/>
              </w:rPr>
            </w:pPr>
            <w:r w:rsidRPr="005B14D9">
              <w:rPr>
                <w:sz w:val="18"/>
                <w:szCs w:val="20"/>
              </w:rPr>
              <w:t>256,070</w:t>
            </w:r>
          </w:p>
        </w:tc>
        <w:tc>
          <w:tcPr>
            <w:tcW w:w="679" w:type="pct"/>
            <w:noWrap/>
            <w:hideMark/>
          </w:tcPr>
          <w:p w14:paraId="52ADECC7" w14:textId="77777777" w:rsidR="00CD590F" w:rsidRPr="005B14D9" w:rsidRDefault="00CD590F" w:rsidP="005B14D9">
            <w:pPr>
              <w:pStyle w:val="Tabletext1"/>
              <w:jc w:val="right"/>
              <w:cnfStyle w:val="000000100000" w:firstRow="0" w:lastRow="0" w:firstColumn="0" w:lastColumn="0" w:oddVBand="0" w:evenVBand="0" w:oddHBand="1" w:evenHBand="0" w:firstRowFirstColumn="0" w:firstRowLastColumn="0" w:lastRowFirstColumn="0" w:lastRowLastColumn="0"/>
              <w:rPr>
                <w:sz w:val="18"/>
                <w:szCs w:val="20"/>
              </w:rPr>
            </w:pPr>
            <w:r w:rsidRPr="005B14D9">
              <w:rPr>
                <w:sz w:val="18"/>
                <w:szCs w:val="20"/>
              </w:rPr>
              <w:t>258,280</w:t>
            </w:r>
          </w:p>
        </w:tc>
      </w:tr>
      <w:tr w:rsidR="00F45C1C" w:rsidRPr="005B14D9" w14:paraId="3D5FB98D" w14:textId="77777777" w:rsidTr="005B14D9">
        <w:trPr>
          <w:trHeight w:val="300"/>
        </w:trPr>
        <w:tc>
          <w:tcPr>
            <w:cnfStyle w:val="001000000000" w:firstRow="0" w:lastRow="0" w:firstColumn="1" w:lastColumn="0" w:oddVBand="0" w:evenVBand="0" w:oddHBand="0" w:evenHBand="0" w:firstRowFirstColumn="0" w:firstRowLastColumn="0" w:lastRowFirstColumn="0" w:lastRowLastColumn="0"/>
            <w:tcW w:w="1491" w:type="pct"/>
            <w:noWrap/>
            <w:hideMark/>
          </w:tcPr>
          <w:p w14:paraId="370119B6" w14:textId="77777777" w:rsidR="00CD590F" w:rsidRPr="005B14D9" w:rsidRDefault="00CD590F" w:rsidP="005B14D9">
            <w:pPr>
              <w:pStyle w:val="Tabletext1"/>
              <w:rPr>
                <w:b w:val="0"/>
                <w:bCs w:val="0"/>
              </w:rPr>
            </w:pPr>
            <w:r w:rsidRPr="005B14D9">
              <w:rPr>
                <w:b w:val="0"/>
                <w:bCs w:val="0"/>
              </w:rPr>
              <w:t xml:space="preserve">No. people eligible </w:t>
            </w:r>
            <w:proofErr w:type="gramStart"/>
            <w:r w:rsidRPr="005B14D9">
              <w:rPr>
                <w:b w:val="0"/>
                <w:bCs w:val="0"/>
              </w:rPr>
              <w:t>on the basis of</w:t>
            </w:r>
            <w:proofErr w:type="gramEnd"/>
            <w:r w:rsidRPr="005B14D9">
              <w:rPr>
                <w:b w:val="0"/>
                <w:bCs w:val="0"/>
              </w:rPr>
              <w:t xml:space="preserve"> medications and cognition (7.7%) and </w:t>
            </w:r>
            <w:proofErr w:type="spellStart"/>
            <w:r w:rsidRPr="005B14D9">
              <w:rPr>
                <w:b w:val="0"/>
                <w:bCs w:val="0"/>
              </w:rPr>
              <w:t>uptaking</w:t>
            </w:r>
            <w:proofErr w:type="spellEnd"/>
            <w:r w:rsidRPr="005B14D9">
              <w:rPr>
                <w:b w:val="0"/>
                <w:bCs w:val="0"/>
              </w:rPr>
              <w:t xml:space="preserve"> service (50%)</w:t>
            </w:r>
          </w:p>
        </w:tc>
        <w:tc>
          <w:tcPr>
            <w:tcW w:w="708" w:type="pct"/>
            <w:noWrap/>
            <w:hideMark/>
          </w:tcPr>
          <w:p w14:paraId="40442D2A" w14:textId="77777777" w:rsidR="00CD590F" w:rsidRPr="005B14D9" w:rsidRDefault="00CD590F" w:rsidP="005B14D9">
            <w:pPr>
              <w:pStyle w:val="Tabletext1"/>
              <w:jc w:val="right"/>
              <w:cnfStyle w:val="000000000000" w:firstRow="0" w:lastRow="0" w:firstColumn="0" w:lastColumn="0" w:oddVBand="0" w:evenVBand="0" w:oddHBand="0" w:evenHBand="0" w:firstRowFirstColumn="0" w:firstRowLastColumn="0" w:lastRowFirstColumn="0" w:lastRowLastColumn="0"/>
              <w:rPr>
                <w:sz w:val="18"/>
                <w:szCs w:val="20"/>
              </w:rPr>
            </w:pPr>
            <w:r w:rsidRPr="005B14D9">
              <w:rPr>
                <w:sz w:val="18"/>
                <w:szCs w:val="20"/>
              </w:rPr>
              <w:t>9,647</w:t>
            </w:r>
          </w:p>
        </w:tc>
        <w:tc>
          <w:tcPr>
            <w:tcW w:w="707" w:type="pct"/>
            <w:noWrap/>
            <w:hideMark/>
          </w:tcPr>
          <w:p w14:paraId="12857A21" w14:textId="77777777" w:rsidR="00CD590F" w:rsidRPr="005B14D9" w:rsidRDefault="00CD590F" w:rsidP="005B14D9">
            <w:pPr>
              <w:pStyle w:val="Tabletext1"/>
              <w:jc w:val="right"/>
              <w:cnfStyle w:val="000000000000" w:firstRow="0" w:lastRow="0" w:firstColumn="0" w:lastColumn="0" w:oddVBand="0" w:evenVBand="0" w:oddHBand="0" w:evenHBand="0" w:firstRowFirstColumn="0" w:firstRowLastColumn="0" w:lastRowFirstColumn="0" w:lastRowLastColumn="0"/>
              <w:rPr>
                <w:sz w:val="18"/>
                <w:szCs w:val="20"/>
              </w:rPr>
            </w:pPr>
            <w:r w:rsidRPr="005B14D9">
              <w:rPr>
                <w:sz w:val="18"/>
                <w:szCs w:val="20"/>
              </w:rPr>
              <w:t>9,732</w:t>
            </w:r>
          </w:p>
        </w:tc>
        <w:tc>
          <w:tcPr>
            <w:tcW w:w="708" w:type="pct"/>
            <w:noWrap/>
            <w:hideMark/>
          </w:tcPr>
          <w:p w14:paraId="25AAFD9C" w14:textId="77777777" w:rsidR="00CD590F" w:rsidRPr="005B14D9" w:rsidRDefault="00CD590F" w:rsidP="005B14D9">
            <w:pPr>
              <w:pStyle w:val="Tabletext1"/>
              <w:jc w:val="right"/>
              <w:cnfStyle w:val="000000000000" w:firstRow="0" w:lastRow="0" w:firstColumn="0" w:lastColumn="0" w:oddVBand="0" w:evenVBand="0" w:oddHBand="0" w:evenHBand="0" w:firstRowFirstColumn="0" w:firstRowLastColumn="0" w:lastRowFirstColumn="0" w:lastRowLastColumn="0"/>
              <w:rPr>
                <w:sz w:val="18"/>
                <w:szCs w:val="20"/>
              </w:rPr>
            </w:pPr>
            <w:r w:rsidRPr="005B14D9">
              <w:rPr>
                <w:sz w:val="18"/>
                <w:szCs w:val="20"/>
              </w:rPr>
              <w:t>9,818</w:t>
            </w:r>
          </w:p>
        </w:tc>
        <w:tc>
          <w:tcPr>
            <w:tcW w:w="708" w:type="pct"/>
            <w:noWrap/>
            <w:hideMark/>
          </w:tcPr>
          <w:p w14:paraId="2BD0174D" w14:textId="77777777" w:rsidR="00CD590F" w:rsidRPr="005B14D9" w:rsidRDefault="00CD590F" w:rsidP="005B14D9">
            <w:pPr>
              <w:pStyle w:val="Tabletext1"/>
              <w:jc w:val="right"/>
              <w:cnfStyle w:val="000000000000" w:firstRow="0" w:lastRow="0" w:firstColumn="0" w:lastColumn="0" w:oddVBand="0" w:evenVBand="0" w:oddHBand="0" w:evenHBand="0" w:firstRowFirstColumn="0" w:firstRowLastColumn="0" w:lastRowFirstColumn="0" w:lastRowLastColumn="0"/>
              <w:rPr>
                <w:sz w:val="18"/>
                <w:szCs w:val="20"/>
              </w:rPr>
            </w:pPr>
            <w:r w:rsidRPr="005B14D9">
              <w:rPr>
                <w:sz w:val="18"/>
                <w:szCs w:val="20"/>
              </w:rPr>
              <w:t>9,903</w:t>
            </w:r>
          </w:p>
        </w:tc>
        <w:tc>
          <w:tcPr>
            <w:tcW w:w="679" w:type="pct"/>
            <w:noWrap/>
            <w:hideMark/>
          </w:tcPr>
          <w:p w14:paraId="691A9F57" w14:textId="77777777" w:rsidR="00CD590F" w:rsidRPr="005B14D9" w:rsidRDefault="00CD590F" w:rsidP="005B14D9">
            <w:pPr>
              <w:pStyle w:val="Tabletext1"/>
              <w:jc w:val="right"/>
              <w:cnfStyle w:val="000000000000" w:firstRow="0" w:lastRow="0" w:firstColumn="0" w:lastColumn="0" w:oddVBand="0" w:evenVBand="0" w:oddHBand="0" w:evenHBand="0" w:firstRowFirstColumn="0" w:firstRowLastColumn="0" w:lastRowFirstColumn="0" w:lastRowLastColumn="0"/>
              <w:rPr>
                <w:sz w:val="18"/>
                <w:szCs w:val="20"/>
              </w:rPr>
            </w:pPr>
            <w:r w:rsidRPr="005B14D9">
              <w:rPr>
                <w:sz w:val="18"/>
                <w:szCs w:val="20"/>
              </w:rPr>
              <w:t>9,989</w:t>
            </w:r>
          </w:p>
        </w:tc>
      </w:tr>
      <w:tr w:rsidR="00F45C1C" w:rsidRPr="005B14D9" w14:paraId="26C34227" w14:textId="77777777" w:rsidTr="005B14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91" w:type="pct"/>
            <w:noWrap/>
            <w:hideMark/>
          </w:tcPr>
          <w:p w14:paraId="1C5E341C" w14:textId="77777777" w:rsidR="00CD590F" w:rsidRPr="005B14D9" w:rsidRDefault="00CD590F" w:rsidP="005B14D9">
            <w:pPr>
              <w:pStyle w:val="Tabletext1"/>
              <w:rPr>
                <w:b w:val="0"/>
                <w:bCs w:val="0"/>
              </w:rPr>
            </w:pPr>
            <w:r w:rsidRPr="005B14D9">
              <w:rPr>
                <w:b w:val="0"/>
                <w:bCs w:val="0"/>
              </w:rPr>
              <w:t>Estimated number of services (5 per patient)</w:t>
            </w:r>
          </w:p>
        </w:tc>
        <w:tc>
          <w:tcPr>
            <w:tcW w:w="708" w:type="pct"/>
            <w:noWrap/>
            <w:hideMark/>
          </w:tcPr>
          <w:p w14:paraId="6501E080" w14:textId="77777777" w:rsidR="00CD590F" w:rsidRPr="005B14D9" w:rsidRDefault="00CD590F" w:rsidP="005B14D9">
            <w:pPr>
              <w:pStyle w:val="Tabletext1"/>
              <w:jc w:val="right"/>
              <w:cnfStyle w:val="000000100000" w:firstRow="0" w:lastRow="0" w:firstColumn="0" w:lastColumn="0" w:oddVBand="0" w:evenVBand="0" w:oddHBand="1" w:evenHBand="0" w:firstRowFirstColumn="0" w:firstRowLastColumn="0" w:lastRowFirstColumn="0" w:lastRowLastColumn="0"/>
              <w:rPr>
                <w:sz w:val="18"/>
                <w:szCs w:val="20"/>
              </w:rPr>
            </w:pPr>
            <w:r w:rsidRPr="005B14D9">
              <w:rPr>
                <w:sz w:val="18"/>
                <w:szCs w:val="20"/>
              </w:rPr>
              <w:t>48,233</w:t>
            </w:r>
          </w:p>
        </w:tc>
        <w:tc>
          <w:tcPr>
            <w:tcW w:w="707" w:type="pct"/>
            <w:noWrap/>
            <w:hideMark/>
          </w:tcPr>
          <w:p w14:paraId="140E6F89" w14:textId="77777777" w:rsidR="00CD590F" w:rsidRPr="005B14D9" w:rsidRDefault="00CD590F" w:rsidP="005B14D9">
            <w:pPr>
              <w:pStyle w:val="Tabletext1"/>
              <w:jc w:val="right"/>
              <w:cnfStyle w:val="000000100000" w:firstRow="0" w:lastRow="0" w:firstColumn="0" w:lastColumn="0" w:oddVBand="0" w:evenVBand="0" w:oddHBand="1" w:evenHBand="0" w:firstRowFirstColumn="0" w:firstRowLastColumn="0" w:lastRowFirstColumn="0" w:lastRowLastColumn="0"/>
              <w:rPr>
                <w:sz w:val="18"/>
                <w:szCs w:val="20"/>
              </w:rPr>
            </w:pPr>
            <w:r w:rsidRPr="005B14D9">
              <w:rPr>
                <w:sz w:val="18"/>
                <w:szCs w:val="20"/>
              </w:rPr>
              <w:t>48,660</w:t>
            </w:r>
          </w:p>
        </w:tc>
        <w:tc>
          <w:tcPr>
            <w:tcW w:w="708" w:type="pct"/>
            <w:noWrap/>
            <w:hideMark/>
          </w:tcPr>
          <w:p w14:paraId="08D996DE" w14:textId="77777777" w:rsidR="00CD590F" w:rsidRPr="005B14D9" w:rsidRDefault="00CD590F" w:rsidP="005B14D9">
            <w:pPr>
              <w:pStyle w:val="Tabletext1"/>
              <w:jc w:val="right"/>
              <w:cnfStyle w:val="000000100000" w:firstRow="0" w:lastRow="0" w:firstColumn="0" w:lastColumn="0" w:oddVBand="0" w:evenVBand="0" w:oddHBand="1" w:evenHBand="0" w:firstRowFirstColumn="0" w:firstRowLastColumn="0" w:lastRowFirstColumn="0" w:lastRowLastColumn="0"/>
              <w:rPr>
                <w:sz w:val="18"/>
                <w:szCs w:val="20"/>
              </w:rPr>
            </w:pPr>
            <w:r w:rsidRPr="005B14D9">
              <w:rPr>
                <w:sz w:val="18"/>
                <w:szCs w:val="20"/>
              </w:rPr>
              <w:t>49,088</w:t>
            </w:r>
          </w:p>
        </w:tc>
        <w:tc>
          <w:tcPr>
            <w:tcW w:w="708" w:type="pct"/>
            <w:noWrap/>
            <w:hideMark/>
          </w:tcPr>
          <w:p w14:paraId="1E7D69B0" w14:textId="77777777" w:rsidR="00CD590F" w:rsidRPr="005B14D9" w:rsidRDefault="00CD590F" w:rsidP="005B14D9">
            <w:pPr>
              <w:pStyle w:val="Tabletext1"/>
              <w:jc w:val="right"/>
              <w:cnfStyle w:val="000000100000" w:firstRow="0" w:lastRow="0" w:firstColumn="0" w:lastColumn="0" w:oddVBand="0" w:evenVBand="0" w:oddHBand="1" w:evenHBand="0" w:firstRowFirstColumn="0" w:firstRowLastColumn="0" w:lastRowFirstColumn="0" w:lastRowLastColumn="0"/>
              <w:rPr>
                <w:sz w:val="18"/>
                <w:szCs w:val="20"/>
              </w:rPr>
            </w:pPr>
            <w:r w:rsidRPr="005B14D9">
              <w:rPr>
                <w:sz w:val="18"/>
                <w:szCs w:val="20"/>
              </w:rPr>
              <w:t>49,515</w:t>
            </w:r>
          </w:p>
        </w:tc>
        <w:tc>
          <w:tcPr>
            <w:tcW w:w="679" w:type="pct"/>
            <w:noWrap/>
            <w:hideMark/>
          </w:tcPr>
          <w:p w14:paraId="4C4C50C4" w14:textId="77777777" w:rsidR="00CD590F" w:rsidRPr="005B14D9" w:rsidRDefault="00CD590F" w:rsidP="005B14D9">
            <w:pPr>
              <w:pStyle w:val="Tabletext1"/>
              <w:jc w:val="right"/>
              <w:cnfStyle w:val="000000100000" w:firstRow="0" w:lastRow="0" w:firstColumn="0" w:lastColumn="0" w:oddVBand="0" w:evenVBand="0" w:oddHBand="1" w:evenHBand="0" w:firstRowFirstColumn="0" w:firstRowLastColumn="0" w:lastRowFirstColumn="0" w:lastRowLastColumn="0"/>
              <w:rPr>
                <w:sz w:val="18"/>
                <w:szCs w:val="20"/>
              </w:rPr>
            </w:pPr>
            <w:r w:rsidRPr="005B14D9">
              <w:rPr>
                <w:sz w:val="18"/>
                <w:szCs w:val="20"/>
              </w:rPr>
              <w:t>49,943</w:t>
            </w:r>
          </w:p>
        </w:tc>
      </w:tr>
      <w:tr w:rsidR="00F45C1C" w:rsidRPr="005B14D9" w14:paraId="0CED66F2" w14:textId="77777777" w:rsidTr="005B14D9">
        <w:trPr>
          <w:trHeight w:val="300"/>
        </w:trPr>
        <w:tc>
          <w:tcPr>
            <w:cnfStyle w:val="001000000000" w:firstRow="0" w:lastRow="0" w:firstColumn="1" w:lastColumn="0" w:oddVBand="0" w:evenVBand="0" w:oddHBand="0" w:evenHBand="0" w:firstRowFirstColumn="0" w:firstRowLastColumn="0" w:lastRowFirstColumn="0" w:lastRowLastColumn="0"/>
            <w:tcW w:w="1491" w:type="pct"/>
            <w:noWrap/>
            <w:hideMark/>
          </w:tcPr>
          <w:p w14:paraId="2BCD8891" w14:textId="19D14440" w:rsidR="00CD590F" w:rsidRPr="005B14D9" w:rsidRDefault="00CD590F" w:rsidP="005B14D9">
            <w:pPr>
              <w:pStyle w:val="Tabletext1"/>
            </w:pPr>
            <w:r w:rsidRPr="005B14D9">
              <w:t>Estimated government pharmacist expenditure</w:t>
            </w:r>
          </w:p>
          <w:p w14:paraId="06FCF793" w14:textId="77777777" w:rsidR="00CD590F" w:rsidRPr="005B14D9" w:rsidRDefault="00CD590F" w:rsidP="005B14D9">
            <w:pPr>
              <w:pStyle w:val="Tabletext1"/>
            </w:pPr>
            <w:r w:rsidRPr="005B14D9">
              <w:t>($107.07 per service)</w:t>
            </w:r>
          </w:p>
        </w:tc>
        <w:tc>
          <w:tcPr>
            <w:tcW w:w="708" w:type="pct"/>
            <w:noWrap/>
            <w:hideMark/>
          </w:tcPr>
          <w:p w14:paraId="31B26E29" w14:textId="77777777" w:rsidR="00CD590F" w:rsidRPr="005B14D9" w:rsidRDefault="00CD590F" w:rsidP="005B14D9">
            <w:pPr>
              <w:pStyle w:val="Tabletext1"/>
              <w:jc w:val="right"/>
              <w:cnfStyle w:val="000000000000" w:firstRow="0" w:lastRow="0" w:firstColumn="0" w:lastColumn="0" w:oddVBand="0" w:evenVBand="0" w:oddHBand="0" w:evenHBand="0" w:firstRowFirstColumn="0" w:firstRowLastColumn="0" w:lastRowFirstColumn="0" w:lastRowLastColumn="0"/>
              <w:rPr>
                <w:b/>
                <w:bCs/>
                <w:sz w:val="18"/>
                <w:szCs w:val="20"/>
              </w:rPr>
            </w:pPr>
            <w:r w:rsidRPr="005B14D9">
              <w:rPr>
                <w:b/>
                <w:bCs/>
                <w:sz w:val="18"/>
                <w:szCs w:val="20"/>
              </w:rPr>
              <w:t>$5,164,254</w:t>
            </w:r>
          </w:p>
        </w:tc>
        <w:tc>
          <w:tcPr>
            <w:tcW w:w="707" w:type="pct"/>
            <w:noWrap/>
            <w:hideMark/>
          </w:tcPr>
          <w:p w14:paraId="2538F7BC" w14:textId="77777777" w:rsidR="00CD590F" w:rsidRPr="005B14D9" w:rsidRDefault="00CD590F" w:rsidP="005B14D9">
            <w:pPr>
              <w:pStyle w:val="Tabletext1"/>
              <w:jc w:val="right"/>
              <w:cnfStyle w:val="000000000000" w:firstRow="0" w:lastRow="0" w:firstColumn="0" w:lastColumn="0" w:oddVBand="0" w:evenVBand="0" w:oddHBand="0" w:evenHBand="0" w:firstRowFirstColumn="0" w:firstRowLastColumn="0" w:lastRowFirstColumn="0" w:lastRowLastColumn="0"/>
              <w:rPr>
                <w:b/>
                <w:bCs/>
                <w:sz w:val="18"/>
                <w:szCs w:val="20"/>
              </w:rPr>
            </w:pPr>
            <w:r w:rsidRPr="005B14D9">
              <w:rPr>
                <w:b/>
                <w:bCs/>
                <w:sz w:val="18"/>
                <w:szCs w:val="20"/>
              </w:rPr>
              <w:t>$5,210,026</w:t>
            </w:r>
          </w:p>
        </w:tc>
        <w:tc>
          <w:tcPr>
            <w:tcW w:w="708" w:type="pct"/>
            <w:noWrap/>
            <w:hideMark/>
          </w:tcPr>
          <w:p w14:paraId="15849CCC" w14:textId="77777777" w:rsidR="00CD590F" w:rsidRPr="005B14D9" w:rsidRDefault="00CD590F" w:rsidP="005B14D9">
            <w:pPr>
              <w:pStyle w:val="Tabletext1"/>
              <w:jc w:val="right"/>
              <w:cnfStyle w:val="000000000000" w:firstRow="0" w:lastRow="0" w:firstColumn="0" w:lastColumn="0" w:oddVBand="0" w:evenVBand="0" w:oddHBand="0" w:evenHBand="0" w:firstRowFirstColumn="0" w:firstRowLastColumn="0" w:lastRowFirstColumn="0" w:lastRowLastColumn="0"/>
              <w:rPr>
                <w:b/>
                <w:bCs/>
                <w:sz w:val="18"/>
                <w:szCs w:val="20"/>
              </w:rPr>
            </w:pPr>
            <w:r w:rsidRPr="005B14D9">
              <w:rPr>
                <w:b/>
                <w:bCs/>
                <w:sz w:val="18"/>
                <w:szCs w:val="20"/>
              </w:rPr>
              <w:t>$5,255,799</w:t>
            </w:r>
          </w:p>
        </w:tc>
        <w:tc>
          <w:tcPr>
            <w:tcW w:w="708" w:type="pct"/>
            <w:noWrap/>
            <w:hideMark/>
          </w:tcPr>
          <w:p w14:paraId="1B800C1D" w14:textId="77777777" w:rsidR="00CD590F" w:rsidRPr="005B14D9" w:rsidRDefault="00CD590F" w:rsidP="005B14D9">
            <w:pPr>
              <w:pStyle w:val="Tabletext1"/>
              <w:jc w:val="right"/>
              <w:cnfStyle w:val="000000000000" w:firstRow="0" w:lastRow="0" w:firstColumn="0" w:lastColumn="0" w:oddVBand="0" w:evenVBand="0" w:oddHBand="0" w:evenHBand="0" w:firstRowFirstColumn="0" w:firstRowLastColumn="0" w:lastRowFirstColumn="0" w:lastRowLastColumn="0"/>
              <w:rPr>
                <w:b/>
                <w:bCs/>
                <w:sz w:val="18"/>
                <w:szCs w:val="20"/>
              </w:rPr>
            </w:pPr>
            <w:r w:rsidRPr="005B14D9">
              <w:rPr>
                <w:b/>
                <w:bCs/>
                <w:sz w:val="18"/>
                <w:szCs w:val="20"/>
              </w:rPr>
              <w:t>$5,301,571</w:t>
            </w:r>
          </w:p>
        </w:tc>
        <w:tc>
          <w:tcPr>
            <w:tcW w:w="679" w:type="pct"/>
            <w:noWrap/>
            <w:hideMark/>
          </w:tcPr>
          <w:p w14:paraId="1A5D6B63" w14:textId="77777777" w:rsidR="00CD590F" w:rsidRPr="005B14D9" w:rsidRDefault="00CD590F" w:rsidP="005B14D9">
            <w:pPr>
              <w:pStyle w:val="Tabletext1"/>
              <w:jc w:val="right"/>
              <w:cnfStyle w:val="000000000000" w:firstRow="0" w:lastRow="0" w:firstColumn="0" w:lastColumn="0" w:oddVBand="0" w:evenVBand="0" w:oddHBand="0" w:evenHBand="0" w:firstRowFirstColumn="0" w:firstRowLastColumn="0" w:lastRowFirstColumn="0" w:lastRowLastColumn="0"/>
              <w:rPr>
                <w:b/>
                <w:bCs/>
                <w:sz w:val="18"/>
                <w:szCs w:val="20"/>
              </w:rPr>
            </w:pPr>
            <w:r w:rsidRPr="005B14D9">
              <w:rPr>
                <w:b/>
                <w:bCs/>
                <w:sz w:val="18"/>
                <w:szCs w:val="20"/>
              </w:rPr>
              <w:t>$5,347,343</w:t>
            </w:r>
          </w:p>
        </w:tc>
      </w:tr>
      <w:tr w:rsidR="00F45C1C" w:rsidRPr="005B14D9" w14:paraId="20EB1B37" w14:textId="77777777" w:rsidTr="005B14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91" w:type="pct"/>
            <w:noWrap/>
          </w:tcPr>
          <w:p w14:paraId="0A930B50" w14:textId="77777777" w:rsidR="00CD590F" w:rsidRPr="005B14D9" w:rsidRDefault="00CD590F" w:rsidP="005B14D9">
            <w:pPr>
              <w:pStyle w:val="Tabletext1"/>
              <w:rPr>
                <w:b w:val="0"/>
                <w:bCs w:val="0"/>
              </w:rPr>
            </w:pPr>
            <w:r w:rsidRPr="005B14D9">
              <w:rPr>
                <w:b w:val="0"/>
                <w:bCs w:val="0"/>
              </w:rPr>
              <w:t>Potential reduction in PBS expenditure</w:t>
            </w:r>
          </w:p>
        </w:tc>
        <w:tc>
          <w:tcPr>
            <w:tcW w:w="708" w:type="pct"/>
            <w:noWrap/>
          </w:tcPr>
          <w:p w14:paraId="4625B4C8" w14:textId="77777777" w:rsidR="00CD590F" w:rsidRPr="005B14D9" w:rsidRDefault="00CD590F" w:rsidP="005B14D9">
            <w:pPr>
              <w:pStyle w:val="Tabletext1"/>
              <w:jc w:val="right"/>
              <w:cnfStyle w:val="000000100000" w:firstRow="0" w:lastRow="0" w:firstColumn="0" w:lastColumn="0" w:oddVBand="0" w:evenVBand="0" w:oddHBand="1" w:evenHBand="0" w:firstRowFirstColumn="0" w:firstRowLastColumn="0" w:lastRowFirstColumn="0" w:lastRowLastColumn="0"/>
              <w:rPr>
                <w:sz w:val="18"/>
                <w:szCs w:val="20"/>
              </w:rPr>
            </w:pPr>
            <w:r w:rsidRPr="005B14D9">
              <w:rPr>
                <w:sz w:val="18"/>
                <w:szCs w:val="20"/>
              </w:rPr>
              <w:t>−$6,405,276</w:t>
            </w:r>
          </w:p>
        </w:tc>
        <w:tc>
          <w:tcPr>
            <w:tcW w:w="707" w:type="pct"/>
            <w:noWrap/>
          </w:tcPr>
          <w:p w14:paraId="2F9549C1" w14:textId="77777777" w:rsidR="00CD590F" w:rsidRPr="005B14D9" w:rsidRDefault="00CD590F" w:rsidP="005B14D9">
            <w:pPr>
              <w:pStyle w:val="Tabletext1"/>
              <w:jc w:val="right"/>
              <w:cnfStyle w:val="000000100000" w:firstRow="0" w:lastRow="0" w:firstColumn="0" w:lastColumn="0" w:oddVBand="0" w:evenVBand="0" w:oddHBand="1" w:evenHBand="0" w:firstRowFirstColumn="0" w:firstRowLastColumn="0" w:lastRowFirstColumn="0" w:lastRowLastColumn="0"/>
              <w:rPr>
                <w:sz w:val="18"/>
                <w:szCs w:val="20"/>
              </w:rPr>
            </w:pPr>
            <w:r w:rsidRPr="005B14D9">
              <w:rPr>
                <w:sz w:val="18"/>
                <w:szCs w:val="20"/>
              </w:rPr>
              <w:t>−$6,462,048</w:t>
            </w:r>
          </w:p>
        </w:tc>
        <w:tc>
          <w:tcPr>
            <w:tcW w:w="708" w:type="pct"/>
            <w:noWrap/>
          </w:tcPr>
          <w:p w14:paraId="0D3B3693" w14:textId="77777777" w:rsidR="00CD590F" w:rsidRPr="005B14D9" w:rsidRDefault="00CD590F" w:rsidP="005B14D9">
            <w:pPr>
              <w:pStyle w:val="Tabletext1"/>
              <w:jc w:val="right"/>
              <w:cnfStyle w:val="000000100000" w:firstRow="0" w:lastRow="0" w:firstColumn="0" w:lastColumn="0" w:oddVBand="0" w:evenVBand="0" w:oddHBand="1" w:evenHBand="0" w:firstRowFirstColumn="0" w:firstRowLastColumn="0" w:lastRowFirstColumn="0" w:lastRowLastColumn="0"/>
              <w:rPr>
                <w:sz w:val="18"/>
                <w:szCs w:val="20"/>
              </w:rPr>
            </w:pPr>
            <w:r w:rsidRPr="005B14D9">
              <w:rPr>
                <w:sz w:val="18"/>
                <w:szCs w:val="20"/>
              </w:rPr>
              <w:t>−$6,518,820</w:t>
            </w:r>
          </w:p>
        </w:tc>
        <w:tc>
          <w:tcPr>
            <w:tcW w:w="708" w:type="pct"/>
            <w:noWrap/>
          </w:tcPr>
          <w:p w14:paraId="33A9677D" w14:textId="77777777" w:rsidR="00CD590F" w:rsidRPr="005B14D9" w:rsidRDefault="00CD590F" w:rsidP="005B14D9">
            <w:pPr>
              <w:pStyle w:val="Tabletext1"/>
              <w:jc w:val="right"/>
              <w:cnfStyle w:val="000000100000" w:firstRow="0" w:lastRow="0" w:firstColumn="0" w:lastColumn="0" w:oddVBand="0" w:evenVBand="0" w:oddHBand="1" w:evenHBand="0" w:firstRowFirstColumn="0" w:firstRowLastColumn="0" w:lastRowFirstColumn="0" w:lastRowLastColumn="0"/>
              <w:rPr>
                <w:sz w:val="18"/>
                <w:szCs w:val="20"/>
              </w:rPr>
            </w:pPr>
            <w:r w:rsidRPr="005B14D9">
              <w:rPr>
                <w:sz w:val="18"/>
                <w:szCs w:val="20"/>
              </w:rPr>
              <w:t>−$6,575,592</w:t>
            </w:r>
          </w:p>
        </w:tc>
        <w:tc>
          <w:tcPr>
            <w:tcW w:w="679" w:type="pct"/>
            <w:noWrap/>
          </w:tcPr>
          <w:p w14:paraId="04F40832" w14:textId="77777777" w:rsidR="00CD590F" w:rsidRPr="005B14D9" w:rsidRDefault="00CD590F" w:rsidP="005B14D9">
            <w:pPr>
              <w:pStyle w:val="Tabletext1"/>
              <w:jc w:val="right"/>
              <w:cnfStyle w:val="000000100000" w:firstRow="0" w:lastRow="0" w:firstColumn="0" w:lastColumn="0" w:oddVBand="0" w:evenVBand="0" w:oddHBand="1" w:evenHBand="0" w:firstRowFirstColumn="0" w:firstRowLastColumn="0" w:lastRowFirstColumn="0" w:lastRowLastColumn="0"/>
              <w:rPr>
                <w:sz w:val="18"/>
                <w:szCs w:val="20"/>
              </w:rPr>
            </w:pPr>
            <w:r w:rsidRPr="005B14D9">
              <w:rPr>
                <w:sz w:val="18"/>
                <w:szCs w:val="20"/>
              </w:rPr>
              <w:t>−$6,632,364</w:t>
            </w:r>
          </w:p>
        </w:tc>
      </w:tr>
      <w:tr w:rsidR="00F45C1C" w:rsidRPr="005B14D9" w14:paraId="65ADC1FB" w14:textId="77777777" w:rsidTr="005B14D9">
        <w:trPr>
          <w:trHeight w:val="300"/>
        </w:trPr>
        <w:tc>
          <w:tcPr>
            <w:cnfStyle w:val="001000000000" w:firstRow="0" w:lastRow="0" w:firstColumn="1" w:lastColumn="0" w:oddVBand="0" w:evenVBand="0" w:oddHBand="0" w:evenHBand="0" w:firstRowFirstColumn="0" w:firstRowLastColumn="0" w:lastRowFirstColumn="0" w:lastRowLastColumn="0"/>
            <w:tcW w:w="1491" w:type="pct"/>
            <w:noWrap/>
          </w:tcPr>
          <w:p w14:paraId="767FD788" w14:textId="77777777" w:rsidR="00CD590F" w:rsidRPr="005B14D9" w:rsidRDefault="00CD590F" w:rsidP="005B14D9">
            <w:pPr>
              <w:pStyle w:val="Tabletext1"/>
            </w:pPr>
            <w:r w:rsidRPr="005B14D9">
              <w:t>Net cost if PBS savings realised</w:t>
            </w:r>
          </w:p>
        </w:tc>
        <w:tc>
          <w:tcPr>
            <w:tcW w:w="708" w:type="pct"/>
            <w:noWrap/>
          </w:tcPr>
          <w:p w14:paraId="217C7258" w14:textId="77777777" w:rsidR="00CD590F" w:rsidRPr="005B14D9" w:rsidRDefault="00CD590F" w:rsidP="005B14D9">
            <w:pPr>
              <w:pStyle w:val="Tabletext1"/>
              <w:jc w:val="right"/>
              <w:cnfStyle w:val="000000000000" w:firstRow="0" w:lastRow="0" w:firstColumn="0" w:lastColumn="0" w:oddVBand="0" w:evenVBand="0" w:oddHBand="0" w:evenHBand="0" w:firstRowFirstColumn="0" w:firstRowLastColumn="0" w:lastRowFirstColumn="0" w:lastRowLastColumn="0"/>
              <w:rPr>
                <w:b/>
                <w:bCs/>
                <w:sz w:val="18"/>
                <w:szCs w:val="20"/>
              </w:rPr>
            </w:pPr>
            <w:r w:rsidRPr="005B14D9">
              <w:rPr>
                <w:b/>
                <w:bCs/>
                <w:sz w:val="18"/>
                <w:szCs w:val="20"/>
              </w:rPr>
              <w:t>−$1,241,022</w:t>
            </w:r>
          </w:p>
        </w:tc>
        <w:tc>
          <w:tcPr>
            <w:tcW w:w="707" w:type="pct"/>
            <w:noWrap/>
          </w:tcPr>
          <w:p w14:paraId="3E3B7036" w14:textId="77777777" w:rsidR="00CD590F" w:rsidRPr="005B14D9" w:rsidRDefault="00CD590F" w:rsidP="005B14D9">
            <w:pPr>
              <w:pStyle w:val="Tabletext1"/>
              <w:jc w:val="right"/>
              <w:cnfStyle w:val="000000000000" w:firstRow="0" w:lastRow="0" w:firstColumn="0" w:lastColumn="0" w:oddVBand="0" w:evenVBand="0" w:oddHBand="0" w:evenHBand="0" w:firstRowFirstColumn="0" w:firstRowLastColumn="0" w:lastRowFirstColumn="0" w:lastRowLastColumn="0"/>
              <w:rPr>
                <w:b/>
                <w:bCs/>
                <w:sz w:val="18"/>
                <w:szCs w:val="20"/>
              </w:rPr>
            </w:pPr>
            <w:r w:rsidRPr="005B14D9">
              <w:rPr>
                <w:b/>
                <w:bCs/>
                <w:sz w:val="18"/>
                <w:szCs w:val="20"/>
              </w:rPr>
              <w:t>−$1,252,022</w:t>
            </w:r>
          </w:p>
        </w:tc>
        <w:tc>
          <w:tcPr>
            <w:tcW w:w="708" w:type="pct"/>
            <w:noWrap/>
          </w:tcPr>
          <w:p w14:paraId="094CA415" w14:textId="77777777" w:rsidR="00CD590F" w:rsidRPr="005B14D9" w:rsidRDefault="00CD590F" w:rsidP="005B14D9">
            <w:pPr>
              <w:pStyle w:val="Tabletext1"/>
              <w:jc w:val="right"/>
              <w:cnfStyle w:val="000000000000" w:firstRow="0" w:lastRow="0" w:firstColumn="0" w:lastColumn="0" w:oddVBand="0" w:evenVBand="0" w:oddHBand="0" w:evenHBand="0" w:firstRowFirstColumn="0" w:firstRowLastColumn="0" w:lastRowFirstColumn="0" w:lastRowLastColumn="0"/>
              <w:rPr>
                <w:b/>
                <w:bCs/>
                <w:sz w:val="18"/>
                <w:szCs w:val="20"/>
              </w:rPr>
            </w:pPr>
            <w:r w:rsidRPr="005B14D9">
              <w:rPr>
                <w:b/>
                <w:bCs/>
                <w:sz w:val="18"/>
                <w:szCs w:val="20"/>
              </w:rPr>
              <w:t>−$1,263,021</w:t>
            </w:r>
          </w:p>
        </w:tc>
        <w:tc>
          <w:tcPr>
            <w:tcW w:w="708" w:type="pct"/>
            <w:noWrap/>
          </w:tcPr>
          <w:p w14:paraId="5C3F72A6" w14:textId="77777777" w:rsidR="00CD590F" w:rsidRPr="005B14D9" w:rsidRDefault="00CD590F" w:rsidP="005B14D9">
            <w:pPr>
              <w:pStyle w:val="Tabletext1"/>
              <w:jc w:val="right"/>
              <w:cnfStyle w:val="000000000000" w:firstRow="0" w:lastRow="0" w:firstColumn="0" w:lastColumn="0" w:oddVBand="0" w:evenVBand="0" w:oddHBand="0" w:evenHBand="0" w:firstRowFirstColumn="0" w:firstRowLastColumn="0" w:lastRowFirstColumn="0" w:lastRowLastColumn="0"/>
              <w:rPr>
                <w:b/>
                <w:bCs/>
                <w:sz w:val="18"/>
                <w:szCs w:val="20"/>
              </w:rPr>
            </w:pPr>
            <w:r w:rsidRPr="005B14D9">
              <w:rPr>
                <w:b/>
                <w:bCs/>
                <w:sz w:val="18"/>
                <w:szCs w:val="20"/>
              </w:rPr>
              <w:t>−$1,274,021</w:t>
            </w:r>
          </w:p>
        </w:tc>
        <w:tc>
          <w:tcPr>
            <w:tcW w:w="679" w:type="pct"/>
            <w:noWrap/>
          </w:tcPr>
          <w:p w14:paraId="091E2CEA" w14:textId="77777777" w:rsidR="00CD590F" w:rsidRPr="005B14D9" w:rsidRDefault="00CD590F" w:rsidP="005B14D9">
            <w:pPr>
              <w:pStyle w:val="Tabletext1"/>
              <w:jc w:val="right"/>
              <w:cnfStyle w:val="000000000000" w:firstRow="0" w:lastRow="0" w:firstColumn="0" w:lastColumn="0" w:oddVBand="0" w:evenVBand="0" w:oddHBand="0" w:evenHBand="0" w:firstRowFirstColumn="0" w:firstRowLastColumn="0" w:lastRowFirstColumn="0" w:lastRowLastColumn="0"/>
              <w:rPr>
                <w:b/>
                <w:bCs/>
                <w:sz w:val="18"/>
                <w:szCs w:val="20"/>
              </w:rPr>
            </w:pPr>
            <w:r w:rsidRPr="005B14D9">
              <w:rPr>
                <w:b/>
                <w:bCs/>
                <w:sz w:val="18"/>
                <w:szCs w:val="20"/>
              </w:rPr>
              <w:t>−$1,285,021</w:t>
            </w:r>
          </w:p>
        </w:tc>
      </w:tr>
    </w:tbl>
    <w:p w14:paraId="1688FE4B" w14:textId="0EBF3172" w:rsidR="00CD590F" w:rsidRDefault="00CD590F" w:rsidP="00897C5B">
      <w:pPr>
        <w:pStyle w:val="Caption"/>
      </w:pPr>
      <w:r w:rsidRPr="00CD590F">
        <w:rPr>
          <w:noProof/>
        </w:rPr>
        <w:t>Table ES-2: Projected people in residential aged care who would be eligible for the proposed pharmacist review over five years</w:t>
      </w:r>
    </w:p>
    <w:p w14:paraId="1050141D" w14:textId="77777777" w:rsidR="00CD590F" w:rsidRPr="00183E4D" w:rsidRDefault="00CD590F" w:rsidP="007501B9">
      <w:pPr>
        <w:sectPr w:rsidR="00CD590F" w:rsidRPr="00183E4D" w:rsidSect="00C25F89">
          <w:headerReference w:type="even" r:id="rId19"/>
          <w:headerReference w:type="default" r:id="rId20"/>
          <w:headerReference w:type="first" r:id="rId21"/>
          <w:type w:val="oddPage"/>
          <w:pgSz w:w="11906" w:h="16838"/>
          <w:pgMar w:top="1440" w:right="1440" w:bottom="1440" w:left="1440" w:header="720" w:footer="720" w:gutter="0"/>
          <w:paperSrc w:first="2" w:other="2"/>
          <w:pgNumType w:start="1"/>
          <w:cols w:space="720"/>
        </w:sectPr>
      </w:pPr>
    </w:p>
    <w:p w14:paraId="73CE8989" w14:textId="04F3ABE2" w:rsidR="008F59A8" w:rsidRPr="00F42B1D" w:rsidRDefault="00913620" w:rsidP="00391CFD">
      <w:pPr>
        <w:pStyle w:val="Heading1"/>
      </w:pPr>
      <w:bookmarkStart w:id="88" w:name="_Toc117758224"/>
      <w:r w:rsidRPr="00F42B1D">
        <w:lastRenderedPageBreak/>
        <w:t>Section A</w:t>
      </w:r>
      <w:r w:rsidR="00B35AE6">
        <w:t xml:space="preserve">: </w:t>
      </w:r>
      <w:r w:rsidRPr="00F42B1D">
        <w:t>Context</w:t>
      </w:r>
      <w:bookmarkEnd w:id="88"/>
    </w:p>
    <w:p w14:paraId="557F4D1F" w14:textId="68E271F7" w:rsidR="00E05186" w:rsidRPr="00F42B1D" w:rsidRDefault="00662F45" w:rsidP="007501B9">
      <w:r w:rsidRPr="00F42B1D">
        <w:t xml:space="preserve">This </w:t>
      </w:r>
      <w:r w:rsidR="00FD31FC" w:rsidRPr="00F42B1D">
        <w:t xml:space="preserve">submission-based </w:t>
      </w:r>
      <w:r w:rsidR="00E05186" w:rsidRPr="00F42B1D">
        <w:t xml:space="preserve">assessment </w:t>
      </w:r>
      <w:r w:rsidR="00FD31FC" w:rsidRPr="00F42B1D">
        <w:t xml:space="preserve">of </w:t>
      </w:r>
      <w:r w:rsidR="008130DB" w:rsidRPr="00F42B1D">
        <w:t xml:space="preserve">the </w:t>
      </w:r>
      <w:r w:rsidR="0092007F" w:rsidRPr="00F42B1D">
        <w:t xml:space="preserve">Reducing </w:t>
      </w:r>
      <w:r w:rsidR="00DF7550" w:rsidRPr="00F42B1D">
        <w:t>Medicine-induced</w:t>
      </w:r>
      <w:r w:rsidR="0092007F" w:rsidRPr="00F42B1D">
        <w:t xml:space="preserve"> Deterioration and Adverse Reactions</w:t>
      </w:r>
      <w:r w:rsidR="00307E0F" w:rsidRPr="00F42B1D">
        <w:t xml:space="preserve"> </w:t>
      </w:r>
      <w:r w:rsidR="008130DB" w:rsidRPr="00F42B1D">
        <w:t>(</w:t>
      </w:r>
      <w:proofErr w:type="spellStart"/>
      <w:r w:rsidR="008130DB" w:rsidRPr="00F42B1D">
        <w:t>ReMInDAR</w:t>
      </w:r>
      <w:proofErr w:type="spellEnd"/>
      <w:r w:rsidR="008130DB" w:rsidRPr="00F42B1D">
        <w:t xml:space="preserve">) </w:t>
      </w:r>
      <w:r w:rsidR="00307E0F" w:rsidRPr="00F42B1D">
        <w:t>t</w:t>
      </w:r>
      <w:r w:rsidR="0092007F" w:rsidRPr="00F42B1D">
        <w:t>rial</w:t>
      </w:r>
      <w:r w:rsidR="00E05186" w:rsidRPr="00F42B1D">
        <w:t xml:space="preserve"> is intended for the Medical Services Advisory Committee (MSAC)</w:t>
      </w:r>
      <w:r w:rsidR="007501B9">
        <w:t xml:space="preserve">. </w:t>
      </w:r>
      <w:r w:rsidR="00E05186" w:rsidRPr="00F42B1D">
        <w:t xml:space="preserve">MSAC evaluates new and existing health technologies and procedures for which funding is sought under the Medicare Benefits Schedule (MBS) in terms of their safety, </w:t>
      </w:r>
      <w:proofErr w:type="gramStart"/>
      <w:r w:rsidR="00E05186" w:rsidRPr="00F42B1D">
        <w:t>effectiveness</w:t>
      </w:r>
      <w:proofErr w:type="gramEnd"/>
      <w:r w:rsidR="00E05186" w:rsidRPr="00F42B1D">
        <w:t xml:space="preserve"> and cost-effectiveness, while taking into account other issues such as access and equity</w:t>
      </w:r>
      <w:r w:rsidR="007501B9">
        <w:t xml:space="preserve">. </w:t>
      </w:r>
      <w:r w:rsidR="00E05186" w:rsidRPr="00F42B1D">
        <w:t>MSAC adopts an evidence-based approach to its assessments, based on reviews of the scientific literature and other information sources, including clinical expertise.</w:t>
      </w:r>
    </w:p>
    <w:p w14:paraId="0FBE7DF3" w14:textId="3A486912" w:rsidR="008B5C5B" w:rsidRPr="00F42B1D" w:rsidRDefault="00662F45" w:rsidP="007501B9">
      <w:r w:rsidRPr="00F42B1D">
        <w:t>The University of South Australia</w:t>
      </w:r>
      <w:r w:rsidR="00EB4DCD" w:rsidRPr="00F42B1D">
        <w:t xml:space="preserve"> has </w:t>
      </w:r>
      <w:r w:rsidRPr="00F42B1D">
        <w:t>undertaken a health services intervention trial</w:t>
      </w:r>
      <w:r w:rsidR="00EB4DCD" w:rsidRPr="00F42B1D">
        <w:t xml:space="preserve"> </w:t>
      </w:r>
      <w:r w:rsidR="00604A70">
        <w:t xml:space="preserve">of </w:t>
      </w:r>
      <w:r w:rsidR="00307E0F" w:rsidRPr="00F42B1D">
        <w:t>a pharmacist-</w:t>
      </w:r>
      <w:r w:rsidR="008130DB" w:rsidRPr="00F42B1D">
        <w:t xml:space="preserve">led service to reduce </w:t>
      </w:r>
      <w:r w:rsidR="00DF7550" w:rsidRPr="00F42B1D">
        <w:t>medicine-induced</w:t>
      </w:r>
      <w:r w:rsidR="008130DB" w:rsidRPr="00F42B1D">
        <w:t xml:space="preserve"> deterioration and adverse reactions in the </w:t>
      </w:r>
      <w:r w:rsidR="00812C48">
        <w:t>aged care</w:t>
      </w:r>
      <w:r w:rsidR="008130DB" w:rsidRPr="00F42B1D">
        <w:t xml:space="preserve"> population</w:t>
      </w:r>
      <w:r w:rsidR="00604A70">
        <w:t>.</w:t>
      </w:r>
      <w:r w:rsidR="008130DB" w:rsidRPr="00F42B1D">
        <w:t xml:space="preserve"> </w:t>
      </w:r>
      <w:r w:rsidR="00604A70">
        <w:t xml:space="preserve">The trial was </w:t>
      </w:r>
      <w:r w:rsidR="00604A70" w:rsidRPr="00F42B1D">
        <w:t>funded through the Department of Health Pharmacy Trial Program</w:t>
      </w:r>
      <w:r w:rsidR="007501B9">
        <w:t xml:space="preserve">. </w:t>
      </w:r>
      <w:r w:rsidR="009D44E4" w:rsidRPr="00F42B1D">
        <w:t>Appendix A provides a list of the people involved in the develop</w:t>
      </w:r>
      <w:r w:rsidR="00E81714" w:rsidRPr="00F42B1D">
        <w:t>ment of this assessment report</w:t>
      </w:r>
      <w:r w:rsidR="00307E0F" w:rsidRPr="00F42B1D">
        <w:t>.</w:t>
      </w:r>
    </w:p>
    <w:p w14:paraId="19F28508" w14:textId="760916DB" w:rsidR="003F169D" w:rsidRPr="00F42B1D" w:rsidRDefault="009545FC" w:rsidP="000B41FA">
      <w:pPr>
        <w:pStyle w:val="Heading2-SectionA"/>
      </w:pPr>
      <w:bookmarkStart w:id="89" w:name="_Toc117758225"/>
      <w:r w:rsidRPr="00F42B1D">
        <w:t xml:space="preserve">Items in the agreed </w:t>
      </w:r>
      <w:r w:rsidR="0088661A" w:rsidRPr="00F42B1D">
        <w:t>PICO Confirmation</w:t>
      </w:r>
      <w:bookmarkEnd w:id="89"/>
    </w:p>
    <w:p w14:paraId="07E64EC3" w14:textId="076BF6D5" w:rsidR="00E81714" w:rsidRPr="00F42B1D" w:rsidRDefault="00E81714" w:rsidP="007501B9">
      <w:bookmarkStart w:id="90" w:name="_Toc381796441"/>
      <w:r w:rsidRPr="00F42B1D">
        <w:t xml:space="preserve">The proposed pharmacist-led service to reduce medicine-induced deterioration and adverse reactions in residents in Australian residential aged care was outlined in </w:t>
      </w:r>
      <w:r w:rsidR="008130DB" w:rsidRPr="00F42B1D">
        <w:t>the</w:t>
      </w:r>
      <w:r w:rsidRPr="00F42B1D">
        <w:t xml:space="preserve"> </w:t>
      </w:r>
      <w:r w:rsidR="00604A70">
        <w:t xml:space="preserve">population, intervention, </w:t>
      </w:r>
      <w:proofErr w:type="gramStart"/>
      <w:r w:rsidR="00604A70">
        <w:t>comparator</w:t>
      </w:r>
      <w:proofErr w:type="gramEnd"/>
      <w:r w:rsidR="00604A70">
        <w:t xml:space="preserve"> and outcomes (</w:t>
      </w:r>
      <w:r w:rsidRPr="00F42B1D">
        <w:t>PICO</w:t>
      </w:r>
      <w:r w:rsidR="00604A70">
        <w:t>)</w:t>
      </w:r>
      <w:r w:rsidRPr="00F42B1D">
        <w:t xml:space="preserve"> document (Appendix </w:t>
      </w:r>
      <w:r w:rsidR="00E62636">
        <w:t>D</w:t>
      </w:r>
      <w:r w:rsidRPr="00F42B1D">
        <w:t>) that was reviewed by the PICO Confirmation Advisory Sub-Committee (PASC) as part of the Sixth Community Pharmacy Agreement Pharmacy Trial Program (3 February 2017).</w:t>
      </w:r>
    </w:p>
    <w:p w14:paraId="296853ED" w14:textId="610AD9E0" w:rsidR="00A541EB" w:rsidRPr="00F42B1D" w:rsidRDefault="00A541EB" w:rsidP="007501B9">
      <w:pPr>
        <w:rPr>
          <w:b/>
          <w:smallCaps/>
        </w:rPr>
      </w:pPr>
      <w:r w:rsidRPr="00F42B1D">
        <w:t xml:space="preserve">This submission-based assessment of the Reducing </w:t>
      </w:r>
      <w:r w:rsidR="00DF7550" w:rsidRPr="00F42B1D">
        <w:t>Medicine-induced</w:t>
      </w:r>
      <w:r w:rsidRPr="00F42B1D">
        <w:t xml:space="preserve"> Deterioration and Adverse Reactions (</w:t>
      </w:r>
      <w:proofErr w:type="spellStart"/>
      <w:r w:rsidRPr="00F42B1D">
        <w:t>ReMInDAR</w:t>
      </w:r>
      <w:proofErr w:type="spellEnd"/>
      <w:r w:rsidRPr="00F42B1D">
        <w:t xml:space="preserve">) trial addresses the required PICO elements outlined in the </w:t>
      </w:r>
      <w:r w:rsidR="00604A70">
        <w:t>trial</w:t>
      </w:r>
      <w:r w:rsidRPr="00F42B1D">
        <w:t xml:space="preserve"> protocol.</w:t>
      </w:r>
    </w:p>
    <w:p w14:paraId="226870B5" w14:textId="4CF97DF9" w:rsidR="00B313E2" w:rsidRPr="000C65BB" w:rsidRDefault="00835007" w:rsidP="0084765B">
      <w:pPr>
        <w:pStyle w:val="Heading3-SectionA1"/>
      </w:pPr>
      <w:bookmarkStart w:id="91" w:name="_Toc117758226"/>
      <w:r w:rsidRPr="000C65BB">
        <w:t>Pro</w:t>
      </w:r>
      <w:r w:rsidR="007D2548" w:rsidRPr="000C65BB">
        <w:t>posed M</w:t>
      </w:r>
      <w:r w:rsidRPr="000C65BB">
        <w:t xml:space="preserve">edical </w:t>
      </w:r>
      <w:r w:rsidR="007D2548" w:rsidRPr="000C65BB">
        <w:t>S</w:t>
      </w:r>
      <w:r w:rsidRPr="000C65BB">
        <w:t>ervice</w:t>
      </w:r>
      <w:bookmarkEnd w:id="91"/>
    </w:p>
    <w:p w14:paraId="1BB89FC8" w14:textId="55AB4476" w:rsidR="00DB0911" w:rsidRPr="00F42B1D" w:rsidRDefault="008130DB" w:rsidP="007501B9">
      <w:bookmarkStart w:id="92" w:name="_Toc379118262"/>
      <w:bookmarkStart w:id="93" w:name="_Toc381796445"/>
      <w:bookmarkStart w:id="94" w:name="_Toc395200761"/>
      <w:bookmarkEnd w:id="90"/>
      <w:r w:rsidRPr="00F42B1D">
        <w:t>The proposed service is a pharmacist-led service to reduce medicine-induced deterioration and adverse reactions among residents of Australian residential aged care facilities</w:t>
      </w:r>
      <w:r w:rsidR="007501B9">
        <w:t xml:space="preserve">. </w:t>
      </w:r>
      <w:r w:rsidR="00823F9E" w:rsidRPr="00F42B1D">
        <w:t>P</w:t>
      </w:r>
      <w:r w:rsidR="00DB0911" w:rsidRPr="00F42B1D">
        <w:t xml:space="preserve">harmacists trained in the detection of signs and symptoms of medicine-induced deterioration </w:t>
      </w:r>
      <w:r w:rsidR="00B8120C">
        <w:t>reviewed</w:t>
      </w:r>
      <w:r w:rsidR="00DB0911" w:rsidRPr="00F42B1D">
        <w:t xml:space="preserve"> target</w:t>
      </w:r>
      <w:r w:rsidRPr="00F42B1D">
        <w:t>ed</w:t>
      </w:r>
      <w:r w:rsidR="00DB0911" w:rsidRPr="00F42B1D">
        <w:t xml:space="preserve"> residents in aged care facilities </w:t>
      </w:r>
      <w:r w:rsidR="00604A70">
        <w:t>every eight weeks</w:t>
      </w:r>
      <w:r w:rsidR="007501B9">
        <w:t xml:space="preserve">. </w:t>
      </w:r>
      <w:r w:rsidRPr="00F42B1D">
        <w:t>The review include</w:t>
      </w:r>
      <w:r w:rsidR="00604A70">
        <w:t>d</w:t>
      </w:r>
      <w:r w:rsidRPr="00F42B1D">
        <w:t xml:space="preserve"> assessment of </w:t>
      </w:r>
      <w:r w:rsidR="00307E0F" w:rsidRPr="00F42B1D">
        <w:t>resident</w:t>
      </w:r>
      <w:r w:rsidRPr="00F42B1D">
        <w:t xml:space="preserve"> or carer reported changes in health, assessment of </w:t>
      </w:r>
      <w:r w:rsidR="00DB0911" w:rsidRPr="00F42B1D">
        <w:t xml:space="preserve">changes in cognition, physical activity, </w:t>
      </w:r>
      <w:r w:rsidRPr="00F42B1D">
        <w:t xml:space="preserve">strength, </w:t>
      </w:r>
      <w:r w:rsidR="00DB0911" w:rsidRPr="00F42B1D">
        <w:t>sleep</w:t>
      </w:r>
      <w:r w:rsidRPr="00F42B1D">
        <w:t>,</w:t>
      </w:r>
      <w:r w:rsidR="00DB0911" w:rsidRPr="00F42B1D">
        <w:t xml:space="preserve"> and </w:t>
      </w:r>
      <w:r w:rsidRPr="00F42B1D">
        <w:t xml:space="preserve">review of the </w:t>
      </w:r>
      <w:r w:rsidR="00DB0911" w:rsidRPr="00F42B1D">
        <w:t>resident care assessment record</w:t>
      </w:r>
      <w:r w:rsidRPr="00F42B1D">
        <w:t xml:space="preserve"> to identify any signs of </w:t>
      </w:r>
      <w:r w:rsidR="00DF7550" w:rsidRPr="00F42B1D">
        <w:t>medicine-induced</w:t>
      </w:r>
      <w:r w:rsidRPr="00F42B1D">
        <w:t xml:space="preserve"> deterioration or adverse medicine events</w:t>
      </w:r>
      <w:r w:rsidR="007501B9">
        <w:t xml:space="preserve">. </w:t>
      </w:r>
      <w:r w:rsidR="00DB0911" w:rsidRPr="00F42B1D">
        <w:t xml:space="preserve">Recommendations concerning medication management </w:t>
      </w:r>
      <w:r w:rsidR="00604A70">
        <w:t>were</w:t>
      </w:r>
      <w:r w:rsidR="00DB0911" w:rsidRPr="00F42B1D">
        <w:t xml:space="preserve"> made to the </w:t>
      </w:r>
      <w:r w:rsidR="00DB0911" w:rsidRPr="00F42B1D">
        <w:lastRenderedPageBreak/>
        <w:t xml:space="preserve">resident’s general practitioner, residents themselves </w:t>
      </w:r>
      <w:r w:rsidR="00604A70">
        <w:t>or</w:t>
      </w:r>
      <w:r w:rsidR="00DB0911" w:rsidRPr="00F42B1D">
        <w:t xml:space="preserve"> facility care staff </w:t>
      </w:r>
      <w:proofErr w:type="gramStart"/>
      <w:r w:rsidR="00DB0911" w:rsidRPr="00F42B1D">
        <w:t>in order to</w:t>
      </w:r>
      <w:proofErr w:type="gramEnd"/>
      <w:r w:rsidR="00DB0911" w:rsidRPr="00F42B1D">
        <w:t xml:space="preserve"> prevent or mitigate harm from </w:t>
      </w:r>
      <w:r w:rsidR="00DF7550" w:rsidRPr="00F42B1D">
        <w:t>medicine</w:t>
      </w:r>
      <w:r w:rsidR="00604A70">
        <w:t>s</w:t>
      </w:r>
      <w:r w:rsidR="00DB0911" w:rsidRPr="00F42B1D">
        <w:t>.</w:t>
      </w:r>
    </w:p>
    <w:p w14:paraId="14D66ED6" w14:textId="6F3570C0" w:rsidR="00DB0911" w:rsidRPr="00F42B1D" w:rsidRDefault="00DB0911" w:rsidP="007501B9">
      <w:r w:rsidRPr="00F42B1D">
        <w:t>The proposed pharmacist service in aged care facilities is currently not available in any private or public setting in Australia</w:t>
      </w:r>
      <w:r w:rsidR="007501B9">
        <w:t xml:space="preserve">. </w:t>
      </w:r>
      <w:r w:rsidRPr="00F42B1D">
        <w:t xml:space="preserve">It </w:t>
      </w:r>
      <w:r w:rsidR="00604A70">
        <w:t>is proposed that it</w:t>
      </w:r>
      <w:r w:rsidRPr="00F42B1D">
        <w:t xml:space="preserve"> be offered in addition to usual care for the defined subgroup of the population of res</w:t>
      </w:r>
      <w:r w:rsidR="00307E0F" w:rsidRPr="00F42B1D">
        <w:t>idents in aged care facilities.</w:t>
      </w:r>
    </w:p>
    <w:p w14:paraId="0166BD8B" w14:textId="7E278714" w:rsidR="00DB0911" w:rsidRPr="00F42B1D" w:rsidRDefault="00DB0911" w:rsidP="007501B9">
      <w:r w:rsidRPr="00F42B1D">
        <w:t xml:space="preserve">Pharmacists providing the service will need to undertake training </w:t>
      </w:r>
      <w:proofErr w:type="gramStart"/>
      <w:r w:rsidRPr="00F42B1D">
        <w:t>in order to</w:t>
      </w:r>
      <w:proofErr w:type="gramEnd"/>
      <w:r w:rsidRPr="00F42B1D">
        <w:t xml:space="preserve"> have the knowledge and skills required to recognise and manage medicine-induced deterioration and adverse reactions</w:t>
      </w:r>
      <w:r w:rsidR="007501B9">
        <w:t xml:space="preserve">. </w:t>
      </w:r>
      <w:r w:rsidRPr="00F42B1D">
        <w:t>The training</w:t>
      </w:r>
      <w:r w:rsidR="005E1A3B" w:rsidRPr="00F42B1D">
        <w:t xml:space="preserve"> is further outlined in Section</w:t>
      </w:r>
      <w:r w:rsidRPr="00F42B1D">
        <w:t xml:space="preserve"> F</w:t>
      </w:r>
      <w:r w:rsidR="001A2CBA" w:rsidRPr="00F42B1D">
        <w:t>3</w:t>
      </w:r>
      <w:r w:rsidRPr="00F42B1D">
        <w:t>.</w:t>
      </w:r>
    </w:p>
    <w:p w14:paraId="5D824101" w14:textId="3E0B48E1" w:rsidR="00483A86" w:rsidRPr="00F42B1D" w:rsidRDefault="0005232D" w:rsidP="0084765B">
      <w:pPr>
        <w:pStyle w:val="Heading3-SectionA1"/>
      </w:pPr>
      <w:bookmarkStart w:id="95" w:name="_Toc117758227"/>
      <w:r w:rsidRPr="00F42B1D">
        <w:t xml:space="preserve">Other </w:t>
      </w:r>
      <w:r w:rsidR="00483A86" w:rsidRPr="00F42B1D">
        <w:t>Indications</w:t>
      </w:r>
      <w:bookmarkEnd w:id="92"/>
      <w:bookmarkEnd w:id="93"/>
      <w:bookmarkEnd w:id="94"/>
      <w:bookmarkEnd w:id="95"/>
    </w:p>
    <w:p w14:paraId="6904B674" w14:textId="77777777" w:rsidR="007D2548" w:rsidRPr="00F42B1D" w:rsidRDefault="00823F9E" w:rsidP="007501B9">
      <w:r w:rsidRPr="00F42B1D">
        <w:t>None.</w:t>
      </w:r>
    </w:p>
    <w:p w14:paraId="74D86571" w14:textId="51F7C4E4" w:rsidR="007D2548" w:rsidRPr="00F42B1D" w:rsidRDefault="007D2548" w:rsidP="0084765B">
      <w:pPr>
        <w:pStyle w:val="Heading3-SectionA1"/>
      </w:pPr>
      <w:bookmarkStart w:id="96" w:name="_Toc379118071"/>
      <w:bookmarkStart w:id="97" w:name="_Toc381796449"/>
      <w:bookmarkStart w:id="98" w:name="_Toc395200762"/>
      <w:bookmarkStart w:id="99" w:name="_Toc117758228"/>
      <w:r w:rsidRPr="00F42B1D">
        <w:t xml:space="preserve">Current </w:t>
      </w:r>
      <w:r w:rsidR="000F3B50" w:rsidRPr="00F42B1D">
        <w:t xml:space="preserve">funding </w:t>
      </w:r>
      <w:r w:rsidRPr="00F42B1D">
        <w:t>arrangements</w:t>
      </w:r>
      <w:bookmarkEnd w:id="96"/>
      <w:bookmarkEnd w:id="97"/>
      <w:bookmarkEnd w:id="98"/>
      <w:bookmarkEnd w:id="99"/>
    </w:p>
    <w:p w14:paraId="2CB89012" w14:textId="7381B16A" w:rsidR="007D2548" w:rsidRPr="00F42B1D" w:rsidRDefault="0086301B" w:rsidP="007501B9">
      <w:r w:rsidRPr="00F42B1D">
        <w:t xml:space="preserve">The </w:t>
      </w:r>
      <w:r w:rsidR="00604A70">
        <w:t xml:space="preserve">pharmacist </w:t>
      </w:r>
      <w:r w:rsidRPr="00F42B1D">
        <w:t xml:space="preserve">service </w:t>
      </w:r>
      <w:r w:rsidR="00604A70">
        <w:t xml:space="preserve">trialled in </w:t>
      </w:r>
      <w:proofErr w:type="spellStart"/>
      <w:r w:rsidR="00604A70">
        <w:t>ReMInDAR</w:t>
      </w:r>
      <w:proofErr w:type="spellEnd"/>
      <w:r w:rsidR="00604A70">
        <w:t xml:space="preserve"> </w:t>
      </w:r>
      <w:r w:rsidRPr="00F42B1D">
        <w:t>is not currently funded in Australia</w:t>
      </w:r>
      <w:r w:rsidR="007501B9">
        <w:t xml:space="preserve">. </w:t>
      </w:r>
      <w:r w:rsidR="00604A70">
        <w:t>R</w:t>
      </w:r>
      <w:r w:rsidR="00604A70" w:rsidRPr="00F42B1D">
        <w:t>esidential medication management reviews (RMMRs</w:t>
      </w:r>
      <w:r w:rsidR="00604A70">
        <w:t>) are the e</w:t>
      </w:r>
      <w:r w:rsidRPr="00F42B1D">
        <w:t xml:space="preserve">xisting services </w:t>
      </w:r>
      <w:r w:rsidR="00604A70">
        <w:t xml:space="preserve">to support appropriate medicine use </w:t>
      </w:r>
      <w:r w:rsidRPr="00F42B1D">
        <w:t>for</w:t>
      </w:r>
      <w:r w:rsidR="00823F9E" w:rsidRPr="00F42B1D">
        <w:t xml:space="preserve"> residents </w:t>
      </w:r>
      <w:r w:rsidR="00604A70">
        <w:t>of</w:t>
      </w:r>
      <w:r w:rsidR="00823F9E" w:rsidRPr="00F42B1D">
        <w:t xml:space="preserve"> aged</w:t>
      </w:r>
      <w:r w:rsidR="00604A70">
        <w:t xml:space="preserve"> </w:t>
      </w:r>
      <w:r w:rsidR="00823F9E" w:rsidRPr="00F42B1D">
        <w:t>care facilities</w:t>
      </w:r>
      <w:r w:rsidR="00307E0F" w:rsidRPr="00F42B1D">
        <w:t>.</w:t>
      </w:r>
      <w:r w:rsidR="00823F9E" w:rsidRPr="00F42B1D">
        <w:fldChar w:fldCharType="begin"/>
      </w:r>
      <w:r w:rsidR="00C86345">
        <w:instrText xml:space="preserve"> ADDIN EN.CITE &lt;EndNote&gt;&lt;Cite&gt;&lt;Author&gt;6th Community Pharmacy Agreement&lt;/Author&gt;&lt;RecNum&gt;29&lt;/RecNum&gt;&lt;DisplayText&gt;(2)&lt;/DisplayText&gt;&lt;record&gt;&lt;rec-number&gt;29&lt;/rec-number&gt;&lt;foreign-keys&gt;&lt;key app="EN" db-id="9s5z5ped05vxdnede99vfsxhtzavzdzs2d5r" timestamp="1597381997"&gt;29&lt;/key&gt;&lt;/foreign-keys&gt;&lt;ref-type name="Web Page"&gt;12&lt;/ref-type&gt;&lt;contributors&gt;&lt;authors&gt;&lt;author&gt;6th Community Pharmacy Agreement,&lt;/author&gt;&lt;/authors&gt;&lt;/contributors&gt;&lt;titles&gt;&lt;title&gt;Residential medication management review and QUM&lt;/title&gt;&lt;/titles&gt;&lt;volume&gt;2019&lt;/volume&gt;&lt;number&gt;8 January&lt;/number&gt;&lt;dates&gt;&lt;/dates&gt;&lt;urls&gt;&lt;related-urls&gt;&lt;url&gt;http://6cpa.com.au/medication-management-programs/residential-medication-management-review/&lt;/url&gt;&lt;/related-urls&gt;&lt;/urls&gt;&lt;/record&gt;&lt;/Cite&gt;&lt;/EndNote&gt;</w:instrText>
      </w:r>
      <w:r w:rsidR="00823F9E" w:rsidRPr="00F42B1D">
        <w:fldChar w:fldCharType="separate"/>
      </w:r>
      <w:r w:rsidR="00C86345">
        <w:rPr>
          <w:noProof/>
        </w:rPr>
        <w:t>(</w:t>
      </w:r>
      <w:hyperlink w:anchor="_ENREF_2" w:tooltip="6th Community Pharmacy Agreement,  #29" w:history="1">
        <w:r w:rsidR="00EB6EA4">
          <w:rPr>
            <w:noProof/>
          </w:rPr>
          <w:t>2</w:t>
        </w:r>
      </w:hyperlink>
      <w:r w:rsidR="00C86345">
        <w:rPr>
          <w:noProof/>
        </w:rPr>
        <w:t>)</w:t>
      </w:r>
      <w:r w:rsidR="00823F9E" w:rsidRPr="00F42B1D">
        <w:fldChar w:fldCharType="end"/>
      </w:r>
      <w:r w:rsidR="00823F9E" w:rsidRPr="00F42B1D">
        <w:t xml:space="preserve"> </w:t>
      </w:r>
      <w:r w:rsidR="00307E0F" w:rsidRPr="00F42B1D">
        <w:t xml:space="preserve"> </w:t>
      </w:r>
      <w:r w:rsidR="00823F9E" w:rsidRPr="00F42B1D">
        <w:t>The RMMR is a comprehensive medication review conducted by an accredited pharmacist following a referral from the resident’s GP</w:t>
      </w:r>
      <w:r w:rsidR="00604A70">
        <w:t xml:space="preserve">. </w:t>
      </w:r>
      <w:r w:rsidR="00812C48" w:rsidRPr="00F42B1D">
        <w:t>Accredited pharmacists are funded to conduct an RMMR every 12 to 24 months, or where there has been a significant change in the residents’ condition or medication regimen.</w:t>
      </w:r>
      <w:r w:rsidR="00812C48" w:rsidRPr="00F42B1D">
        <w:fldChar w:fldCharType="begin"/>
      </w:r>
      <w:r w:rsidR="00C86345">
        <w:instrText xml:space="preserve"> ADDIN EN.CITE &lt;EndNote&gt;&lt;Cite&gt;&lt;Author&gt;Pharmacy Programs Administrator.&lt;/Author&gt;&lt;Year&gt;2019&lt;/Year&gt;&lt;RecNum&gt;30&lt;/RecNum&gt;&lt;DisplayText&gt;(3)&lt;/DisplayText&gt;&lt;record&gt;&lt;rec-number&gt;30&lt;/rec-number&gt;&lt;foreign-keys&gt;&lt;key app="EN" db-id="9s5z5ped05vxdnede99vfsxhtzavzdzs2d5r" timestamp="1597381997"&gt;30&lt;/key&gt;&lt;/foreign-keys&gt;&lt;ref-type name="Journal Article"&gt;17&lt;/ref-type&gt;&lt;contributors&gt;&lt;authors&gt;&lt;author&gt;Pharmacy Programs Administrator.,&lt;/author&gt;&lt;/authors&gt;&lt;/contributors&gt;&lt;titles&gt;&lt;title&gt;Residential Medication Management Review and Quality Use of Medicines.&lt;/title&gt;&lt;/titles&gt;&lt;dates&gt;&lt;year&gt;2019&lt;/year&gt;&lt;/dates&gt;&lt;urls&gt;&lt;related-urls&gt;&lt;url&gt;https://www.ppaonline.com.au/programs/medication-management-programs/residential-medication-management-review-and-quality-use-of-medicines&lt;/url&gt;&lt;/related-urls&gt;&lt;/urls&gt;&lt;access-date&gt;11 Aug 2020&lt;/access-date&gt;&lt;/record&gt;&lt;/Cite&gt;&lt;/EndNote&gt;</w:instrText>
      </w:r>
      <w:r w:rsidR="00812C48" w:rsidRPr="00F42B1D">
        <w:fldChar w:fldCharType="separate"/>
      </w:r>
      <w:r w:rsidR="00C86345">
        <w:rPr>
          <w:noProof/>
        </w:rPr>
        <w:t>(</w:t>
      </w:r>
      <w:hyperlink w:anchor="_ENREF_3" w:tooltip="Pharmacy Programs Administrator., 2019 #30" w:history="1">
        <w:r w:rsidR="00EB6EA4">
          <w:rPr>
            <w:noProof/>
          </w:rPr>
          <w:t>3</w:t>
        </w:r>
      </w:hyperlink>
      <w:r w:rsidR="00C86345">
        <w:rPr>
          <w:noProof/>
        </w:rPr>
        <w:t>)</w:t>
      </w:r>
      <w:r w:rsidR="00812C48" w:rsidRPr="00F42B1D">
        <w:fldChar w:fldCharType="end"/>
      </w:r>
      <w:r w:rsidR="00812C48">
        <w:t xml:space="preserve">  During the majority of the </w:t>
      </w:r>
      <w:r w:rsidR="00604A70">
        <w:t xml:space="preserve">time </w:t>
      </w:r>
      <w:r w:rsidR="00812C48">
        <w:t xml:space="preserve">that </w:t>
      </w:r>
      <w:r w:rsidR="00604A70">
        <w:t xml:space="preserve">the </w:t>
      </w:r>
      <w:proofErr w:type="spellStart"/>
      <w:r w:rsidR="00812C48">
        <w:t>ReMInDAR</w:t>
      </w:r>
      <w:proofErr w:type="spellEnd"/>
      <w:r w:rsidR="00812C48">
        <w:t xml:space="preserve"> </w:t>
      </w:r>
      <w:r w:rsidR="00604A70">
        <w:t xml:space="preserve">trial was underway, </w:t>
      </w:r>
      <w:r w:rsidR="00812C48">
        <w:t>this ruling applied for a sole review</w:t>
      </w:r>
      <w:r w:rsidR="007501B9">
        <w:t xml:space="preserve">. </w:t>
      </w:r>
      <w:r w:rsidR="00604A70">
        <w:t xml:space="preserve">In November 2019, additional funding was provided to enable </w:t>
      </w:r>
      <w:r w:rsidRPr="00F42B1D">
        <w:t xml:space="preserve">up to two follow-up visits to resolve medication related problems </w:t>
      </w:r>
      <w:r w:rsidR="00812C48" w:rsidRPr="00F42B1D">
        <w:t>noted at the initial review</w:t>
      </w:r>
      <w:r w:rsidR="00812C48" w:rsidRPr="00812C48">
        <w:t xml:space="preserve"> </w:t>
      </w:r>
      <w:r w:rsidR="00812C48" w:rsidRPr="00F42B1D">
        <w:t>if required</w:t>
      </w:r>
      <w:r w:rsidR="00823F9E" w:rsidRPr="00F42B1D">
        <w:t>.</w:t>
      </w:r>
      <w:r w:rsidR="00823F9E" w:rsidRPr="00F42B1D">
        <w:fldChar w:fldCharType="begin"/>
      </w:r>
      <w:r w:rsidR="00C86345">
        <w:instrText xml:space="preserve"> ADDIN EN.CITE &lt;EndNote&gt;&lt;Cite&gt;&lt;Author&gt;6th Community Pharmacy Agreement&lt;/Author&gt;&lt;RecNum&gt;29&lt;/RecNum&gt;&lt;DisplayText&gt;(2)&lt;/DisplayText&gt;&lt;record&gt;&lt;rec-number&gt;29&lt;/rec-number&gt;&lt;foreign-keys&gt;&lt;key app="EN" db-id="9s5z5ped05vxdnede99vfsxhtzavzdzs2d5r" timestamp="1597381997"&gt;29&lt;/key&gt;&lt;/foreign-keys&gt;&lt;ref-type name="Web Page"&gt;12&lt;/ref-type&gt;&lt;contributors&gt;&lt;authors&gt;&lt;author&gt;6th Community Pharmacy Agreement,&lt;/author&gt;&lt;/authors&gt;&lt;/contributors&gt;&lt;titles&gt;&lt;title&gt;Residential medication management review and QUM&lt;/title&gt;&lt;/titles&gt;&lt;volume&gt;2019&lt;/volume&gt;&lt;number&gt;8 January&lt;/number&gt;&lt;dates&gt;&lt;/dates&gt;&lt;urls&gt;&lt;related-urls&gt;&lt;url&gt;http://6cpa.com.au/medication-management-programs/residential-medication-management-review/&lt;/url&gt;&lt;/related-urls&gt;&lt;/urls&gt;&lt;/record&gt;&lt;/Cite&gt;&lt;/EndNote&gt;</w:instrText>
      </w:r>
      <w:r w:rsidR="00823F9E" w:rsidRPr="00F42B1D">
        <w:fldChar w:fldCharType="separate"/>
      </w:r>
      <w:r w:rsidR="00C86345">
        <w:rPr>
          <w:noProof/>
        </w:rPr>
        <w:t>(</w:t>
      </w:r>
      <w:hyperlink w:anchor="_ENREF_2" w:tooltip="6th Community Pharmacy Agreement,  #29" w:history="1">
        <w:r w:rsidR="00EB6EA4">
          <w:rPr>
            <w:noProof/>
          </w:rPr>
          <w:t>2</w:t>
        </w:r>
      </w:hyperlink>
      <w:r w:rsidR="00C86345">
        <w:rPr>
          <w:noProof/>
        </w:rPr>
        <w:t>)</w:t>
      </w:r>
      <w:r w:rsidR="00823F9E" w:rsidRPr="00F42B1D">
        <w:fldChar w:fldCharType="end"/>
      </w:r>
    </w:p>
    <w:p w14:paraId="3F7BCB4B" w14:textId="77777777" w:rsidR="00835007" w:rsidRPr="00F42B1D" w:rsidDel="00A134DA" w:rsidRDefault="00AB3CB2" w:rsidP="000B41FA">
      <w:pPr>
        <w:pStyle w:val="Heading2-SectionA"/>
      </w:pPr>
      <w:bookmarkStart w:id="100" w:name="_Toc381796450"/>
      <w:bookmarkStart w:id="101" w:name="_Toc117758229"/>
      <w:bookmarkStart w:id="102" w:name="_Toc327540865"/>
      <w:bookmarkStart w:id="103" w:name="_Toc379118069"/>
      <w:bookmarkStart w:id="104" w:name="_Toc381796447"/>
      <w:r w:rsidRPr="00F42B1D" w:rsidDel="00A134DA">
        <w:t>Proposal for Public F</w:t>
      </w:r>
      <w:r w:rsidR="00835007" w:rsidRPr="00F42B1D" w:rsidDel="00A134DA">
        <w:t>unding</w:t>
      </w:r>
      <w:bookmarkEnd w:id="100"/>
      <w:bookmarkEnd w:id="101"/>
    </w:p>
    <w:p w14:paraId="3E2D96F8" w14:textId="7C7B9E5D" w:rsidR="00812C48" w:rsidRPr="00B4794B" w:rsidRDefault="00812C48" w:rsidP="007501B9">
      <w:bookmarkStart w:id="105" w:name="_Toc379118076"/>
      <w:bookmarkStart w:id="106" w:name="_Toc381796455"/>
      <w:bookmarkStart w:id="107" w:name="_Toc379118072"/>
      <w:bookmarkStart w:id="108" w:name="_Toc355274709"/>
      <w:bookmarkEnd w:id="102"/>
      <w:bookmarkEnd w:id="103"/>
      <w:bookmarkEnd w:id="104"/>
      <w:r w:rsidRPr="00B4794B">
        <w:t>The proposal for funding is:</w:t>
      </w:r>
    </w:p>
    <w:p w14:paraId="32538283" w14:textId="3AA54E0B" w:rsidR="0065713A" w:rsidRPr="0065713A" w:rsidRDefault="00812C48" w:rsidP="005B14D9">
      <w:pPr>
        <w:pStyle w:val="ListBullet"/>
      </w:pPr>
      <w:r w:rsidRPr="00B4794B">
        <w:t>A p</w:t>
      </w:r>
      <w:r w:rsidR="0065713A" w:rsidRPr="00B4794B">
        <w:t xml:space="preserve">harmacist </w:t>
      </w:r>
      <w:r w:rsidRPr="00B4794B">
        <w:t xml:space="preserve">service to prevent </w:t>
      </w:r>
      <w:r w:rsidR="0065713A" w:rsidRPr="00B4794B">
        <w:t xml:space="preserve">medication-related decline in </w:t>
      </w:r>
      <w:r w:rsidRPr="00B4794B">
        <w:t>residents of aged care</w:t>
      </w:r>
      <w:r w:rsidR="0065713A" w:rsidRPr="00B4794B">
        <w:t xml:space="preserve"> facilit</w:t>
      </w:r>
      <w:r w:rsidRPr="00B4794B">
        <w:t>ies</w:t>
      </w:r>
      <w:r w:rsidR="007501B9">
        <w:t xml:space="preserve">. </w:t>
      </w:r>
      <w:r w:rsidR="0065713A" w:rsidRPr="00B4794B">
        <w:t xml:space="preserve">At least 8 weeks must elapse between </w:t>
      </w:r>
      <w:r w:rsidRPr="00B4794B">
        <w:t>services</w:t>
      </w:r>
      <w:r w:rsidR="0065713A" w:rsidRPr="00B4794B">
        <w:t xml:space="preserve"> for the same resident.</w:t>
      </w:r>
    </w:p>
    <w:p w14:paraId="4A6E0EC2" w14:textId="6C7AFF88" w:rsidR="0065713A" w:rsidRDefault="0065713A" w:rsidP="007501B9">
      <w:r w:rsidRPr="0065713A">
        <w:t>The program funding mechanism for the proposed service and fee structure would require negotiation between the relevant government department and ind</w:t>
      </w:r>
      <w:r>
        <w:t>ustry stakeholders.</w:t>
      </w:r>
    </w:p>
    <w:p w14:paraId="3A70E2F7" w14:textId="2BC54829" w:rsidR="00C3360E" w:rsidRPr="0004349F" w:rsidRDefault="00C3360E" w:rsidP="000B41FA">
      <w:pPr>
        <w:pStyle w:val="Heading2-SectionA"/>
      </w:pPr>
      <w:bookmarkStart w:id="109" w:name="_Toc117758230"/>
      <w:r w:rsidRPr="0004349F">
        <w:t>Proposed population</w:t>
      </w:r>
      <w:bookmarkEnd w:id="109"/>
    </w:p>
    <w:p w14:paraId="63F4A165" w14:textId="3AA63041" w:rsidR="00796C29" w:rsidRPr="001425A9" w:rsidRDefault="00E0239A" w:rsidP="007501B9">
      <w:bookmarkStart w:id="110" w:name="_Hlk53754686"/>
      <w:r w:rsidRPr="001425A9">
        <w:t xml:space="preserve">The proposed service will be provided to residents of </w:t>
      </w:r>
      <w:r w:rsidR="00812C48">
        <w:t>aged care</w:t>
      </w:r>
      <w:r w:rsidRPr="001425A9">
        <w:t xml:space="preserve"> facilities </w:t>
      </w:r>
      <w:r w:rsidR="0086301B" w:rsidRPr="001425A9">
        <w:t>who are taking</w:t>
      </w:r>
      <w:r w:rsidRPr="001425A9">
        <w:t xml:space="preserve"> 4 or more medicines or </w:t>
      </w:r>
      <w:r w:rsidR="0086301B" w:rsidRPr="001425A9">
        <w:t xml:space="preserve">taking </w:t>
      </w:r>
      <w:r w:rsidRPr="001425A9">
        <w:t xml:space="preserve">at least one </w:t>
      </w:r>
      <w:r w:rsidR="0086301B" w:rsidRPr="001425A9">
        <w:t xml:space="preserve">medicine with </w:t>
      </w:r>
      <w:r w:rsidRPr="001425A9">
        <w:t xml:space="preserve">anticholinergic or sedative </w:t>
      </w:r>
      <w:r w:rsidR="00812C48">
        <w:t>properties</w:t>
      </w:r>
      <w:r w:rsidR="00796C29" w:rsidRPr="005B64C8">
        <w:t xml:space="preserve">; </w:t>
      </w:r>
      <w:r w:rsidR="00796C29" w:rsidRPr="001425A9">
        <w:lastRenderedPageBreak/>
        <w:t xml:space="preserve">and </w:t>
      </w:r>
      <w:r w:rsidR="00812C48">
        <w:t xml:space="preserve">who </w:t>
      </w:r>
      <w:r w:rsidR="00796C29" w:rsidRPr="001425A9">
        <w:t xml:space="preserve">have a cognition score (MoCA) of 18 or higher </w:t>
      </w:r>
      <w:r w:rsidR="000F4D7B">
        <w:t xml:space="preserve">(corresponding to no or mild cognitive impairment) </w:t>
      </w:r>
      <w:r w:rsidR="00796C29" w:rsidRPr="001425A9">
        <w:t>and a frailty index less than 0.4.</w:t>
      </w:r>
    </w:p>
    <w:p w14:paraId="17BFE344" w14:textId="5B278CE4" w:rsidR="00E0239A" w:rsidRPr="00F42B1D" w:rsidRDefault="00796C29" w:rsidP="007501B9">
      <w:r w:rsidRPr="001425A9">
        <w:t xml:space="preserve">The intervention targets </w:t>
      </w:r>
      <w:r w:rsidR="00812C48">
        <w:t>persons</w:t>
      </w:r>
      <w:r w:rsidR="00CB7562" w:rsidRPr="001425A9">
        <w:t xml:space="preserve"> at risk of medicine-related decline</w:t>
      </w:r>
      <w:r w:rsidRPr="001425A9">
        <w:t xml:space="preserve"> who have not yet suffered significant decline in cognition or frailty</w:t>
      </w:r>
      <w:r w:rsidR="007501B9">
        <w:t xml:space="preserve">. </w:t>
      </w:r>
      <w:r w:rsidRPr="001425A9">
        <w:t xml:space="preserve">This population aligns with the study population and is expected to be the population most </w:t>
      </w:r>
      <w:r w:rsidR="00812C48">
        <w:t xml:space="preserve">likely </w:t>
      </w:r>
      <w:r w:rsidRPr="001425A9">
        <w:t>to benefit</w:t>
      </w:r>
      <w:r w:rsidR="00812C48">
        <w:t xml:space="preserve"> from the service</w:t>
      </w:r>
      <w:r w:rsidRPr="001425A9">
        <w:t>.</w:t>
      </w:r>
    </w:p>
    <w:p w14:paraId="377E70C2" w14:textId="2644536A" w:rsidR="00823F9E" w:rsidRPr="00F42B1D" w:rsidRDefault="00823F9E" w:rsidP="0084765B">
      <w:pPr>
        <w:pStyle w:val="Heading3-SectionA3"/>
      </w:pPr>
      <w:bookmarkStart w:id="111" w:name="_Toc117758231"/>
      <w:r w:rsidRPr="00F42B1D">
        <w:t>Rationale</w:t>
      </w:r>
      <w:bookmarkEnd w:id="111"/>
    </w:p>
    <w:p w14:paraId="7F623AB3" w14:textId="56E6969C" w:rsidR="00812C48" w:rsidRPr="00812C48" w:rsidRDefault="00812C48" w:rsidP="007501B9">
      <w:r w:rsidRPr="00812C48">
        <w:t>Harm from medicines is the most frequent and the most avoidable harm in health care</w:t>
      </w:r>
      <w:r w:rsidR="007501B9">
        <w:t xml:space="preserve">. </w:t>
      </w:r>
      <w:r w:rsidRPr="00812C48">
        <w:t>Residents of aged care are particularly vulnerable to the harmful effects of medicines. International evidence suggests, every month up to one in 10 residents in aged care experience an adverse event due to their medicines.</w:t>
      </w:r>
      <w:r w:rsidRPr="00812C48">
        <w:fldChar w:fldCharType="begin">
          <w:fldData xml:space="preserve">PEVuZE5vdGU+PENpdGU+PEF1dGhvcj5BbC1KdW1haWxpPC9BdXRob3I+PFllYXI+MjAxODwvWWVh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</w:fldData>
        </w:fldChar>
      </w:r>
      <w:r w:rsidR="00C86345">
        <w:instrText xml:space="preserve"> ADDIN EN.CITE </w:instrText>
      </w:r>
      <w:r w:rsidR="00C86345">
        <w:fldChar w:fldCharType="begin">
          <w:fldData xml:space="preserve">PEVuZE5vdGU+PENpdGU+PEF1dGhvcj5BbC1KdW1haWxpPC9BdXRob3I+PFllYXI+MjAxODwvWWVh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</w:fldData>
        </w:fldChar>
      </w:r>
      <w:r w:rsidR="00C86345">
        <w:instrText xml:space="preserve"> ADDIN EN.CITE.DATA </w:instrText>
      </w:r>
      <w:r w:rsidR="00C86345">
        <w:fldChar w:fldCharType="end"/>
      </w:r>
      <w:r w:rsidRPr="00812C48">
        <w:fldChar w:fldCharType="separate"/>
      </w:r>
      <w:r w:rsidR="00C86345">
        <w:rPr>
          <w:noProof/>
        </w:rPr>
        <w:t>(</w:t>
      </w:r>
      <w:hyperlink w:anchor="_ENREF_4" w:tooltip="Al-Jumaili, 2018 #34" w:history="1">
        <w:r w:rsidR="00EB6EA4">
          <w:rPr>
            <w:noProof/>
          </w:rPr>
          <w:t>4-6</w:t>
        </w:r>
      </w:hyperlink>
      <w:r w:rsidR="00C86345">
        <w:rPr>
          <w:noProof/>
        </w:rPr>
        <w:t>)</w:t>
      </w:r>
      <w:r w:rsidRPr="00812C48">
        <w:fldChar w:fldCharType="end"/>
      </w:r>
      <w:r w:rsidR="000F4D7B">
        <w:t xml:space="preserve"> </w:t>
      </w:r>
      <w:r w:rsidRPr="00812C48">
        <w:t xml:space="preserve"> The majority of these adverse events are serious, life-threatening or fatal.</w:t>
      </w:r>
      <w:r w:rsidRPr="00812C48">
        <w:fldChar w:fldCharType="begin">
          <w:fldData xml:space="preserve">PEVuZE5vdGU+PENpdGU+PEF1dGhvcj5LYXBvb3I8L0F1dGhvcj48WWVhcj4yMDE5PC9ZZWFyPjxS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=
</w:fldData>
        </w:fldChar>
      </w:r>
      <w:r w:rsidR="00C86345">
        <w:instrText xml:space="preserve"> ADDIN EN.CITE </w:instrText>
      </w:r>
      <w:r w:rsidR="00C86345">
        <w:fldChar w:fldCharType="begin">
          <w:fldData xml:space="preserve">PEVuZE5vdGU+PENpdGU+PEF1dGhvcj5LYXBvb3I8L0F1dGhvcj48WWVhcj4yMDE5PC9ZZWFyPjxS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=
</w:fldData>
        </w:fldChar>
      </w:r>
      <w:r w:rsidR="00C86345">
        <w:instrText xml:space="preserve"> ADDIN EN.CITE.DATA </w:instrText>
      </w:r>
      <w:r w:rsidR="00C86345">
        <w:fldChar w:fldCharType="end"/>
      </w:r>
      <w:r w:rsidRPr="00812C48">
        <w:fldChar w:fldCharType="separate"/>
      </w:r>
      <w:r w:rsidR="00C86345">
        <w:rPr>
          <w:noProof/>
        </w:rPr>
        <w:t>(</w:t>
      </w:r>
      <w:hyperlink w:anchor="_ENREF_7" w:tooltip="Kapoor, 2019 #22" w:history="1">
        <w:r w:rsidR="00EB6EA4">
          <w:rPr>
            <w:noProof/>
          </w:rPr>
          <w:t>7</w:t>
        </w:r>
      </w:hyperlink>
      <w:r w:rsidR="00C86345">
        <w:rPr>
          <w:noProof/>
        </w:rPr>
        <w:t xml:space="preserve">, </w:t>
      </w:r>
      <w:hyperlink w:anchor="_ENREF_8" w:tooltip="Gurwitz, 2000 #33" w:history="1">
        <w:r w:rsidR="00EB6EA4">
          <w:rPr>
            <w:noProof/>
          </w:rPr>
          <w:t>8</w:t>
        </w:r>
      </w:hyperlink>
      <w:r w:rsidR="00C86345">
        <w:rPr>
          <w:noProof/>
        </w:rPr>
        <w:t>)</w:t>
      </w:r>
      <w:r w:rsidRPr="00812C48">
        <w:fldChar w:fldCharType="end"/>
      </w:r>
      <w:r w:rsidRPr="00812C48">
        <w:t xml:space="preserve"> </w:t>
      </w:r>
      <w:r w:rsidR="000F4D7B">
        <w:t xml:space="preserve"> </w:t>
      </w:r>
      <w:r w:rsidRPr="00812C48">
        <w:t>In Australia, this equates to over 250,000 serious, life-threatening or fatal adverse medicine events in aged care each year</w:t>
      </w:r>
      <w:r w:rsidR="007501B9">
        <w:t xml:space="preserve">. </w:t>
      </w:r>
      <w:r w:rsidRPr="00812C48">
        <w:t>More than half of this harm is preventable.</w:t>
      </w:r>
      <w:r w:rsidRPr="00812C48">
        <w:fldChar w:fldCharType="begin">
          <w:fldData xml:space="preserve">PEVuZE5vdGU+PENpdGU+PEF1dGhvcj5LYXBvb3I8L0F1dGhvcj48WWVhcj4yMDE5PC9ZZWFyPjxS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=
</w:fldData>
        </w:fldChar>
      </w:r>
      <w:r w:rsidR="00C86345">
        <w:instrText xml:space="preserve"> ADDIN EN.CITE </w:instrText>
      </w:r>
      <w:r w:rsidR="00C86345">
        <w:fldChar w:fldCharType="begin">
          <w:fldData xml:space="preserve">PEVuZE5vdGU+PENpdGU+PEF1dGhvcj5LYXBvb3I8L0F1dGhvcj48WWVhcj4yMDE5PC9ZZWFyPjxS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=
</w:fldData>
        </w:fldChar>
      </w:r>
      <w:r w:rsidR="00C86345">
        <w:instrText xml:space="preserve"> ADDIN EN.CITE.DATA </w:instrText>
      </w:r>
      <w:r w:rsidR="00C86345">
        <w:fldChar w:fldCharType="end"/>
      </w:r>
      <w:r w:rsidRPr="00812C48">
        <w:fldChar w:fldCharType="separate"/>
      </w:r>
      <w:r w:rsidR="00C86345">
        <w:rPr>
          <w:noProof/>
        </w:rPr>
        <w:t>(</w:t>
      </w:r>
      <w:hyperlink w:anchor="_ENREF_7" w:tooltip="Kapoor, 2019 #22" w:history="1">
        <w:r w:rsidR="00EB6EA4">
          <w:rPr>
            <w:noProof/>
          </w:rPr>
          <w:t>7</w:t>
        </w:r>
      </w:hyperlink>
      <w:r w:rsidR="00C86345">
        <w:rPr>
          <w:noProof/>
        </w:rPr>
        <w:t xml:space="preserve">, </w:t>
      </w:r>
      <w:hyperlink w:anchor="_ENREF_8" w:tooltip="Gurwitz, 2000 #33" w:history="1">
        <w:r w:rsidR="00EB6EA4">
          <w:rPr>
            <w:noProof/>
          </w:rPr>
          <w:t>8</w:t>
        </w:r>
      </w:hyperlink>
      <w:r w:rsidR="00C86345">
        <w:rPr>
          <w:noProof/>
        </w:rPr>
        <w:t>)</w:t>
      </w:r>
      <w:r w:rsidRPr="00812C48">
        <w:fldChar w:fldCharType="end"/>
      </w:r>
    </w:p>
    <w:bookmarkEnd w:id="110"/>
    <w:p w14:paraId="2DE43A81" w14:textId="5F5F6631" w:rsidR="00E0239A" w:rsidRPr="00F42B1D" w:rsidRDefault="00E0239A" w:rsidP="007501B9">
      <w:r w:rsidRPr="00F42B1D">
        <w:t>In addition to recognised adverse medicine events, many medicines often have what might be considered “minor side effects” which are difficult to detect and frequently unrecognised</w:t>
      </w:r>
      <w:r w:rsidR="007501B9">
        <w:t xml:space="preserve">. </w:t>
      </w:r>
      <w:r w:rsidRPr="00F42B1D">
        <w:t>These side effects, particularly if the cumulative effects build over time, may be misattributed as geriatric syndromes, frailty or “changes due to aging”</w:t>
      </w:r>
      <w:r w:rsidR="007501B9">
        <w:t xml:space="preserve">. </w:t>
      </w:r>
      <w:r w:rsidR="00991457">
        <w:t>T</w:t>
      </w:r>
      <w:r w:rsidRPr="00F42B1D">
        <w:t>hese cumulative effects</w:t>
      </w:r>
      <w:r w:rsidR="00991457">
        <w:t>, which</w:t>
      </w:r>
      <w:r w:rsidRPr="00F42B1D">
        <w:t xml:space="preserve"> </w:t>
      </w:r>
      <w:r w:rsidR="00991457">
        <w:t xml:space="preserve">can be described </w:t>
      </w:r>
      <w:r w:rsidRPr="00F42B1D">
        <w:t>as medicine-induced deterioration,</w:t>
      </w:r>
      <w:r w:rsidRPr="00F42B1D">
        <w:fldChar w:fldCharType="begin"/>
      </w:r>
      <w:r w:rsidR="00C86345">
        <w:instrText xml:space="preserve"> ADDIN EN.CITE &lt;EndNote&gt;&lt;Cite&gt;&lt;Author&gt;Lim&lt;/Author&gt;&lt;Year&gt;2019&lt;/Year&gt;&lt;RecNum&gt;9&lt;/RecNum&gt;&lt;DisplayText&gt;(9)&lt;/DisplayText&gt;&lt;record&gt;&lt;rec-number&gt;9&lt;/rec-number&gt;&lt;foreign-keys&gt;&lt;key app="EN" db-id="9s5z5ped05vxdnede99vfsxhtzavzdzs2d5r" timestamp="1597381992"&gt;9&lt;/key&gt;&lt;/foreign-keys&gt;&lt;ref-type name="Journal Article"&gt;17&lt;/ref-type&gt;&lt;contributors&gt;&lt;authors&gt;&lt;author&gt;Lim, Renly&lt;/author&gt;&lt;author&gt;Ellett, Lisa M Kalisch&lt;/author&gt;&lt;author&gt;Widagdo, Imaina S&lt;/author&gt;&lt;author&gt;Pratt, Nicole L&lt;/author&gt;&lt;author&gt;Roughead, Elizabeth Ellen&lt;/author&gt;&lt;/authors&gt;&lt;/contributors&gt;&lt;titles&gt;&lt;title&gt;Analysis of anticholinergic and sedative medicine effects on physical function, cognitive function, appetite and frailty: a cross-sectional study in Australia&lt;/title&gt;&lt;secondary-title&gt;BMJ open&lt;/secondary-title&gt;&lt;/titles&gt;&lt;pages&gt;e029221&lt;/pages&gt;&lt;volume&gt;9&lt;/volume&gt;&lt;number&gt;9&lt;/number&gt;&lt;dates&gt;&lt;year&gt;2019&lt;/year&gt;&lt;/dates&gt;&lt;isbn&gt;2044-6055&lt;/isbn&gt;&lt;urls&gt;&lt;/urls&gt;&lt;/record&gt;&lt;/Cite&gt;&lt;/EndNote&gt;</w:instrText>
      </w:r>
      <w:r w:rsidRPr="00F42B1D">
        <w:fldChar w:fldCharType="separate"/>
      </w:r>
      <w:r w:rsidR="00C86345">
        <w:rPr>
          <w:noProof/>
        </w:rPr>
        <w:t>(</w:t>
      </w:r>
      <w:hyperlink w:anchor="_ENREF_9" w:tooltip="Lim, 2019 #9" w:history="1">
        <w:r w:rsidR="00EB6EA4">
          <w:rPr>
            <w:noProof/>
          </w:rPr>
          <w:t>9</w:t>
        </w:r>
      </w:hyperlink>
      <w:r w:rsidR="00C86345">
        <w:rPr>
          <w:noProof/>
        </w:rPr>
        <w:t>)</w:t>
      </w:r>
      <w:r w:rsidRPr="00F42B1D">
        <w:fldChar w:fldCharType="end"/>
      </w:r>
      <w:r w:rsidRPr="00F42B1D">
        <w:t xml:space="preserve"> encompass symptoms including cognitive and functional impairment, the latter which may be due to muscle weakness, neuropathy or sedation</w:t>
      </w:r>
      <w:r w:rsidR="007501B9">
        <w:t xml:space="preserve">. </w:t>
      </w:r>
      <w:r w:rsidR="00991457">
        <w:t>All these symptoms</w:t>
      </w:r>
      <w:r w:rsidRPr="00F42B1D">
        <w:t xml:space="preserve"> may reduce physical activity or increase risk of falls</w:t>
      </w:r>
      <w:r w:rsidR="007501B9">
        <w:t xml:space="preserve">. </w:t>
      </w:r>
      <w:r w:rsidRPr="00F42B1D">
        <w:t>Additional symptoms that can be medicine-induced include loss of appetite, changes in urinary function and bowel function, changes in respiration, and changes in activity or sleep patterns</w:t>
      </w:r>
      <w:r w:rsidR="007501B9">
        <w:t xml:space="preserve">. </w:t>
      </w:r>
      <w:r w:rsidRPr="00F42B1D">
        <w:t>While these symptoms may occur independently of medicine use, many medicines have side effect profiles that may cause or contribute to these symptoms</w:t>
      </w:r>
      <w:r w:rsidR="007501B9">
        <w:t xml:space="preserve">. </w:t>
      </w:r>
      <w:r w:rsidRPr="00F42B1D">
        <w:t>Medicine-induced deterioration can be further exacerbated where medicines with differing indications but similar or overlapping side effect profiles are used concurrently.</w:t>
      </w:r>
    </w:p>
    <w:p w14:paraId="0DE810E6" w14:textId="6F956C6E" w:rsidR="00141744" w:rsidRPr="00106850" w:rsidRDefault="00E0239A" w:rsidP="007501B9">
      <w:r w:rsidRPr="00F42B1D">
        <w:t>Medicines can affect a range of physiological systems including cognition and physical function, both of which are components of frailty.</w:t>
      </w:r>
      <w:r w:rsidRPr="00F42B1D">
        <w:fldChar w:fldCharType="begin">
          <w:fldData xml:space="preserve">PEVuZE5vdGU+PENpdGU+PEF1dGhvcj5EZW50PC9BdXRob3I+PFllYXI+MjAxNjwvWWVhcj48UmVj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</w:fldData>
        </w:fldChar>
      </w:r>
      <w:r w:rsidR="00C86345">
        <w:instrText xml:space="preserve"> ADDIN EN.CITE </w:instrText>
      </w:r>
      <w:r w:rsidR="00C86345">
        <w:fldChar w:fldCharType="begin">
          <w:fldData xml:space="preserve">PEVuZE5vdGU+PENpdGU+PEF1dGhvcj5EZW50PC9BdXRob3I+PFllYXI+MjAxNjwvWWVhcj48UmVj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</w:fldData>
        </w:fldChar>
      </w:r>
      <w:r w:rsidR="00C86345">
        <w:instrText xml:space="preserve"> ADDIN EN.CITE.DATA </w:instrText>
      </w:r>
      <w:r w:rsidR="00C86345">
        <w:fldChar w:fldCharType="end"/>
      </w:r>
      <w:r w:rsidRPr="00F42B1D">
        <w:fldChar w:fldCharType="separate"/>
      </w:r>
      <w:r w:rsidR="00C86345">
        <w:rPr>
          <w:noProof/>
        </w:rPr>
        <w:t>(</w:t>
      </w:r>
      <w:hyperlink w:anchor="_ENREF_10" w:tooltip="Dent, 2016 #10" w:history="1">
        <w:r w:rsidR="00EB6EA4">
          <w:rPr>
            <w:noProof/>
          </w:rPr>
          <w:t>10</w:t>
        </w:r>
      </w:hyperlink>
      <w:r w:rsidR="00C86345">
        <w:rPr>
          <w:noProof/>
        </w:rPr>
        <w:t>)</w:t>
      </w:r>
      <w:r w:rsidRPr="00F42B1D">
        <w:fldChar w:fldCharType="end"/>
      </w:r>
      <w:r w:rsidR="00877C97" w:rsidRPr="00F42B1D">
        <w:t xml:space="preserve"> </w:t>
      </w:r>
      <w:r w:rsidRPr="00F42B1D">
        <w:t xml:space="preserve"> This may partially explain the reason why there is significant evidence demonstrating that medicine use is associated with frailty.</w:t>
      </w:r>
      <w:r w:rsidRPr="00F42B1D">
        <w:fldChar w:fldCharType="begin">
          <w:fldData xml:space="preserve">PEVuZE5vdGU+PENpdGU+PEF1dGhvcj5CZW5uZXR0PC9BdXRob3I+PFllYXI+MjAxNDwvWWVhcj48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=
</w:fldData>
        </w:fldChar>
      </w:r>
      <w:r w:rsidR="00C86345">
        <w:instrText xml:space="preserve"> ADDIN EN.CITE </w:instrText>
      </w:r>
      <w:r w:rsidR="00C86345">
        <w:fldChar w:fldCharType="begin">
          <w:fldData xml:space="preserve">PEVuZE5vdGU+PENpdGU+PEF1dGhvcj5CZW5uZXR0PC9BdXRob3I+PFllYXI+MjAxNDwvWWVhcj48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=
</w:fldData>
        </w:fldChar>
      </w:r>
      <w:r w:rsidR="00C86345">
        <w:instrText xml:space="preserve"> ADDIN EN.CITE.DATA </w:instrText>
      </w:r>
      <w:r w:rsidR="00C86345">
        <w:fldChar w:fldCharType="end"/>
      </w:r>
      <w:r w:rsidRPr="00F42B1D">
        <w:fldChar w:fldCharType="separate"/>
      </w:r>
      <w:r w:rsidR="00C86345">
        <w:rPr>
          <w:noProof/>
        </w:rPr>
        <w:t>(</w:t>
      </w:r>
      <w:hyperlink w:anchor="_ENREF_11" w:tooltip="Bennett, 2014 #11" w:history="1">
        <w:r w:rsidR="00EB6EA4">
          <w:rPr>
            <w:noProof/>
          </w:rPr>
          <w:t>11-13</w:t>
        </w:r>
      </w:hyperlink>
      <w:r w:rsidR="00C86345">
        <w:rPr>
          <w:noProof/>
        </w:rPr>
        <w:t>)</w:t>
      </w:r>
      <w:r w:rsidRPr="00F42B1D">
        <w:fldChar w:fldCharType="end"/>
      </w:r>
      <w:r w:rsidR="00877C97" w:rsidRPr="00F42B1D">
        <w:t xml:space="preserve"> </w:t>
      </w:r>
      <w:r w:rsidRPr="00F42B1D">
        <w:t xml:space="preserve"> Frailty is a risk factor for adverse events including falls, delirium and hospitalisation,</w:t>
      </w:r>
      <w:r w:rsidRPr="00F42B1D">
        <w:fldChar w:fldCharType="begin"/>
      </w:r>
      <w:r w:rsidR="00C86345">
        <w:instrText xml:space="preserve"> ADDIN EN.CITE &lt;EndNote&gt;&lt;Cite&gt;&lt;Author&gt;Clegg&lt;/Author&gt;&lt;Year&gt;2013&lt;/Year&gt;&lt;RecNum&gt;14&lt;/RecNum&gt;&lt;DisplayText&gt;(14)&lt;/DisplayText&gt;&lt;record&gt;&lt;rec-number&gt;14&lt;/rec-number&gt;&lt;foreign-keys&gt;&lt;key app="EN" db-id="9s5z5ped05vxdnede99vfsxhtzavzdzs2d5r" timestamp="1597381993"&gt;14&lt;/key&gt;&lt;/foreign-keys&gt;&lt;ref-type name="Journal Article"&gt;17&lt;/ref-type&gt;&lt;contributors&gt;&lt;authors&gt;&lt;author&gt;Clegg, Andrew&lt;/author&gt;&lt;author&gt;Young, John&lt;/author&gt;&lt;author&gt;Iliffe, Steve&lt;/author&gt;&lt;author&gt;Rikkert, Marcel Olde&lt;/author&gt;&lt;author&gt;Rockwood, Kenneth&lt;/author&gt;&lt;/authors&gt;&lt;/contributors&gt;&lt;titles&gt;&lt;title&gt;Frailty in elderly people&lt;/title&gt;&lt;secondary-title&gt;The Lancet&lt;/secondary-title&gt;&lt;/titles&gt;&lt;pages&gt;752-762&lt;/pages&gt;&lt;volume&gt;381&lt;/volume&gt;&lt;number&gt;9868&lt;/number&gt;&lt;dates&gt;&lt;year&gt;2013&lt;/year&gt;&lt;/dates&gt;&lt;publisher&gt;Elsevier&lt;/publisher&gt;&lt;isbn&gt;0140-6736&lt;/isbn&gt;&lt;urls&gt;&lt;related-urls&gt;&lt;url&gt;http://dx.doi.org/10.1016/S0140-6736(12)62167-9&lt;/url&gt;&lt;/related-urls&gt;&lt;/urls&gt;&lt;electronic-resource-num&gt;10.1016/S0140-6736(12)62167-9&lt;/electronic-resource-num&gt;&lt;access-date&gt;2017/08/07&lt;/access-date&gt;&lt;/record&gt;&lt;/Cite&gt;&lt;/EndNote&gt;</w:instrText>
      </w:r>
      <w:r w:rsidRPr="00F42B1D">
        <w:fldChar w:fldCharType="separate"/>
      </w:r>
      <w:r w:rsidR="00C86345">
        <w:rPr>
          <w:noProof/>
        </w:rPr>
        <w:t>(</w:t>
      </w:r>
      <w:hyperlink w:anchor="_ENREF_14" w:tooltip="Clegg, 2013 #14" w:history="1">
        <w:r w:rsidR="00EB6EA4">
          <w:rPr>
            <w:noProof/>
          </w:rPr>
          <w:t>14</w:t>
        </w:r>
      </w:hyperlink>
      <w:r w:rsidR="00C86345">
        <w:rPr>
          <w:noProof/>
        </w:rPr>
        <w:t>)</w:t>
      </w:r>
      <w:r w:rsidRPr="00F42B1D">
        <w:fldChar w:fldCharType="end"/>
      </w:r>
      <w:r w:rsidRPr="00F42B1D">
        <w:t xml:space="preserve"> and frail individuals have worse health outcomes than non-frail individuals.</w:t>
      </w:r>
      <w:r w:rsidRPr="00F42B1D">
        <w:fldChar w:fldCharType="begin">
          <w:fldData xml:space="preserve">PEVuZE5vdGU+PENpdGU+PEF1dGhvcj5CZW5uZXR0PC9BdXRob3I+PFllYXI+MjAxNDwvWWVhcj48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</w:fldData>
        </w:fldChar>
      </w:r>
      <w:r w:rsidR="00C86345">
        <w:instrText xml:space="preserve"> ADDIN EN.CITE </w:instrText>
      </w:r>
      <w:r w:rsidR="00C86345">
        <w:fldChar w:fldCharType="begin">
          <w:fldData xml:space="preserve">PEVuZE5vdGU+PENpdGU+PEF1dGhvcj5CZW5uZXR0PC9BdXRob3I+PFllYXI+MjAxNDwvWWVhcj48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</w:fldData>
        </w:fldChar>
      </w:r>
      <w:r w:rsidR="00C86345">
        <w:instrText xml:space="preserve"> ADDIN EN.CITE.DATA </w:instrText>
      </w:r>
      <w:r w:rsidR="00C86345">
        <w:fldChar w:fldCharType="end"/>
      </w:r>
      <w:r w:rsidRPr="00F42B1D">
        <w:fldChar w:fldCharType="separate"/>
      </w:r>
      <w:r w:rsidR="00C86345">
        <w:rPr>
          <w:noProof/>
        </w:rPr>
        <w:t>(</w:t>
      </w:r>
      <w:hyperlink w:anchor="_ENREF_11" w:tooltip="Bennett, 2014 #11" w:history="1">
        <w:r w:rsidR="00EB6EA4">
          <w:rPr>
            <w:noProof/>
          </w:rPr>
          <w:t>11</w:t>
        </w:r>
      </w:hyperlink>
      <w:r w:rsidR="00C86345">
        <w:rPr>
          <w:noProof/>
        </w:rPr>
        <w:t xml:space="preserve">, </w:t>
      </w:r>
      <w:hyperlink w:anchor="_ENREF_12" w:tooltip="Herr, 2015 #12" w:history="1">
        <w:r w:rsidR="00EB6EA4">
          <w:rPr>
            <w:noProof/>
          </w:rPr>
          <w:t>12</w:t>
        </w:r>
      </w:hyperlink>
      <w:r w:rsidR="00C86345">
        <w:rPr>
          <w:noProof/>
        </w:rPr>
        <w:t xml:space="preserve">, </w:t>
      </w:r>
      <w:hyperlink w:anchor="_ENREF_15" w:tooltip="Widagdo, 2015 #15" w:history="1">
        <w:r w:rsidR="00EB6EA4">
          <w:rPr>
            <w:noProof/>
          </w:rPr>
          <w:t>15</w:t>
        </w:r>
      </w:hyperlink>
      <w:r w:rsidR="00C86345">
        <w:rPr>
          <w:noProof/>
        </w:rPr>
        <w:t>)</w:t>
      </w:r>
      <w:r w:rsidRPr="00F42B1D">
        <w:fldChar w:fldCharType="end"/>
      </w:r>
      <w:r w:rsidRPr="00F42B1D">
        <w:t xml:space="preserve"> </w:t>
      </w:r>
      <w:r w:rsidR="00877C97" w:rsidRPr="00F42B1D">
        <w:t xml:space="preserve"> </w:t>
      </w:r>
      <w:r w:rsidRPr="00F42B1D">
        <w:t>Emerging longitudinal evidence suggests that medicines may worsen frailty, with longitudinal evidence showing that the cumulative load of anticholinergic and sedative medicines is associated with increased risk of developing pre-frail states.</w:t>
      </w:r>
      <w:r w:rsidRPr="00F42B1D">
        <w:fldChar w:fldCharType="begin">
          <w:fldData xml:space="preserve">PEVuZE5vdGU+PENpdGU+PEF1dGhvcj5KYW1zZW48L0F1dGhvcj48WWVhcj4yMDE2PC9ZZWFyPjxS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</w:fldData>
        </w:fldChar>
      </w:r>
      <w:r w:rsidR="00C86345">
        <w:instrText xml:space="preserve"> ADDIN EN.CITE </w:instrText>
      </w:r>
      <w:r w:rsidR="00C86345">
        <w:fldChar w:fldCharType="begin">
          <w:fldData xml:space="preserve">PEVuZE5vdGU+PENpdGU+PEF1dGhvcj5KYW1zZW48L0F1dGhvcj48WWVhcj4yMDE2PC9ZZWFyPjxS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</w:fldData>
        </w:fldChar>
      </w:r>
      <w:r w:rsidR="00C86345">
        <w:instrText xml:space="preserve"> ADDIN EN.CITE.DATA </w:instrText>
      </w:r>
      <w:r w:rsidR="00C86345">
        <w:fldChar w:fldCharType="end"/>
      </w:r>
      <w:r w:rsidRPr="00F42B1D">
        <w:fldChar w:fldCharType="separate"/>
      </w:r>
      <w:r w:rsidR="00C86345">
        <w:rPr>
          <w:noProof/>
        </w:rPr>
        <w:t>(</w:t>
      </w:r>
      <w:hyperlink w:anchor="_ENREF_16" w:tooltip="Jamsen, 2016 #16" w:history="1">
        <w:r w:rsidR="00EB6EA4">
          <w:rPr>
            <w:noProof/>
          </w:rPr>
          <w:t>16</w:t>
        </w:r>
      </w:hyperlink>
      <w:r w:rsidR="00C86345">
        <w:rPr>
          <w:noProof/>
        </w:rPr>
        <w:t>)</w:t>
      </w:r>
      <w:r w:rsidRPr="00F42B1D">
        <w:fldChar w:fldCharType="end"/>
      </w:r>
      <w:r w:rsidRPr="00F42B1D">
        <w:t xml:space="preserve"> </w:t>
      </w:r>
      <w:r w:rsidR="00877C97" w:rsidRPr="00F42B1D">
        <w:t xml:space="preserve"> </w:t>
      </w:r>
      <w:r w:rsidRPr="00F42B1D">
        <w:lastRenderedPageBreak/>
        <w:t>Once frail, individuals are also more vulnerable to adverse drug reactions.</w:t>
      </w:r>
      <w:r w:rsidRPr="00F42B1D">
        <w:fldChar w:fldCharType="begin">
          <w:fldData xml:space="preserve">PEVuZE5vdGU+PENpdGU+PEF1dGhvcj5DdWxsaW5hbjwvQXV0aG9yPjxZZWFyPjIwMTY8L1llYXI+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==
</w:fldData>
        </w:fldChar>
      </w:r>
      <w:r w:rsidR="00C86345">
        <w:instrText xml:space="preserve"> ADDIN EN.CITE </w:instrText>
      </w:r>
      <w:r w:rsidR="00C86345">
        <w:fldChar w:fldCharType="begin">
          <w:fldData xml:space="preserve">PEVuZE5vdGU+PENpdGU+PEF1dGhvcj5DdWxsaW5hbjwvQXV0aG9yPjxZZWFyPjIwMTY8L1llYXI+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==
</w:fldData>
        </w:fldChar>
      </w:r>
      <w:r w:rsidR="00C86345">
        <w:instrText xml:space="preserve"> ADDIN EN.CITE.DATA </w:instrText>
      </w:r>
      <w:r w:rsidR="00C86345">
        <w:fldChar w:fldCharType="end"/>
      </w:r>
      <w:r w:rsidRPr="00F42B1D">
        <w:fldChar w:fldCharType="separate"/>
      </w:r>
      <w:r w:rsidR="00C86345">
        <w:rPr>
          <w:noProof/>
        </w:rPr>
        <w:t>(</w:t>
      </w:r>
      <w:hyperlink w:anchor="_ENREF_17" w:tooltip="Cullinan, 2016 #17" w:history="1">
        <w:r w:rsidR="00EB6EA4">
          <w:rPr>
            <w:noProof/>
          </w:rPr>
          <w:t>17</w:t>
        </w:r>
      </w:hyperlink>
      <w:r w:rsidR="00C86345">
        <w:rPr>
          <w:noProof/>
        </w:rPr>
        <w:t>)</w:t>
      </w:r>
      <w:r w:rsidRPr="00F42B1D">
        <w:fldChar w:fldCharType="end"/>
      </w:r>
      <w:r w:rsidR="00877C97" w:rsidRPr="00F42B1D">
        <w:t xml:space="preserve"> </w:t>
      </w:r>
      <w:r w:rsidRPr="00F42B1D">
        <w:t xml:space="preserve"> An Irish study demonstrated that the odds of developing an adverse reaction in frail persons was double that of a non-frail person (29% compared to 17% respectively, odds ratio OR 2.1 (95% confidence interval CI 1.5 – 3.0).</w:t>
      </w:r>
      <w:r w:rsidRPr="00F42B1D">
        <w:fldChar w:fldCharType="begin">
          <w:fldData xml:space="preserve">PEVuZE5vdGU+PENpdGU+PEF1dGhvcj5DdWxsaW5hbjwvQXV0aG9yPjxZZWFyPjIwMTY8L1llYXI+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==
</w:fldData>
        </w:fldChar>
      </w:r>
      <w:r w:rsidR="00C86345">
        <w:instrText xml:space="preserve"> ADDIN EN.CITE </w:instrText>
      </w:r>
      <w:r w:rsidR="00C86345">
        <w:fldChar w:fldCharType="begin">
          <w:fldData xml:space="preserve">PEVuZE5vdGU+PENpdGU+PEF1dGhvcj5DdWxsaW5hbjwvQXV0aG9yPjxZZWFyPjIwMTY8L1llYXI+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==
</w:fldData>
        </w:fldChar>
      </w:r>
      <w:r w:rsidR="00C86345">
        <w:instrText xml:space="preserve"> ADDIN EN.CITE.DATA </w:instrText>
      </w:r>
      <w:r w:rsidR="00C86345">
        <w:fldChar w:fldCharType="end"/>
      </w:r>
      <w:r w:rsidRPr="00F42B1D">
        <w:fldChar w:fldCharType="separate"/>
      </w:r>
      <w:r w:rsidR="00C86345">
        <w:rPr>
          <w:noProof/>
        </w:rPr>
        <w:t>(</w:t>
      </w:r>
      <w:hyperlink w:anchor="_ENREF_17" w:tooltip="Cullinan, 2016 #17" w:history="1">
        <w:r w:rsidR="00EB6EA4">
          <w:rPr>
            <w:noProof/>
          </w:rPr>
          <w:t>17</w:t>
        </w:r>
      </w:hyperlink>
      <w:r w:rsidR="00C86345">
        <w:rPr>
          <w:noProof/>
        </w:rPr>
        <w:t>)</w:t>
      </w:r>
      <w:r w:rsidRPr="00F42B1D">
        <w:fldChar w:fldCharType="end"/>
      </w:r>
      <w:r w:rsidRPr="00F42B1D">
        <w:t xml:space="preserve"> </w:t>
      </w:r>
      <w:r w:rsidR="00877C97" w:rsidRPr="00F42B1D">
        <w:t xml:space="preserve"> </w:t>
      </w:r>
      <w:r w:rsidR="008C0B8D" w:rsidRPr="00F42B1D">
        <w:t>R</w:t>
      </w:r>
      <w:r w:rsidRPr="00F42B1D">
        <w:t xml:space="preserve">educing medicine-induced deterioration would therefore reduce the potential for people to develop frailty and, thus, reduce the potential for adverse medicine events (see Figure </w:t>
      </w:r>
      <w:r w:rsidR="00877C97" w:rsidRPr="00F42B1D">
        <w:t>A-</w:t>
      </w:r>
      <w:r w:rsidRPr="00F42B1D">
        <w:t>1</w:t>
      </w:r>
      <w:r w:rsidR="004B14E9">
        <w:t>).</w:t>
      </w:r>
    </w:p>
    <w:p w14:paraId="06DE8B87" w14:textId="71104517" w:rsidR="00E0239A" w:rsidRPr="00F42B1D" w:rsidRDefault="00E0239A" w:rsidP="00897C5B">
      <w:pPr>
        <w:pStyle w:val="Caption"/>
        <w:rPr>
          <w:lang w:eastAsia="zh-CN" w:bidi="th-TH"/>
        </w:rPr>
      </w:pPr>
      <w:r w:rsidRPr="00F42B1D">
        <w:t xml:space="preserve">Figure </w:t>
      </w:r>
      <w:r w:rsidR="008C0B8D" w:rsidRPr="00F42B1D">
        <w:t>A-1</w:t>
      </w:r>
      <w:r w:rsidR="000F4D7B">
        <w:rPr>
          <w:lang w:eastAsia="zh-CN" w:bidi="th-TH"/>
        </w:rPr>
        <w:t>:</w:t>
      </w:r>
      <w:r w:rsidRPr="00F42B1D">
        <w:rPr>
          <w:lang w:eastAsia="zh-CN" w:bidi="th-TH"/>
        </w:rPr>
        <w:t xml:space="preserve"> The relationship between medicines, </w:t>
      </w:r>
      <w:r w:rsidR="00DF7550" w:rsidRPr="00F42B1D">
        <w:rPr>
          <w:lang w:eastAsia="zh-CN" w:bidi="th-TH"/>
        </w:rPr>
        <w:t>medicine-induced</w:t>
      </w:r>
      <w:r w:rsidRPr="00F42B1D">
        <w:rPr>
          <w:lang w:eastAsia="zh-CN" w:bidi="th-TH"/>
        </w:rPr>
        <w:t xml:space="preserve"> deterioration, </w:t>
      </w:r>
      <w:proofErr w:type="gramStart"/>
      <w:r w:rsidRPr="00F42B1D">
        <w:rPr>
          <w:lang w:eastAsia="zh-CN" w:bidi="th-TH"/>
        </w:rPr>
        <w:t>frailty</w:t>
      </w:r>
      <w:proofErr w:type="gramEnd"/>
      <w:r w:rsidRPr="00F42B1D">
        <w:rPr>
          <w:lang w:eastAsia="zh-CN" w:bidi="th-TH"/>
        </w:rPr>
        <w:t xml:space="preserve"> and adverse events.</w:t>
      </w:r>
      <w:r w:rsidR="003F457B" w:rsidRPr="00F42B1D">
        <w:rPr>
          <w:noProof/>
        </w:rPr>
        <mc:AlternateContent>
          <mc:Choice Requires="wpg">
            <w:drawing>
              <wp:inline distT="0" distB="0" distL="0" distR="0" wp14:anchorId="16B506E5" wp14:editId="50196F3B">
                <wp:extent cx="5603196" cy="3606164"/>
                <wp:effectExtent l="0" t="0" r="0" b="0"/>
                <wp:docPr id="4" name="Group 39" descr="The schematic in Figure A-1 illustrates the relationship between medicines, medicine-induced deterioration, frailty and adverse events. It is well known that medicines can sometimes lead to adverse events, however they also have impacts on daily functions such as:&#10;1) Gait, walking and balance&#10;2) Appetite&#10;3) Cognitive impairment.&#10;Collectively, these medicine-induced impacts on daily functions can be described as ‘medicine-induced deterioration’. This deterioration in any daily function can lead to frailty and subsequently to the possibility of an adverse event.&#10;" title="Relationship between medicines, medicine-induced deterioration, fraility and adverse events."/>
                <wp:cNvGraphicFramePr/>
                <a:graphic xmlns:a="http://schemas.openxmlformats.org/drawingml/2006/main">
                  <a:graphicData uri="http://schemas.microsoft.com/office/word/2010/wordprocessingGroup">
                    <wpg:wgp>
                      <wpg:cNvGrpSpPr/>
                      <wpg:grpSpPr>
                        <a:xfrm>
                          <a:off x="0" y="0"/>
                          <a:ext cx="5603196" cy="3606164"/>
                          <a:chOff x="-6224" y="0"/>
                          <a:chExt cx="7445635" cy="4124586"/>
                        </a:xfrm>
                      </wpg:grpSpPr>
                      <wpg:grpSp>
                        <wpg:cNvPr id="64" name="Group 64"/>
                        <wpg:cNvGrpSpPr/>
                        <wpg:grpSpPr>
                          <a:xfrm>
                            <a:off x="471616" y="1135652"/>
                            <a:ext cx="5133550" cy="2988934"/>
                            <a:chOff x="471616" y="1135652"/>
                            <a:chExt cx="5133550" cy="2988934"/>
                          </a:xfrm>
                        </wpg:grpSpPr>
                        <wps:wsp>
                          <wps:cNvPr id="65" name="TextBox 5"/>
                          <wps:cNvSpPr txBox="1"/>
                          <wps:spPr>
                            <a:xfrm>
                              <a:off x="2784771" y="1135652"/>
                              <a:ext cx="1872615" cy="359410"/>
                            </a:xfrm>
                            <a:prstGeom prst="rect">
                              <a:avLst/>
                            </a:prstGeom>
                            <a:noFill/>
                          </wps:spPr>
                          <wps:txbx>
                            <w:txbxContent>
                              <w:p w14:paraId="775B5798" w14:textId="77777777" w:rsidR="007D621B" w:rsidRPr="001D6ED5" w:rsidRDefault="007D621B" w:rsidP="003F457B">
                                <w:pPr>
                                  <w:pStyle w:val="NormalWeb"/>
                                </w:pPr>
                                <w:r w:rsidRPr="001D6ED5">
                                  <w:t>Frailty</w:t>
                                </w:r>
                              </w:p>
                            </w:txbxContent>
                          </wps:txbx>
                          <wps:bodyPr wrap="square" rtlCol="0">
                            <a:noAutofit/>
                          </wps:bodyPr>
                        </wps:wsp>
                        <wps:wsp>
                          <wps:cNvPr id="96" name="TextBox 6"/>
                          <wps:cNvSpPr txBox="1"/>
                          <wps:spPr>
                            <a:xfrm>
                              <a:off x="471616" y="2312981"/>
                              <a:ext cx="1492885" cy="627380"/>
                            </a:xfrm>
                            <a:prstGeom prst="rect">
                              <a:avLst/>
                            </a:prstGeom>
                            <a:noFill/>
                          </wps:spPr>
                          <wps:txbx>
                            <w:txbxContent>
                              <w:p w14:paraId="518AE9BE" w14:textId="71BC0E0B" w:rsidR="007D621B" w:rsidRPr="001D6ED5" w:rsidRDefault="007D621B" w:rsidP="003F457B">
                                <w:pPr>
                                  <w:pStyle w:val="NormalWeb"/>
                                </w:pPr>
                                <w:r>
                                  <w:t xml:space="preserve">Gait, walking, </w:t>
                                </w:r>
                                <w:r w:rsidRPr="001D6ED5">
                                  <w:t>balance</w:t>
                                </w:r>
                              </w:p>
                            </w:txbxContent>
                          </wps:txbx>
                          <wps:bodyPr wrap="square" rtlCol="0">
                            <a:noAutofit/>
                          </wps:bodyPr>
                        </wps:wsp>
                        <wps:wsp>
                          <wps:cNvPr id="97" name="TextBox 7"/>
                          <wps:cNvSpPr txBox="1"/>
                          <wps:spPr>
                            <a:xfrm>
                              <a:off x="4264681" y="2284764"/>
                              <a:ext cx="1340485" cy="627380"/>
                            </a:xfrm>
                            <a:prstGeom prst="rect">
                              <a:avLst/>
                            </a:prstGeom>
                            <a:noFill/>
                          </wps:spPr>
                          <wps:txbx>
                            <w:txbxContent>
                              <w:p w14:paraId="0733424C" w14:textId="63EA03A5" w:rsidR="007D621B" w:rsidRPr="001D6ED5" w:rsidRDefault="007D621B" w:rsidP="003F457B">
                                <w:pPr>
                                  <w:pStyle w:val="NormalWeb"/>
                                </w:pPr>
                                <w:r>
                                  <w:t xml:space="preserve">Cognitive </w:t>
                                </w:r>
                                <w:r w:rsidRPr="001D6ED5">
                                  <w:t>impairment</w:t>
                                </w:r>
                              </w:p>
                            </w:txbxContent>
                          </wps:txbx>
                          <wps:bodyPr wrap="square" rtlCol="0">
                            <a:noAutofit/>
                          </wps:bodyPr>
                        </wps:wsp>
                        <wps:wsp>
                          <wps:cNvPr id="98" name="TextBox 8"/>
                          <wps:cNvSpPr txBox="1"/>
                          <wps:spPr>
                            <a:xfrm>
                              <a:off x="2564393" y="3765176"/>
                              <a:ext cx="1172845" cy="359410"/>
                            </a:xfrm>
                            <a:prstGeom prst="rect">
                              <a:avLst/>
                            </a:prstGeom>
                            <a:noFill/>
                          </wps:spPr>
                          <wps:txbx>
                            <w:txbxContent>
                              <w:p w14:paraId="54830911" w14:textId="77777777" w:rsidR="007D621B" w:rsidRPr="001D6ED5" w:rsidRDefault="007D621B" w:rsidP="003F457B">
                                <w:pPr>
                                  <w:pStyle w:val="NormalWeb"/>
                                </w:pPr>
                                <w:r w:rsidRPr="001D6ED5">
                                  <w:t>Medicines</w:t>
                                </w:r>
                              </w:p>
                            </w:txbxContent>
                          </wps:txbx>
                          <wps:bodyPr wrap="square" rtlCol="0">
                            <a:noAutofit/>
                          </wps:bodyPr>
                        </wps:wsp>
                        <wps:wsp>
                          <wps:cNvPr id="99" name="Straight Arrow Connector 99"/>
                          <wps:cNvCnPr/>
                          <wps:spPr bwMode="auto">
                            <a:xfrm flipH="1" flipV="1">
                              <a:off x="1833896" y="3016184"/>
                              <a:ext cx="565498" cy="648072"/>
                            </a:xfrm>
                            <a:prstGeom prst="straightConnector1">
                              <a:avLst/>
                            </a:prstGeom>
                            <a:solidFill>
                              <a:schemeClr val="accent1"/>
                            </a:solidFill>
                            <a:ln w="34925" cap="flat" cmpd="sng" algn="ctr">
                              <a:solidFill>
                                <a:srgbClr val="00B0F0"/>
                              </a:solidFill>
                              <a:prstDash val="solid"/>
                              <a:round/>
                              <a:headEnd type="none" w="sm" len="sm"/>
                              <a:tailEnd type="triangle"/>
                            </a:ln>
                            <a:effectLst/>
                          </wps:spPr>
                          <wps:bodyPr/>
                        </wps:wsp>
                        <wps:wsp>
                          <wps:cNvPr id="100" name="Straight Arrow Connector 100"/>
                          <wps:cNvCnPr/>
                          <wps:spPr bwMode="auto">
                            <a:xfrm flipV="1">
                              <a:off x="3153003" y="2959457"/>
                              <a:ext cx="0" cy="824046"/>
                            </a:xfrm>
                            <a:prstGeom prst="straightConnector1">
                              <a:avLst/>
                            </a:prstGeom>
                            <a:solidFill>
                              <a:schemeClr val="accent1"/>
                            </a:solidFill>
                            <a:ln w="38100" cap="flat" cmpd="sng" algn="ctr">
                              <a:solidFill>
                                <a:srgbClr val="00B0F0"/>
                              </a:solidFill>
                              <a:prstDash val="solid"/>
                              <a:round/>
                              <a:headEnd type="none" w="sm" len="sm"/>
                              <a:tailEnd type="triangle"/>
                            </a:ln>
                            <a:effectLst/>
                          </wps:spPr>
                          <wps:bodyPr/>
                        </wps:wsp>
                        <wps:wsp>
                          <wps:cNvPr id="101" name="Straight Arrow Connector 101"/>
                          <wps:cNvCnPr/>
                          <wps:spPr bwMode="auto">
                            <a:xfrm flipV="1">
                              <a:off x="3756447" y="2978870"/>
                              <a:ext cx="784424" cy="722700"/>
                            </a:xfrm>
                            <a:prstGeom prst="straightConnector1">
                              <a:avLst/>
                            </a:prstGeom>
                            <a:solidFill>
                              <a:schemeClr val="accent1"/>
                            </a:solidFill>
                            <a:ln w="41275" cap="flat" cmpd="sng" algn="ctr">
                              <a:solidFill>
                                <a:srgbClr val="00B0F0"/>
                              </a:solidFill>
                              <a:prstDash val="solid"/>
                              <a:round/>
                              <a:headEnd type="none" w="sm" len="sm"/>
                              <a:tailEnd type="triangle"/>
                            </a:ln>
                            <a:effectLst/>
                          </wps:spPr>
                          <wps:bodyPr/>
                        </wps:wsp>
                        <wps:wsp>
                          <wps:cNvPr id="102" name="Straight Arrow Connector 102"/>
                          <wps:cNvCnPr/>
                          <wps:spPr bwMode="auto">
                            <a:xfrm flipV="1">
                              <a:off x="1569091" y="1565217"/>
                              <a:ext cx="853036" cy="648072"/>
                            </a:xfrm>
                            <a:prstGeom prst="straightConnector1">
                              <a:avLst/>
                            </a:prstGeom>
                            <a:solidFill>
                              <a:schemeClr val="accent1"/>
                            </a:solidFill>
                            <a:ln w="38100" cap="flat" cmpd="sng" algn="ctr">
                              <a:solidFill>
                                <a:srgbClr val="00B050"/>
                              </a:solidFill>
                              <a:prstDash val="solid"/>
                              <a:round/>
                              <a:headEnd type="none" w="sm" len="sm"/>
                              <a:tailEnd type="triangle"/>
                            </a:ln>
                            <a:effectLst/>
                          </wps:spPr>
                          <wps:bodyPr/>
                        </wps:wsp>
                        <wps:wsp>
                          <wps:cNvPr id="103" name="Straight Arrow Connector 103"/>
                          <wps:cNvCnPr/>
                          <wps:spPr bwMode="auto">
                            <a:xfrm flipH="1" flipV="1">
                              <a:off x="3948726" y="1495062"/>
                              <a:ext cx="936106" cy="718228"/>
                            </a:xfrm>
                            <a:prstGeom prst="straightConnector1">
                              <a:avLst/>
                            </a:prstGeom>
                            <a:solidFill>
                              <a:schemeClr val="accent1"/>
                            </a:solidFill>
                            <a:ln w="38100" cap="flat" cmpd="sng" algn="ctr">
                              <a:solidFill>
                                <a:srgbClr val="00B050"/>
                              </a:solidFill>
                              <a:prstDash val="solid"/>
                              <a:round/>
                              <a:headEnd type="none" w="sm" len="sm"/>
                              <a:tailEnd type="triangle"/>
                            </a:ln>
                            <a:effectLst/>
                          </wps:spPr>
                          <wps:bodyPr/>
                        </wps:wsp>
                        <wps:wsp>
                          <wps:cNvPr id="104" name="TextBox 3"/>
                          <wps:cNvSpPr txBox="1"/>
                          <wps:spPr>
                            <a:xfrm>
                              <a:off x="2573558" y="2362263"/>
                              <a:ext cx="1479550" cy="359410"/>
                            </a:xfrm>
                            <a:prstGeom prst="rect">
                              <a:avLst/>
                            </a:prstGeom>
                            <a:noFill/>
                          </wps:spPr>
                          <wps:txbx>
                            <w:txbxContent>
                              <w:p w14:paraId="41FFB881" w14:textId="77777777" w:rsidR="007D621B" w:rsidRPr="001D6ED5" w:rsidRDefault="007D621B" w:rsidP="003F457B">
                                <w:pPr>
                                  <w:pStyle w:val="NormalWeb"/>
                                </w:pPr>
                                <w:r w:rsidRPr="001D6ED5">
                                  <w:t>Appetite</w:t>
                                </w:r>
                              </w:p>
                            </w:txbxContent>
                          </wps:txbx>
                          <wps:bodyPr wrap="square" rtlCol="0">
                            <a:noAutofit/>
                          </wps:bodyPr>
                        </wps:wsp>
                        <wps:wsp>
                          <wps:cNvPr id="105" name="Straight Arrow Connector 105"/>
                          <wps:cNvCnPr/>
                          <wps:spPr bwMode="auto">
                            <a:xfrm flipV="1">
                              <a:off x="3133144" y="1505055"/>
                              <a:ext cx="0" cy="633077"/>
                            </a:xfrm>
                            <a:prstGeom prst="straightConnector1">
                              <a:avLst/>
                            </a:prstGeom>
                            <a:solidFill>
                              <a:schemeClr val="accent1"/>
                            </a:solidFill>
                            <a:ln w="38100" cap="flat" cmpd="sng" algn="ctr">
                              <a:solidFill>
                                <a:srgbClr val="00B050"/>
                              </a:solidFill>
                              <a:prstDash val="solid"/>
                              <a:round/>
                              <a:headEnd type="none" w="sm" len="sm"/>
                              <a:tailEnd type="triangle"/>
                            </a:ln>
                            <a:effectLst/>
                          </wps:spPr>
                          <wps:bodyPr/>
                        </wps:wsp>
                      </wpg:grpSp>
                      <wps:wsp>
                        <wps:cNvPr id="106" name="TextBox 18"/>
                        <wps:cNvSpPr txBox="1"/>
                        <wps:spPr>
                          <a:xfrm>
                            <a:off x="2197435" y="0"/>
                            <a:ext cx="4687975" cy="359410"/>
                          </a:xfrm>
                          <a:prstGeom prst="rect">
                            <a:avLst/>
                          </a:prstGeom>
                          <a:noFill/>
                        </wps:spPr>
                        <wps:txbx>
                          <w:txbxContent>
                            <w:p w14:paraId="0A55F2DA" w14:textId="77777777" w:rsidR="007D621B" w:rsidRPr="001D6ED5" w:rsidRDefault="007D621B" w:rsidP="003F457B">
                              <w:pPr>
                                <w:pStyle w:val="NormalWeb"/>
                              </w:pPr>
                              <w:r w:rsidRPr="001D6ED5">
                                <w:t>Adverse events</w:t>
                              </w:r>
                            </w:p>
                          </w:txbxContent>
                        </wps:txbx>
                        <wps:bodyPr wrap="square" rtlCol="0">
                          <a:noAutofit/>
                        </wps:bodyPr>
                      </wps:wsp>
                      <wps:wsp>
                        <wps:cNvPr id="108" name="Straight Arrow Connector 108"/>
                        <wps:cNvCnPr/>
                        <wps:spPr bwMode="auto">
                          <a:xfrm flipV="1">
                            <a:off x="3133144" y="468841"/>
                            <a:ext cx="0" cy="633077"/>
                          </a:xfrm>
                          <a:prstGeom prst="straightConnector1">
                            <a:avLst/>
                          </a:prstGeom>
                          <a:solidFill>
                            <a:schemeClr val="accent1"/>
                          </a:solidFill>
                          <a:ln w="38100" cap="flat" cmpd="sng" algn="ctr">
                            <a:solidFill>
                              <a:srgbClr val="FF0000"/>
                            </a:solidFill>
                            <a:prstDash val="solid"/>
                            <a:round/>
                            <a:headEnd type="none" w="sm" len="sm"/>
                            <a:tailEnd type="triangle"/>
                          </a:ln>
                          <a:effectLst/>
                        </wps:spPr>
                        <wps:bodyPr/>
                      </wps:wsp>
                      <wps:wsp>
                        <wps:cNvPr id="109" name="Bent Arrow 109"/>
                        <wps:cNvSpPr/>
                        <wps:spPr bwMode="auto">
                          <a:xfrm rot="16200000">
                            <a:off x="14837" y="1964474"/>
                            <a:ext cx="1953489" cy="1995612"/>
                          </a:xfrm>
                          <a:prstGeom prst="bentArrow">
                            <a:avLst>
                              <a:gd name="adj1" fmla="val 1684"/>
                              <a:gd name="adj2" fmla="val 2825"/>
                              <a:gd name="adj3" fmla="val 5913"/>
                              <a:gd name="adj4" fmla="val 43750"/>
                            </a:avLst>
                          </a:prstGeom>
                          <a:solidFill>
                            <a:srgbClr val="FF0000"/>
                          </a:solidFill>
                          <a:ln w="12700" cap="flat" cmpd="sng" algn="ctr">
                            <a:solidFill>
                              <a:srgbClr val="FF0000"/>
                            </a:solidFill>
                            <a:prstDash val="solid"/>
                            <a:round/>
                            <a:headEnd type="none" w="sm" len="sm"/>
                            <a:tailEnd type="none" w="sm" len="sm"/>
                          </a:ln>
                          <a:effectLst/>
                        </wps:spPr>
                        <wps:txbx>
                          <w:txbxContent>
                            <w:p w14:paraId="1E523B56" w14:textId="77777777" w:rsidR="007D621B" w:rsidRPr="001D6ED5" w:rsidRDefault="007D621B" w:rsidP="003F457B"/>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0" name="Bent Arrow 110"/>
                        <wps:cNvSpPr/>
                        <wps:spPr bwMode="auto">
                          <a:xfrm>
                            <a:off x="23060" y="125042"/>
                            <a:ext cx="1995609" cy="1790963"/>
                          </a:xfrm>
                          <a:prstGeom prst="bentArrow">
                            <a:avLst>
                              <a:gd name="adj1" fmla="val 1684"/>
                              <a:gd name="adj2" fmla="val 2825"/>
                              <a:gd name="adj3" fmla="val 5913"/>
                              <a:gd name="adj4" fmla="val 43750"/>
                            </a:avLst>
                          </a:prstGeom>
                          <a:solidFill>
                            <a:srgbClr val="FF0000"/>
                          </a:solidFill>
                          <a:ln w="12700" cap="flat" cmpd="sng" algn="ctr">
                            <a:solidFill>
                              <a:srgbClr val="FF0000"/>
                            </a:solidFill>
                            <a:prstDash val="solid"/>
                            <a:round/>
                            <a:headEnd type="none" w="sm" len="sm"/>
                            <a:tailEnd type="none" w="sm" len="sm"/>
                          </a:ln>
                          <a:effectLst/>
                        </wps:spPr>
                        <wps:txbx>
                          <w:txbxContent>
                            <w:p w14:paraId="53BB172D" w14:textId="77777777" w:rsidR="007D621B" w:rsidRPr="001D6ED5" w:rsidRDefault="007D621B" w:rsidP="003F457B"/>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1" name="Rectangle 111"/>
                        <wps:cNvSpPr/>
                        <wps:spPr bwMode="auto">
                          <a:xfrm>
                            <a:off x="369257" y="2237465"/>
                            <a:ext cx="5333259" cy="703058"/>
                          </a:xfrm>
                          <a:prstGeom prst="rect">
                            <a:avLst/>
                          </a:prstGeom>
                          <a:noFill/>
                          <a:ln w="12700" cap="flat" cmpd="sng" algn="ctr">
                            <a:solidFill>
                              <a:schemeClr val="tx1"/>
                            </a:solidFill>
                            <a:prstDash val="solid"/>
                            <a:round/>
                            <a:headEnd type="none" w="sm" len="sm"/>
                            <a:tailEnd type="none" w="sm" len="sm"/>
                          </a:ln>
                          <a:effectLst/>
                        </wps:spPr>
                        <wps:txbx>
                          <w:txbxContent>
                            <w:p w14:paraId="4B74F762" w14:textId="77777777" w:rsidR="007D621B" w:rsidRPr="001D6ED5" w:rsidRDefault="007D621B" w:rsidP="003F457B"/>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2" name="TextBox 38"/>
                        <wps:cNvSpPr txBox="1"/>
                        <wps:spPr>
                          <a:xfrm>
                            <a:off x="5783331" y="2362221"/>
                            <a:ext cx="1656080" cy="895350"/>
                          </a:xfrm>
                          <a:prstGeom prst="rect">
                            <a:avLst/>
                          </a:prstGeom>
                          <a:noFill/>
                        </wps:spPr>
                        <wps:txbx>
                          <w:txbxContent>
                            <w:p w14:paraId="614342DE" w14:textId="77777777" w:rsidR="007D621B" w:rsidRPr="001D6ED5" w:rsidRDefault="007D621B" w:rsidP="003F457B">
                              <w:pPr>
                                <w:pStyle w:val="NormalWeb"/>
                              </w:pPr>
                              <w:r>
                                <w:t>Medicine-</w:t>
                              </w:r>
                              <w:r w:rsidRPr="001D6ED5">
                                <w:t>induced deterioration</w:t>
                              </w:r>
                            </w:p>
                          </w:txbxContent>
                        </wps:txbx>
                        <wps:bodyPr wrap="square" rtlCol="0">
                          <a:noAutofit/>
                        </wps:bodyPr>
                      </wps:wsp>
                    </wpg:wgp>
                  </a:graphicData>
                </a:graphic>
              </wp:inline>
            </w:drawing>
          </mc:Choice>
          <mc:Fallback>
            <w:pict>
              <v:group w14:anchorId="16B506E5" id="Group 39" o:spid="_x0000_s1026" alt="Title: Relationship between medicines, medicine-induced deterioration, fraility and adverse events. - Description: The schematic in Figure A-1 illustrates the relationship between medicines, medicine-induced deterioration, frailty and adverse events. It is well known that medicines can sometimes lead to adverse events, however they also have impacts on daily functions such as:&#10;1) Gait, walking and balance&#10;2) Appetite&#10;3) Cognitive impairment.&#10;Collectively, these medicine-induced impacts on daily functions can be described as ‘medicine-induced deterioration’. This deterioration in any daily function can lead to frailty and subsequently to the possibility of an adverse event.&#10;" style="width:441.2pt;height:283.95pt;mso-position-horizontal-relative:char;mso-position-vertical-relative:line" coordorigin="-62" coordsize="74456,41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">
                <v:group id="Group 64" o:spid="_x0000_s1027" style="position:absolute;left:4716;top:11356;width:51335;height:29889" coordorigin="4716,11356" coordsize="51335,29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type id="_x0000_t202" coordsize="21600,21600" o:spt="202" path="m,l,21600r21600,l21600,xe">
                    <v:stroke joinstyle="miter"/>
                    <v:path gradientshapeok="t" o:connecttype="rect"/>
                  </v:shapetype>
                  <v:shape id="TextBox 5" o:spid="_x0000_s1028" type="#_x0000_t202" style="position:absolute;left:27847;top:11356;width:18726;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" filled="f" stroked="f">
                    <v:textbox>
                      <w:txbxContent>
                        <w:p w14:paraId="775B5798" w14:textId="77777777" w:rsidR="007D621B" w:rsidRPr="001D6ED5" w:rsidRDefault="007D621B" w:rsidP="003F457B">
                          <w:pPr>
                            <w:pStyle w:val="NormalWeb"/>
                          </w:pPr>
                          <w:r w:rsidRPr="001D6ED5">
                            <w:t>Frailty</w:t>
                          </w:r>
                        </w:p>
                      </w:txbxContent>
                    </v:textbox>
                  </v:shape>
                  <v:shape id="TextBox 6" o:spid="_x0000_s1029" type="#_x0000_t202" style="position:absolute;left:4716;top:23129;width:14929;height:6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" filled="f" stroked="f">
                    <v:textbox>
                      <w:txbxContent>
                        <w:p w14:paraId="518AE9BE" w14:textId="71BC0E0B" w:rsidR="007D621B" w:rsidRPr="001D6ED5" w:rsidRDefault="007D621B" w:rsidP="003F457B">
                          <w:pPr>
                            <w:pStyle w:val="NormalWeb"/>
                          </w:pPr>
                          <w:r>
                            <w:t xml:space="preserve">Gait, walking, </w:t>
                          </w:r>
                          <w:r w:rsidRPr="001D6ED5">
                            <w:t>balance</w:t>
                          </w:r>
                        </w:p>
                      </w:txbxContent>
                    </v:textbox>
                  </v:shape>
                  <v:shape id="TextBox 7" o:spid="_x0000_s1030" type="#_x0000_t202" style="position:absolute;left:42646;top:22847;width:13405;height:6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" filled="f" stroked="f">
                    <v:textbox>
                      <w:txbxContent>
                        <w:p w14:paraId="0733424C" w14:textId="63EA03A5" w:rsidR="007D621B" w:rsidRPr="001D6ED5" w:rsidRDefault="007D621B" w:rsidP="003F457B">
                          <w:pPr>
                            <w:pStyle w:val="NormalWeb"/>
                          </w:pPr>
                          <w:r>
                            <w:t xml:space="preserve">Cognitive </w:t>
                          </w:r>
                          <w:r w:rsidRPr="001D6ED5">
                            <w:t>impairment</w:t>
                          </w:r>
                        </w:p>
                      </w:txbxContent>
                    </v:textbox>
                  </v:shape>
                  <v:shape id="TextBox 8" o:spid="_x0000_s1031" type="#_x0000_t202" style="position:absolute;left:25643;top:37651;width:11729;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" filled="f" stroked="f">
                    <v:textbox>
                      <w:txbxContent>
                        <w:p w14:paraId="54830911" w14:textId="77777777" w:rsidR="007D621B" w:rsidRPr="001D6ED5" w:rsidRDefault="007D621B" w:rsidP="003F457B">
                          <w:pPr>
                            <w:pStyle w:val="NormalWeb"/>
                          </w:pPr>
                          <w:r w:rsidRPr="001D6ED5">
                            <w:t>Medicines</w:t>
                          </w:r>
                        </w:p>
                      </w:txbxContent>
                    </v:textbox>
                  </v:shape>
                  <v:shapetype id="_x0000_t32" coordsize="21600,21600" o:spt="32" o:oned="t" path="m,l21600,21600e" filled="f">
                    <v:path arrowok="t" fillok="f" o:connecttype="none"/>
                    <o:lock v:ext="edit" shapetype="t"/>
                  </v:shapetype>
                  <v:shape id="Straight Arrow Connector 99" o:spid="_x0000_s1032" type="#_x0000_t32" style="position:absolute;left:18338;top:30161;width:5655;height:648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" filled="t" fillcolor="#5b9bd5 [3204]" strokecolor="#00b0f0" strokeweight="2.75pt">
                    <v:stroke startarrowwidth="narrow" startarrowlength="short" endarrow="block"/>
                  </v:shape>
                  <v:shape id="Straight Arrow Connector 100" o:spid="_x0000_s1033" type="#_x0000_t32" style="position:absolute;left:31530;top:29594;width:0;height:82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" filled="t" fillcolor="#5b9bd5 [3204]" strokecolor="#00b0f0" strokeweight="3pt">
                    <v:stroke startarrowwidth="narrow" startarrowlength="short" endarrow="block"/>
                  </v:shape>
                  <v:shape id="Straight Arrow Connector 101" o:spid="_x0000_s1034" type="#_x0000_t32" style="position:absolute;left:37564;top:29788;width:7844;height:72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" filled="t" fillcolor="#5b9bd5 [3204]" strokecolor="#00b0f0" strokeweight="3.25pt">
                    <v:stroke startarrowwidth="narrow" startarrowlength="short" endarrow="block"/>
                  </v:shape>
                  <v:shape id="Straight Arrow Connector 102" o:spid="_x0000_s1035" type="#_x0000_t32" style="position:absolute;left:15690;top:15652;width:8531;height:64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" filled="t" fillcolor="#5b9bd5 [3204]" strokecolor="#00b050" strokeweight="3pt">
                    <v:stroke startarrowwidth="narrow" startarrowlength="short" endarrow="block"/>
                  </v:shape>
                  <v:shape id="Straight Arrow Connector 103" o:spid="_x0000_s1036" type="#_x0000_t32" style="position:absolute;left:39487;top:14950;width:9361;height:718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" filled="t" fillcolor="#5b9bd5 [3204]" strokecolor="#00b050" strokeweight="3pt">
                    <v:stroke startarrowwidth="narrow" startarrowlength="short" endarrow="block"/>
                  </v:shape>
                  <v:shape id="TextBox 3" o:spid="_x0000_s1037" type="#_x0000_t202" style="position:absolute;left:25735;top:23622;width:14796;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" filled="f" stroked="f">
                    <v:textbox>
                      <w:txbxContent>
                        <w:p w14:paraId="41FFB881" w14:textId="77777777" w:rsidR="007D621B" w:rsidRPr="001D6ED5" w:rsidRDefault="007D621B" w:rsidP="003F457B">
                          <w:pPr>
                            <w:pStyle w:val="NormalWeb"/>
                          </w:pPr>
                          <w:r w:rsidRPr="001D6ED5">
                            <w:t>Appetite</w:t>
                          </w:r>
                        </w:p>
                      </w:txbxContent>
                    </v:textbox>
                  </v:shape>
                  <v:shape id="Straight Arrow Connector 105" o:spid="_x0000_s1038" type="#_x0000_t32" style="position:absolute;left:31331;top:15050;width:0;height:63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" filled="t" fillcolor="#5b9bd5 [3204]" strokecolor="#00b050" strokeweight="3pt">
                    <v:stroke startarrowwidth="narrow" startarrowlength="short" endarrow="block"/>
                  </v:shape>
                </v:group>
                <v:shape id="TextBox 18" o:spid="_x0000_s1039" type="#_x0000_t202" style="position:absolute;left:21974;width:46880;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" filled="f" stroked="f">
                  <v:textbox>
                    <w:txbxContent>
                      <w:p w14:paraId="0A55F2DA" w14:textId="77777777" w:rsidR="007D621B" w:rsidRPr="001D6ED5" w:rsidRDefault="007D621B" w:rsidP="003F457B">
                        <w:pPr>
                          <w:pStyle w:val="NormalWeb"/>
                        </w:pPr>
                        <w:r w:rsidRPr="001D6ED5">
                          <w:t>Adverse events</w:t>
                        </w:r>
                      </w:p>
                    </w:txbxContent>
                  </v:textbox>
                </v:shape>
                <v:shape id="Straight Arrow Connector 108" o:spid="_x0000_s1040" type="#_x0000_t32" style="position:absolute;left:31331;top:4688;width:0;height:63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" filled="t" fillcolor="#5b9bd5 [3204]" strokecolor="red" strokeweight="3pt">
                  <v:stroke startarrowwidth="narrow" startarrowlength="short" endarrow="block"/>
                </v:shape>
                <v:shape id="Bent Arrow 109" o:spid="_x0000_s1041" style="position:absolute;left:148;top:19645;width:19535;height:19955;rotation:-90;visibility:visible;mso-wrap-style:square;v-text-anchor:top" coordsize="1953489,19956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" adj="-11796480,,5400" path="m,1995612l,893389c,421378,382640,38738,854651,38738r983328,l1837979,r115510,55186l1837979,110372r,-38738l854651,71634c400808,71634,32896,439546,32896,893389v,367408,1,734815,1,1102223l,1995612xe" fillcolor="red" strokecolor="red" strokeweight="1pt">
                  <v:stroke startarrowwidth="narrow" startarrowlength="short" endarrowwidth="narrow" endarrowlength="short" joinstyle="round"/>
                  <v:formulas/>
                  <v:path arrowok="t" o:connecttype="custom" o:connectlocs="0,1995612;0,893389;854651,38738;1837979,38738;1837979,0;1953489,55186;1837979,110372;1837979,71634;854651,71634;32896,893389;32897,1995612;0,1995612" o:connectangles="0,0,0,0,0,0,0,0,0,0,0,0" textboxrect="0,0,1953489,1995612"/>
                  <v:textbox>
                    <w:txbxContent>
                      <w:p w14:paraId="1E523B56" w14:textId="77777777" w:rsidR="007D621B" w:rsidRPr="001D6ED5" w:rsidRDefault="007D621B" w:rsidP="003F457B"/>
                    </w:txbxContent>
                  </v:textbox>
                </v:shape>
                <v:shape id="Bent Arrow 110" o:spid="_x0000_s1042" style="position:absolute;left:230;top:1250;width:19956;height:17910;visibility:visible;mso-wrap-style:square;v-text-anchor:top" coordsize="1995609,17909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" adj="-11796480,,5400" path="m,1790963l,819061c,386320,350805,35515,783546,35515r1106163,l1889709,r105900,50595l1889709,101189r,-35514l783546,65675c367462,65675,30160,402977,30160,819061r,971902l,1790963xe" fillcolor="red" strokecolor="red" strokeweight="1pt">
                  <v:stroke startarrowwidth="narrow" startarrowlength="short" endarrowwidth="narrow" endarrowlength="short" joinstyle="round"/>
                  <v:formulas/>
                  <v:path arrowok="t" o:connecttype="custom" o:connectlocs="0,1790963;0,819061;783546,35515;1889709,35515;1889709,0;1995609,50595;1889709,101189;1889709,65675;783546,65675;30160,819061;30160,1790963;0,1790963" o:connectangles="0,0,0,0,0,0,0,0,0,0,0,0" textboxrect="0,0,1995609,1790963"/>
                  <v:textbox>
                    <w:txbxContent>
                      <w:p w14:paraId="53BB172D" w14:textId="77777777" w:rsidR="007D621B" w:rsidRPr="001D6ED5" w:rsidRDefault="007D621B" w:rsidP="003F457B"/>
                    </w:txbxContent>
                  </v:textbox>
                </v:shape>
                <v:rect id="Rectangle 111" o:spid="_x0000_s1043" style="position:absolute;left:3692;top:22374;width:53333;height:7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" filled="f" strokecolor="black [3213]" strokeweight="1pt">
                  <v:stroke startarrowwidth="narrow" startarrowlength="short" endarrowwidth="narrow" endarrowlength="short" joinstyle="round"/>
                  <v:textbox>
                    <w:txbxContent>
                      <w:p w14:paraId="4B74F762" w14:textId="77777777" w:rsidR="007D621B" w:rsidRPr="001D6ED5" w:rsidRDefault="007D621B" w:rsidP="003F457B"/>
                    </w:txbxContent>
                  </v:textbox>
                </v:rect>
                <v:shape id="TextBox 38" o:spid="_x0000_s1044" type="#_x0000_t202" style="position:absolute;left:57833;top:23622;width:16561;height:8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" filled="f" stroked="f">
                  <v:textbox>
                    <w:txbxContent>
                      <w:p w14:paraId="614342DE" w14:textId="77777777" w:rsidR="007D621B" w:rsidRPr="001D6ED5" w:rsidRDefault="007D621B" w:rsidP="003F457B">
                        <w:pPr>
                          <w:pStyle w:val="NormalWeb"/>
                        </w:pPr>
                        <w:r>
                          <w:t>Medicine-</w:t>
                        </w:r>
                        <w:r w:rsidRPr="001D6ED5">
                          <w:t>induced deterioration</w:t>
                        </w:r>
                      </w:p>
                    </w:txbxContent>
                  </v:textbox>
                </v:shape>
                <w10:anchorlock/>
              </v:group>
            </w:pict>
          </mc:Fallback>
        </mc:AlternateContent>
      </w:r>
    </w:p>
    <w:p w14:paraId="3F7D7C39" w14:textId="2640C66D" w:rsidR="008C0B8D" w:rsidRPr="00F42B1D" w:rsidRDefault="008C0B8D" w:rsidP="0084765B">
      <w:pPr>
        <w:pStyle w:val="Heading3-SectionA3"/>
      </w:pPr>
      <w:bookmarkStart w:id="112" w:name="_A.3.2_Exclusion_criteria"/>
      <w:bookmarkStart w:id="113" w:name="_Toc117758232"/>
      <w:bookmarkEnd w:id="112"/>
      <w:r w:rsidRPr="00F42B1D">
        <w:t>Exclusion criteria</w:t>
      </w:r>
      <w:bookmarkEnd w:id="113"/>
    </w:p>
    <w:p w14:paraId="30F7C83D" w14:textId="77777777" w:rsidR="009570C9" w:rsidRDefault="009570C9" w:rsidP="007501B9">
      <w:r>
        <w:t xml:space="preserve">The trial did not include very frail or cognitively impaired </w:t>
      </w:r>
      <w:proofErr w:type="gramStart"/>
      <w:r>
        <w:t>residents,</w:t>
      </w:r>
      <w:proofErr w:type="gramEnd"/>
      <w:r>
        <w:t xml:space="preserve"> thus, evidence is lacking for the effectiveness of the service in these groups and for this reason, the proposed exclusion criteria are:</w:t>
      </w:r>
    </w:p>
    <w:p w14:paraId="6D8D5B48" w14:textId="763D2603" w:rsidR="009570C9" w:rsidRDefault="009570C9" w:rsidP="00853EEA">
      <w:pPr>
        <w:pStyle w:val="ListParagraph"/>
        <w:numPr>
          <w:ilvl w:val="0"/>
          <w:numId w:val="14"/>
        </w:numPr>
        <w:spacing w:line="276" w:lineRule="auto"/>
      </w:pPr>
      <w:r>
        <w:t>residents with</w:t>
      </w:r>
      <w:r w:rsidRPr="00F42B1D">
        <w:t xml:space="preserve"> </w:t>
      </w:r>
      <w:r w:rsidR="00877C97" w:rsidRPr="00F42B1D">
        <w:t>significant existing frailty, defined as a score of 0.40 o</w:t>
      </w:r>
      <w:r w:rsidR="000F4D7B">
        <w:t>r above using the Frailty Index;</w:t>
      </w:r>
      <w:r w:rsidR="00877C97" w:rsidRPr="00F42B1D">
        <w:t xml:space="preserve"> </w:t>
      </w:r>
      <w:r w:rsidR="00877C97" w:rsidRPr="00F42B1D">
        <w:fldChar w:fldCharType="begin"/>
      </w:r>
      <w:r w:rsidR="00C86345">
        <w:instrText xml:space="preserve"> ADDIN EN.CITE &lt;EndNote&gt;&lt;Cite&gt;&lt;Author&gt;Widagdo&lt;/Author&gt;&lt;Year&gt;2015&lt;/Year&gt;&lt;RecNum&gt;15&lt;/RecNum&gt;&lt;DisplayText&gt;(15)&lt;/DisplayText&gt;&lt;record&gt;&lt;rec-number&gt;15&lt;/rec-number&gt;&lt;foreign-keys&gt;&lt;key app="EN" db-id="9s5z5ped05vxdnede99vfsxhtzavzdzs2d5r" timestamp="1597381993"&gt;15&lt;/key&gt;&lt;/foreign-keys&gt;&lt;ref-type name="Journal Article"&gt;17&lt;/ref-type&gt;&lt;contributors&gt;&lt;authors&gt;&lt;author&gt;Widagdo, I. S.&lt;/author&gt;&lt;author&gt;Pratt, N.&lt;/author&gt;&lt;author&gt;Russell, M.&lt;/author&gt;&lt;author&gt;Roughead, E. E.&lt;/author&gt;&lt;/authors&gt;&lt;/contributors&gt;&lt;auth-address&gt;Quality Use of Medicines and Pharmacy Research Centre, Sansom Institute, School of Pharmacy and Medical Sciences, University of South Australia, Adelaide, SA, Australia.&amp;#xD;Occupational Therapy Board, Australian Health Practitioner Regulation Agency, Melbourne, VIC, Australia.&lt;/auth-address&gt;&lt;titles&gt;&lt;title&gt;Predictive performance of four frailty measures in an older Australian population&lt;/title&gt;&lt;secondary-title&gt;Age Ageing&lt;/secondary-title&gt;&lt;alt-title&gt;Age and ageing&lt;/alt-title&gt;&lt;/titles&gt;&lt;alt-periodical&gt;&lt;full-title&gt;Age and ageing&lt;/full-title&gt;&lt;/alt-periodical&gt;&lt;pages&gt;967-72&lt;/pages&gt;&lt;volume&gt;44&lt;/volume&gt;&lt;number&gt;6&lt;/number&gt;&lt;keywords&gt;&lt;keyword&gt;Aged&lt;/keyword&gt;&lt;keyword&gt;Aged, 80 and over&lt;/keyword&gt;&lt;keyword&gt;Australia/epidemiology&lt;/keyword&gt;&lt;keyword&gt;Female&lt;/keyword&gt;&lt;keyword&gt;Frail Elderly/*statistics &amp;amp; numerical data&lt;/keyword&gt;&lt;keyword&gt;Geriatric Assessment/*methods&lt;/keyword&gt;&lt;keyword&gt;Humans&lt;/keyword&gt;&lt;keyword&gt;Male&lt;/keyword&gt;&lt;keyword&gt;Reproducibility of Results&lt;/keyword&gt;&lt;keyword&gt;Retrospective Studies&lt;/keyword&gt;&lt;keyword&gt;Risk Factors&lt;/keyword&gt;&lt;keyword&gt;Sensitivity and Specificity&lt;/keyword&gt;&lt;/keywords&gt;&lt;dates&gt;&lt;year&gt;2015&lt;/year&gt;&lt;pub-dates&gt;&lt;date&gt;Nov&lt;/date&gt;&lt;/pub-dates&gt;&lt;/dates&gt;&lt;isbn&gt;0002-0729 (Print)&amp;#xD;0002-0729 (Linking)&lt;/isbn&gt;&lt;accession-num&gt;26504118&lt;/accession-num&gt;&lt;urls&gt;&lt;related-urls&gt;&lt;url&gt;http://www.ncbi.nlm.nih.gov/pubmed/26504118&lt;/url&gt;&lt;/related-urls&gt;&lt;/urls&gt;&lt;custom2&gt;4621238&lt;/custom2&gt;&lt;electronic-resource-num&gt;10.1093/ageing/afv144&lt;/electronic-resource-num&gt;&lt;/record&gt;&lt;/Cite&gt;&lt;/EndNote&gt;</w:instrText>
      </w:r>
      <w:r w:rsidR="00877C97" w:rsidRPr="00F42B1D">
        <w:fldChar w:fldCharType="separate"/>
      </w:r>
      <w:r w:rsidR="00C86345">
        <w:rPr>
          <w:noProof/>
        </w:rPr>
        <w:t>(</w:t>
      </w:r>
      <w:hyperlink w:anchor="_ENREF_15" w:tooltip="Widagdo, 2015 #15" w:history="1">
        <w:r w:rsidR="00EB6EA4">
          <w:rPr>
            <w:noProof/>
          </w:rPr>
          <w:t>15</w:t>
        </w:r>
      </w:hyperlink>
      <w:r w:rsidR="00C86345">
        <w:rPr>
          <w:noProof/>
        </w:rPr>
        <w:t>)</w:t>
      </w:r>
      <w:r w:rsidR="00877C97" w:rsidRPr="00F42B1D">
        <w:fldChar w:fldCharType="end"/>
      </w:r>
      <w:r w:rsidR="00877C97" w:rsidRPr="00F42B1D">
        <w:t xml:space="preserve"> </w:t>
      </w:r>
    </w:p>
    <w:p w14:paraId="254E53B8" w14:textId="69706F2C" w:rsidR="009570C9" w:rsidRDefault="009570C9" w:rsidP="00853EEA">
      <w:pPr>
        <w:pStyle w:val="ListParagraph"/>
        <w:numPr>
          <w:ilvl w:val="0"/>
          <w:numId w:val="14"/>
        </w:numPr>
        <w:spacing w:line="276" w:lineRule="auto"/>
      </w:pPr>
      <w:r>
        <w:t>residents with</w:t>
      </w:r>
      <w:r w:rsidRPr="00F42B1D">
        <w:t xml:space="preserve"> </w:t>
      </w:r>
      <w:r w:rsidR="00877C97" w:rsidRPr="00F42B1D">
        <w:t xml:space="preserve">moderate or severe dementia, measured using the Psychogeriatric Assessment Scales </w:t>
      </w:r>
      <w:r w:rsidR="00877C97" w:rsidRPr="00F42B1D">
        <w:fldChar w:fldCharType="begin"/>
      </w:r>
      <w:r w:rsidR="00C86345">
        <w:instrText xml:space="preserve"> ADDIN EN.CITE &lt;EndNote&gt;&lt;Cite&gt;&lt;Author&gt;Australian Government Department of Health&lt;/Author&gt;&lt;Year&gt;2016&lt;/Year&gt;&lt;RecNum&gt;26&lt;/RecNum&gt;&lt;DisplayText&gt;(18)&lt;/DisplayText&gt;&lt;record&gt;&lt;rec-number&gt;26&lt;/rec-number&gt;&lt;foreign-keys&gt;&lt;key app="EN" db-id="9s5z5ped05vxdnede99vfsxhtzavzdzs2d5r" timestamp="1597381996"&gt;26&lt;/key&gt;&lt;/foreign-keys&gt;&lt;ref-type name="Web Page"&gt;12&lt;/ref-type&gt;&lt;contributors&gt;&lt;authors&gt;&lt;author&gt;Australian Government Department of Health,&lt;/author&gt;&lt;/authors&gt;&lt;/contributors&gt;&lt;titles&gt;&lt;title&gt;Psychogeriatric Assessment Scales (PAS) User Guide&lt;/title&gt;&lt;/titles&gt;&lt;volume&gt;2019&lt;/volume&gt;&lt;number&gt;11 June&lt;/number&gt;&lt;dates&gt;&lt;year&gt;2016&lt;/year&gt;&lt;pub-dates&gt;&lt;date&gt;12 December 2016&lt;/date&gt;&lt;/pub-dates&gt;&lt;/dates&gt;&lt;urls&gt;&lt;related-urls&gt;&lt;url&gt;&lt;style face="underline" font="default" size="100%"&gt;https://agedcare.health.gov.au/aged-care-funding/residential-care-subsidy/basic-subsidy-amount-aged-care-funding-instrument/psychogeriatric-assessment-scales-pas-user-guide&lt;/style&gt;&lt;/url&gt;&lt;/related-urls&gt;&lt;/urls&gt;&lt;/record&gt;&lt;/Cite&gt;&lt;/EndNote&gt;</w:instrText>
      </w:r>
      <w:r w:rsidR="00877C97" w:rsidRPr="00F42B1D">
        <w:fldChar w:fldCharType="separate"/>
      </w:r>
      <w:r w:rsidR="00C86345">
        <w:rPr>
          <w:noProof/>
        </w:rPr>
        <w:t>(</w:t>
      </w:r>
      <w:hyperlink w:anchor="_ENREF_18" w:tooltip="Australian Government Department of Health, 2016 #26" w:history="1">
        <w:r w:rsidR="00EB6EA4">
          <w:rPr>
            <w:noProof/>
          </w:rPr>
          <w:t>18</w:t>
        </w:r>
      </w:hyperlink>
      <w:r w:rsidR="00C86345">
        <w:rPr>
          <w:noProof/>
        </w:rPr>
        <w:t>)</w:t>
      </w:r>
      <w:r w:rsidR="00877C97" w:rsidRPr="00F42B1D">
        <w:fldChar w:fldCharType="end"/>
      </w:r>
      <w:r w:rsidR="00877C97" w:rsidRPr="00F42B1D">
        <w:t xml:space="preserve"> or Montreal Cognitive Assessment </w:t>
      </w:r>
      <w:r w:rsidR="005B64C8">
        <w:t xml:space="preserve">(MoCA) </w:t>
      </w:r>
      <w:r w:rsidR="000F4D7B">
        <w:t>tool; and</w:t>
      </w:r>
    </w:p>
    <w:p w14:paraId="77EFEFFA" w14:textId="706E1662" w:rsidR="00877C97" w:rsidRPr="00F42B1D" w:rsidRDefault="009570C9" w:rsidP="00853EEA">
      <w:pPr>
        <w:pStyle w:val="ListParagraph"/>
        <w:numPr>
          <w:ilvl w:val="0"/>
          <w:numId w:val="14"/>
        </w:numPr>
        <w:spacing w:line="276" w:lineRule="auto"/>
      </w:pPr>
      <w:r>
        <w:t xml:space="preserve">residents </w:t>
      </w:r>
      <w:r w:rsidR="00877C97" w:rsidRPr="00F42B1D">
        <w:t>receiving p</w:t>
      </w:r>
      <w:r>
        <w:t>alliative care or respite care</w:t>
      </w:r>
      <w:r w:rsidR="00877C97" w:rsidRPr="00F42B1D">
        <w:t>.</w:t>
      </w:r>
    </w:p>
    <w:p w14:paraId="2FB4330E" w14:textId="77777777" w:rsidR="005602D3" w:rsidRPr="00F42B1D" w:rsidRDefault="005602D3" w:rsidP="000B41FA">
      <w:pPr>
        <w:pStyle w:val="Heading2-SectionA"/>
      </w:pPr>
      <w:bookmarkStart w:id="114" w:name="_Toc117758233"/>
      <w:r w:rsidRPr="00F42B1D">
        <w:lastRenderedPageBreak/>
        <w:t>Comparator</w:t>
      </w:r>
      <w:bookmarkEnd w:id="105"/>
      <w:bookmarkEnd w:id="106"/>
      <w:r w:rsidR="00106705" w:rsidRPr="00F42B1D">
        <w:t xml:space="preserve"> D</w:t>
      </w:r>
      <w:r w:rsidRPr="00F42B1D">
        <w:t>etails</w:t>
      </w:r>
      <w:bookmarkEnd w:id="114"/>
    </w:p>
    <w:p w14:paraId="2F177C79" w14:textId="5BCAFEAE" w:rsidR="00690870" w:rsidRPr="00F42B1D" w:rsidRDefault="00690870" w:rsidP="007501B9">
      <w:r w:rsidRPr="00F42B1D">
        <w:t>The comparator group is usual care provided to Australian aged care residents</w:t>
      </w:r>
      <w:r w:rsidR="007501B9">
        <w:t xml:space="preserve">. </w:t>
      </w:r>
      <w:r w:rsidR="00055998" w:rsidRPr="00F42B1D">
        <w:t>The proposed service would be in addition to usual care for a defined subgroup of the population of residents in aged care facilities.</w:t>
      </w:r>
    </w:p>
    <w:p w14:paraId="235D6C20" w14:textId="6DE06B06" w:rsidR="00111F2B" w:rsidRPr="00F42B1D" w:rsidRDefault="00823F9E" w:rsidP="000B41FA">
      <w:pPr>
        <w:pStyle w:val="Heading2-SectionA"/>
      </w:pPr>
      <w:bookmarkStart w:id="115" w:name="_Toc381796446"/>
      <w:bookmarkStart w:id="116" w:name="_Toc117758234"/>
      <w:r w:rsidRPr="00F42B1D">
        <w:t xml:space="preserve">Clinical </w:t>
      </w:r>
      <w:bookmarkEnd w:id="115"/>
      <w:r w:rsidR="00877C97" w:rsidRPr="00F42B1D">
        <w:t>management Algorithm</w:t>
      </w:r>
      <w:r w:rsidRPr="00F42B1D">
        <w:t>s</w:t>
      </w:r>
      <w:bookmarkEnd w:id="116"/>
    </w:p>
    <w:p w14:paraId="1E01CEE7" w14:textId="63BAA6E8" w:rsidR="00141744" w:rsidRDefault="00141744" w:rsidP="007501B9">
      <w:r>
        <w:t>As detailed in the clinical care algorithm shown in Figures A-2 and A-3, residents will receive the proposed pharmacist-led service in addition to ‘usual care’</w:t>
      </w:r>
      <w:r w:rsidR="007501B9">
        <w:t xml:space="preserve">. </w:t>
      </w:r>
      <w:r>
        <w:t>The service is comprised of regular pharmacist-led assessments of residents in aged care to detect signs and symptoms of medicine-induced deterioration and adverse events</w:t>
      </w:r>
      <w:r w:rsidR="007501B9">
        <w:t xml:space="preserve">. </w:t>
      </w:r>
      <w:r>
        <w:t xml:space="preserve">Recommendations concerning medication management will be made to the resident’s general practitioner, residents themselves and facility care staff </w:t>
      </w:r>
      <w:proofErr w:type="gramStart"/>
      <w:r>
        <w:t>in order to</w:t>
      </w:r>
      <w:proofErr w:type="gramEnd"/>
      <w:r>
        <w:t xml:space="preserve"> prevent or mitigate harm from medicine</w:t>
      </w:r>
      <w:r w:rsidR="009570C9">
        <w:t>s</w:t>
      </w:r>
      <w:r>
        <w:t xml:space="preserve"> (Figure A-3).</w:t>
      </w:r>
    </w:p>
    <w:p w14:paraId="698EBECD" w14:textId="0580FE2C" w:rsidR="0036494E" w:rsidRDefault="0036494E" w:rsidP="007501B9">
      <w:r>
        <w:t>In the absence of the proposed pharmacist-led service for eligible populations ‘usual care’ as currently provided to residents in all Australian residential aged care facilities would remain in place</w:t>
      </w:r>
      <w:r w:rsidR="007501B9">
        <w:t xml:space="preserve">. </w:t>
      </w:r>
      <w:r>
        <w:t>The key difference of the proposed service to the comparator of usual care is the additional pharmacist-led service.</w:t>
      </w:r>
    </w:p>
    <w:p w14:paraId="3A55AEF0" w14:textId="2623ACDE" w:rsidR="003F457B" w:rsidRDefault="00111F2B" w:rsidP="00897C5B">
      <w:pPr>
        <w:pStyle w:val="Caption"/>
      </w:pPr>
      <w:r w:rsidRPr="00F42B1D">
        <w:t xml:space="preserve">Figure </w:t>
      </w:r>
      <w:r w:rsidR="008C0B8D" w:rsidRPr="00F42B1D">
        <w:t>A-2</w:t>
      </w:r>
      <w:r w:rsidRPr="00F42B1D">
        <w:t>: Clinical management algorithm for the proposed pharmacist serv</w:t>
      </w:r>
      <w:r w:rsidR="003F457B">
        <w:t>ice in comparison to usual care</w:t>
      </w:r>
    </w:p>
    <w:p w14:paraId="26741A60" w14:textId="28A32007" w:rsidR="000C65BB" w:rsidRDefault="003F457B" w:rsidP="00897C5B">
      <w:pPr>
        <w:pStyle w:val="Caption"/>
      </w:pPr>
      <w:r w:rsidRPr="00F42B1D">
        <w:rPr>
          <w:rFonts w:eastAsia="Calibri"/>
          <w:noProof/>
        </w:rPr>
        <mc:AlternateContent>
          <mc:Choice Requires="wpg">
            <w:drawing>
              <wp:inline distT="0" distB="0" distL="0" distR="0" wp14:anchorId="66372DB8" wp14:editId="17D592FD">
                <wp:extent cx="4459582" cy="3171825"/>
                <wp:effectExtent l="0" t="0" r="0" b="9525"/>
                <wp:docPr id="3" name="Group 11" descr="Figure A-2 is a flow chart describing the clinical algorithm of the intervention arm of the ReMInDAR pharmacy service in comparison to the comparator trial arm of usual care. Residents in an aged care were allocated to one of two arms. Either the comparator arm of the trial where they continued to receive usual care regardless of any medicine or frailty changes during the year. Or they were allocated to the intervention arm of the trial where they received an additional regular pharmacist service. This additional service is further outlined in the next figure." title="Clinical management algorithm for the proposed service in comparison to usual care."/>
                <wp:cNvGraphicFramePr/>
                <a:graphic xmlns:a="http://schemas.openxmlformats.org/drawingml/2006/main">
                  <a:graphicData uri="http://schemas.microsoft.com/office/word/2010/wordprocessingGroup">
                    <wpg:wgp>
                      <wpg:cNvGrpSpPr/>
                      <wpg:grpSpPr>
                        <a:xfrm>
                          <a:off x="0" y="0"/>
                          <a:ext cx="4459582" cy="3171825"/>
                          <a:chOff x="145073" y="0"/>
                          <a:chExt cx="4196121" cy="3019943"/>
                        </a:xfrm>
                      </wpg:grpSpPr>
                      <wps:wsp>
                        <wps:cNvPr id="210" name="Rectangle 210"/>
                        <wps:cNvSpPr/>
                        <wps:spPr>
                          <a:xfrm>
                            <a:off x="309623" y="1657550"/>
                            <a:ext cx="2077484" cy="1316405"/>
                          </a:xfrm>
                          <a:prstGeom prst="rect">
                            <a:avLst/>
                          </a:prstGeom>
                          <a:solidFill>
                            <a:sysClr val="window" lastClr="FFFFFF"/>
                          </a:solidFill>
                          <a:ln w="28575" cap="flat" cmpd="sng" algn="ctr">
                            <a:solidFill>
                              <a:srgbClr val="FF0000"/>
                            </a:solidFill>
                            <a:prstDash val="sysDash"/>
                            <a:miter lim="800000"/>
                          </a:ln>
                          <a:effectLst/>
                        </wps:spPr>
                        <wps:bodyPr rtlCol="0" anchor="ctr"/>
                      </wps:wsp>
                      <wps:wsp>
                        <wps:cNvPr id="211" name="Rectangle 211"/>
                        <wps:cNvSpPr/>
                        <wps:spPr>
                          <a:xfrm>
                            <a:off x="440274" y="0"/>
                            <a:ext cx="3719415" cy="304866"/>
                          </a:xfrm>
                          <a:prstGeom prst="rect">
                            <a:avLst/>
                          </a:prstGeom>
                          <a:noFill/>
                          <a:ln w="12700" cap="flat" cmpd="sng" algn="ctr">
                            <a:solidFill>
                              <a:sysClr val="windowText" lastClr="000000"/>
                            </a:solidFill>
                            <a:prstDash val="solid"/>
                            <a:miter lim="800000"/>
                          </a:ln>
                          <a:effectLst/>
                        </wps:spPr>
                        <wps:bodyPr rtlCol="0" anchor="ctr"/>
                      </wps:wsp>
                      <wps:wsp>
                        <wps:cNvPr id="212" name="TextBox 54"/>
                        <wps:cNvSpPr txBox="1"/>
                        <wps:spPr>
                          <a:xfrm>
                            <a:off x="1171225" y="28126"/>
                            <a:ext cx="3169969" cy="292747"/>
                          </a:xfrm>
                          <a:prstGeom prst="rect">
                            <a:avLst/>
                          </a:prstGeom>
                          <a:noFill/>
                        </wps:spPr>
                        <wps:txbx>
                          <w:txbxContent>
                            <w:p w14:paraId="59B6439B" w14:textId="77777777" w:rsidR="007D621B" w:rsidRDefault="007D621B" w:rsidP="008E2FA4">
                              <w:pPr>
                                <w:pStyle w:val="NoSpacing"/>
                              </w:pPr>
                              <w:r>
                                <w:t>Residents in Residential Aged Care Facility</w:t>
                              </w:r>
                            </w:p>
                          </w:txbxContent>
                        </wps:txbx>
                        <wps:bodyPr wrap="square" rtlCol="0">
                          <a:noAutofit/>
                        </wps:bodyPr>
                      </wps:wsp>
                      <wps:wsp>
                        <wps:cNvPr id="213" name="Rectangle 213"/>
                        <wps:cNvSpPr/>
                        <wps:spPr>
                          <a:xfrm>
                            <a:off x="643691" y="1905634"/>
                            <a:ext cx="1482967" cy="633605"/>
                          </a:xfrm>
                          <a:prstGeom prst="rect">
                            <a:avLst/>
                          </a:prstGeom>
                          <a:solidFill>
                            <a:srgbClr val="ED7D31">
                              <a:lumMod val="60000"/>
                              <a:lumOff val="40000"/>
                            </a:srgbClr>
                          </a:solidFill>
                          <a:ln w="12700" cap="flat" cmpd="sng" algn="ctr">
                            <a:solidFill>
                              <a:sysClr val="windowText" lastClr="000000"/>
                            </a:solidFill>
                            <a:prstDash val="solid"/>
                            <a:miter lim="800000"/>
                          </a:ln>
                          <a:effectLst/>
                        </wps:spPr>
                        <wps:bodyPr rtlCol="0" anchor="ctr"/>
                      </wps:wsp>
                      <wps:wsp>
                        <wps:cNvPr id="214" name="TextBox 57"/>
                        <wps:cNvSpPr txBox="1"/>
                        <wps:spPr>
                          <a:xfrm>
                            <a:off x="661564" y="1981252"/>
                            <a:ext cx="1641500" cy="515023"/>
                          </a:xfrm>
                          <a:prstGeom prst="rect">
                            <a:avLst/>
                          </a:prstGeom>
                          <a:noFill/>
                        </wps:spPr>
                        <wps:txbx>
                          <w:txbxContent>
                            <w:p w14:paraId="404C7916" w14:textId="77777777" w:rsidR="007D621B" w:rsidRDefault="007D621B" w:rsidP="008E2FA4">
                              <w:pPr>
                                <w:pStyle w:val="NoSpacing"/>
                              </w:pPr>
                              <w:r>
                                <w:t>Pharmacist Intervention</w:t>
                              </w:r>
                            </w:p>
                            <w:p w14:paraId="50CE0A6C" w14:textId="77777777" w:rsidR="007D621B" w:rsidRDefault="007D621B" w:rsidP="008E2FA4">
                              <w:pPr>
                                <w:pStyle w:val="NoSpacing"/>
                              </w:pPr>
                              <w:r>
                                <w:t>See Figure A-3</w:t>
                              </w:r>
                            </w:p>
                          </w:txbxContent>
                        </wps:txbx>
                        <wps:bodyPr wrap="square" rtlCol="0">
                          <a:noAutofit/>
                        </wps:bodyPr>
                      </wps:wsp>
                      <wps:wsp>
                        <wps:cNvPr id="217" name="Rectangle 217"/>
                        <wps:cNvSpPr/>
                        <wps:spPr>
                          <a:xfrm>
                            <a:off x="3047516" y="2036988"/>
                            <a:ext cx="1146316" cy="332712"/>
                          </a:xfrm>
                          <a:prstGeom prst="rect">
                            <a:avLst/>
                          </a:prstGeom>
                          <a:solidFill>
                            <a:srgbClr val="5B9BD5">
                              <a:lumMod val="40000"/>
                              <a:lumOff val="60000"/>
                            </a:srgbClr>
                          </a:solidFill>
                          <a:ln w="12700" cap="flat" cmpd="sng" algn="ctr">
                            <a:solidFill>
                              <a:sysClr val="windowText" lastClr="000000"/>
                            </a:solidFill>
                            <a:prstDash val="solid"/>
                            <a:miter lim="800000"/>
                          </a:ln>
                          <a:effectLst/>
                        </wps:spPr>
                        <wps:bodyPr rtlCol="0" anchor="ctr"/>
                      </wps:wsp>
                      <wps:wsp>
                        <wps:cNvPr id="218" name="TextBox 63"/>
                        <wps:cNvSpPr txBox="1"/>
                        <wps:spPr>
                          <a:xfrm>
                            <a:off x="3051564" y="2022718"/>
                            <a:ext cx="1095772" cy="401337"/>
                          </a:xfrm>
                          <a:prstGeom prst="rect">
                            <a:avLst/>
                          </a:prstGeom>
                          <a:noFill/>
                        </wps:spPr>
                        <wps:txbx>
                          <w:txbxContent>
                            <w:p w14:paraId="0B72AB60" w14:textId="77777777" w:rsidR="007D621B" w:rsidRDefault="007D621B" w:rsidP="008E2FA4">
                              <w:pPr>
                                <w:pStyle w:val="NoSpacing"/>
                              </w:pPr>
                              <w:r>
                                <w:t xml:space="preserve">Medicine or </w:t>
                              </w:r>
                            </w:p>
                            <w:p w14:paraId="4925490F" w14:textId="77777777" w:rsidR="007D621B" w:rsidRDefault="007D621B" w:rsidP="008E2FA4">
                              <w:pPr>
                                <w:pStyle w:val="NoSpacing"/>
                              </w:pPr>
                              <w:r>
                                <w:t>Frailty change</w:t>
                              </w:r>
                            </w:p>
                          </w:txbxContent>
                        </wps:txbx>
                        <wps:bodyPr wrap="square" rtlCol="0">
                          <a:noAutofit/>
                        </wps:bodyPr>
                      </wps:wsp>
                      <wps:wsp>
                        <wps:cNvPr id="219" name="Rectangle 219"/>
                        <wps:cNvSpPr/>
                        <wps:spPr>
                          <a:xfrm>
                            <a:off x="145073" y="1188697"/>
                            <a:ext cx="2675790" cy="245930"/>
                          </a:xfrm>
                          <a:prstGeom prst="rect">
                            <a:avLst/>
                          </a:prstGeom>
                          <a:noFill/>
                          <a:ln w="12700" cap="flat" cmpd="sng" algn="ctr">
                            <a:solidFill>
                              <a:sysClr val="windowText" lastClr="000000"/>
                            </a:solidFill>
                            <a:prstDash val="solid"/>
                            <a:miter lim="800000"/>
                          </a:ln>
                          <a:effectLst/>
                        </wps:spPr>
                        <wps:bodyPr rtlCol="0" anchor="ctr"/>
                      </wps:wsp>
                      <wps:wsp>
                        <wps:cNvPr id="220" name="TextBox 71"/>
                        <wps:cNvSpPr txBox="1"/>
                        <wps:spPr>
                          <a:xfrm>
                            <a:off x="145111" y="1203999"/>
                            <a:ext cx="2966130" cy="292747"/>
                          </a:xfrm>
                          <a:prstGeom prst="rect">
                            <a:avLst/>
                          </a:prstGeom>
                          <a:noFill/>
                        </wps:spPr>
                        <wps:txbx>
                          <w:txbxContent>
                            <w:p w14:paraId="36708D5B" w14:textId="77777777" w:rsidR="007D621B" w:rsidRDefault="007D621B" w:rsidP="008E2FA4">
                              <w:pPr>
                                <w:pStyle w:val="NoSpacing"/>
                              </w:pPr>
                              <w:r>
                                <w:t>Targeted for provision of pharmacist service</w:t>
                              </w:r>
                            </w:p>
                          </w:txbxContent>
                        </wps:txbx>
                        <wps:bodyPr wrap="square" rtlCol="0">
                          <a:noAutofit/>
                        </wps:bodyPr>
                      </wps:wsp>
                      <wps:wsp>
                        <wps:cNvPr id="222" name="Straight Arrow Connector 222"/>
                        <wps:cNvCnPr/>
                        <wps:spPr>
                          <a:xfrm>
                            <a:off x="1453737" y="1471694"/>
                            <a:ext cx="760" cy="161196"/>
                          </a:xfrm>
                          <a:prstGeom prst="straightConnector1">
                            <a:avLst/>
                          </a:prstGeom>
                          <a:noFill/>
                          <a:ln w="6350" cap="flat" cmpd="sng" algn="ctr">
                            <a:solidFill>
                              <a:srgbClr val="5B9BD5"/>
                            </a:solidFill>
                            <a:prstDash val="solid"/>
                            <a:miter lim="800000"/>
                            <a:tailEnd type="triangle"/>
                          </a:ln>
                          <a:effectLst/>
                        </wps:spPr>
                        <wps:bodyPr/>
                      </wps:wsp>
                      <wps:wsp>
                        <wps:cNvPr id="223" name="Rectangle 223"/>
                        <wps:cNvSpPr/>
                        <wps:spPr>
                          <a:xfrm>
                            <a:off x="3051963" y="2727501"/>
                            <a:ext cx="1107831" cy="246454"/>
                          </a:xfrm>
                          <a:prstGeom prst="rect">
                            <a:avLst/>
                          </a:prstGeom>
                          <a:solidFill>
                            <a:srgbClr val="5B9BD5">
                              <a:lumMod val="40000"/>
                              <a:lumOff val="60000"/>
                            </a:srgbClr>
                          </a:solidFill>
                          <a:ln w="12700" cap="flat" cmpd="sng" algn="ctr">
                            <a:solidFill>
                              <a:sysClr val="windowText" lastClr="000000"/>
                            </a:solidFill>
                            <a:prstDash val="solid"/>
                            <a:miter lim="800000"/>
                          </a:ln>
                          <a:effectLst/>
                        </wps:spPr>
                        <wps:bodyPr rtlCol="0" anchor="ctr"/>
                      </wps:wsp>
                      <wps:wsp>
                        <wps:cNvPr id="224" name="TextBox 84"/>
                        <wps:cNvSpPr txBox="1"/>
                        <wps:spPr>
                          <a:xfrm>
                            <a:off x="3051565" y="2727196"/>
                            <a:ext cx="998769" cy="292747"/>
                          </a:xfrm>
                          <a:prstGeom prst="rect">
                            <a:avLst/>
                          </a:prstGeom>
                          <a:noFill/>
                        </wps:spPr>
                        <wps:txbx>
                          <w:txbxContent>
                            <w:p w14:paraId="16EBABC9" w14:textId="77777777" w:rsidR="007D621B" w:rsidRDefault="007D621B" w:rsidP="008E2FA4">
                              <w:pPr>
                                <w:pStyle w:val="NoSpacing"/>
                              </w:pPr>
                              <w:r>
                                <w:t>Usual Care</w:t>
                              </w:r>
                            </w:p>
                          </w:txbxContent>
                        </wps:txbx>
                        <wps:bodyPr wrap="square" rtlCol="0">
                          <a:noAutofit/>
                        </wps:bodyPr>
                      </wps:wsp>
                      <wps:wsp>
                        <wps:cNvPr id="225" name="Straight Arrow Connector 225"/>
                        <wps:cNvCnPr/>
                        <wps:spPr>
                          <a:xfrm>
                            <a:off x="3685397" y="2456696"/>
                            <a:ext cx="0" cy="247632"/>
                          </a:xfrm>
                          <a:prstGeom prst="straightConnector1">
                            <a:avLst/>
                          </a:prstGeom>
                          <a:noFill/>
                          <a:ln w="6350" cap="flat" cmpd="sng" algn="ctr">
                            <a:solidFill>
                              <a:srgbClr val="5B9BD5"/>
                            </a:solidFill>
                            <a:prstDash val="solid"/>
                            <a:miter lim="800000"/>
                            <a:tailEnd type="triangle"/>
                          </a:ln>
                          <a:effectLst/>
                        </wps:spPr>
                        <wps:bodyPr/>
                      </wps:wsp>
                      <wps:wsp>
                        <wps:cNvPr id="228" name="Straight Arrow Connector 228"/>
                        <wps:cNvCnPr/>
                        <wps:spPr>
                          <a:xfrm flipH="1">
                            <a:off x="1454497" y="464637"/>
                            <a:ext cx="6886" cy="593908"/>
                          </a:xfrm>
                          <a:prstGeom prst="straightConnector1">
                            <a:avLst/>
                          </a:prstGeom>
                          <a:noFill/>
                          <a:ln w="6350" cap="flat" cmpd="sng" algn="ctr">
                            <a:solidFill>
                              <a:srgbClr val="5B9BD5"/>
                            </a:solidFill>
                            <a:prstDash val="solid"/>
                            <a:miter lim="800000"/>
                            <a:tailEnd type="triangle"/>
                          </a:ln>
                          <a:effectLst/>
                        </wps:spPr>
                        <wps:bodyPr/>
                      </wps:wsp>
                      <wps:wsp>
                        <wps:cNvPr id="229" name="Rectangle 229"/>
                        <wps:cNvSpPr/>
                        <wps:spPr>
                          <a:xfrm>
                            <a:off x="3051858" y="1176851"/>
                            <a:ext cx="1101421" cy="227015"/>
                          </a:xfrm>
                          <a:prstGeom prst="rect">
                            <a:avLst/>
                          </a:prstGeom>
                          <a:solidFill>
                            <a:srgbClr val="5B9BD5">
                              <a:lumMod val="40000"/>
                              <a:lumOff val="60000"/>
                            </a:srgbClr>
                          </a:solidFill>
                          <a:ln w="12700" cap="flat" cmpd="sng" algn="ctr">
                            <a:solidFill>
                              <a:sysClr val="windowText" lastClr="000000"/>
                            </a:solidFill>
                            <a:prstDash val="solid"/>
                            <a:miter lim="800000"/>
                          </a:ln>
                          <a:effectLst/>
                        </wps:spPr>
                        <wps:bodyPr rtlCol="0" anchor="ctr"/>
                      </wps:wsp>
                      <wps:wsp>
                        <wps:cNvPr id="230" name="TextBox 50"/>
                        <wps:cNvSpPr txBox="1"/>
                        <wps:spPr>
                          <a:xfrm>
                            <a:off x="3234845" y="1176960"/>
                            <a:ext cx="958432" cy="292747"/>
                          </a:xfrm>
                          <a:prstGeom prst="rect">
                            <a:avLst/>
                          </a:prstGeom>
                          <a:noFill/>
                        </wps:spPr>
                        <wps:txbx>
                          <w:txbxContent>
                            <w:p w14:paraId="6A29FBAF" w14:textId="77777777" w:rsidR="007D621B" w:rsidRDefault="007D621B" w:rsidP="008E2FA4">
                              <w:pPr>
                                <w:pStyle w:val="NoSpacing"/>
                              </w:pPr>
                              <w:r>
                                <w:t>Usual Care</w:t>
                              </w:r>
                            </w:p>
                          </w:txbxContent>
                        </wps:txbx>
                        <wps:bodyPr wrap="square" rtlCol="0">
                          <a:noAutofit/>
                        </wps:bodyPr>
                      </wps:wsp>
                      <wps:wsp>
                        <wps:cNvPr id="231" name="Straight Arrow Connector 231"/>
                        <wps:cNvCnPr/>
                        <wps:spPr>
                          <a:xfrm flipH="1">
                            <a:off x="3673872" y="395124"/>
                            <a:ext cx="11525" cy="554246"/>
                          </a:xfrm>
                          <a:prstGeom prst="straightConnector1">
                            <a:avLst/>
                          </a:prstGeom>
                          <a:noFill/>
                          <a:ln w="6350" cap="flat" cmpd="sng" algn="ctr">
                            <a:solidFill>
                              <a:srgbClr val="5B9BD5"/>
                            </a:solidFill>
                            <a:prstDash val="solid"/>
                            <a:miter lim="800000"/>
                            <a:tailEnd type="triangle"/>
                          </a:ln>
                          <a:effectLst/>
                        </wps:spPr>
                        <wps:bodyPr/>
                      </wps:wsp>
                      <wps:wsp>
                        <wps:cNvPr id="232" name="Straight Arrow Connector 232"/>
                        <wps:cNvCnPr/>
                        <wps:spPr>
                          <a:xfrm>
                            <a:off x="3685397" y="1496746"/>
                            <a:ext cx="2088" cy="520740"/>
                          </a:xfrm>
                          <a:prstGeom prst="straightConnector1">
                            <a:avLst/>
                          </a:prstGeom>
                          <a:noFill/>
                          <a:ln w="6350" cap="flat" cmpd="sng" algn="ctr">
                            <a:solidFill>
                              <a:srgbClr val="5B9BD5"/>
                            </a:solidFill>
                            <a:prstDash val="solid"/>
                            <a:miter lim="800000"/>
                            <a:tailEnd type="triangle"/>
                          </a:ln>
                          <a:effectLst/>
                        </wps:spPr>
                        <wps:bodyPr/>
                      </wps:wsp>
                    </wpg:wgp>
                  </a:graphicData>
                </a:graphic>
              </wp:inline>
            </w:drawing>
          </mc:Choice>
          <mc:Fallback>
            <w:pict>
              <v:group w14:anchorId="66372DB8" id="Group 11" o:spid="_x0000_s1045" alt="Title: Clinical management algorithm for the proposed service in comparison to usual care. - Description: Figure A-2 is a flow chart describing the clinical algorithm of the intervention arm of the ReMInDAR pharmacy service in comparison to the comparator trial arm of usual care. Residents in an aged care were allocated to one of two arms. Either the comparator arm of the trial where they continued to receive usual care regardless of any medicine or frailty changes during the year. Or they were allocated to the intervention arm of the trial where they received an additional regular pharmacist service. This additional service is further outlined in the next figure." style="width:351.15pt;height:249.75pt;mso-position-horizontal-relative:char;mso-position-vertical-relative:line" coordorigin="1450" coordsize="41961,30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">
                <v:rect id="Rectangle 210" o:spid="_x0000_s1046" style="position:absolute;left:3096;top:16575;width:20775;height:13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" fillcolor="window" strokecolor="red" strokeweight="2.25pt">
                  <v:stroke dashstyle="3 1"/>
                </v:rect>
                <v:rect id="Rectangle 211" o:spid="_x0000_s1047" style="position:absolute;left:4402;width:37194;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" filled="f" strokecolor="windowText" strokeweight="1pt"/>
                <v:shape id="TextBox 54" o:spid="_x0000_s1048" type="#_x0000_t202" style="position:absolute;left:11712;top:281;width:31699;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tOt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rB9Uw8AnJ1AQAA//8DAFBLAQItABQABgAIAAAAIQDb4fbL7gAAAIUBAAATAAAAAAAAAAAA&#10;AAAAAAAAAABbQ29udGVudF9UeXBlc10ueG1sUEsBAi0AFAAGAAgAAAAhAFr0LFu/AAAAFQEAAAsA&#10;AAAAAAAAAAAAAAAAHwEAAF9yZWxzLy5yZWxzUEsBAi0AFAAGAAgAAAAhAC0y063EAAAA3AAAAA8A&#10;AAAAAAAAAAAAAAAABwIAAGRycy9kb3ducmV2LnhtbFBLBQYAAAAAAwADALcAAAD4AgAAAAA=&#10;" filled="f" stroked="f">
                  <v:textbox>
                    <w:txbxContent>
                      <w:p w14:paraId="59B6439B" w14:textId="77777777" w:rsidR="007D621B" w:rsidRDefault="007D621B" w:rsidP="008E2FA4">
                        <w:pPr>
                          <w:pStyle w:val="NoSpacing"/>
                        </w:pPr>
                        <w:r>
                          <w:t>Residents in Residential Aged Care Facility</w:t>
                        </w:r>
                      </w:p>
                    </w:txbxContent>
                  </v:textbox>
                </v:shape>
                <v:rect id="Rectangle 213" o:spid="_x0000_s1049" style="position:absolute;left:6436;top:19056;width:14830;height:6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" fillcolor="#f4b183" strokecolor="windowText" strokeweight="1pt"/>
                <v:shape id="TextBox 57" o:spid="_x0000_s1050" type="#_x0000_t202" style="position:absolute;left:6615;top:19812;width:16415;height:5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" filled="f" stroked="f">
                  <v:textbox>
                    <w:txbxContent>
                      <w:p w14:paraId="404C7916" w14:textId="77777777" w:rsidR="007D621B" w:rsidRDefault="007D621B" w:rsidP="008E2FA4">
                        <w:pPr>
                          <w:pStyle w:val="NoSpacing"/>
                        </w:pPr>
                        <w:r>
                          <w:t>Pharmacist Intervention</w:t>
                        </w:r>
                      </w:p>
                      <w:p w14:paraId="50CE0A6C" w14:textId="77777777" w:rsidR="007D621B" w:rsidRDefault="007D621B" w:rsidP="008E2FA4">
                        <w:pPr>
                          <w:pStyle w:val="NoSpacing"/>
                        </w:pPr>
                        <w:r>
                          <w:t>See Figure A-3</w:t>
                        </w:r>
                      </w:p>
                    </w:txbxContent>
                  </v:textbox>
                </v:shape>
                <v:rect id="Rectangle 217" o:spid="_x0000_s1051" style="position:absolute;left:30475;top:20369;width:11463;height:33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" fillcolor="#bdd7ee" strokecolor="windowText" strokeweight="1pt"/>
                <v:shape id="TextBox 63" o:spid="_x0000_s1052" type="#_x0000_t202" style="position:absolute;left:30515;top:20227;width:10958;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" filled="f" stroked="f">
                  <v:textbox>
                    <w:txbxContent>
                      <w:p w14:paraId="0B72AB60" w14:textId="77777777" w:rsidR="007D621B" w:rsidRDefault="007D621B" w:rsidP="008E2FA4">
                        <w:pPr>
                          <w:pStyle w:val="NoSpacing"/>
                        </w:pPr>
                        <w:r>
                          <w:t xml:space="preserve">Medicine or </w:t>
                        </w:r>
                      </w:p>
                      <w:p w14:paraId="4925490F" w14:textId="77777777" w:rsidR="007D621B" w:rsidRDefault="007D621B" w:rsidP="008E2FA4">
                        <w:pPr>
                          <w:pStyle w:val="NoSpacing"/>
                        </w:pPr>
                        <w:r>
                          <w:t>Frailty change</w:t>
                        </w:r>
                      </w:p>
                    </w:txbxContent>
                  </v:textbox>
                </v:shape>
                <v:rect id="Rectangle 219" o:spid="_x0000_s1053" style="position:absolute;left:1450;top:11886;width:26758;height:2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" filled="f" strokecolor="windowText" strokeweight="1pt"/>
                <v:shape id="TextBox 71" o:spid="_x0000_s1054" type="#_x0000_t202" style="position:absolute;left:1451;top:12039;width:29661;height:2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" filled="f" stroked="f">
                  <v:textbox>
                    <w:txbxContent>
                      <w:p w14:paraId="36708D5B" w14:textId="77777777" w:rsidR="007D621B" w:rsidRDefault="007D621B" w:rsidP="008E2FA4">
                        <w:pPr>
                          <w:pStyle w:val="NoSpacing"/>
                        </w:pPr>
                        <w:r>
                          <w:t>Targeted for provision of pharmacist service</w:t>
                        </w:r>
                      </w:p>
                    </w:txbxContent>
                  </v:textbox>
                </v:shape>
                <v:shape id="Straight Arrow Connector 222" o:spid="_x0000_s1055" type="#_x0000_t32" style="position:absolute;left:14537;top:14716;width:7;height:16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" strokecolor="#5b9bd5" strokeweight=".5pt">
                  <v:stroke endarrow="block" joinstyle="miter"/>
                </v:shape>
                <v:rect id="Rectangle 223" o:spid="_x0000_s1056" style="position:absolute;left:30519;top:27275;width:11078;height:2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" fillcolor="#bdd7ee" strokecolor="windowText" strokeweight="1pt"/>
                <v:shape id="TextBox 84" o:spid="_x0000_s1057" type="#_x0000_t202" style="position:absolute;left:30515;top:27271;width:9988;height:2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" filled="f" stroked="f">
                  <v:textbox>
                    <w:txbxContent>
                      <w:p w14:paraId="16EBABC9" w14:textId="77777777" w:rsidR="007D621B" w:rsidRDefault="007D621B" w:rsidP="008E2FA4">
                        <w:pPr>
                          <w:pStyle w:val="NoSpacing"/>
                        </w:pPr>
                        <w:r>
                          <w:t>Usual Care</w:t>
                        </w:r>
                      </w:p>
                    </w:txbxContent>
                  </v:textbox>
                </v:shape>
                <v:shape id="Straight Arrow Connector 225" o:spid="_x0000_s1058" type="#_x0000_t32" style="position:absolute;left:36853;top:24566;width:0;height:2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" strokecolor="#5b9bd5" strokeweight=".5pt">
                  <v:stroke endarrow="block" joinstyle="miter"/>
                </v:shape>
                <v:shape id="Straight Arrow Connector 228" o:spid="_x0000_s1059" type="#_x0000_t32" style="position:absolute;left:14544;top:4646;width:69;height:59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" strokecolor="#5b9bd5" strokeweight=".5pt">
                  <v:stroke endarrow="block" joinstyle="miter"/>
                </v:shape>
                <v:rect id="Rectangle 229" o:spid="_x0000_s1060" style="position:absolute;left:30518;top:11768;width:11014;height:2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" fillcolor="#bdd7ee" strokecolor="windowText" strokeweight="1pt"/>
                <v:shape id="TextBox 50" o:spid="_x0000_s1061" type="#_x0000_t202" style="position:absolute;left:32348;top:11769;width:9584;height:2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" filled="f" stroked="f">
                  <v:textbox>
                    <w:txbxContent>
                      <w:p w14:paraId="6A29FBAF" w14:textId="77777777" w:rsidR="007D621B" w:rsidRDefault="007D621B" w:rsidP="008E2FA4">
                        <w:pPr>
                          <w:pStyle w:val="NoSpacing"/>
                        </w:pPr>
                        <w:r>
                          <w:t>Usual Care</w:t>
                        </w:r>
                      </w:p>
                    </w:txbxContent>
                  </v:textbox>
                </v:shape>
                <v:shape id="Straight Arrow Connector 231" o:spid="_x0000_s1062" type="#_x0000_t32" style="position:absolute;left:36738;top:3951;width:115;height:554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" strokecolor="#5b9bd5" strokeweight=".5pt">
                  <v:stroke endarrow="block" joinstyle="miter"/>
                </v:shape>
                <v:shape id="Straight Arrow Connector 232" o:spid="_x0000_s1063" type="#_x0000_t32" style="position:absolute;left:36853;top:14967;width:21;height:52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" strokecolor="#5b9bd5" strokeweight=".5pt">
                  <v:stroke endarrow="block" joinstyle="miter"/>
                </v:shape>
                <w10:anchorlock/>
              </v:group>
            </w:pict>
          </mc:Fallback>
        </mc:AlternateContent>
      </w:r>
      <w:r w:rsidR="000C65BB">
        <w:br w:type="page"/>
      </w:r>
    </w:p>
    <w:p w14:paraId="587C3E48" w14:textId="5AAAC2EA" w:rsidR="00877C97" w:rsidRDefault="009570C9" w:rsidP="007501B9">
      <w:r>
        <w:rPr>
          <w:noProof/>
        </w:rPr>
        <w:lastRenderedPageBreak/>
        <mc:AlternateContent>
          <mc:Choice Requires="wps">
            <w:drawing>
              <wp:anchor distT="0" distB="0" distL="114300" distR="114300" simplePos="0" relativeHeight="251659264" behindDoc="0" locked="0" layoutInCell="1" allowOverlap="1" wp14:anchorId="1CE1E216" wp14:editId="7426B49B">
                <wp:simplePos x="0" y="0"/>
                <wp:positionH relativeFrom="column">
                  <wp:posOffset>2686938</wp:posOffset>
                </wp:positionH>
                <wp:positionV relativeFrom="paragraph">
                  <wp:posOffset>2479040</wp:posOffset>
                </wp:positionV>
                <wp:extent cx="2583278" cy="119269"/>
                <wp:effectExtent l="0" t="0" r="83820" b="90805"/>
                <wp:wrapNone/>
                <wp:docPr id="37" name="Elbow Connector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583278" cy="119269"/>
                        </a:xfrm>
                        <a:prstGeom prst="bentConnector3">
                          <a:avLst>
                            <a:gd name="adj1" fmla="val 50000"/>
                          </a:avLst>
                        </a:prstGeom>
                        <a:noFill/>
                        <a:ln w="6350" cap="flat" cmpd="sng" algn="ctr">
                          <a:solidFill>
                            <a:srgbClr val="5B9BD5"/>
                          </a:solidFill>
                          <a:prstDash val="dash"/>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B9B1C4A"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7" o:spid="_x0000_s1026" type="#_x0000_t34" alt="&quot;&quot;" style="position:absolute;margin-left:211.55pt;margin-top:195.2pt;width:203.4pt;height:9.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" strokecolor="#5b9bd5" strokeweight=".5pt">
                <v:stroke dashstyle="dash" endarrow="block"/>
              </v:shape>
            </w:pict>
          </mc:Fallback>
        </mc:AlternateContent>
      </w:r>
      <w:r>
        <w:rPr>
          <w:noProof/>
        </w:rPr>
        <mc:AlternateContent>
          <mc:Choice Requires="wps">
            <w:drawing>
              <wp:anchor distT="0" distB="0" distL="114300" distR="114300" simplePos="0" relativeHeight="251662336" behindDoc="0" locked="0" layoutInCell="1" allowOverlap="1" wp14:anchorId="7754350F" wp14:editId="0BEB9287">
                <wp:simplePos x="0" y="0"/>
                <wp:positionH relativeFrom="column">
                  <wp:posOffset>5233035</wp:posOffset>
                </wp:positionH>
                <wp:positionV relativeFrom="paragraph">
                  <wp:posOffset>3902412</wp:posOffset>
                </wp:positionV>
                <wp:extent cx="130147" cy="143124"/>
                <wp:effectExtent l="0" t="0" r="22860" b="28575"/>
                <wp:wrapNone/>
                <wp:docPr id="40" name="Isosceles Triangle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0147" cy="143124"/>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07B73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0" o:spid="_x0000_s1026" type="#_x0000_t5" alt="&quot;&quot;" style="position:absolute;margin-left:412.05pt;margin-top:307.3pt;width:10.25pt;height:1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" fillcolor="#5b9bd5 [3204]" strokecolor="#1f4d78 [1604]" strokeweight="2pt"/>
            </w:pict>
          </mc:Fallback>
        </mc:AlternateContent>
      </w:r>
      <w:r>
        <w:rPr>
          <w:noProof/>
        </w:rPr>
        <mc:AlternateContent>
          <mc:Choice Requires="wps">
            <w:drawing>
              <wp:anchor distT="0" distB="0" distL="114300" distR="114300" simplePos="0" relativeHeight="251660288" behindDoc="0" locked="0" layoutInCell="1" allowOverlap="1" wp14:anchorId="6A6683B9" wp14:editId="7ACDE5E8">
                <wp:simplePos x="0" y="0"/>
                <wp:positionH relativeFrom="column">
                  <wp:posOffset>5207248</wp:posOffset>
                </wp:positionH>
                <wp:positionV relativeFrom="paragraph">
                  <wp:posOffset>1172845</wp:posOffset>
                </wp:positionV>
                <wp:extent cx="130147" cy="143124"/>
                <wp:effectExtent l="0" t="0" r="22860" b="28575"/>
                <wp:wrapNone/>
                <wp:docPr id="39" name="Isosceles Triangle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0147" cy="143124"/>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83F5F" id="Isosceles Triangle 39" o:spid="_x0000_s1026" type="#_x0000_t5" alt="&quot;&quot;" style="position:absolute;margin-left:410pt;margin-top:92.35pt;width:10.25pt;height:1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" fillcolor="#5b9bd5 [3204]" strokecolor="#1f4d78 [1604]" strokeweight="2pt"/>
            </w:pict>
          </mc:Fallback>
        </mc:AlternateContent>
      </w:r>
      <w:r w:rsidR="000268E9" w:rsidRPr="00F42B1D">
        <w:rPr>
          <w:rFonts w:eastAsia="Calibri"/>
          <w:i/>
          <w:noProof/>
        </w:rPr>
        <mc:AlternateContent>
          <mc:Choice Requires="wpg">
            <w:drawing>
              <wp:inline distT="0" distB="0" distL="0" distR="0" wp14:anchorId="7CF1BFC7" wp14:editId="2C2E8BCB">
                <wp:extent cx="5733415" cy="4934593"/>
                <wp:effectExtent l="19050" t="19050" r="19685" b="18415"/>
                <wp:docPr id="237" name="Group 8" descr="Figure A-3 is a decision support flow chart that indicates how a resident is triaged through the clinical management algorithm for the new ReMInDAR pharmacy service. It also indicates the required actions for each decision pathway. It is a cyclical process as resident reviews are conducted on an 8 weekly basis. &#10;&#10;full alternative text description is provided in alt text hyperlink." title="Clinical management algorithm for proposed pharmacist service."/>
                <wp:cNvGraphicFramePr/>
                <a:graphic xmlns:a="http://schemas.openxmlformats.org/drawingml/2006/main">
                  <a:graphicData uri="http://schemas.microsoft.com/office/word/2010/wordprocessingGroup">
                    <wpg:wgp>
                      <wpg:cNvGrpSpPr/>
                      <wpg:grpSpPr>
                        <a:xfrm>
                          <a:off x="0" y="0"/>
                          <a:ext cx="5733415" cy="4934593"/>
                          <a:chOff x="-181550" y="158684"/>
                          <a:chExt cx="5950442" cy="5121292"/>
                        </a:xfrm>
                      </wpg:grpSpPr>
                      <wps:wsp>
                        <wps:cNvPr id="238" name="Rectangle 238"/>
                        <wps:cNvSpPr/>
                        <wps:spPr>
                          <a:xfrm>
                            <a:off x="-181550" y="158684"/>
                            <a:ext cx="5950442" cy="5121292"/>
                          </a:xfrm>
                          <a:prstGeom prst="rect">
                            <a:avLst/>
                          </a:prstGeom>
                          <a:solidFill>
                            <a:sysClr val="window" lastClr="FFFFFF"/>
                          </a:solidFill>
                          <a:ln w="28575" cap="flat" cmpd="sng" algn="ctr">
                            <a:solidFill>
                              <a:srgbClr val="FF0000"/>
                            </a:solidFill>
                            <a:prstDash val="sysDash"/>
                            <a:miter lim="800000"/>
                          </a:ln>
                          <a:effectLst/>
                        </wps:spPr>
                        <wps:bodyPr rtlCol="0" anchor="ctr">
                          <a:noAutofit/>
                        </wps:bodyPr>
                      </wps:wsp>
                      <wps:wsp>
                        <wps:cNvPr id="239" name="Rectangle 239"/>
                        <wps:cNvSpPr/>
                        <wps:spPr>
                          <a:xfrm>
                            <a:off x="1326330" y="231329"/>
                            <a:ext cx="2482940" cy="435957"/>
                          </a:xfrm>
                          <a:prstGeom prst="rect">
                            <a:avLst/>
                          </a:prstGeom>
                          <a:solidFill>
                            <a:srgbClr val="ED7D31">
                              <a:lumMod val="60000"/>
                              <a:lumOff val="40000"/>
                            </a:srgbClr>
                          </a:solidFill>
                          <a:ln w="12700" cap="flat" cmpd="sng" algn="ctr">
                            <a:solidFill>
                              <a:sysClr val="windowText" lastClr="000000"/>
                            </a:solidFill>
                            <a:prstDash val="solid"/>
                            <a:miter lim="800000"/>
                          </a:ln>
                          <a:effectLst/>
                        </wps:spPr>
                        <wps:bodyPr rtlCol="0" anchor="ctr"/>
                      </wps:wsp>
                      <wps:wsp>
                        <wps:cNvPr id="240" name="TextBox 72"/>
                        <wps:cNvSpPr txBox="1"/>
                        <wps:spPr>
                          <a:xfrm>
                            <a:off x="1296606" y="224679"/>
                            <a:ext cx="2485886" cy="428366"/>
                          </a:xfrm>
                          <a:prstGeom prst="rect">
                            <a:avLst/>
                          </a:prstGeom>
                          <a:noFill/>
                        </wps:spPr>
                        <wps:txbx>
                          <w:txbxContent>
                            <w:p w14:paraId="55A210B8" w14:textId="0BB88656" w:rsidR="007D621B" w:rsidRPr="00A34316" w:rsidRDefault="007D621B" w:rsidP="008E2FA4">
                              <w:pPr>
                                <w:pStyle w:val="NoSpacing"/>
                              </w:pPr>
                              <w:r w:rsidRPr="00A34316">
                                <w:t xml:space="preserve">8 weekly </w:t>
                              </w:r>
                              <w:r>
                                <w:t>p</w:t>
                              </w:r>
                              <w:r w:rsidRPr="00A34316">
                                <w:t xml:space="preserve">harmacist </w:t>
                              </w:r>
                              <w:r>
                                <w:t>service</w:t>
                              </w:r>
                              <w:r w:rsidRPr="00A34316">
                                <w:t xml:space="preserve"> onsite </w:t>
                              </w:r>
                              <w:r>
                                <w:t>for eligible residents</w:t>
                              </w:r>
                            </w:p>
                          </w:txbxContent>
                        </wps:txbx>
                        <wps:bodyPr wrap="square" rtlCol="0">
                          <a:spAutoFit/>
                        </wps:bodyPr>
                      </wps:wsp>
                      <wps:wsp>
                        <wps:cNvPr id="243" name="Straight Arrow Connector 243"/>
                        <wps:cNvCnPr/>
                        <wps:spPr>
                          <a:xfrm>
                            <a:off x="2622949" y="667362"/>
                            <a:ext cx="0" cy="188635"/>
                          </a:xfrm>
                          <a:prstGeom prst="straightConnector1">
                            <a:avLst/>
                          </a:prstGeom>
                          <a:noFill/>
                          <a:ln w="6350" cap="flat" cmpd="sng" algn="ctr">
                            <a:solidFill>
                              <a:srgbClr val="5B9BD5"/>
                            </a:solidFill>
                            <a:prstDash val="solid"/>
                            <a:miter lim="800000"/>
                            <a:tailEnd type="triangle"/>
                          </a:ln>
                          <a:effectLst/>
                        </wps:spPr>
                        <wps:bodyPr/>
                      </wps:wsp>
                      <wps:wsp>
                        <wps:cNvPr id="244" name="Straight Arrow Connector 244"/>
                        <wps:cNvCnPr/>
                        <wps:spPr>
                          <a:xfrm>
                            <a:off x="899594" y="2625294"/>
                            <a:ext cx="0" cy="188635"/>
                          </a:xfrm>
                          <a:prstGeom prst="straightConnector1">
                            <a:avLst/>
                          </a:prstGeom>
                          <a:noFill/>
                          <a:ln w="6350" cap="flat" cmpd="sng" algn="ctr">
                            <a:solidFill>
                              <a:srgbClr val="5B9BD5"/>
                            </a:solidFill>
                            <a:prstDash val="solid"/>
                            <a:miter lim="800000"/>
                            <a:tailEnd type="triangle"/>
                          </a:ln>
                          <a:effectLst/>
                        </wps:spPr>
                        <wps:bodyPr/>
                      </wps:wsp>
                      <wps:wsp>
                        <wps:cNvPr id="245" name="Rectangle 245"/>
                        <wps:cNvSpPr/>
                        <wps:spPr>
                          <a:xfrm>
                            <a:off x="688221" y="4295000"/>
                            <a:ext cx="1366497" cy="328873"/>
                          </a:xfrm>
                          <a:prstGeom prst="rect">
                            <a:avLst/>
                          </a:prstGeom>
                          <a:solidFill>
                            <a:srgbClr val="ED7D31">
                              <a:lumMod val="60000"/>
                              <a:lumOff val="40000"/>
                            </a:srgbClr>
                          </a:solidFill>
                          <a:ln w="12700" cap="flat" cmpd="sng" algn="ctr">
                            <a:solidFill>
                              <a:sysClr val="windowText" lastClr="000000"/>
                            </a:solidFill>
                            <a:prstDash val="solid"/>
                            <a:miter lim="800000"/>
                          </a:ln>
                          <a:effectLst/>
                        </wps:spPr>
                        <wps:bodyPr rtlCol="0" anchor="ctr"/>
                      </wps:wsp>
                      <wps:wsp>
                        <wps:cNvPr id="246" name="TextBox 122"/>
                        <wps:cNvSpPr txBox="1"/>
                        <wps:spPr>
                          <a:xfrm>
                            <a:off x="700890" y="4264770"/>
                            <a:ext cx="1353661" cy="398051"/>
                          </a:xfrm>
                          <a:prstGeom prst="rect">
                            <a:avLst/>
                          </a:prstGeom>
                          <a:noFill/>
                        </wps:spPr>
                        <wps:txbx>
                          <w:txbxContent>
                            <w:p w14:paraId="4E37115A" w14:textId="3282BFFE" w:rsidR="007D621B" w:rsidRPr="00443032" w:rsidRDefault="007D621B" w:rsidP="00443032">
                              <w:pPr>
                                <w:pStyle w:val="NoSpacing"/>
                                <w:rPr>
                                  <w:sz w:val="20"/>
                                  <w:szCs w:val="20"/>
                                </w:rPr>
                              </w:pPr>
                              <w:r w:rsidRPr="00443032">
                                <w:rPr>
                                  <w:sz w:val="20"/>
                                  <w:szCs w:val="20"/>
                                </w:rPr>
                                <w:t>High risk (&gt;MCSD) deterioration</w:t>
                              </w:r>
                            </w:p>
                          </w:txbxContent>
                        </wps:txbx>
                        <wps:bodyPr wrap="square" rtlCol="0">
                          <a:spAutoFit/>
                        </wps:bodyPr>
                      </wps:wsp>
                      <wps:wsp>
                        <wps:cNvPr id="247" name="Straight Arrow Connector 247"/>
                        <wps:cNvCnPr/>
                        <wps:spPr>
                          <a:xfrm rot="120000" flipV="1">
                            <a:off x="325563" y="4015301"/>
                            <a:ext cx="288289" cy="19540"/>
                          </a:xfrm>
                          <a:prstGeom prst="straightConnector1">
                            <a:avLst/>
                          </a:prstGeom>
                          <a:noFill/>
                          <a:ln w="6350" cap="flat" cmpd="sng" algn="ctr">
                            <a:solidFill>
                              <a:srgbClr val="5B9BD5"/>
                            </a:solidFill>
                            <a:prstDash val="solid"/>
                            <a:miter lim="800000"/>
                            <a:tailEnd type="triangle"/>
                          </a:ln>
                          <a:effectLst/>
                        </wps:spPr>
                        <wps:bodyPr/>
                      </wps:wsp>
                      <wps:wsp>
                        <wps:cNvPr id="248" name="Rectangle 248"/>
                        <wps:cNvSpPr/>
                        <wps:spPr>
                          <a:xfrm>
                            <a:off x="2977479" y="3011290"/>
                            <a:ext cx="1068988" cy="644595"/>
                          </a:xfrm>
                          <a:prstGeom prst="rect">
                            <a:avLst/>
                          </a:prstGeom>
                          <a:solidFill>
                            <a:srgbClr val="ED7D31">
                              <a:lumMod val="60000"/>
                              <a:lumOff val="40000"/>
                            </a:srgbClr>
                          </a:solidFill>
                          <a:ln w="12700" cap="flat" cmpd="sng" algn="ctr">
                            <a:solidFill>
                              <a:sysClr val="windowText" lastClr="000000"/>
                            </a:solidFill>
                            <a:prstDash val="solid"/>
                            <a:miter lim="800000"/>
                          </a:ln>
                          <a:effectLst/>
                        </wps:spPr>
                        <wps:bodyPr rtlCol="0" anchor="ctr"/>
                      </wps:wsp>
                      <wps:wsp>
                        <wps:cNvPr id="249" name="TextBox 142"/>
                        <wps:cNvSpPr txBox="1"/>
                        <wps:spPr>
                          <a:xfrm>
                            <a:off x="2920711" y="3013800"/>
                            <a:ext cx="1125635" cy="640572"/>
                          </a:xfrm>
                          <a:prstGeom prst="rect">
                            <a:avLst/>
                          </a:prstGeom>
                          <a:noFill/>
                        </wps:spPr>
                        <wps:txbx>
                          <w:txbxContent>
                            <w:p w14:paraId="31A1973E" w14:textId="77777777" w:rsidR="007D621B" w:rsidRPr="00443032" w:rsidRDefault="007D621B" w:rsidP="004A50AB">
                              <w:pPr>
                                <w:pStyle w:val="NoSpacing"/>
                                <w:rPr>
                                  <w:sz w:val="18"/>
                                  <w:szCs w:val="18"/>
                                </w:rPr>
                              </w:pPr>
                              <w:r w:rsidRPr="00443032">
                                <w:rPr>
                                  <w:sz w:val="18"/>
                                  <w:szCs w:val="18"/>
                                </w:rPr>
                                <w:t>Notify facility nursing staff and note on care record</w:t>
                              </w:r>
                            </w:p>
                          </w:txbxContent>
                        </wps:txbx>
                        <wps:bodyPr wrap="square" rtlCol="0">
                          <a:spAutoFit/>
                        </wps:bodyPr>
                      </wps:wsp>
                      <wps:wsp>
                        <wps:cNvPr id="250" name="Rectangle 250"/>
                        <wps:cNvSpPr/>
                        <wps:spPr>
                          <a:xfrm>
                            <a:off x="2395735" y="4314483"/>
                            <a:ext cx="876279" cy="565551"/>
                          </a:xfrm>
                          <a:prstGeom prst="rect">
                            <a:avLst/>
                          </a:prstGeom>
                          <a:solidFill>
                            <a:srgbClr val="ED7D31">
                              <a:lumMod val="60000"/>
                              <a:lumOff val="40000"/>
                            </a:srgbClr>
                          </a:solidFill>
                          <a:ln w="12700" cap="flat" cmpd="sng" algn="ctr">
                            <a:solidFill>
                              <a:sysClr val="windowText" lastClr="000000"/>
                            </a:solidFill>
                            <a:prstDash val="solid"/>
                            <a:miter lim="800000"/>
                          </a:ln>
                          <a:effectLst/>
                        </wps:spPr>
                        <wps:bodyPr rtlCol="0" anchor="ctr"/>
                      </wps:wsp>
                      <wps:wsp>
                        <wps:cNvPr id="251" name="TextBox 144"/>
                        <wps:cNvSpPr txBox="1"/>
                        <wps:spPr>
                          <a:xfrm>
                            <a:off x="2395513" y="4335109"/>
                            <a:ext cx="981306" cy="504154"/>
                          </a:xfrm>
                          <a:prstGeom prst="rect">
                            <a:avLst/>
                          </a:prstGeom>
                          <a:noFill/>
                        </wps:spPr>
                        <wps:txbx>
                          <w:txbxContent>
                            <w:p w14:paraId="1F33EE6E" w14:textId="77777777" w:rsidR="007D621B" w:rsidRPr="00443032" w:rsidRDefault="007D621B" w:rsidP="00443032">
                              <w:pPr>
                                <w:pStyle w:val="NoSpacing"/>
                                <w:rPr>
                                  <w:sz w:val="18"/>
                                  <w:szCs w:val="18"/>
                                </w:rPr>
                              </w:pPr>
                              <w:r w:rsidRPr="00443032">
                                <w:rPr>
                                  <w:sz w:val="18"/>
                                  <w:szCs w:val="18"/>
                                </w:rPr>
                                <w:t>Notification to GP or case conference</w:t>
                              </w:r>
                            </w:p>
                          </w:txbxContent>
                        </wps:txbx>
                        <wps:bodyPr wrap="square" rtlCol="0">
                          <a:spAutoFit/>
                        </wps:bodyPr>
                      </wps:wsp>
                      <wps:wsp>
                        <wps:cNvPr id="252" name="Elbow Connector 252"/>
                        <wps:cNvCnPr/>
                        <wps:spPr>
                          <a:xfrm rot="16200000" flipH="1">
                            <a:off x="10390" y="3868119"/>
                            <a:ext cx="864159" cy="323785"/>
                          </a:xfrm>
                          <a:prstGeom prst="bentConnector3">
                            <a:avLst>
                              <a:gd name="adj1" fmla="val 50000"/>
                            </a:avLst>
                          </a:prstGeom>
                          <a:noFill/>
                          <a:ln w="6350" cap="flat" cmpd="sng" algn="ctr">
                            <a:solidFill>
                              <a:srgbClr val="5B9BD5"/>
                            </a:solidFill>
                            <a:prstDash val="solid"/>
                            <a:miter lim="800000"/>
                            <a:tailEnd type="triangle"/>
                          </a:ln>
                          <a:effectLst/>
                        </wps:spPr>
                        <wps:bodyPr/>
                      </wps:wsp>
                      <wps:wsp>
                        <wps:cNvPr id="253" name="Rectangle 253"/>
                        <wps:cNvSpPr/>
                        <wps:spPr>
                          <a:xfrm>
                            <a:off x="2057905" y="874498"/>
                            <a:ext cx="1182841" cy="267932"/>
                          </a:xfrm>
                          <a:prstGeom prst="rect">
                            <a:avLst/>
                          </a:prstGeom>
                          <a:solidFill>
                            <a:srgbClr val="ED7D31">
                              <a:lumMod val="60000"/>
                              <a:lumOff val="40000"/>
                            </a:srgbClr>
                          </a:solidFill>
                          <a:ln w="12700" cap="flat" cmpd="sng" algn="ctr">
                            <a:solidFill>
                              <a:sysClr val="windowText" lastClr="000000"/>
                            </a:solidFill>
                            <a:prstDash val="solid"/>
                            <a:miter lim="800000"/>
                          </a:ln>
                          <a:effectLst/>
                        </wps:spPr>
                        <wps:bodyPr rtlCol="0" anchor="ctr"/>
                      </wps:wsp>
                      <wps:wsp>
                        <wps:cNvPr id="254" name="TextBox 164"/>
                        <wps:cNvSpPr txBox="1"/>
                        <wps:spPr>
                          <a:xfrm>
                            <a:off x="2057905" y="884944"/>
                            <a:ext cx="1268078" cy="246475"/>
                          </a:xfrm>
                          <a:prstGeom prst="rect">
                            <a:avLst/>
                          </a:prstGeom>
                          <a:noFill/>
                        </wps:spPr>
                        <wps:txbx>
                          <w:txbxContent>
                            <w:p w14:paraId="264EC1B0" w14:textId="4C9C2FA5" w:rsidR="007D621B" w:rsidRPr="008E2FA4" w:rsidRDefault="007D621B" w:rsidP="008E2FA4">
                              <w:pPr>
                                <w:pStyle w:val="NoSpacing"/>
                                <w:rPr>
                                  <w:sz w:val="20"/>
                                  <w:szCs w:val="20"/>
                                </w:rPr>
                              </w:pPr>
                              <w:r w:rsidRPr="008E2FA4">
                                <w:rPr>
                                  <w:sz w:val="20"/>
                                  <w:szCs w:val="20"/>
                                </w:rPr>
                                <w:t>Medicine change?</w:t>
                              </w:r>
                            </w:p>
                          </w:txbxContent>
                        </wps:txbx>
                        <wps:bodyPr wrap="square" rtlCol="0">
                          <a:spAutoFit/>
                        </wps:bodyPr>
                      </wps:wsp>
                      <wps:wsp>
                        <wps:cNvPr id="255" name="Rectangle 255"/>
                        <wps:cNvSpPr/>
                        <wps:spPr>
                          <a:xfrm>
                            <a:off x="1608971" y="1034214"/>
                            <a:ext cx="494702" cy="210136"/>
                          </a:xfrm>
                          <a:prstGeom prst="rect">
                            <a:avLst/>
                          </a:prstGeom>
                          <a:solidFill>
                            <a:srgbClr val="70AD47">
                              <a:lumMod val="40000"/>
                              <a:lumOff val="60000"/>
                            </a:srgbClr>
                          </a:solidFill>
                          <a:ln w="12700" cap="flat" cmpd="sng" algn="ctr">
                            <a:solidFill>
                              <a:sysClr val="windowText" lastClr="000000"/>
                            </a:solidFill>
                            <a:prstDash val="solid"/>
                            <a:miter lim="800000"/>
                          </a:ln>
                          <a:effectLst/>
                        </wps:spPr>
                        <wps:bodyPr rtlCol="0" anchor="ctr"/>
                      </wps:wsp>
                      <wps:wsp>
                        <wps:cNvPr id="256" name="Rectangle 256"/>
                        <wps:cNvSpPr/>
                        <wps:spPr>
                          <a:xfrm>
                            <a:off x="4443706" y="2333457"/>
                            <a:ext cx="494702" cy="210136"/>
                          </a:xfrm>
                          <a:prstGeom prst="rect">
                            <a:avLst/>
                          </a:prstGeom>
                          <a:solidFill>
                            <a:srgbClr val="E7E6E6">
                              <a:lumMod val="90000"/>
                            </a:srgbClr>
                          </a:solidFill>
                          <a:ln w="12700" cap="flat" cmpd="sng" algn="ctr">
                            <a:solidFill>
                              <a:sysClr val="windowText" lastClr="000000"/>
                            </a:solidFill>
                            <a:prstDash val="solid"/>
                            <a:miter lim="800000"/>
                          </a:ln>
                          <a:effectLst/>
                        </wps:spPr>
                        <wps:bodyPr rtlCol="0" anchor="ctr"/>
                      </wps:wsp>
                      <wps:wsp>
                        <wps:cNvPr id="257" name="TextBox 58"/>
                        <wps:cNvSpPr txBox="1"/>
                        <wps:spPr>
                          <a:xfrm>
                            <a:off x="4525447" y="2291969"/>
                            <a:ext cx="375651" cy="261633"/>
                          </a:xfrm>
                          <a:prstGeom prst="rect">
                            <a:avLst/>
                          </a:prstGeom>
                          <a:noFill/>
                        </wps:spPr>
                        <wps:txbx>
                          <w:txbxContent>
                            <w:p w14:paraId="36693A9B" w14:textId="77777777" w:rsidR="007D621B" w:rsidRDefault="007D621B" w:rsidP="004A50AB">
                              <w:pPr>
                                <w:pStyle w:val="NoSpacing"/>
                              </w:pPr>
                              <w:r>
                                <w:t>No</w:t>
                              </w:r>
                            </w:p>
                          </w:txbxContent>
                        </wps:txbx>
                        <wps:bodyPr wrap="none" rtlCol="0">
                          <a:spAutoFit/>
                        </wps:bodyPr>
                      </wps:wsp>
                      <wps:wsp>
                        <wps:cNvPr id="258" name="TextBox 55"/>
                        <wps:cNvSpPr txBox="1"/>
                        <wps:spPr>
                          <a:xfrm>
                            <a:off x="1617904" y="1002121"/>
                            <a:ext cx="440236" cy="261633"/>
                          </a:xfrm>
                          <a:prstGeom prst="rect">
                            <a:avLst/>
                          </a:prstGeom>
                          <a:noFill/>
                        </wps:spPr>
                        <wps:txbx>
                          <w:txbxContent>
                            <w:p w14:paraId="7DFA1296" w14:textId="77777777" w:rsidR="007D621B" w:rsidRDefault="007D621B" w:rsidP="008E2FA4">
                              <w:pPr>
                                <w:pStyle w:val="NoSpacing"/>
                              </w:pPr>
                              <w:r>
                                <w:t>Yes</w:t>
                              </w:r>
                            </w:p>
                          </w:txbxContent>
                        </wps:txbx>
                        <wps:bodyPr wrap="none" rtlCol="0">
                          <a:spAutoFit/>
                        </wps:bodyPr>
                      </wps:wsp>
                      <wps:wsp>
                        <wps:cNvPr id="259" name="Straight Arrow Connector 259"/>
                        <wps:cNvCnPr/>
                        <wps:spPr>
                          <a:xfrm>
                            <a:off x="3499704" y="1299548"/>
                            <a:ext cx="167625" cy="106156"/>
                          </a:xfrm>
                          <a:prstGeom prst="straightConnector1">
                            <a:avLst/>
                          </a:prstGeom>
                          <a:noFill/>
                          <a:ln w="6350" cap="flat" cmpd="sng" algn="ctr">
                            <a:solidFill>
                              <a:srgbClr val="5B9BD5"/>
                            </a:solidFill>
                            <a:prstDash val="solid"/>
                            <a:miter lim="800000"/>
                            <a:tailEnd type="triangle"/>
                          </a:ln>
                          <a:effectLst/>
                        </wps:spPr>
                        <wps:bodyPr/>
                      </wps:wsp>
                      <wps:wsp>
                        <wps:cNvPr id="260" name="Rectangle 260"/>
                        <wps:cNvSpPr/>
                        <wps:spPr>
                          <a:xfrm>
                            <a:off x="3190583" y="1420593"/>
                            <a:ext cx="1369720" cy="984891"/>
                          </a:xfrm>
                          <a:prstGeom prst="rect">
                            <a:avLst/>
                          </a:prstGeom>
                          <a:solidFill>
                            <a:srgbClr val="ED7D31">
                              <a:lumMod val="60000"/>
                              <a:lumOff val="40000"/>
                            </a:srgbClr>
                          </a:solidFill>
                          <a:ln w="12700" cap="flat" cmpd="sng" algn="ctr">
                            <a:solidFill>
                              <a:sysClr val="windowText" lastClr="000000"/>
                            </a:solidFill>
                            <a:prstDash val="solid"/>
                            <a:miter lim="800000"/>
                          </a:ln>
                          <a:effectLst/>
                        </wps:spPr>
                        <wps:bodyPr rtlCol="0" anchor="ctr"/>
                      </wps:wsp>
                      <wps:wsp>
                        <wps:cNvPr id="261" name="TextBox 166"/>
                        <wps:cNvSpPr txBox="1"/>
                        <wps:spPr>
                          <a:xfrm>
                            <a:off x="3172627" y="1397451"/>
                            <a:ext cx="1471629" cy="771718"/>
                          </a:xfrm>
                          <a:prstGeom prst="rect">
                            <a:avLst/>
                          </a:prstGeom>
                          <a:noFill/>
                        </wps:spPr>
                        <wps:txbx>
                          <w:txbxContent>
                            <w:p w14:paraId="7DA8133A" w14:textId="3F5461E0" w:rsidR="007D621B" w:rsidRPr="00A34316" w:rsidRDefault="007D621B" w:rsidP="004A50AB">
                              <w:pPr>
                                <w:pStyle w:val="NoSpacing"/>
                              </w:pPr>
                              <w:r w:rsidRPr="00A34316">
                                <w:t xml:space="preserve">Deterioration based on </w:t>
                              </w:r>
                              <w:proofErr w:type="gramStart"/>
                              <w:r w:rsidRPr="00A34316">
                                <w:t>assessments?</w:t>
                              </w:r>
                              <w:proofErr w:type="gramEnd"/>
                            </w:p>
                            <w:p w14:paraId="33F69953" w14:textId="77777777" w:rsidR="007D621B" w:rsidRPr="00A34316" w:rsidRDefault="007D621B" w:rsidP="00853EEA">
                              <w:pPr>
                                <w:pStyle w:val="NoSpacing"/>
                                <w:numPr>
                                  <w:ilvl w:val="0"/>
                                  <w:numId w:val="25"/>
                                </w:numPr>
                                <w:ind w:left="426"/>
                              </w:pPr>
                              <w:r w:rsidRPr="00A34316">
                                <w:t>24 hr activity or grip strength</w:t>
                              </w:r>
                            </w:p>
                          </w:txbxContent>
                        </wps:txbx>
                        <wps:bodyPr wrap="square" rtlCol="0">
                          <a:spAutoFit/>
                        </wps:bodyPr>
                      </wps:wsp>
                      <wps:wsp>
                        <wps:cNvPr id="262" name="Rectangle 262"/>
                        <wps:cNvSpPr/>
                        <wps:spPr>
                          <a:xfrm>
                            <a:off x="2898963" y="2358900"/>
                            <a:ext cx="494702" cy="210136"/>
                          </a:xfrm>
                          <a:prstGeom prst="rect">
                            <a:avLst/>
                          </a:prstGeom>
                          <a:solidFill>
                            <a:srgbClr val="70AD47">
                              <a:lumMod val="40000"/>
                              <a:lumOff val="60000"/>
                            </a:srgbClr>
                          </a:solidFill>
                          <a:ln w="12700" cap="flat" cmpd="sng" algn="ctr">
                            <a:solidFill>
                              <a:sysClr val="windowText" lastClr="000000"/>
                            </a:solidFill>
                            <a:prstDash val="solid"/>
                            <a:miter lim="800000"/>
                          </a:ln>
                          <a:effectLst/>
                        </wps:spPr>
                        <wps:bodyPr rtlCol="0" anchor="ctr"/>
                      </wps:wsp>
                      <wps:wsp>
                        <wps:cNvPr id="263" name="TextBox 62"/>
                        <wps:cNvSpPr txBox="1"/>
                        <wps:spPr>
                          <a:xfrm>
                            <a:off x="2980704" y="2326191"/>
                            <a:ext cx="440236" cy="261633"/>
                          </a:xfrm>
                          <a:prstGeom prst="rect">
                            <a:avLst/>
                          </a:prstGeom>
                          <a:noFill/>
                        </wps:spPr>
                        <wps:txbx>
                          <w:txbxContent>
                            <w:p w14:paraId="1664C55E" w14:textId="77777777" w:rsidR="007D621B" w:rsidRDefault="007D621B" w:rsidP="004A50AB">
                              <w:pPr>
                                <w:pStyle w:val="NoSpacing"/>
                              </w:pPr>
                              <w:r>
                                <w:t>Yes</w:t>
                              </w:r>
                            </w:p>
                          </w:txbxContent>
                        </wps:txbx>
                        <wps:bodyPr wrap="none" rtlCol="0">
                          <a:spAutoFit/>
                        </wps:bodyPr>
                      </wps:wsp>
                      <wps:wsp>
                        <wps:cNvPr id="264" name="Straight Arrow Connector 264"/>
                        <wps:cNvCnPr/>
                        <wps:spPr>
                          <a:xfrm flipH="1">
                            <a:off x="1862418" y="1323065"/>
                            <a:ext cx="84366" cy="116140"/>
                          </a:xfrm>
                          <a:prstGeom prst="straightConnector1">
                            <a:avLst/>
                          </a:prstGeom>
                          <a:noFill/>
                          <a:ln w="6350" cap="flat" cmpd="sng" algn="ctr">
                            <a:solidFill>
                              <a:srgbClr val="5B9BD5"/>
                            </a:solidFill>
                            <a:prstDash val="solid"/>
                            <a:miter lim="800000"/>
                            <a:tailEnd type="triangle"/>
                          </a:ln>
                          <a:effectLst/>
                        </wps:spPr>
                        <wps:bodyPr/>
                      </wps:wsp>
                      <wps:wsp>
                        <wps:cNvPr id="265" name="Rectangle 265"/>
                        <wps:cNvSpPr/>
                        <wps:spPr>
                          <a:xfrm>
                            <a:off x="1087681" y="1397797"/>
                            <a:ext cx="1689462" cy="1267666"/>
                          </a:xfrm>
                          <a:prstGeom prst="rect">
                            <a:avLst/>
                          </a:prstGeom>
                          <a:solidFill>
                            <a:srgbClr val="ED7D31">
                              <a:lumMod val="60000"/>
                              <a:lumOff val="40000"/>
                            </a:srgbClr>
                          </a:solidFill>
                          <a:ln w="12700" cap="flat" cmpd="sng" algn="ctr">
                            <a:solidFill>
                              <a:sysClr val="windowText" lastClr="000000"/>
                            </a:solidFill>
                            <a:prstDash val="solid"/>
                            <a:miter lim="800000"/>
                          </a:ln>
                          <a:effectLst/>
                        </wps:spPr>
                        <wps:bodyPr rtlCol="0" anchor="ctr"/>
                      </wps:wsp>
                      <wps:wsp>
                        <wps:cNvPr id="266" name="Rectangle 266"/>
                        <wps:cNvSpPr/>
                        <wps:spPr>
                          <a:xfrm>
                            <a:off x="2395512" y="2517896"/>
                            <a:ext cx="494702" cy="210136"/>
                          </a:xfrm>
                          <a:prstGeom prst="rect">
                            <a:avLst/>
                          </a:prstGeom>
                          <a:solidFill>
                            <a:srgbClr val="E7E6E6">
                              <a:lumMod val="90000"/>
                            </a:srgbClr>
                          </a:solidFill>
                          <a:ln w="12700" cap="flat" cmpd="sng" algn="ctr">
                            <a:solidFill>
                              <a:sysClr val="windowText" lastClr="000000"/>
                            </a:solidFill>
                            <a:prstDash val="solid"/>
                            <a:miter lim="800000"/>
                          </a:ln>
                          <a:effectLst/>
                        </wps:spPr>
                        <wps:bodyPr rtlCol="0" anchor="ctr"/>
                      </wps:wsp>
                      <wps:wsp>
                        <wps:cNvPr id="267" name="TextBox 147"/>
                        <wps:cNvSpPr txBox="1"/>
                        <wps:spPr>
                          <a:xfrm>
                            <a:off x="1087681" y="1373106"/>
                            <a:ext cx="1726017" cy="1230400"/>
                          </a:xfrm>
                          <a:prstGeom prst="rect">
                            <a:avLst/>
                          </a:prstGeom>
                          <a:noFill/>
                        </wps:spPr>
                        <wps:txbx>
                          <w:txbxContent>
                            <w:p w14:paraId="32F4742D" w14:textId="77777777" w:rsidR="007D621B" w:rsidRPr="00A34316" w:rsidRDefault="007D621B" w:rsidP="008E2FA4">
                              <w:pPr>
                                <w:pStyle w:val="NoSpacing"/>
                              </w:pPr>
                              <w:r w:rsidRPr="00A34316">
                                <w:t xml:space="preserve">Deterioration based on </w:t>
                              </w:r>
                              <w:proofErr w:type="gramStart"/>
                              <w:r w:rsidRPr="00A34316">
                                <w:t>assessments?:</w:t>
                              </w:r>
                              <w:proofErr w:type="gramEnd"/>
                            </w:p>
                            <w:p w14:paraId="6719B1B2" w14:textId="77777777" w:rsidR="007D621B" w:rsidRPr="004A50AB" w:rsidRDefault="007D621B" w:rsidP="00853EEA">
                              <w:pPr>
                                <w:pStyle w:val="NoSpacing"/>
                                <w:numPr>
                                  <w:ilvl w:val="0"/>
                                  <w:numId w:val="24"/>
                                </w:numPr>
                                <w:ind w:left="426"/>
                                <w:rPr>
                                  <w:sz w:val="20"/>
                                  <w:szCs w:val="20"/>
                                </w:rPr>
                              </w:pPr>
                              <w:r w:rsidRPr="004A50AB">
                                <w:rPr>
                                  <w:sz w:val="20"/>
                                  <w:szCs w:val="20"/>
                                </w:rPr>
                                <w:t>24 hr activity</w:t>
                              </w:r>
                            </w:p>
                            <w:p w14:paraId="5FC2E137" w14:textId="77777777" w:rsidR="007D621B" w:rsidRPr="004A50AB" w:rsidRDefault="007D621B" w:rsidP="00853EEA">
                              <w:pPr>
                                <w:pStyle w:val="NoSpacing"/>
                                <w:numPr>
                                  <w:ilvl w:val="0"/>
                                  <w:numId w:val="24"/>
                                </w:numPr>
                                <w:ind w:left="426"/>
                                <w:rPr>
                                  <w:sz w:val="20"/>
                                  <w:szCs w:val="20"/>
                                </w:rPr>
                              </w:pPr>
                              <w:r w:rsidRPr="004A50AB">
                                <w:rPr>
                                  <w:sz w:val="20"/>
                                  <w:szCs w:val="20"/>
                                </w:rPr>
                                <w:t>Grip strength</w:t>
                              </w:r>
                            </w:p>
                            <w:p w14:paraId="5246D5DE" w14:textId="77777777" w:rsidR="007D621B" w:rsidRPr="004A50AB" w:rsidRDefault="007D621B" w:rsidP="00853EEA">
                              <w:pPr>
                                <w:pStyle w:val="NoSpacing"/>
                                <w:numPr>
                                  <w:ilvl w:val="0"/>
                                  <w:numId w:val="24"/>
                                </w:numPr>
                                <w:ind w:left="426"/>
                                <w:rPr>
                                  <w:sz w:val="20"/>
                                  <w:szCs w:val="20"/>
                                </w:rPr>
                              </w:pPr>
                              <w:r w:rsidRPr="004A50AB">
                                <w:rPr>
                                  <w:sz w:val="20"/>
                                  <w:szCs w:val="20"/>
                                </w:rPr>
                                <w:t>MOCA</w:t>
                              </w:r>
                            </w:p>
                            <w:p w14:paraId="02878C28" w14:textId="469FFE5F" w:rsidR="007D621B" w:rsidRPr="004A50AB" w:rsidRDefault="007D621B" w:rsidP="00853EEA">
                              <w:pPr>
                                <w:pStyle w:val="NoSpacing"/>
                                <w:numPr>
                                  <w:ilvl w:val="0"/>
                                  <w:numId w:val="24"/>
                                </w:numPr>
                                <w:ind w:left="426"/>
                                <w:rPr>
                                  <w:sz w:val="20"/>
                                  <w:szCs w:val="20"/>
                                </w:rPr>
                              </w:pPr>
                              <w:r w:rsidRPr="004A50AB">
                                <w:rPr>
                                  <w:sz w:val="20"/>
                                  <w:szCs w:val="20"/>
                                </w:rPr>
                                <w:t>Resident record (AE)</w:t>
                              </w:r>
                            </w:p>
                            <w:p w14:paraId="25187A3A" w14:textId="65F38AB6" w:rsidR="007D621B" w:rsidRPr="004A50AB" w:rsidRDefault="007D621B" w:rsidP="00853EEA">
                              <w:pPr>
                                <w:pStyle w:val="NoSpacing"/>
                                <w:numPr>
                                  <w:ilvl w:val="0"/>
                                  <w:numId w:val="24"/>
                                </w:numPr>
                                <w:ind w:left="426"/>
                                <w:rPr>
                                  <w:sz w:val="20"/>
                                  <w:szCs w:val="20"/>
                                </w:rPr>
                              </w:pPr>
                              <w:r w:rsidRPr="004A50AB">
                                <w:rPr>
                                  <w:sz w:val="20"/>
                                  <w:szCs w:val="20"/>
                                </w:rPr>
                                <w:t>Self-report (AE)</w:t>
                              </w:r>
                            </w:p>
                          </w:txbxContent>
                        </wps:txbx>
                        <wps:bodyPr wrap="square" rtlCol="0">
                          <a:spAutoFit/>
                        </wps:bodyPr>
                      </wps:wsp>
                      <wps:wsp>
                        <wps:cNvPr id="268" name="Rectangle 268"/>
                        <wps:cNvSpPr/>
                        <wps:spPr>
                          <a:xfrm>
                            <a:off x="656211" y="2455795"/>
                            <a:ext cx="494702" cy="210136"/>
                          </a:xfrm>
                          <a:prstGeom prst="rect">
                            <a:avLst/>
                          </a:prstGeom>
                          <a:solidFill>
                            <a:srgbClr val="70AD47">
                              <a:lumMod val="40000"/>
                              <a:lumOff val="60000"/>
                            </a:srgbClr>
                          </a:solidFill>
                          <a:ln w="12700" cap="flat" cmpd="sng" algn="ctr">
                            <a:solidFill>
                              <a:sysClr val="windowText" lastClr="000000"/>
                            </a:solidFill>
                            <a:prstDash val="solid"/>
                            <a:miter lim="800000"/>
                          </a:ln>
                          <a:effectLst/>
                        </wps:spPr>
                        <wps:bodyPr rtlCol="0" anchor="ctr"/>
                      </wps:wsp>
                      <wps:wsp>
                        <wps:cNvPr id="269" name="TextBox 64"/>
                        <wps:cNvSpPr txBox="1"/>
                        <wps:spPr>
                          <a:xfrm>
                            <a:off x="718722" y="2408470"/>
                            <a:ext cx="440236" cy="261633"/>
                          </a:xfrm>
                          <a:prstGeom prst="rect">
                            <a:avLst/>
                          </a:prstGeom>
                          <a:noFill/>
                        </wps:spPr>
                        <wps:txbx>
                          <w:txbxContent>
                            <w:p w14:paraId="3715D68B" w14:textId="77777777" w:rsidR="007D621B" w:rsidRDefault="007D621B" w:rsidP="004A50AB">
                              <w:pPr>
                                <w:pStyle w:val="NoSpacing"/>
                              </w:pPr>
                              <w:r>
                                <w:t>Yes</w:t>
                              </w:r>
                            </w:p>
                          </w:txbxContent>
                        </wps:txbx>
                        <wps:bodyPr wrap="none" rtlCol="0">
                          <a:spAutoFit/>
                        </wps:bodyPr>
                      </wps:wsp>
                      <wps:wsp>
                        <wps:cNvPr id="270" name="Elbow Connector 270"/>
                        <wps:cNvCnPr/>
                        <wps:spPr>
                          <a:xfrm rot="16200000" flipV="1">
                            <a:off x="3362994" y="885866"/>
                            <a:ext cx="1844749" cy="952305"/>
                          </a:xfrm>
                          <a:prstGeom prst="bentConnector3">
                            <a:avLst>
                              <a:gd name="adj1" fmla="val 100044"/>
                            </a:avLst>
                          </a:prstGeom>
                          <a:noFill/>
                          <a:ln w="6350" cap="flat" cmpd="sng" algn="ctr">
                            <a:solidFill>
                              <a:srgbClr val="5B9BD5"/>
                            </a:solidFill>
                            <a:prstDash val="solid"/>
                            <a:miter lim="800000"/>
                            <a:tailEnd type="triangle"/>
                          </a:ln>
                          <a:effectLst/>
                        </wps:spPr>
                        <wps:bodyPr/>
                      </wps:wsp>
                      <wps:wsp>
                        <wps:cNvPr id="271" name="Rectangle 271"/>
                        <wps:cNvSpPr/>
                        <wps:spPr>
                          <a:xfrm>
                            <a:off x="488695" y="2847330"/>
                            <a:ext cx="1259783" cy="725206"/>
                          </a:xfrm>
                          <a:prstGeom prst="rect">
                            <a:avLst/>
                          </a:prstGeom>
                          <a:solidFill>
                            <a:srgbClr val="ED7D31">
                              <a:lumMod val="60000"/>
                              <a:lumOff val="40000"/>
                            </a:srgbClr>
                          </a:solidFill>
                          <a:ln w="12700" cap="flat" cmpd="sng" algn="ctr">
                            <a:solidFill>
                              <a:sysClr val="windowText" lastClr="000000"/>
                            </a:solidFill>
                            <a:prstDash val="solid"/>
                            <a:miter lim="800000"/>
                          </a:ln>
                          <a:effectLst/>
                        </wps:spPr>
                        <wps:bodyPr rtlCol="0" anchor="ctr"/>
                      </wps:wsp>
                      <wps:wsp>
                        <wps:cNvPr id="272" name="Rectangle 272"/>
                        <wps:cNvSpPr/>
                        <wps:spPr>
                          <a:xfrm>
                            <a:off x="1480837" y="3496214"/>
                            <a:ext cx="494702" cy="210136"/>
                          </a:xfrm>
                          <a:prstGeom prst="rect">
                            <a:avLst/>
                          </a:prstGeom>
                          <a:solidFill>
                            <a:srgbClr val="E7E6E6">
                              <a:lumMod val="90000"/>
                            </a:srgbClr>
                          </a:solidFill>
                          <a:ln w="12700" cap="flat" cmpd="sng" algn="ctr">
                            <a:solidFill>
                              <a:sysClr val="windowText" lastClr="000000"/>
                            </a:solidFill>
                            <a:prstDash val="solid"/>
                            <a:miter lim="800000"/>
                          </a:ln>
                          <a:effectLst/>
                        </wps:spPr>
                        <wps:bodyPr rtlCol="0" anchor="ctr"/>
                      </wps:wsp>
                      <wps:wsp>
                        <wps:cNvPr id="273" name="TextBox 116"/>
                        <wps:cNvSpPr txBox="1"/>
                        <wps:spPr>
                          <a:xfrm>
                            <a:off x="527119" y="2827513"/>
                            <a:ext cx="1155950" cy="701203"/>
                          </a:xfrm>
                          <a:prstGeom prst="rect">
                            <a:avLst/>
                          </a:prstGeom>
                          <a:noFill/>
                        </wps:spPr>
                        <wps:txbx>
                          <w:txbxContent>
                            <w:p w14:paraId="5BD46A50" w14:textId="77777777" w:rsidR="007D621B" w:rsidRPr="004A50AB" w:rsidRDefault="007D621B" w:rsidP="004A50AB">
                              <w:pPr>
                                <w:pStyle w:val="NoSpacing"/>
                                <w:rPr>
                                  <w:sz w:val="20"/>
                                  <w:szCs w:val="20"/>
                                </w:rPr>
                              </w:pPr>
                              <w:r w:rsidRPr="004A50AB">
                                <w:rPr>
                                  <w:sz w:val="20"/>
                                  <w:szCs w:val="20"/>
                                </w:rPr>
                                <w:t>Medicine-induced change or medicine issue identified?</w:t>
                              </w:r>
                            </w:p>
                          </w:txbxContent>
                        </wps:txbx>
                        <wps:bodyPr wrap="square" rtlCol="0">
                          <a:spAutoFit/>
                        </wps:bodyPr>
                      </wps:wsp>
                      <wps:wsp>
                        <wps:cNvPr id="274" name="Rectangle 274"/>
                        <wps:cNvSpPr/>
                        <wps:spPr>
                          <a:xfrm>
                            <a:off x="176090" y="3565624"/>
                            <a:ext cx="494702" cy="210136"/>
                          </a:xfrm>
                          <a:prstGeom prst="rect">
                            <a:avLst/>
                          </a:prstGeom>
                          <a:solidFill>
                            <a:srgbClr val="70AD47">
                              <a:lumMod val="40000"/>
                              <a:lumOff val="60000"/>
                            </a:srgbClr>
                          </a:solidFill>
                          <a:ln w="12700" cap="flat" cmpd="sng" algn="ctr">
                            <a:solidFill>
                              <a:sysClr val="windowText" lastClr="000000"/>
                            </a:solidFill>
                            <a:prstDash val="solid"/>
                            <a:miter lim="800000"/>
                          </a:ln>
                          <a:effectLst/>
                        </wps:spPr>
                        <wps:bodyPr rtlCol="0" anchor="ctr"/>
                      </wps:wsp>
                      <wps:wsp>
                        <wps:cNvPr id="275" name="TextBox 83"/>
                        <wps:cNvSpPr txBox="1"/>
                        <wps:spPr>
                          <a:xfrm>
                            <a:off x="198248" y="3527147"/>
                            <a:ext cx="440236" cy="261633"/>
                          </a:xfrm>
                          <a:prstGeom prst="rect">
                            <a:avLst/>
                          </a:prstGeom>
                          <a:noFill/>
                        </wps:spPr>
                        <wps:txbx>
                          <w:txbxContent>
                            <w:p w14:paraId="7EFF5467" w14:textId="77777777" w:rsidR="007D621B" w:rsidRDefault="007D621B" w:rsidP="00443032">
                              <w:pPr>
                                <w:pStyle w:val="NoSpacing"/>
                              </w:pPr>
                              <w:r>
                                <w:t>Yes</w:t>
                              </w:r>
                            </w:p>
                          </w:txbxContent>
                        </wps:txbx>
                        <wps:bodyPr wrap="none" rtlCol="0">
                          <a:spAutoFit/>
                        </wps:bodyPr>
                      </wps:wsp>
                      <wps:wsp>
                        <wps:cNvPr id="276" name="Straight Arrow Connector 276"/>
                        <wps:cNvCnPr/>
                        <wps:spPr>
                          <a:xfrm rot="120000">
                            <a:off x="3153237" y="2560326"/>
                            <a:ext cx="19127" cy="459720"/>
                          </a:xfrm>
                          <a:prstGeom prst="straightConnector1">
                            <a:avLst/>
                          </a:prstGeom>
                          <a:noFill/>
                          <a:ln w="6350" cap="flat" cmpd="sng" algn="ctr">
                            <a:solidFill>
                              <a:srgbClr val="5B9BD5"/>
                            </a:solidFill>
                            <a:prstDash val="solid"/>
                            <a:miter lim="800000"/>
                            <a:tailEnd type="triangle"/>
                          </a:ln>
                          <a:effectLst/>
                        </wps:spPr>
                        <wps:bodyPr/>
                      </wps:wsp>
                      <wps:wsp>
                        <wps:cNvPr id="277" name="TextBox 85"/>
                        <wps:cNvSpPr txBox="1"/>
                        <wps:spPr>
                          <a:xfrm>
                            <a:off x="1495334" y="3462705"/>
                            <a:ext cx="375651" cy="261633"/>
                          </a:xfrm>
                          <a:prstGeom prst="rect">
                            <a:avLst/>
                          </a:prstGeom>
                          <a:noFill/>
                        </wps:spPr>
                        <wps:txbx>
                          <w:txbxContent>
                            <w:p w14:paraId="2455EF5A" w14:textId="77777777" w:rsidR="007D621B" w:rsidRDefault="007D621B" w:rsidP="00443032">
                              <w:pPr>
                                <w:pStyle w:val="NoSpacing"/>
                              </w:pPr>
                              <w:r>
                                <w:t>No</w:t>
                              </w:r>
                            </w:p>
                          </w:txbxContent>
                        </wps:txbx>
                        <wps:bodyPr wrap="none" rtlCol="0">
                          <a:spAutoFit/>
                        </wps:bodyPr>
                      </wps:wsp>
                      <wps:wsp>
                        <wps:cNvPr id="278" name="Rectangle 278"/>
                        <wps:cNvSpPr/>
                        <wps:spPr>
                          <a:xfrm>
                            <a:off x="687466" y="3854888"/>
                            <a:ext cx="1366497" cy="328873"/>
                          </a:xfrm>
                          <a:prstGeom prst="rect">
                            <a:avLst/>
                          </a:prstGeom>
                          <a:solidFill>
                            <a:srgbClr val="ED7D31">
                              <a:lumMod val="60000"/>
                              <a:lumOff val="40000"/>
                            </a:srgbClr>
                          </a:solidFill>
                          <a:ln w="12700" cap="flat" cmpd="sng" algn="ctr">
                            <a:solidFill>
                              <a:sysClr val="windowText" lastClr="000000"/>
                            </a:solidFill>
                            <a:prstDash val="solid"/>
                            <a:miter lim="800000"/>
                          </a:ln>
                          <a:effectLst/>
                        </wps:spPr>
                        <wps:bodyPr rtlCol="0" anchor="ctr"/>
                      </wps:wsp>
                      <wps:wsp>
                        <wps:cNvPr id="279" name="TextBox 99"/>
                        <wps:cNvSpPr txBox="1"/>
                        <wps:spPr>
                          <a:xfrm>
                            <a:off x="700891" y="3829771"/>
                            <a:ext cx="1507876" cy="398051"/>
                          </a:xfrm>
                          <a:prstGeom prst="rect">
                            <a:avLst/>
                          </a:prstGeom>
                          <a:noFill/>
                        </wps:spPr>
                        <wps:txbx>
                          <w:txbxContent>
                            <w:p w14:paraId="0FCC13F5" w14:textId="4839934C" w:rsidR="007D621B" w:rsidRPr="00443032" w:rsidRDefault="007D621B" w:rsidP="00443032">
                              <w:pPr>
                                <w:pStyle w:val="NoSpacing"/>
                                <w:rPr>
                                  <w:sz w:val="20"/>
                                  <w:szCs w:val="20"/>
                                </w:rPr>
                              </w:pPr>
                              <w:r w:rsidRPr="00443032">
                                <w:rPr>
                                  <w:sz w:val="20"/>
                                  <w:szCs w:val="20"/>
                                </w:rPr>
                                <w:t>Low risk (&lt;MCSD) deterioration</w:t>
                              </w:r>
                            </w:p>
                          </w:txbxContent>
                        </wps:txbx>
                        <wps:bodyPr wrap="square" rtlCol="0">
                          <a:spAutoFit/>
                        </wps:bodyPr>
                      </wps:wsp>
                      <wps:wsp>
                        <wps:cNvPr id="280" name="Straight Arrow Connector 280"/>
                        <wps:cNvCnPr/>
                        <wps:spPr>
                          <a:xfrm rot="120000" flipV="1">
                            <a:off x="2095591" y="4449639"/>
                            <a:ext cx="288289" cy="19540"/>
                          </a:xfrm>
                          <a:prstGeom prst="straightConnector1">
                            <a:avLst/>
                          </a:prstGeom>
                          <a:noFill/>
                          <a:ln w="6350" cap="flat" cmpd="sng" algn="ctr">
                            <a:solidFill>
                              <a:srgbClr val="5B9BD5"/>
                            </a:solidFill>
                            <a:prstDash val="solid"/>
                            <a:miter lim="800000"/>
                            <a:tailEnd type="triangle"/>
                          </a:ln>
                          <a:effectLst/>
                        </wps:spPr>
                        <wps:bodyPr/>
                      </wps:wsp>
                      <wps:wsp>
                        <wps:cNvPr id="281" name="Rectangle 281"/>
                        <wps:cNvSpPr/>
                        <wps:spPr>
                          <a:xfrm>
                            <a:off x="3561545" y="4204582"/>
                            <a:ext cx="1493200" cy="711885"/>
                          </a:xfrm>
                          <a:prstGeom prst="rect">
                            <a:avLst/>
                          </a:prstGeom>
                          <a:solidFill>
                            <a:srgbClr val="ED7D31">
                              <a:lumMod val="60000"/>
                              <a:lumOff val="40000"/>
                            </a:srgbClr>
                          </a:solidFill>
                          <a:ln w="12700" cap="flat" cmpd="sng" algn="ctr">
                            <a:solidFill>
                              <a:sysClr val="windowText" lastClr="000000"/>
                            </a:solidFill>
                            <a:prstDash val="solid"/>
                            <a:miter lim="800000"/>
                          </a:ln>
                          <a:effectLst/>
                        </wps:spPr>
                        <wps:bodyPr rtlCol="0" anchor="ctr"/>
                      </wps:wsp>
                      <wps:wsp>
                        <wps:cNvPr id="282" name="TextBox 108"/>
                        <wps:cNvSpPr txBox="1"/>
                        <wps:spPr>
                          <a:xfrm>
                            <a:off x="3568795" y="4189055"/>
                            <a:ext cx="1588937" cy="701203"/>
                          </a:xfrm>
                          <a:prstGeom prst="rect">
                            <a:avLst/>
                          </a:prstGeom>
                          <a:noFill/>
                        </wps:spPr>
                        <wps:txbx>
                          <w:txbxContent>
                            <w:p w14:paraId="232663B0" w14:textId="77777777" w:rsidR="007D621B" w:rsidRPr="00443032" w:rsidRDefault="007D621B" w:rsidP="00443032">
                              <w:pPr>
                                <w:pStyle w:val="NoSpacing"/>
                                <w:rPr>
                                  <w:sz w:val="20"/>
                                  <w:szCs w:val="20"/>
                                </w:rPr>
                              </w:pPr>
                              <w:r w:rsidRPr="00443032">
                                <w:rPr>
                                  <w:sz w:val="20"/>
                                  <w:szCs w:val="20"/>
                                </w:rPr>
                                <w:t>Follow up on any implementation of recommendations as part of next session</w:t>
                              </w:r>
                            </w:p>
                          </w:txbxContent>
                        </wps:txbx>
                        <wps:bodyPr wrap="square" rtlCol="0">
                          <a:spAutoFit/>
                        </wps:bodyPr>
                      </wps:wsp>
                      <wps:wsp>
                        <wps:cNvPr id="283" name="Straight Arrow Connector 283"/>
                        <wps:cNvCnPr/>
                        <wps:spPr>
                          <a:xfrm rot="120000" flipV="1">
                            <a:off x="3276081" y="4566838"/>
                            <a:ext cx="288289" cy="19540"/>
                          </a:xfrm>
                          <a:prstGeom prst="straightConnector1">
                            <a:avLst/>
                          </a:prstGeom>
                          <a:noFill/>
                          <a:ln w="6350" cap="flat" cmpd="sng" algn="ctr">
                            <a:solidFill>
                              <a:srgbClr val="5B9BD5"/>
                            </a:solidFill>
                            <a:prstDash val="solid"/>
                            <a:miter lim="800000"/>
                            <a:tailEnd type="triangle"/>
                          </a:ln>
                          <a:effectLst/>
                        </wps:spPr>
                        <wps:bodyPr/>
                      </wps:wsp>
                      <wps:wsp>
                        <wps:cNvPr id="284" name="Elbow Connector 284"/>
                        <wps:cNvCnPr/>
                        <wps:spPr>
                          <a:xfrm rot="16200000" flipV="1">
                            <a:off x="2532711" y="1808255"/>
                            <a:ext cx="4127235" cy="1384978"/>
                          </a:xfrm>
                          <a:prstGeom prst="bentConnector2">
                            <a:avLst/>
                          </a:prstGeom>
                          <a:noFill/>
                          <a:ln w="6350" cap="flat" cmpd="sng" algn="ctr">
                            <a:solidFill>
                              <a:srgbClr val="5B9BD5"/>
                            </a:solidFill>
                            <a:prstDash val="solid"/>
                            <a:miter lim="800000"/>
                            <a:headEnd type="none" w="med" len="med"/>
                            <a:tailEnd type="none" w="med" len="med"/>
                          </a:ln>
                          <a:effectLst/>
                        </wps:spPr>
                        <wps:bodyPr/>
                      </wps:wsp>
                      <wps:wsp>
                        <wps:cNvPr id="285" name="Straight Arrow Connector 285"/>
                        <wps:cNvCnPr/>
                        <wps:spPr>
                          <a:xfrm rot="60000" flipV="1">
                            <a:off x="5052375" y="4559024"/>
                            <a:ext cx="248045" cy="8103"/>
                          </a:xfrm>
                          <a:prstGeom prst="straightConnector1">
                            <a:avLst/>
                          </a:prstGeom>
                          <a:noFill/>
                          <a:ln w="6350" cap="flat" cmpd="sng" algn="ctr">
                            <a:solidFill>
                              <a:srgbClr val="5B9BD5"/>
                            </a:solidFill>
                            <a:prstDash val="solid"/>
                            <a:miter lim="800000"/>
                            <a:headEnd type="none" w="med" len="med"/>
                            <a:tailEnd type="none" w="med" len="med"/>
                          </a:ln>
                          <a:effectLst/>
                        </wps:spPr>
                        <wps:bodyPr/>
                      </wps:wsp>
                      <wps:wsp>
                        <wps:cNvPr id="286" name="Straight Arrow Connector 286"/>
                        <wps:cNvCnPr/>
                        <wps:spPr>
                          <a:xfrm rot="60000" flipV="1">
                            <a:off x="4046466" y="3248316"/>
                            <a:ext cx="1232414" cy="21049"/>
                          </a:xfrm>
                          <a:prstGeom prst="straightConnector1">
                            <a:avLst/>
                          </a:prstGeom>
                          <a:noFill/>
                          <a:ln w="6350" cap="flat" cmpd="sng" algn="ctr">
                            <a:solidFill>
                              <a:srgbClr val="5B9BD5"/>
                            </a:solidFill>
                            <a:prstDash val="solid"/>
                            <a:miter lim="800000"/>
                            <a:tailEnd type="triangle"/>
                          </a:ln>
                          <a:effectLst/>
                        </wps:spPr>
                        <wps:bodyPr/>
                      </wps:wsp>
                      <wps:wsp>
                        <wps:cNvPr id="287" name="Straight Arrow Connector 287"/>
                        <wps:cNvCnPr/>
                        <wps:spPr>
                          <a:xfrm>
                            <a:off x="2053883" y="4006105"/>
                            <a:ext cx="1135515" cy="1681"/>
                          </a:xfrm>
                          <a:prstGeom prst="straightConnector1">
                            <a:avLst/>
                          </a:prstGeom>
                          <a:noFill/>
                          <a:ln w="6350" cap="flat" cmpd="sng" algn="ctr">
                            <a:solidFill>
                              <a:srgbClr val="5B9BD5"/>
                            </a:solidFill>
                            <a:prstDash val="solid"/>
                            <a:miter lim="800000"/>
                            <a:tailEnd type="none"/>
                          </a:ln>
                          <a:effectLst/>
                        </wps:spPr>
                        <wps:bodyPr/>
                      </wps:wsp>
                      <wps:wsp>
                        <wps:cNvPr id="288" name="Elbow Connector 288"/>
                        <wps:cNvCnPr/>
                        <wps:spPr>
                          <a:xfrm>
                            <a:off x="2011597" y="3693505"/>
                            <a:ext cx="3259121" cy="115155"/>
                          </a:xfrm>
                          <a:prstGeom prst="bentConnector3">
                            <a:avLst>
                              <a:gd name="adj1" fmla="val 50000"/>
                            </a:avLst>
                          </a:prstGeom>
                          <a:noFill/>
                          <a:ln w="6350" cap="flat" cmpd="sng" algn="ctr">
                            <a:solidFill>
                              <a:srgbClr val="5B9BD5"/>
                            </a:solidFill>
                            <a:prstDash val="dash"/>
                            <a:miter lim="800000"/>
                            <a:tailEnd type="triangle"/>
                          </a:ln>
                          <a:effectLst/>
                        </wps:spPr>
                        <wps:bodyPr/>
                      </wps:wsp>
                      <wps:wsp>
                        <wps:cNvPr id="289" name="TextBox 69"/>
                        <wps:cNvSpPr txBox="1"/>
                        <wps:spPr>
                          <a:xfrm>
                            <a:off x="2434817" y="2471348"/>
                            <a:ext cx="375651" cy="261633"/>
                          </a:xfrm>
                          <a:prstGeom prst="rect">
                            <a:avLst/>
                          </a:prstGeom>
                          <a:noFill/>
                        </wps:spPr>
                        <wps:txbx>
                          <w:txbxContent>
                            <w:p w14:paraId="12CB2DEF" w14:textId="77777777" w:rsidR="007D621B" w:rsidRDefault="007D621B" w:rsidP="004A50AB">
                              <w:pPr>
                                <w:pStyle w:val="NoSpacing"/>
                              </w:pPr>
                              <w:r>
                                <w:t>No</w:t>
                              </w:r>
                            </w:p>
                          </w:txbxContent>
                        </wps:txbx>
                        <wps:bodyPr wrap="none" rtlCol="0">
                          <a:spAutoFit/>
                        </wps:bodyPr>
                      </wps:wsp>
                      <wps:wsp>
                        <wps:cNvPr id="290" name="Straight Arrow Connector 290"/>
                        <wps:cNvCnPr/>
                        <wps:spPr>
                          <a:xfrm flipV="1">
                            <a:off x="3189398" y="3641619"/>
                            <a:ext cx="0" cy="355291"/>
                          </a:xfrm>
                          <a:prstGeom prst="straightConnector1">
                            <a:avLst/>
                          </a:prstGeom>
                          <a:noFill/>
                          <a:ln w="6350" cap="flat" cmpd="sng" algn="ctr">
                            <a:solidFill>
                              <a:srgbClr val="5B9BD5"/>
                            </a:solidFill>
                            <a:prstDash val="solid"/>
                            <a:miter lim="800000"/>
                            <a:tailEnd type="triangle"/>
                          </a:ln>
                          <a:effectLst/>
                        </wps:spPr>
                        <wps:bodyPr/>
                      </wps:wsp>
                      <wps:wsp>
                        <wps:cNvPr id="291" name="Rectangle 291"/>
                        <wps:cNvSpPr/>
                        <wps:spPr>
                          <a:xfrm>
                            <a:off x="687996" y="4718346"/>
                            <a:ext cx="1366497" cy="328873"/>
                          </a:xfrm>
                          <a:prstGeom prst="rect">
                            <a:avLst/>
                          </a:prstGeom>
                          <a:solidFill>
                            <a:srgbClr val="ED7D31">
                              <a:lumMod val="60000"/>
                              <a:lumOff val="40000"/>
                            </a:srgbClr>
                          </a:solidFill>
                          <a:ln w="12700" cap="flat" cmpd="sng" algn="ctr">
                            <a:solidFill>
                              <a:sysClr val="windowText" lastClr="000000"/>
                            </a:solidFill>
                            <a:prstDash val="solid"/>
                            <a:miter lim="800000"/>
                          </a:ln>
                          <a:effectLst/>
                        </wps:spPr>
                        <wps:bodyPr rtlCol="0" anchor="ctr"/>
                      </wps:wsp>
                      <wps:wsp>
                        <wps:cNvPr id="292" name="TextBox 74"/>
                        <wps:cNvSpPr txBox="1"/>
                        <wps:spPr>
                          <a:xfrm>
                            <a:off x="647876" y="4662814"/>
                            <a:ext cx="1447245" cy="398051"/>
                          </a:xfrm>
                          <a:prstGeom prst="rect">
                            <a:avLst/>
                          </a:prstGeom>
                          <a:noFill/>
                        </wps:spPr>
                        <wps:txbx>
                          <w:txbxContent>
                            <w:p w14:paraId="17ADD8E2" w14:textId="77777777" w:rsidR="007D621B" w:rsidRPr="00443032" w:rsidRDefault="007D621B" w:rsidP="00443032">
                              <w:pPr>
                                <w:pStyle w:val="NoSpacing"/>
                                <w:rPr>
                                  <w:sz w:val="20"/>
                                  <w:szCs w:val="20"/>
                                </w:rPr>
                              </w:pPr>
                              <w:r w:rsidRPr="00443032">
                                <w:rPr>
                                  <w:sz w:val="20"/>
                                  <w:szCs w:val="20"/>
                                </w:rPr>
                                <w:t>Other medication issue</w:t>
                              </w:r>
                            </w:p>
                          </w:txbxContent>
                        </wps:txbx>
                        <wps:bodyPr wrap="square" rtlCol="0">
                          <a:spAutoFit/>
                        </wps:bodyPr>
                      </wps:wsp>
                      <wps:wsp>
                        <wps:cNvPr id="293" name="Straight Arrow Connector 293"/>
                        <wps:cNvCnPr/>
                        <wps:spPr>
                          <a:xfrm rot="120000" flipV="1">
                            <a:off x="2091052" y="4759787"/>
                            <a:ext cx="288289" cy="19540"/>
                          </a:xfrm>
                          <a:prstGeom prst="straightConnector1">
                            <a:avLst/>
                          </a:prstGeom>
                          <a:noFill/>
                          <a:ln w="6350" cap="flat" cmpd="sng" algn="ctr">
                            <a:solidFill>
                              <a:srgbClr val="5B9BD5"/>
                            </a:solidFill>
                            <a:prstDash val="solid"/>
                            <a:miter lim="800000"/>
                            <a:tailEnd type="triangle"/>
                          </a:ln>
                          <a:effectLst/>
                        </wps:spPr>
                        <wps:bodyPr/>
                      </wps:wsp>
                      <wps:wsp>
                        <wps:cNvPr id="294" name="Straight Arrow Connector 294"/>
                        <wps:cNvCnPr/>
                        <wps:spPr>
                          <a:xfrm rot="120000" flipV="1">
                            <a:off x="340217" y="4856569"/>
                            <a:ext cx="288289" cy="19540"/>
                          </a:xfrm>
                          <a:prstGeom prst="straightConnector1">
                            <a:avLst/>
                          </a:prstGeom>
                          <a:noFill/>
                          <a:ln w="6350" cap="flat" cmpd="sng" algn="ctr">
                            <a:solidFill>
                              <a:srgbClr val="5B9BD5"/>
                            </a:solidFill>
                            <a:prstDash val="solid"/>
                            <a:miter lim="800000"/>
                            <a:tailEnd type="triangle"/>
                          </a:ln>
                          <a:effectLst/>
                        </wps:spPr>
                        <wps:bodyPr/>
                      </wps:wsp>
                      <wps:wsp>
                        <wps:cNvPr id="296" name="Straight Connector 296"/>
                        <wps:cNvCnPr/>
                        <wps:spPr>
                          <a:xfrm>
                            <a:off x="314677" y="4028937"/>
                            <a:ext cx="0" cy="850899"/>
                          </a:xfrm>
                          <a:prstGeom prst="line">
                            <a:avLst/>
                          </a:prstGeom>
                          <a:noFill/>
                          <a:ln w="6350" cap="flat" cmpd="sng" algn="ctr">
                            <a:solidFill>
                              <a:srgbClr val="5B9BD5"/>
                            </a:solidFill>
                            <a:prstDash val="solid"/>
                            <a:miter lim="800000"/>
                          </a:ln>
                          <a:effectLst/>
                        </wps:spPr>
                        <wps:bodyPr/>
                      </wps:wsp>
                      <wps:wsp>
                        <wps:cNvPr id="241" name="Rectangle 241"/>
                        <wps:cNvSpPr/>
                        <wps:spPr>
                          <a:xfrm>
                            <a:off x="3162181" y="1056143"/>
                            <a:ext cx="494702" cy="210136"/>
                          </a:xfrm>
                          <a:prstGeom prst="rect">
                            <a:avLst/>
                          </a:prstGeom>
                          <a:solidFill>
                            <a:srgbClr val="E7E6E6">
                              <a:lumMod val="90000"/>
                            </a:srgbClr>
                          </a:solidFill>
                          <a:ln w="12700" cap="flat" cmpd="sng" algn="ctr">
                            <a:solidFill>
                              <a:sysClr val="windowText" lastClr="000000"/>
                            </a:solidFill>
                            <a:prstDash val="solid"/>
                            <a:miter lim="800000"/>
                          </a:ln>
                          <a:effectLst/>
                        </wps:spPr>
                        <wps:bodyPr rtlCol="0" anchor="ctr"/>
                      </wps:wsp>
                      <wps:wsp>
                        <wps:cNvPr id="242" name="TextBox 94"/>
                        <wps:cNvSpPr txBox="1"/>
                        <wps:spPr>
                          <a:xfrm>
                            <a:off x="3219167" y="1008834"/>
                            <a:ext cx="375651" cy="261633"/>
                          </a:xfrm>
                          <a:prstGeom prst="rect">
                            <a:avLst/>
                          </a:prstGeom>
                          <a:noFill/>
                        </wps:spPr>
                        <wps:txbx>
                          <w:txbxContent>
                            <w:p w14:paraId="456852A3" w14:textId="77777777" w:rsidR="007D621B" w:rsidRDefault="007D621B" w:rsidP="008E2FA4">
                              <w:pPr>
                                <w:pStyle w:val="NoSpacing"/>
                              </w:pPr>
                              <w:r>
                                <w:t>No</w:t>
                              </w:r>
                            </w:p>
                          </w:txbxContent>
                        </wps:txbx>
                        <wps:bodyPr wrap="none" rtlCol="0">
                          <a:spAutoFit/>
                        </wps:bodyPr>
                      </wps:wsp>
                    </wpg:wgp>
                  </a:graphicData>
                </a:graphic>
              </wp:inline>
            </w:drawing>
          </mc:Choice>
          <mc:Fallback>
            <w:pict>
              <v:group w14:anchorId="7CF1BFC7" id="Group 8" o:spid="_x0000_s1064" alt="Title: Clinical management algorithm for proposed pharmacist service. - Description: Figure A-3 is a decision support flow chart that indicates how a resident is triaged through the clinical management algorithm for the new ReMInDAR pharmacy service. It also indicates the required actions for each decision pathway. It is a cyclical process as resident reviews are conducted on an 8 weekly basis. &#10;&#10;full alternative text description is provided in alt text hyperlink." style="width:451.45pt;height:388.55pt;mso-position-horizontal-relative:char;mso-position-vertical-relative:line" coordorigin="-1815,1586" coordsize="59504,51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">
                <v:rect id="Rectangle 238" o:spid="_x0000_s1065" style="position:absolute;left:-1815;top:1586;width:59503;height:51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" fillcolor="window" strokecolor="red" strokeweight="2.25pt">
                  <v:stroke dashstyle="3 1"/>
                </v:rect>
                <v:rect id="Rectangle 239" o:spid="_x0000_s1066" style="position:absolute;left:13263;top:2313;width:24829;height:4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" fillcolor="#f4b183" strokecolor="windowText" strokeweight="1pt"/>
                <v:shape id="TextBox 72" o:spid="_x0000_s1067" type="#_x0000_t202" style="position:absolute;left:12966;top:2246;width:24858;height:4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" filled="f" stroked="f">
                  <v:textbox style="mso-fit-shape-to-text:t">
                    <w:txbxContent>
                      <w:p w14:paraId="55A210B8" w14:textId="0BB88656" w:rsidR="007D621B" w:rsidRPr="00A34316" w:rsidRDefault="007D621B" w:rsidP="008E2FA4">
                        <w:pPr>
                          <w:pStyle w:val="NoSpacing"/>
                        </w:pPr>
                        <w:r w:rsidRPr="00A34316">
                          <w:t xml:space="preserve">8 weekly </w:t>
                        </w:r>
                        <w:r>
                          <w:t>p</w:t>
                        </w:r>
                        <w:r w:rsidRPr="00A34316">
                          <w:t xml:space="preserve">harmacist </w:t>
                        </w:r>
                        <w:r>
                          <w:t>service</w:t>
                        </w:r>
                        <w:r w:rsidRPr="00A34316">
                          <w:t xml:space="preserve"> onsite </w:t>
                        </w:r>
                        <w:r>
                          <w:t>for eligible residents</w:t>
                        </w:r>
                      </w:p>
                    </w:txbxContent>
                  </v:textbox>
                </v:shape>
                <v:shape id="Straight Arrow Connector 243" o:spid="_x0000_s1068" type="#_x0000_t32" style="position:absolute;left:26229;top:6673;width:0;height:18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" strokecolor="#5b9bd5" strokeweight=".5pt">
                  <v:stroke endarrow="block" joinstyle="miter"/>
                </v:shape>
                <v:shape id="Straight Arrow Connector 244" o:spid="_x0000_s1069" type="#_x0000_t32" style="position:absolute;left:8995;top:26252;width:0;height:18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" strokecolor="#5b9bd5" strokeweight=".5pt">
                  <v:stroke endarrow="block" joinstyle="miter"/>
                </v:shape>
                <v:rect id="Rectangle 245" o:spid="_x0000_s1070" style="position:absolute;left:6882;top:42950;width:13665;height:3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" fillcolor="#f4b183" strokecolor="windowText" strokeweight="1pt"/>
                <v:shape id="TextBox 122" o:spid="_x0000_s1071" type="#_x0000_t202" style="position:absolute;left:7008;top:42647;width:13537;height:3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" filled="f" stroked="f">
                  <v:textbox style="mso-fit-shape-to-text:t">
                    <w:txbxContent>
                      <w:p w14:paraId="4E37115A" w14:textId="3282BFFE" w:rsidR="007D621B" w:rsidRPr="00443032" w:rsidRDefault="007D621B" w:rsidP="00443032">
                        <w:pPr>
                          <w:pStyle w:val="NoSpacing"/>
                          <w:rPr>
                            <w:sz w:val="20"/>
                            <w:szCs w:val="20"/>
                          </w:rPr>
                        </w:pPr>
                        <w:r w:rsidRPr="00443032">
                          <w:rPr>
                            <w:sz w:val="20"/>
                            <w:szCs w:val="20"/>
                          </w:rPr>
                          <w:t>High risk (&gt;MCSD) deterioration</w:t>
                        </w:r>
                      </w:p>
                    </w:txbxContent>
                  </v:textbox>
                </v:shape>
                <v:shape id="Straight Arrow Connector 247" o:spid="_x0000_s1072" type="#_x0000_t32" style="position:absolute;left:3255;top:40153;width:2883;height:195;rotation:-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" strokecolor="#5b9bd5" strokeweight=".5pt">
                  <v:stroke endarrow="block" joinstyle="miter"/>
                </v:shape>
                <v:rect id="Rectangle 248" o:spid="_x0000_s1073" style="position:absolute;left:29774;top:30112;width:10690;height:6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" fillcolor="#f4b183" strokecolor="windowText" strokeweight="1pt"/>
                <v:shape id="TextBox 142" o:spid="_x0000_s1074" type="#_x0000_t202" style="position:absolute;left:29207;top:30138;width:11256;height:6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" filled="f" stroked="f">
                  <v:textbox style="mso-fit-shape-to-text:t">
                    <w:txbxContent>
                      <w:p w14:paraId="31A1973E" w14:textId="77777777" w:rsidR="007D621B" w:rsidRPr="00443032" w:rsidRDefault="007D621B" w:rsidP="004A50AB">
                        <w:pPr>
                          <w:pStyle w:val="NoSpacing"/>
                          <w:rPr>
                            <w:sz w:val="18"/>
                            <w:szCs w:val="18"/>
                          </w:rPr>
                        </w:pPr>
                        <w:r w:rsidRPr="00443032">
                          <w:rPr>
                            <w:sz w:val="18"/>
                            <w:szCs w:val="18"/>
                          </w:rPr>
                          <w:t>Notify facility nursing staff and note on care record</w:t>
                        </w:r>
                      </w:p>
                    </w:txbxContent>
                  </v:textbox>
                </v:shape>
                <v:rect id="Rectangle 250" o:spid="_x0000_s1075" style="position:absolute;left:23957;top:43144;width:8763;height:5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" fillcolor="#f4b183" strokecolor="windowText" strokeweight="1pt"/>
                <v:shape id="TextBox 144" o:spid="_x0000_s1076" type="#_x0000_t202" style="position:absolute;left:23955;top:43351;width:9813;height:5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" filled="f" stroked="f">
                  <v:textbox style="mso-fit-shape-to-text:t">
                    <w:txbxContent>
                      <w:p w14:paraId="1F33EE6E" w14:textId="77777777" w:rsidR="007D621B" w:rsidRPr="00443032" w:rsidRDefault="007D621B" w:rsidP="00443032">
                        <w:pPr>
                          <w:pStyle w:val="NoSpacing"/>
                          <w:rPr>
                            <w:sz w:val="18"/>
                            <w:szCs w:val="18"/>
                          </w:rPr>
                        </w:pPr>
                        <w:r w:rsidRPr="00443032">
                          <w:rPr>
                            <w:sz w:val="18"/>
                            <w:szCs w:val="18"/>
                          </w:rPr>
                          <w:t>Notification to GP or case conference</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52" o:spid="_x0000_s1077" type="#_x0000_t34" style="position:absolute;left:103;top:38681;width:8641;height:323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" strokecolor="#5b9bd5" strokeweight=".5pt">
                  <v:stroke endarrow="block"/>
                </v:shape>
                <v:rect id="Rectangle 253" o:spid="_x0000_s1078" style="position:absolute;left:20579;top:8744;width:11828;height:2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" fillcolor="#f4b183" strokecolor="windowText" strokeweight="1pt"/>
                <v:shape id="TextBox 164" o:spid="_x0000_s1079" type="#_x0000_t202" style="position:absolute;left:20579;top:8849;width:12680;height:2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" filled="f" stroked="f">
                  <v:textbox style="mso-fit-shape-to-text:t">
                    <w:txbxContent>
                      <w:p w14:paraId="264EC1B0" w14:textId="4C9C2FA5" w:rsidR="007D621B" w:rsidRPr="008E2FA4" w:rsidRDefault="007D621B" w:rsidP="008E2FA4">
                        <w:pPr>
                          <w:pStyle w:val="NoSpacing"/>
                          <w:rPr>
                            <w:sz w:val="20"/>
                            <w:szCs w:val="20"/>
                          </w:rPr>
                        </w:pPr>
                        <w:r w:rsidRPr="008E2FA4">
                          <w:rPr>
                            <w:sz w:val="20"/>
                            <w:szCs w:val="20"/>
                          </w:rPr>
                          <w:t>Medicine change?</w:t>
                        </w:r>
                      </w:p>
                    </w:txbxContent>
                  </v:textbox>
                </v:shape>
                <v:rect id="Rectangle 255" o:spid="_x0000_s1080" style="position:absolute;left:16089;top:10342;width:4947;height:2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" fillcolor="#c5e0b4" strokecolor="windowText" strokeweight="1pt"/>
                <v:rect id="Rectangle 256" o:spid="_x0000_s1081" style="position:absolute;left:44437;top:23334;width:4947;height:2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" fillcolor="#d0cece" strokecolor="windowText" strokeweight="1pt"/>
                <v:shape id="TextBox 58" o:spid="_x0000_s1082" type="#_x0000_t202" style="position:absolute;left:45254;top:22919;width:3756;height:26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" filled="f" stroked="f">
                  <v:textbox style="mso-fit-shape-to-text:t">
                    <w:txbxContent>
                      <w:p w14:paraId="36693A9B" w14:textId="77777777" w:rsidR="007D621B" w:rsidRDefault="007D621B" w:rsidP="004A50AB">
                        <w:pPr>
                          <w:pStyle w:val="NoSpacing"/>
                        </w:pPr>
                        <w:r>
                          <w:t>No</w:t>
                        </w:r>
                      </w:p>
                    </w:txbxContent>
                  </v:textbox>
                </v:shape>
                <v:shape id="TextBox 55" o:spid="_x0000_s1083" type="#_x0000_t202" style="position:absolute;left:16179;top:10021;width:4402;height:26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" filled="f" stroked="f">
                  <v:textbox style="mso-fit-shape-to-text:t">
                    <w:txbxContent>
                      <w:p w14:paraId="7DFA1296" w14:textId="77777777" w:rsidR="007D621B" w:rsidRDefault="007D621B" w:rsidP="008E2FA4">
                        <w:pPr>
                          <w:pStyle w:val="NoSpacing"/>
                        </w:pPr>
                        <w:r>
                          <w:t>Yes</w:t>
                        </w:r>
                      </w:p>
                    </w:txbxContent>
                  </v:textbox>
                </v:shape>
                <v:shape id="Straight Arrow Connector 259" o:spid="_x0000_s1084" type="#_x0000_t32" style="position:absolute;left:34997;top:12995;width:1676;height:10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" strokecolor="#5b9bd5" strokeweight=".5pt">
                  <v:stroke endarrow="block" joinstyle="miter"/>
                </v:shape>
                <v:rect id="Rectangle 260" o:spid="_x0000_s1085" style="position:absolute;left:31905;top:14205;width:13698;height:9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" fillcolor="#f4b183" strokecolor="windowText" strokeweight="1pt"/>
                <v:shape id="TextBox 166" o:spid="_x0000_s1086" type="#_x0000_t202" style="position:absolute;left:31726;top:13974;width:14716;height:7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" filled="f" stroked="f">
                  <v:textbox style="mso-fit-shape-to-text:t">
                    <w:txbxContent>
                      <w:p w14:paraId="7DA8133A" w14:textId="3F5461E0" w:rsidR="007D621B" w:rsidRPr="00A34316" w:rsidRDefault="007D621B" w:rsidP="004A50AB">
                        <w:pPr>
                          <w:pStyle w:val="NoSpacing"/>
                        </w:pPr>
                        <w:r w:rsidRPr="00A34316">
                          <w:t>Deterioration based on assessments?</w:t>
                        </w:r>
                      </w:p>
                      <w:p w14:paraId="33F69953" w14:textId="77777777" w:rsidR="007D621B" w:rsidRPr="00A34316" w:rsidRDefault="007D621B" w:rsidP="00853EEA">
                        <w:pPr>
                          <w:pStyle w:val="NoSpacing"/>
                          <w:numPr>
                            <w:ilvl w:val="0"/>
                            <w:numId w:val="25"/>
                          </w:numPr>
                          <w:ind w:left="426"/>
                        </w:pPr>
                        <w:r w:rsidRPr="00A34316">
                          <w:t>24 hr activity or grip strength</w:t>
                        </w:r>
                      </w:p>
                    </w:txbxContent>
                  </v:textbox>
                </v:shape>
                <v:rect id="Rectangle 262" o:spid="_x0000_s1087" style="position:absolute;left:28989;top:23589;width:4947;height:2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" fillcolor="#c5e0b4" strokecolor="windowText" strokeweight="1pt"/>
                <v:shape id="TextBox 62" o:spid="_x0000_s1088" type="#_x0000_t202" style="position:absolute;left:29807;top:23261;width:4402;height:26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" filled="f" stroked="f">
                  <v:textbox style="mso-fit-shape-to-text:t">
                    <w:txbxContent>
                      <w:p w14:paraId="1664C55E" w14:textId="77777777" w:rsidR="007D621B" w:rsidRDefault="007D621B" w:rsidP="004A50AB">
                        <w:pPr>
                          <w:pStyle w:val="NoSpacing"/>
                        </w:pPr>
                        <w:r>
                          <w:t>Yes</w:t>
                        </w:r>
                      </w:p>
                    </w:txbxContent>
                  </v:textbox>
                </v:shape>
                <v:shape id="Straight Arrow Connector 264" o:spid="_x0000_s1089" type="#_x0000_t32" style="position:absolute;left:18624;top:13230;width:843;height:11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" strokecolor="#5b9bd5" strokeweight=".5pt">
                  <v:stroke endarrow="block" joinstyle="miter"/>
                </v:shape>
                <v:rect id="Rectangle 265" o:spid="_x0000_s1090" style="position:absolute;left:10876;top:13977;width:16895;height:12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" fillcolor="#f4b183" strokecolor="windowText" strokeweight="1pt"/>
                <v:rect id="Rectangle 266" o:spid="_x0000_s1091" style="position:absolute;left:23955;top:25178;width:4947;height:2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" fillcolor="#d0cece" strokecolor="windowText" strokeweight="1pt"/>
                <v:shape id="TextBox 147" o:spid="_x0000_s1092" type="#_x0000_t202" style="position:absolute;left:10876;top:13731;width:17260;height:12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" filled="f" stroked="f">
                  <v:textbox style="mso-fit-shape-to-text:t">
                    <w:txbxContent>
                      <w:p w14:paraId="32F4742D" w14:textId="77777777" w:rsidR="007D621B" w:rsidRPr="00A34316" w:rsidRDefault="007D621B" w:rsidP="008E2FA4">
                        <w:pPr>
                          <w:pStyle w:val="NoSpacing"/>
                        </w:pPr>
                        <w:r w:rsidRPr="00A34316">
                          <w:t>Deterioration based on assessments?:</w:t>
                        </w:r>
                      </w:p>
                      <w:p w14:paraId="6719B1B2" w14:textId="77777777" w:rsidR="007D621B" w:rsidRPr="004A50AB" w:rsidRDefault="007D621B" w:rsidP="00853EEA">
                        <w:pPr>
                          <w:pStyle w:val="NoSpacing"/>
                          <w:numPr>
                            <w:ilvl w:val="0"/>
                            <w:numId w:val="24"/>
                          </w:numPr>
                          <w:ind w:left="426"/>
                          <w:rPr>
                            <w:sz w:val="20"/>
                            <w:szCs w:val="20"/>
                          </w:rPr>
                        </w:pPr>
                        <w:r w:rsidRPr="004A50AB">
                          <w:rPr>
                            <w:sz w:val="20"/>
                            <w:szCs w:val="20"/>
                          </w:rPr>
                          <w:t>24 hr activity</w:t>
                        </w:r>
                      </w:p>
                      <w:p w14:paraId="5FC2E137" w14:textId="77777777" w:rsidR="007D621B" w:rsidRPr="004A50AB" w:rsidRDefault="007D621B" w:rsidP="00853EEA">
                        <w:pPr>
                          <w:pStyle w:val="NoSpacing"/>
                          <w:numPr>
                            <w:ilvl w:val="0"/>
                            <w:numId w:val="24"/>
                          </w:numPr>
                          <w:ind w:left="426"/>
                          <w:rPr>
                            <w:sz w:val="20"/>
                            <w:szCs w:val="20"/>
                          </w:rPr>
                        </w:pPr>
                        <w:r w:rsidRPr="004A50AB">
                          <w:rPr>
                            <w:sz w:val="20"/>
                            <w:szCs w:val="20"/>
                          </w:rPr>
                          <w:t>Grip strength</w:t>
                        </w:r>
                      </w:p>
                      <w:p w14:paraId="5246D5DE" w14:textId="77777777" w:rsidR="007D621B" w:rsidRPr="004A50AB" w:rsidRDefault="007D621B" w:rsidP="00853EEA">
                        <w:pPr>
                          <w:pStyle w:val="NoSpacing"/>
                          <w:numPr>
                            <w:ilvl w:val="0"/>
                            <w:numId w:val="24"/>
                          </w:numPr>
                          <w:ind w:left="426"/>
                          <w:rPr>
                            <w:sz w:val="20"/>
                            <w:szCs w:val="20"/>
                          </w:rPr>
                        </w:pPr>
                        <w:r w:rsidRPr="004A50AB">
                          <w:rPr>
                            <w:sz w:val="20"/>
                            <w:szCs w:val="20"/>
                          </w:rPr>
                          <w:t>MOCA</w:t>
                        </w:r>
                      </w:p>
                      <w:p w14:paraId="02878C28" w14:textId="469FFE5F" w:rsidR="007D621B" w:rsidRPr="004A50AB" w:rsidRDefault="007D621B" w:rsidP="00853EEA">
                        <w:pPr>
                          <w:pStyle w:val="NoSpacing"/>
                          <w:numPr>
                            <w:ilvl w:val="0"/>
                            <w:numId w:val="24"/>
                          </w:numPr>
                          <w:ind w:left="426"/>
                          <w:rPr>
                            <w:sz w:val="20"/>
                            <w:szCs w:val="20"/>
                          </w:rPr>
                        </w:pPr>
                        <w:r w:rsidRPr="004A50AB">
                          <w:rPr>
                            <w:sz w:val="20"/>
                            <w:szCs w:val="20"/>
                          </w:rPr>
                          <w:t>Resident record (AE)</w:t>
                        </w:r>
                      </w:p>
                      <w:p w14:paraId="25187A3A" w14:textId="65F38AB6" w:rsidR="007D621B" w:rsidRPr="004A50AB" w:rsidRDefault="007D621B" w:rsidP="00853EEA">
                        <w:pPr>
                          <w:pStyle w:val="NoSpacing"/>
                          <w:numPr>
                            <w:ilvl w:val="0"/>
                            <w:numId w:val="24"/>
                          </w:numPr>
                          <w:ind w:left="426"/>
                          <w:rPr>
                            <w:sz w:val="20"/>
                            <w:szCs w:val="20"/>
                          </w:rPr>
                        </w:pPr>
                        <w:r w:rsidRPr="004A50AB">
                          <w:rPr>
                            <w:sz w:val="20"/>
                            <w:szCs w:val="20"/>
                          </w:rPr>
                          <w:t>Self-report (AE)</w:t>
                        </w:r>
                      </w:p>
                    </w:txbxContent>
                  </v:textbox>
                </v:shape>
                <v:rect id="Rectangle 268" o:spid="_x0000_s1093" style="position:absolute;left:6562;top:24557;width:4947;height:2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" fillcolor="#c5e0b4" strokecolor="windowText" strokeweight="1pt"/>
                <v:shape id="TextBox 64" o:spid="_x0000_s1094" type="#_x0000_t202" style="position:absolute;left:7187;top:24084;width:4402;height:26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" filled="f" stroked="f">
                  <v:textbox style="mso-fit-shape-to-text:t">
                    <w:txbxContent>
                      <w:p w14:paraId="3715D68B" w14:textId="77777777" w:rsidR="007D621B" w:rsidRDefault="007D621B" w:rsidP="004A50AB">
                        <w:pPr>
                          <w:pStyle w:val="NoSpacing"/>
                        </w:pPr>
                        <w:r>
                          <w:t>Yes</w:t>
                        </w:r>
                      </w:p>
                    </w:txbxContent>
                  </v:textbox>
                </v:shape>
                <v:shape id="Elbow Connector 270" o:spid="_x0000_s1095" type="#_x0000_t34" style="position:absolute;left:33630;top:8858;width:18447;height:9523;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" adj="21610" strokecolor="#5b9bd5" strokeweight=".5pt">
                  <v:stroke endarrow="block"/>
                </v:shape>
                <v:rect id="Rectangle 271" o:spid="_x0000_s1096" style="position:absolute;left:4886;top:28473;width:12598;height:7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" fillcolor="#f4b183" strokecolor="windowText" strokeweight="1pt"/>
                <v:rect id="Rectangle 272" o:spid="_x0000_s1097" style="position:absolute;left:14808;top:34962;width:4947;height:2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" fillcolor="#d0cece" strokecolor="windowText" strokeweight="1pt"/>
                <v:shape id="TextBox 116" o:spid="_x0000_s1098" type="#_x0000_t202" style="position:absolute;left:5271;top:28275;width:11559;height:7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" filled="f" stroked="f">
                  <v:textbox style="mso-fit-shape-to-text:t">
                    <w:txbxContent>
                      <w:p w14:paraId="5BD46A50" w14:textId="77777777" w:rsidR="007D621B" w:rsidRPr="004A50AB" w:rsidRDefault="007D621B" w:rsidP="004A50AB">
                        <w:pPr>
                          <w:pStyle w:val="NoSpacing"/>
                          <w:rPr>
                            <w:sz w:val="20"/>
                            <w:szCs w:val="20"/>
                          </w:rPr>
                        </w:pPr>
                        <w:r w:rsidRPr="004A50AB">
                          <w:rPr>
                            <w:sz w:val="20"/>
                            <w:szCs w:val="20"/>
                          </w:rPr>
                          <w:t>Medicine-induced change or medicine issue identified?</w:t>
                        </w:r>
                      </w:p>
                    </w:txbxContent>
                  </v:textbox>
                </v:shape>
                <v:rect id="Rectangle 274" o:spid="_x0000_s1099" style="position:absolute;left:1760;top:35656;width:4947;height:2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" fillcolor="#c5e0b4" strokecolor="windowText" strokeweight="1pt"/>
                <v:shape id="TextBox 83" o:spid="_x0000_s1100" type="#_x0000_t202" style="position:absolute;left:1982;top:35271;width:4402;height:26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" filled="f" stroked="f">
                  <v:textbox style="mso-fit-shape-to-text:t">
                    <w:txbxContent>
                      <w:p w14:paraId="7EFF5467" w14:textId="77777777" w:rsidR="007D621B" w:rsidRDefault="007D621B" w:rsidP="00443032">
                        <w:pPr>
                          <w:pStyle w:val="NoSpacing"/>
                        </w:pPr>
                        <w:r>
                          <w:t>Yes</w:t>
                        </w:r>
                      </w:p>
                    </w:txbxContent>
                  </v:textbox>
                </v:shape>
                <v:shape id="Straight Arrow Connector 276" o:spid="_x0000_s1101" type="#_x0000_t32" style="position:absolute;left:31532;top:25603;width:191;height:4597;rotation: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" strokecolor="#5b9bd5" strokeweight=".5pt">
                  <v:stroke endarrow="block" joinstyle="miter"/>
                </v:shape>
                <v:shape id="TextBox 85" o:spid="_x0000_s1102" type="#_x0000_t202" style="position:absolute;left:14953;top:34627;width:3756;height:26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" filled="f" stroked="f">
                  <v:textbox style="mso-fit-shape-to-text:t">
                    <w:txbxContent>
                      <w:p w14:paraId="2455EF5A" w14:textId="77777777" w:rsidR="007D621B" w:rsidRDefault="007D621B" w:rsidP="00443032">
                        <w:pPr>
                          <w:pStyle w:val="NoSpacing"/>
                        </w:pPr>
                        <w:r>
                          <w:t>No</w:t>
                        </w:r>
                      </w:p>
                    </w:txbxContent>
                  </v:textbox>
                </v:shape>
                <v:rect id="Rectangle 278" o:spid="_x0000_s1103" style="position:absolute;left:6874;top:38548;width:13665;height:3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" fillcolor="#f4b183" strokecolor="windowText" strokeweight="1pt"/>
                <v:shape id="TextBox 99" o:spid="_x0000_s1104" type="#_x0000_t202" style="position:absolute;left:7008;top:38297;width:15079;height:3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" filled="f" stroked="f">
                  <v:textbox style="mso-fit-shape-to-text:t">
                    <w:txbxContent>
                      <w:p w14:paraId="0FCC13F5" w14:textId="4839934C" w:rsidR="007D621B" w:rsidRPr="00443032" w:rsidRDefault="007D621B" w:rsidP="00443032">
                        <w:pPr>
                          <w:pStyle w:val="NoSpacing"/>
                          <w:rPr>
                            <w:sz w:val="20"/>
                            <w:szCs w:val="20"/>
                          </w:rPr>
                        </w:pPr>
                        <w:r w:rsidRPr="00443032">
                          <w:rPr>
                            <w:sz w:val="20"/>
                            <w:szCs w:val="20"/>
                          </w:rPr>
                          <w:t>Low risk (&lt;MCSD) deterioration</w:t>
                        </w:r>
                      </w:p>
                    </w:txbxContent>
                  </v:textbox>
                </v:shape>
                <v:shape id="Straight Arrow Connector 280" o:spid="_x0000_s1105" type="#_x0000_t32" style="position:absolute;left:20955;top:44496;width:2883;height:195;rotation:-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" strokecolor="#5b9bd5" strokeweight=".5pt">
                  <v:stroke endarrow="block" joinstyle="miter"/>
                </v:shape>
                <v:rect id="Rectangle 281" o:spid="_x0000_s1106" style="position:absolute;left:35615;top:42045;width:14932;height:71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" fillcolor="#f4b183" strokecolor="windowText" strokeweight="1pt"/>
                <v:shape id="TextBox 108" o:spid="_x0000_s1107" type="#_x0000_t202" style="position:absolute;left:35687;top:41890;width:15890;height:7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" filled="f" stroked="f">
                  <v:textbox style="mso-fit-shape-to-text:t">
                    <w:txbxContent>
                      <w:p w14:paraId="232663B0" w14:textId="77777777" w:rsidR="007D621B" w:rsidRPr="00443032" w:rsidRDefault="007D621B" w:rsidP="00443032">
                        <w:pPr>
                          <w:pStyle w:val="NoSpacing"/>
                          <w:rPr>
                            <w:sz w:val="20"/>
                            <w:szCs w:val="20"/>
                          </w:rPr>
                        </w:pPr>
                        <w:r w:rsidRPr="00443032">
                          <w:rPr>
                            <w:sz w:val="20"/>
                            <w:szCs w:val="20"/>
                          </w:rPr>
                          <w:t>Follow up on any implementation of recommendations as part of next session</w:t>
                        </w:r>
                      </w:p>
                    </w:txbxContent>
                  </v:textbox>
                </v:shape>
                <v:shape id="Straight Arrow Connector 283" o:spid="_x0000_s1108" type="#_x0000_t32" style="position:absolute;left:32760;top:45668;width:2883;height:195;rotation:-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" strokecolor="#5b9bd5" strokeweight=".5pt">
                  <v:stroke endarrow="block" joinstyle="miter"/>
                </v:shape>
                <v:shapetype id="_x0000_t33" coordsize="21600,21600" o:spt="33" o:oned="t" path="m,l21600,r,21600e" filled="f">
                  <v:stroke joinstyle="miter"/>
                  <v:path arrowok="t" fillok="f" o:connecttype="none"/>
                  <o:lock v:ext="edit" shapetype="t"/>
                </v:shapetype>
                <v:shape id="Elbow Connector 284" o:spid="_x0000_s1109" type="#_x0000_t33" style="position:absolute;left:25327;top:18082;width:41272;height:1385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" strokecolor="#5b9bd5" strokeweight=".5pt"/>
                <v:shape id="Straight Arrow Connector 285" o:spid="_x0000_s1110" type="#_x0000_t32" style="position:absolute;left:50523;top:45590;width:2481;height:81;rotation:-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" strokecolor="#5b9bd5" strokeweight=".5pt">
                  <v:stroke joinstyle="miter"/>
                </v:shape>
                <v:shape id="Straight Arrow Connector 286" o:spid="_x0000_s1111" type="#_x0000_t32" style="position:absolute;left:40464;top:32483;width:12324;height:210;rotation:-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" strokecolor="#5b9bd5" strokeweight=".5pt">
                  <v:stroke endarrow="block" joinstyle="miter"/>
                </v:shape>
                <v:shape id="Straight Arrow Connector 287" o:spid="_x0000_s1112" type="#_x0000_t32" style="position:absolute;left:20538;top:40061;width:11355;height: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" strokecolor="#5b9bd5" strokeweight=".5pt">
                  <v:stroke joinstyle="miter"/>
                </v:shape>
                <v:shape id="Elbow Connector 288" o:spid="_x0000_s1113" type="#_x0000_t34" style="position:absolute;left:20115;top:36935;width:32592;height:115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" strokecolor="#5b9bd5" strokeweight=".5pt">
                  <v:stroke dashstyle="dash" endarrow="block"/>
                </v:shape>
                <v:shape id="TextBox 69" o:spid="_x0000_s1114" type="#_x0000_t202" style="position:absolute;left:24348;top:24713;width:3756;height:26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" filled="f" stroked="f">
                  <v:textbox style="mso-fit-shape-to-text:t">
                    <w:txbxContent>
                      <w:p w14:paraId="12CB2DEF" w14:textId="77777777" w:rsidR="007D621B" w:rsidRDefault="007D621B" w:rsidP="004A50AB">
                        <w:pPr>
                          <w:pStyle w:val="NoSpacing"/>
                        </w:pPr>
                        <w:r>
                          <w:t>No</w:t>
                        </w:r>
                      </w:p>
                    </w:txbxContent>
                  </v:textbox>
                </v:shape>
                <v:shape id="Straight Arrow Connector 290" o:spid="_x0000_s1115" type="#_x0000_t32" style="position:absolute;left:31893;top:36416;width:0;height:35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" strokecolor="#5b9bd5" strokeweight=".5pt">
                  <v:stroke endarrow="block" joinstyle="miter"/>
                </v:shape>
                <v:rect id="Rectangle 291" o:spid="_x0000_s1116" style="position:absolute;left:6879;top:47183;width:13665;height:3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" fillcolor="#f4b183" strokecolor="windowText" strokeweight="1pt"/>
                <v:shape id="TextBox 74" o:spid="_x0000_s1117" type="#_x0000_t202" style="position:absolute;left:6478;top:46628;width:14473;height:3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" filled="f" stroked="f">
                  <v:textbox style="mso-fit-shape-to-text:t">
                    <w:txbxContent>
                      <w:p w14:paraId="17ADD8E2" w14:textId="77777777" w:rsidR="007D621B" w:rsidRPr="00443032" w:rsidRDefault="007D621B" w:rsidP="00443032">
                        <w:pPr>
                          <w:pStyle w:val="NoSpacing"/>
                          <w:rPr>
                            <w:sz w:val="20"/>
                            <w:szCs w:val="20"/>
                          </w:rPr>
                        </w:pPr>
                        <w:r w:rsidRPr="00443032">
                          <w:rPr>
                            <w:sz w:val="20"/>
                            <w:szCs w:val="20"/>
                          </w:rPr>
                          <w:t>Other medication issue</w:t>
                        </w:r>
                      </w:p>
                    </w:txbxContent>
                  </v:textbox>
                </v:shape>
                <v:shape id="Straight Arrow Connector 293" o:spid="_x0000_s1118" type="#_x0000_t32" style="position:absolute;left:20910;top:47597;width:2883;height:196;rotation:-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" strokecolor="#5b9bd5" strokeweight=".5pt">
                  <v:stroke endarrow="block" joinstyle="miter"/>
                </v:shape>
                <v:shape id="Straight Arrow Connector 294" o:spid="_x0000_s1119" type="#_x0000_t32" style="position:absolute;left:3402;top:48565;width:2883;height:196;rotation:-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" strokecolor="#5b9bd5" strokeweight=".5pt">
                  <v:stroke endarrow="block" joinstyle="miter"/>
                </v:shape>
                <v:line id="Straight Connector 296" o:spid="_x0000_s1120" style="position:absolute;visibility:visible;mso-wrap-style:square" from="3146,40289" to="3146,48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" strokecolor="#5b9bd5" strokeweight=".5pt">
                  <v:stroke joinstyle="miter"/>
                </v:line>
                <v:rect id="Rectangle 241" o:spid="_x0000_s1121" style="position:absolute;left:31621;top:10561;width:4947;height:2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" fillcolor="#d0cece" strokecolor="windowText" strokeweight="1pt"/>
                <v:shape id="TextBox 94" o:spid="_x0000_s1122" type="#_x0000_t202" style="position:absolute;left:32191;top:10088;width:3757;height:26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" filled="f" stroked="f">
                  <v:textbox style="mso-fit-shape-to-text:t">
                    <w:txbxContent>
                      <w:p w14:paraId="456852A3" w14:textId="77777777" w:rsidR="007D621B" w:rsidRDefault="007D621B" w:rsidP="008E2FA4">
                        <w:pPr>
                          <w:pStyle w:val="NoSpacing"/>
                        </w:pPr>
                        <w:r>
                          <w:t>No</w:t>
                        </w:r>
                      </w:p>
                    </w:txbxContent>
                  </v:textbox>
                </v:shape>
                <w10:anchorlock/>
              </v:group>
            </w:pict>
          </mc:Fallback>
        </mc:AlternateContent>
      </w:r>
    </w:p>
    <w:p w14:paraId="285CB0AF" w14:textId="77777777" w:rsidR="00B4794B" w:rsidRPr="00F42B1D" w:rsidRDefault="00B4794B" w:rsidP="00897C5B">
      <w:pPr>
        <w:pStyle w:val="Caption"/>
      </w:pPr>
      <w:r w:rsidRPr="00F42B1D">
        <w:t>Figure A-3</w:t>
      </w:r>
      <w:r w:rsidRPr="00F42B1D">
        <w:rPr>
          <w:lang w:eastAsia="zh-CN" w:bidi="th-TH"/>
        </w:rPr>
        <w:t>: Clinical management algorithm f</w:t>
      </w:r>
      <w:r>
        <w:rPr>
          <w:lang w:eastAsia="zh-CN" w:bidi="th-TH"/>
        </w:rPr>
        <w:t>or proposed pharmacist service.</w:t>
      </w:r>
    </w:p>
    <w:p w14:paraId="736327D2" w14:textId="5576C83A" w:rsidR="000F4D7B" w:rsidRPr="00F42B1D" w:rsidRDefault="00B4794B" w:rsidP="004B14E9">
      <w:pPr>
        <w:rPr>
          <w:lang w:eastAsia="zh-CN" w:bidi="th-TH"/>
        </w:rPr>
      </w:pPr>
      <w:r w:rsidRPr="00F42B1D">
        <w:rPr>
          <w:lang w:eastAsia="zh-CN" w:bidi="th-TH"/>
        </w:rPr>
        <w:t>Abbreviation: A= adverse event, MCSD = minimum cli</w:t>
      </w:r>
      <w:r w:rsidR="000F4D7B">
        <w:rPr>
          <w:lang w:eastAsia="zh-CN" w:bidi="th-TH"/>
        </w:rPr>
        <w:t>nically significant difference.</w:t>
      </w:r>
    </w:p>
    <w:p w14:paraId="5D248EF5" w14:textId="7823C8B5" w:rsidR="005354F8" w:rsidRPr="00F42B1D" w:rsidRDefault="005354F8" w:rsidP="00857F40">
      <w:pPr>
        <w:pStyle w:val="Heading2-SectionA"/>
      </w:pPr>
      <w:bookmarkStart w:id="117" w:name="_Clinical_Claim"/>
      <w:bookmarkStart w:id="118" w:name="_Toc117758235"/>
      <w:bookmarkEnd w:id="117"/>
      <w:r w:rsidRPr="00F42B1D">
        <w:t>Clinical Claim</w:t>
      </w:r>
      <w:bookmarkEnd w:id="118"/>
    </w:p>
    <w:p w14:paraId="5E8D24AB" w14:textId="049CCBC8" w:rsidR="001E07A9" w:rsidRPr="00F42B1D" w:rsidRDefault="001E07A9" w:rsidP="007501B9">
      <w:r w:rsidRPr="00F42B1D">
        <w:t>The clinic</w:t>
      </w:r>
      <w:r w:rsidR="003E2CBB" w:rsidRPr="00F42B1D">
        <w:t>al claim is that the pharmacist-</w:t>
      </w:r>
      <w:r w:rsidRPr="00F42B1D">
        <w:t xml:space="preserve">led intervention is more effective than usual care for </w:t>
      </w:r>
      <w:r w:rsidR="009570C9">
        <w:t>reducing medicine induced deterioration</w:t>
      </w:r>
      <w:r w:rsidR="00E024EC">
        <w:t xml:space="preserve"> in persons resident in aged care w</w:t>
      </w:r>
      <w:r w:rsidR="000F4D7B">
        <w:t>ho have a cognition score 18 or</w:t>
      </w:r>
      <w:r w:rsidR="00E024EC">
        <w:t xml:space="preserve"> higher </w:t>
      </w:r>
      <w:r w:rsidR="000F4D7B">
        <w:t xml:space="preserve">(corresponding to no or mild cognitive impairment) </w:t>
      </w:r>
      <w:r w:rsidR="00E024EC">
        <w:t>and a frailty index score of 0.4 or less</w:t>
      </w:r>
      <w:r w:rsidR="009570C9">
        <w:t xml:space="preserve"> as evidence</w:t>
      </w:r>
      <w:r w:rsidR="00E024EC">
        <w:t>d</w:t>
      </w:r>
      <w:r w:rsidR="009570C9">
        <w:t xml:space="preserve"> by maintenance of </w:t>
      </w:r>
      <w:r w:rsidR="000F4D7B">
        <w:t>cognition.</w:t>
      </w:r>
    </w:p>
    <w:p w14:paraId="624FF8C0" w14:textId="2CC531BE" w:rsidR="00903492" w:rsidRPr="00F42B1D" w:rsidRDefault="00D461C4" w:rsidP="00857F40">
      <w:pPr>
        <w:pStyle w:val="Heading2-SectionA"/>
      </w:pPr>
      <w:bookmarkStart w:id="119" w:name="_Toc117758236"/>
      <w:bookmarkEnd w:id="107"/>
      <w:bookmarkEnd w:id="108"/>
      <w:r w:rsidRPr="00F42B1D">
        <w:t>Summary of the PICO</w:t>
      </w:r>
      <w:bookmarkEnd w:id="119"/>
    </w:p>
    <w:p w14:paraId="3106BE8F" w14:textId="52245CE1" w:rsidR="000F4D7B" w:rsidRDefault="004F36F1" w:rsidP="007501B9">
      <w:r w:rsidRPr="00F42B1D">
        <w:t xml:space="preserve">The Population, Intervention, Comparator and Outcomes (PICO) </w:t>
      </w:r>
      <w:r w:rsidR="00BB381C" w:rsidRPr="00F42B1D">
        <w:t xml:space="preserve">that were pre-specified to guide the </w:t>
      </w:r>
      <w:r w:rsidR="001A5EF8" w:rsidRPr="00F42B1D">
        <w:t>systematic literature review</w:t>
      </w:r>
      <w:r w:rsidR="00F9372D" w:rsidRPr="00F42B1D">
        <w:t xml:space="preserve"> </w:t>
      </w:r>
      <w:r w:rsidR="00BB381C" w:rsidRPr="00F42B1D">
        <w:t xml:space="preserve">are presented </w:t>
      </w:r>
      <w:r w:rsidRPr="00F42B1D">
        <w:rPr>
          <w:sz w:val="24"/>
        </w:rPr>
        <w:t xml:space="preserve">in </w:t>
      </w:r>
      <w:r w:rsidR="00255B28" w:rsidRPr="00F42B1D">
        <w:fldChar w:fldCharType="begin"/>
      </w:r>
      <w:r w:rsidR="00255B28" w:rsidRPr="00F42B1D">
        <w:rPr>
          <w:sz w:val="24"/>
        </w:rPr>
        <w:instrText xml:space="preserve"> REF _Ref395200496 \h </w:instrText>
      </w:r>
      <w:r w:rsidR="00361287" w:rsidRPr="00F42B1D">
        <w:instrText xml:space="preserve"> \* MERGEFORMAT </w:instrText>
      </w:r>
      <w:r w:rsidR="00255B28" w:rsidRPr="00F42B1D">
        <w:fldChar w:fldCharType="separate"/>
      </w:r>
      <w:r w:rsidR="00164214" w:rsidRPr="000C65BB">
        <w:t xml:space="preserve">Box </w:t>
      </w:r>
      <w:r w:rsidR="00164214">
        <w:rPr>
          <w:noProof/>
        </w:rPr>
        <w:t>1</w:t>
      </w:r>
      <w:r w:rsidR="00255B28" w:rsidRPr="00F42B1D">
        <w:fldChar w:fldCharType="end"/>
      </w:r>
      <w:r w:rsidRPr="00F42B1D">
        <w:t>.</w:t>
      </w:r>
      <w:r w:rsidR="00207FAE">
        <w:t>(Appendix D)</w:t>
      </w:r>
    </w:p>
    <w:p w14:paraId="2267E087" w14:textId="77777777" w:rsidR="000F4D7B" w:rsidRDefault="000F4D7B" w:rsidP="007501B9">
      <w:r>
        <w:br w:type="page"/>
      </w:r>
    </w:p>
    <w:p w14:paraId="6AC9417F" w14:textId="5A4D1CC1" w:rsidR="004F36F1" w:rsidRPr="000C65BB" w:rsidRDefault="00255B28" w:rsidP="00897C5B">
      <w:pPr>
        <w:pStyle w:val="Caption"/>
      </w:pPr>
      <w:bookmarkStart w:id="120" w:name="_Ref395200496"/>
      <w:bookmarkStart w:id="121" w:name="_Toc393378291"/>
      <w:bookmarkStart w:id="122" w:name="_Toc67918562"/>
      <w:r w:rsidRPr="000C65BB">
        <w:lastRenderedPageBreak/>
        <w:t xml:space="preserve">Box </w:t>
      </w:r>
      <w:fldSimple w:instr=" SEQ Box \* ARABIC ">
        <w:r w:rsidR="00164214">
          <w:rPr>
            <w:noProof/>
          </w:rPr>
          <w:t>1</w:t>
        </w:r>
      </w:fldSimple>
      <w:bookmarkEnd w:id="120"/>
      <w:r w:rsidR="004F36F1" w:rsidRPr="000C65BB">
        <w:tab/>
      </w:r>
      <w:r w:rsidR="001A5EF8" w:rsidRPr="000C65BB">
        <w:t>Criteria</w:t>
      </w:r>
      <w:r w:rsidR="004F36F1" w:rsidRPr="000C65BB">
        <w:t xml:space="preserve"> for </w:t>
      </w:r>
      <w:r w:rsidR="001A5EF8" w:rsidRPr="000C65BB">
        <w:t xml:space="preserve">identifying and selecting studies to </w:t>
      </w:r>
      <w:r w:rsidR="00BB381C" w:rsidRPr="000C65BB">
        <w:t>determin</w:t>
      </w:r>
      <w:r w:rsidR="001A5EF8" w:rsidRPr="000C65BB">
        <w:t>e</w:t>
      </w:r>
      <w:r w:rsidR="00BB381C" w:rsidRPr="000C65BB">
        <w:t xml:space="preserve"> </w:t>
      </w:r>
      <w:r w:rsidR="004F36F1" w:rsidRPr="000C65BB">
        <w:t xml:space="preserve">the safety of </w:t>
      </w:r>
      <w:r w:rsidR="00B70150" w:rsidRPr="000C65BB">
        <w:t>a pharmacist-</w:t>
      </w:r>
      <w:r w:rsidR="001E07A9" w:rsidRPr="000C65BB">
        <w:t>led service</w:t>
      </w:r>
      <w:r w:rsidR="004F36F1" w:rsidRPr="000C65BB">
        <w:t xml:space="preserve"> in </w:t>
      </w:r>
      <w:r w:rsidR="001E07A9" w:rsidRPr="000C65BB">
        <w:t xml:space="preserve">persons resident in </w:t>
      </w:r>
      <w:r w:rsidR="00812C48">
        <w:t>aged care</w:t>
      </w:r>
      <w:r w:rsidR="001E07A9" w:rsidRPr="000C65BB">
        <w:t xml:space="preserve"> taking four or more medicines or at least one medicine with anticholinergic or sedative properties</w:t>
      </w:r>
      <w:bookmarkEnd w:id="121"/>
      <w:bookmarkEnd w:id="122"/>
    </w:p>
    <w:tbl>
      <w:tblPr>
        <w:tblStyle w:val="ListTable3"/>
        <w:tblW w:w="0" w:type="auto"/>
        <w:tblLook w:val="04A0" w:firstRow="1" w:lastRow="0" w:firstColumn="1" w:lastColumn="0" w:noHBand="0" w:noVBand="1"/>
        <w:tblCaption w:val="Box 1 Criteria for identifying and selecting studies to determine the safety of XXX in patients with XXX"/>
        <w:tblDescription w:val="This Box provides the criteria for selecting studies to assess the safety of the new technology."/>
      </w:tblPr>
      <w:tblGrid>
        <w:gridCol w:w="2066"/>
        <w:gridCol w:w="6953"/>
      </w:tblGrid>
      <w:tr w:rsidR="004F36F1" w:rsidRPr="00F42B1D" w14:paraId="2981EF09" w14:textId="77777777" w:rsidTr="008F1E88">
        <w:trPr>
          <w:cnfStyle w:val="100000000000" w:firstRow="1" w:lastRow="0" w:firstColumn="0" w:lastColumn="0" w:oddVBand="0" w:evenVBand="0" w:oddHBand="0" w:evenHBand="0" w:firstRowFirstColumn="0" w:firstRowLastColumn="0" w:lastRowFirstColumn="0" w:lastRowLastColumn="0"/>
          <w:trHeight w:val="261"/>
          <w:tblHeader/>
        </w:trPr>
        <w:tc>
          <w:tcPr>
            <w:cnfStyle w:val="001000000100" w:firstRow="0" w:lastRow="0" w:firstColumn="1" w:lastColumn="0" w:oddVBand="0" w:evenVBand="0" w:oddHBand="0" w:evenHBand="0" w:firstRowFirstColumn="1" w:firstRowLastColumn="0" w:lastRowFirstColumn="0" w:lastRowLastColumn="0"/>
            <w:tcW w:w="2068" w:type="dxa"/>
          </w:tcPr>
          <w:p w14:paraId="45E2A544" w14:textId="77777777" w:rsidR="004F36F1" w:rsidRPr="00477EC4" w:rsidRDefault="004F36F1" w:rsidP="00391CFD">
            <w:pPr>
              <w:pStyle w:val="Tabletext1"/>
              <w:rPr>
                <w:b w:val="0"/>
              </w:rPr>
            </w:pPr>
            <w:bookmarkStart w:id="123" w:name="ColumnTitle_2"/>
            <w:bookmarkEnd w:id="123"/>
            <w:r w:rsidRPr="00477EC4">
              <w:t>Selection criteria</w:t>
            </w:r>
          </w:p>
        </w:tc>
        <w:tc>
          <w:tcPr>
            <w:tcW w:w="6965" w:type="dxa"/>
          </w:tcPr>
          <w:p w14:paraId="22EAEC8F" w14:textId="77777777" w:rsidR="004F36F1" w:rsidRPr="00477EC4" w:rsidRDefault="001A5EF8" w:rsidP="00391CFD">
            <w:pPr>
              <w:pStyle w:val="Tabletext1"/>
              <w:cnfStyle w:val="100000000000" w:firstRow="1" w:lastRow="0" w:firstColumn="0" w:lastColumn="0" w:oddVBand="0" w:evenVBand="0" w:oddHBand="0" w:evenHBand="0" w:firstRowFirstColumn="0" w:firstRowLastColumn="0" w:lastRowFirstColumn="0" w:lastRowLastColumn="0"/>
              <w:rPr>
                <w:b w:val="0"/>
              </w:rPr>
            </w:pPr>
            <w:r w:rsidRPr="00477EC4">
              <w:t>Description</w:t>
            </w:r>
          </w:p>
        </w:tc>
      </w:tr>
      <w:tr w:rsidR="004F36F1" w:rsidRPr="00F42B1D" w14:paraId="3E985661" w14:textId="77777777" w:rsidTr="005B14D9">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068" w:type="dxa"/>
          </w:tcPr>
          <w:p w14:paraId="78BBF1E0" w14:textId="77777777" w:rsidR="004F36F1" w:rsidRPr="005B14D9" w:rsidRDefault="004F36F1" w:rsidP="00391CFD">
            <w:pPr>
              <w:pStyle w:val="Tabletext1"/>
              <w:rPr>
                <w:b w:val="0"/>
                <w:bCs w:val="0"/>
              </w:rPr>
            </w:pPr>
            <w:r w:rsidRPr="005B14D9">
              <w:rPr>
                <w:b w:val="0"/>
                <w:bCs w:val="0"/>
              </w:rPr>
              <w:t>Population</w:t>
            </w:r>
          </w:p>
        </w:tc>
        <w:tc>
          <w:tcPr>
            <w:tcW w:w="6965" w:type="dxa"/>
          </w:tcPr>
          <w:p w14:paraId="2DD06C78" w14:textId="2E396112" w:rsidR="00875D4F" w:rsidRDefault="001E07A9" w:rsidP="00391CFD">
            <w:pPr>
              <w:pStyle w:val="Tabletext1"/>
              <w:cnfStyle w:val="000000100000" w:firstRow="0" w:lastRow="0" w:firstColumn="0" w:lastColumn="0" w:oddVBand="0" w:evenVBand="0" w:oddHBand="1" w:evenHBand="0" w:firstRowFirstColumn="0" w:firstRowLastColumn="0" w:lastRowFirstColumn="0" w:lastRowLastColumn="0"/>
            </w:pPr>
            <w:r w:rsidRPr="00F42B1D">
              <w:t xml:space="preserve">Residents of </w:t>
            </w:r>
            <w:r w:rsidR="00812C48">
              <w:t>aged care</w:t>
            </w:r>
            <w:r w:rsidRPr="00F42B1D">
              <w:t xml:space="preserve"> </w:t>
            </w:r>
            <w:r w:rsidR="004632E6" w:rsidRPr="00F42B1D">
              <w:t>residential facilities</w:t>
            </w:r>
            <w:r w:rsidR="00875D4F">
              <w:t xml:space="preserve"> who:</w:t>
            </w:r>
          </w:p>
          <w:p w14:paraId="26EC872C" w14:textId="64D2D8F2" w:rsidR="00DE002D" w:rsidRDefault="00875D4F" w:rsidP="00853EEA">
            <w:pPr>
              <w:pStyle w:val="Tabletext1"/>
              <w:numPr>
                <w:ilvl w:val="0"/>
                <w:numId w:val="17"/>
              </w:numPr>
              <w:cnfStyle w:val="000000100000" w:firstRow="0" w:lastRow="0" w:firstColumn="0" w:lastColumn="0" w:oddVBand="0" w:evenVBand="0" w:oddHBand="1" w:evenHBand="0" w:firstRowFirstColumn="0" w:firstRowLastColumn="0" w:lastRowFirstColumn="0" w:lastRowLastColumn="0"/>
            </w:pPr>
            <w:r>
              <w:t xml:space="preserve">Are </w:t>
            </w:r>
            <w:r w:rsidR="001E07A9" w:rsidRPr="00F42B1D">
              <w:t>taking four or more medicines or at least one medicine with anticholinergic or sedative properties</w:t>
            </w:r>
            <w:r w:rsidR="00796C29">
              <w:t xml:space="preserve">; </w:t>
            </w:r>
            <w:r>
              <w:t>and</w:t>
            </w:r>
          </w:p>
          <w:p w14:paraId="6004C9A9" w14:textId="155E9A63" w:rsidR="00DE002D" w:rsidRDefault="00796C29" w:rsidP="00853EEA">
            <w:pPr>
              <w:pStyle w:val="Tabletext1"/>
              <w:numPr>
                <w:ilvl w:val="0"/>
                <w:numId w:val="17"/>
              </w:numPr>
              <w:cnfStyle w:val="000000100000" w:firstRow="0" w:lastRow="0" w:firstColumn="0" w:lastColumn="0" w:oddVBand="0" w:evenVBand="0" w:oddHBand="1" w:evenHBand="0" w:firstRowFirstColumn="0" w:firstRowLastColumn="0" w:lastRowFirstColumn="0" w:lastRowLastColumn="0"/>
            </w:pPr>
            <w:r w:rsidRPr="00796C29">
              <w:t>have a cognition score (MoCA) of 18 or higher</w:t>
            </w:r>
            <w:r w:rsidR="00875D4F">
              <w:t xml:space="preserve"> (corresponding to no or mild cognitive impairment)</w:t>
            </w:r>
            <w:r w:rsidR="00EC29A7">
              <w:t>;</w:t>
            </w:r>
            <w:r w:rsidRPr="00796C29">
              <w:t xml:space="preserve"> </w:t>
            </w:r>
            <w:r w:rsidR="00875D4F">
              <w:t>and</w:t>
            </w:r>
          </w:p>
          <w:p w14:paraId="5D3B14C3" w14:textId="4B6043C6" w:rsidR="004F36F1" w:rsidRPr="00F42B1D" w:rsidRDefault="00875D4F" w:rsidP="00853EEA">
            <w:pPr>
              <w:pStyle w:val="Tabletext1"/>
              <w:numPr>
                <w:ilvl w:val="0"/>
                <w:numId w:val="17"/>
              </w:numPr>
              <w:cnfStyle w:val="000000100000" w:firstRow="0" w:lastRow="0" w:firstColumn="0" w:lastColumn="0" w:oddVBand="0" w:evenVBand="0" w:oddHBand="1" w:evenHBand="0" w:firstRowFirstColumn="0" w:firstRowLastColumn="0" w:lastRowFirstColumn="0" w:lastRowLastColumn="0"/>
            </w:pPr>
            <w:r>
              <w:t xml:space="preserve">have </w:t>
            </w:r>
            <w:r w:rsidR="00796C29" w:rsidRPr="00796C29">
              <w:t>a frailty index less than 0.4.</w:t>
            </w:r>
          </w:p>
        </w:tc>
      </w:tr>
      <w:tr w:rsidR="004F36F1" w:rsidRPr="00F42B1D" w14:paraId="1F179C44" w14:textId="77777777" w:rsidTr="005B14D9">
        <w:trPr>
          <w:trHeight w:val="224"/>
        </w:trPr>
        <w:tc>
          <w:tcPr>
            <w:cnfStyle w:val="001000000000" w:firstRow="0" w:lastRow="0" w:firstColumn="1" w:lastColumn="0" w:oddVBand="0" w:evenVBand="0" w:oddHBand="0" w:evenHBand="0" w:firstRowFirstColumn="0" w:firstRowLastColumn="0" w:lastRowFirstColumn="0" w:lastRowLastColumn="0"/>
            <w:tcW w:w="2068" w:type="dxa"/>
          </w:tcPr>
          <w:p w14:paraId="7536A366" w14:textId="77777777" w:rsidR="004F36F1" w:rsidRPr="005B14D9" w:rsidRDefault="004F36F1" w:rsidP="00391CFD">
            <w:pPr>
              <w:pStyle w:val="Tabletext1"/>
              <w:rPr>
                <w:b w:val="0"/>
                <w:bCs w:val="0"/>
              </w:rPr>
            </w:pPr>
            <w:r w:rsidRPr="005B14D9">
              <w:rPr>
                <w:b w:val="0"/>
                <w:bCs w:val="0"/>
              </w:rPr>
              <w:t>Intervention</w:t>
            </w:r>
          </w:p>
        </w:tc>
        <w:tc>
          <w:tcPr>
            <w:tcW w:w="6965" w:type="dxa"/>
          </w:tcPr>
          <w:p w14:paraId="4C2769EE" w14:textId="64BC74E9" w:rsidR="004F36F1" w:rsidRPr="00F42B1D" w:rsidRDefault="00B70150" w:rsidP="00391CFD">
            <w:pPr>
              <w:pStyle w:val="Tabletext1"/>
              <w:cnfStyle w:val="000000000000" w:firstRow="0" w:lastRow="0" w:firstColumn="0" w:lastColumn="0" w:oddVBand="0" w:evenVBand="0" w:oddHBand="0" w:evenHBand="0" w:firstRowFirstColumn="0" w:firstRowLastColumn="0" w:lastRowFirstColumn="0" w:lastRowLastColumn="0"/>
            </w:pPr>
            <w:r w:rsidRPr="00F42B1D">
              <w:t>Regularly delivered</w:t>
            </w:r>
            <w:r w:rsidR="00EC29A7">
              <w:t xml:space="preserve"> (every eight weeks)</w:t>
            </w:r>
            <w:r w:rsidRPr="00F42B1D">
              <w:t xml:space="preserve"> pharmacist-</w:t>
            </w:r>
            <w:r w:rsidR="001E07A9" w:rsidRPr="00F42B1D">
              <w:t xml:space="preserve">led service for preventing </w:t>
            </w:r>
            <w:r w:rsidR="00DF7550" w:rsidRPr="00F42B1D">
              <w:t>medicine-induced</w:t>
            </w:r>
            <w:r w:rsidR="001E07A9" w:rsidRPr="00F42B1D">
              <w:t xml:space="preserve"> deterioration and adverse reactions</w:t>
            </w:r>
          </w:p>
        </w:tc>
      </w:tr>
      <w:tr w:rsidR="004F36F1" w:rsidRPr="00F42B1D" w14:paraId="56802ED2" w14:textId="77777777" w:rsidTr="005B14D9">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2068" w:type="dxa"/>
          </w:tcPr>
          <w:p w14:paraId="67D29725" w14:textId="77777777" w:rsidR="004F36F1" w:rsidRPr="005B14D9" w:rsidRDefault="004F36F1" w:rsidP="00391CFD">
            <w:pPr>
              <w:pStyle w:val="Tabletext1"/>
              <w:rPr>
                <w:b w:val="0"/>
                <w:bCs w:val="0"/>
              </w:rPr>
            </w:pPr>
            <w:r w:rsidRPr="005B14D9">
              <w:rPr>
                <w:b w:val="0"/>
                <w:bCs w:val="0"/>
              </w:rPr>
              <w:t>Comparator</w:t>
            </w:r>
          </w:p>
        </w:tc>
        <w:tc>
          <w:tcPr>
            <w:tcW w:w="6965" w:type="dxa"/>
          </w:tcPr>
          <w:p w14:paraId="14FD5A5C" w14:textId="77777777" w:rsidR="004F36F1" w:rsidRPr="00F42B1D" w:rsidRDefault="001E07A9" w:rsidP="00391CFD">
            <w:pPr>
              <w:pStyle w:val="Tabletext1"/>
              <w:cnfStyle w:val="000000100000" w:firstRow="0" w:lastRow="0" w:firstColumn="0" w:lastColumn="0" w:oddVBand="0" w:evenVBand="0" w:oddHBand="1" w:evenHBand="0" w:firstRowFirstColumn="0" w:firstRowLastColumn="0" w:lastRowFirstColumn="0" w:lastRowLastColumn="0"/>
            </w:pPr>
            <w:r w:rsidRPr="00F42B1D">
              <w:t>Usual care</w:t>
            </w:r>
          </w:p>
        </w:tc>
      </w:tr>
      <w:tr w:rsidR="004F36F1" w:rsidRPr="00F42B1D" w14:paraId="0229A38F" w14:textId="77777777" w:rsidTr="005B14D9">
        <w:trPr>
          <w:trHeight w:val="547"/>
        </w:trPr>
        <w:tc>
          <w:tcPr>
            <w:cnfStyle w:val="001000000000" w:firstRow="0" w:lastRow="0" w:firstColumn="1" w:lastColumn="0" w:oddVBand="0" w:evenVBand="0" w:oddHBand="0" w:evenHBand="0" w:firstRowFirstColumn="0" w:firstRowLastColumn="0" w:lastRowFirstColumn="0" w:lastRowLastColumn="0"/>
            <w:tcW w:w="2068" w:type="dxa"/>
          </w:tcPr>
          <w:p w14:paraId="0E911F5C" w14:textId="77777777" w:rsidR="004F36F1" w:rsidRPr="005B14D9" w:rsidRDefault="004F36F1" w:rsidP="00391CFD">
            <w:pPr>
              <w:pStyle w:val="Tabletext1"/>
              <w:rPr>
                <w:b w:val="0"/>
                <w:bCs w:val="0"/>
              </w:rPr>
            </w:pPr>
            <w:r w:rsidRPr="005B14D9">
              <w:rPr>
                <w:b w:val="0"/>
                <w:bCs w:val="0"/>
              </w:rPr>
              <w:t>Outcomes</w:t>
            </w:r>
          </w:p>
        </w:tc>
        <w:tc>
          <w:tcPr>
            <w:tcW w:w="6965" w:type="dxa"/>
          </w:tcPr>
          <w:p w14:paraId="54A13657" w14:textId="5FB60F0D" w:rsidR="00EC29A7" w:rsidRDefault="00EC29A7" w:rsidP="00853EEA">
            <w:pPr>
              <w:pStyle w:val="Tabletext1"/>
              <w:numPr>
                <w:ilvl w:val="0"/>
                <w:numId w:val="19"/>
              </w:numPr>
              <w:cnfStyle w:val="000000000000" w:firstRow="0" w:lastRow="0" w:firstColumn="0" w:lastColumn="0" w:oddVBand="0" w:evenVBand="0" w:oddHBand="0" w:evenHBand="0" w:firstRowFirstColumn="0" w:firstRowLastColumn="0" w:lastRowFirstColumn="0" w:lastRowLastColumn="0"/>
            </w:pPr>
            <w:r w:rsidRPr="00F42B1D">
              <w:t>Cognition</w:t>
            </w:r>
          </w:p>
          <w:p w14:paraId="666C5909" w14:textId="3D17ED5B" w:rsidR="00EC29A7" w:rsidRPr="00F42B1D" w:rsidRDefault="00EC29A7" w:rsidP="00EC29A7">
            <w:pPr>
              <w:pStyle w:val="Tabletext1"/>
              <w:cnfStyle w:val="000000000000" w:firstRow="0" w:lastRow="0" w:firstColumn="0" w:lastColumn="0" w:oddVBand="0" w:evenVBand="0" w:oddHBand="0" w:evenHBand="0" w:firstRowFirstColumn="0" w:firstRowLastColumn="0" w:lastRowFirstColumn="0" w:lastRowLastColumn="0"/>
            </w:pPr>
            <w:r>
              <w:t>Note: additional outcomes assessed in the trial included</w:t>
            </w:r>
          </w:p>
          <w:p w14:paraId="706CC391" w14:textId="77777777" w:rsidR="00907C6E" w:rsidRPr="00F42B1D" w:rsidRDefault="001E07A9" w:rsidP="00853EEA">
            <w:pPr>
              <w:pStyle w:val="Tabletext1"/>
              <w:numPr>
                <w:ilvl w:val="0"/>
                <w:numId w:val="18"/>
              </w:numPr>
              <w:cnfStyle w:val="000000000000" w:firstRow="0" w:lastRow="0" w:firstColumn="0" w:lastColumn="0" w:oddVBand="0" w:evenVBand="0" w:oddHBand="0" w:evenHBand="0" w:firstRowFirstColumn="0" w:firstRowLastColumn="0" w:lastRowFirstColumn="0" w:lastRowLastColumn="0"/>
            </w:pPr>
            <w:r w:rsidRPr="00F42B1D">
              <w:t>Frailty</w:t>
            </w:r>
          </w:p>
          <w:p w14:paraId="2AF84B2E" w14:textId="77777777" w:rsidR="001E07A9" w:rsidRPr="00F42B1D" w:rsidRDefault="001E07A9" w:rsidP="00853EEA">
            <w:pPr>
              <w:pStyle w:val="Tabletext1"/>
              <w:numPr>
                <w:ilvl w:val="0"/>
                <w:numId w:val="18"/>
              </w:numPr>
              <w:cnfStyle w:val="000000000000" w:firstRow="0" w:lastRow="0" w:firstColumn="0" w:lastColumn="0" w:oddVBand="0" w:evenVBand="0" w:oddHBand="0" w:evenHBand="0" w:firstRowFirstColumn="0" w:firstRowLastColumn="0" w:lastRowFirstColumn="0" w:lastRowLastColumn="0"/>
            </w:pPr>
            <w:r w:rsidRPr="00F42B1D">
              <w:t>Physical Activity</w:t>
            </w:r>
          </w:p>
          <w:p w14:paraId="1E762542" w14:textId="77777777" w:rsidR="009850A6" w:rsidRPr="00F42B1D" w:rsidRDefault="009850A6" w:rsidP="00853EEA">
            <w:pPr>
              <w:pStyle w:val="Tabletext1"/>
              <w:numPr>
                <w:ilvl w:val="0"/>
                <w:numId w:val="18"/>
              </w:numPr>
              <w:cnfStyle w:val="000000000000" w:firstRow="0" w:lastRow="0" w:firstColumn="0" w:lastColumn="0" w:oddVBand="0" w:evenVBand="0" w:oddHBand="0" w:evenHBand="0" w:firstRowFirstColumn="0" w:firstRowLastColumn="0" w:lastRowFirstColumn="0" w:lastRowLastColumn="0"/>
            </w:pPr>
            <w:r w:rsidRPr="00F42B1D">
              <w:t>Grip strength</w:t>
            </w:r>
          </w:p>
          <w:p w14:paraId="1268E4E7" w14:textId="5AE1AB51" w:rsidR="001E07A9" w:rsidRPr="00F42B1D" w:rsidRDefault="001E07A9" w:rsidP="00853EEA">
            <w:pPr>
              <w:pStyle w:val="Tabletext1"/>
              <w:numPr>
                <w:ilvl w:val="0"/>
                <w:numId w:val="18"/>
              </w:numPr>
              <w:cnfStyle w:val="000000000000" w:firstRow="0" w:lastRow="0" w:firstColumn="0" w:lastColumn="0" w:oddVBand="0" w:evenVBand="0" w:oddHBand="0" w:evenHBand="0" w:firstRowFirstColumn="0" w:firstRowLastColumn="0" w:lastRowFirstColumn="0" w:lastRowLastColumn="0"/>
            </w:pPr>
            <w:r w:rsidRPr="00F42B1D">
              <w:t>Weight</w:t>
            </w:r>
          </w:p>
          <w:p w14:paraId="6A615F1D" w14:textId="77777777" w:rsidR="00A31EE8" w:rsidRPr="00F42B1D" w:rsidRDefault="001E07A9" w:rsidP="00853EEA">
            <w:pPr>
              <w:pStyle w:val="Tabletext1"/>
              <w:numPr>
                <w:ilvl w:val="0"/>
                <w:numId w:val="18"/>
              </w:numPr>
              <w:cnfStyle w:val="000000000000" w:firstRow="0" w:lastRow="0" w:firstColumn="0" w:lastColumn="0" w:oddVBand="0" w:evenVBand="0" w:oddHBand="0" w:evenHBand="0" w:firstRowFirstColumn="0" w:firstRowLastColumn="0" w:lastRowFirstColumn="0" w:lastRowLastColumn="0"/>
            </w:pPr>
            <w:r w:rsidRPr="00F42B1D">
              <w:t>EQ-5D</w:t>
            </w:r>
          </w:p>
          <w:p w14:paraId="5D222671" w14:textId="0E6EBC53" w:rsidR="00A31EE8" w:rsidRPr="00F42B1D" w:rsidRDefault="00A31EE8" w:rsidP="00853EEA">
            <w:pPr>
              <w:pStyle w:val="Tabletext1"/>
              <w:numPr>
                <w:ilvl w:val="0"/>
                <w:numId w:val="18"/>
              </w:numPr>
              <w:cnfStyle w:val="000000000000" w:firstRow="0" w:lastRow="0" w:firstColumn="0" w:lastColumn="0" w:oddVBand="0" w:evenVBand="0" w:oddHBand="0" w:evenHBand="0" w:firstRowFirstColumn="0" w:firstRowLastColumn="0" w:lastRowFirstColumn="0" w:lastRowLastColumn="0"/>
            </w:pPr>
            <w:r w:rsidRPr="00F42B1D">
              <w:t>Adverse medicine events</w:t>
            </w:r>
          </w:p>
        </w:tc>
      </w:tr>
      <w:tr w:rsidR="004F36F1" w:rsidRPr="00F42B1D" w14:paraId="1A2C5754" w14:textId="77777777" w:rsidTr="005B14D9">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068" w:type="dxa"/>
          </w:tcPr>
          <w:p w14:paraId="127444A6" w14:textId="77777777" w:rsidR="004F36F1" w:rsidRPr="005B14D9" w:rsidRDefault="004F36F1" w:rsidP="00391CFD">
            <w:pPr>
              <w:pStyle w:val="Tabletext1"/>
              <w:rPr>
                <w:b w:val="0"/>
                <w:bCs w:val="0"/>
              </w:rPr>
            </w:pPr>
            <w:r w:rsidRPr="005B14D9">
              <w:rPr>
                <w:b w:val="0"/>
                <w:bCs w:val="0"/>
              </w:rPr>
              <w:t>Systematic review question</w:t>
            </w:r>
          </w:p>
        </w:tc>
        <w:tc>
          <w:tcPr>
            <w:tcW w:w="6965" w:type="dxa"/>
          </w:tcPr>
          <w:p w14:paraId="117A416B" w14:textId="260F895D" w:rsidR="004F36F1" w:rsidRPr="00F42B1D" w:rsidRDefault="00B70150" w:rsidP="00391CFD">
            <w:pPr>
              <w:pStyle w:val="Tabletext1"/>
              <w:cnfStyle w:val="000000100000" w:firstRow="0" w:lastRow="0" w:firstColumn="0" w:lastColumn="0" w:oddVBand="0" w:evenVBand="0" w:oddHBand="1" w:evenHBand="0" w:firstRowFirstColumn="0" w:firstRowLastColumn="0" w:lastRowFirstColumn="0" w:lastRowLastColumn="0"/>
            </w:pPr>
            <w:r w:rsidRPr="00F42B1D">
              <w:t>Are pharmacist-</w:t>
            </w:r>
            <w:r w:rsidR="00A31EE8" w:rsidRPr="00F42B1D">
              <w:t xml:space="preserve">led services in </w:t>
            </w:r>
            <w:r w:rsidR="00812C48">
              <w:t>aged care</w:t>
            </w:r>
            <w:r w:rsidR="00A31EE8" w:rsidRPr="00F42B1D">
              <w:t xml:space="preserve"> to reduce medicine induced deterioration and adverse medicine events effective</w:t>
            </w:r>
            <w:r w:rsidR="00EC29A7">
              <w:t>?</w:t>
            </w:r>
          </w:p>
        </w:tc>
      </w:tr>
    </w:tbl>
    <w:p w14:paraId="76270CDC" w14:textId="77777777" w:rsidR="00C9014F" w:rsidRPr="00F42B1D" w:rsidRDefault="00C9014F" w:rsidP="007501B9"/>
    <w:p w14:paraId="53255865" w14:textId="77777777" w:rsidR="00C9014F" w:rsidRPr="00183E4D" w:rsidRDefault="00C9014F" w:rsidP="007501B9">
      <w:pPr>
        <w:sectPr w:rsidR="00C9014F" w:rsidRPr="00183E4D" w:rsidSect="0080059D">
          <w:headerReference w:type="even" r:id="rId22"/>
          <w:headerReference w:type="default" r:id="rId23"/>
          <w:headerReference w:type="first" r:id="rId24"/>
          <w:pgSz w:w="11909" w:h="16834" w:code="9"/>
          <w:pgMar w:top="1440" w:right="1440" w:bottom="1440" w:left="1440" w:header="709" w:footer="709" w:gutter="0"/>
          <w:cols w:space="720"/>
        </w:sectPr>
      </w:pPr>
      <w:bookmarkStart w:id="124" w:name="_Ref124760357"/>
    </w:p>
    <w:p w14:paraId="5ABCF9ED" w14:textId="04DB3F01" w:rsidR="008F59A8" w:rsidRPr="00F42B1D" w:rsidRDefault="00AA708D" w:rsidP="00391CFD">
      <w:pPr>
        <w:pStyle w:val="Heading1"/>
      </w:pPr>
      <w:bookmarkStart w:id="125" w:name="_Toc117758237"/>
      <w:bookmarkEnd w:id="124"/>
      <w:r w:rsidRPr="00F42B1D">
        <w:lastRenderedPageBreak/>
        <w:t>Section B</w:t>
      </w:r>
      <w:r w:rsidR="00B35AE6">
        <w:t xml:space="preserve">: </w:t>
      </w:r>
      <w:r w:rsidRPr="00F42B1D">
        <w:t>Clinical Evaluation</w:t>
      </w:r>
      <w:bookmarkEnd w:id="125"/>
      <w:r w:rsidR="008F59A8" w:rsidRPr="00F42B1D">
        <w:t xml:space="preserve"> </w:t>
      </w:r>
    </w:p>
    <w:p w14:paraId="4A3FD9B2" w14:textId="77777777" w:rsidR="00CB3878" w:rsidRPr="00412B17" w:rsidRDefault="00CB3878" w:rsidP="00857F40">
      <w:pPr>
        <w:pStyle w:val="Heading2-SectionB"/>
      </w:pPr>
      <w:bookmarkStart w:id="126" w:name="_Toc117758238"/>
      <w:bookmarkStart w:id="127" w:name="_Toc379118083"/>
      <w:bookmarkStart w:id="128" w:name="_Toc381796462"/>
      <w:bookmarkStart w:id="129" w:name="_Toc381796467"/>
      <w:r w:rsidRPr="00412B17">
        <w:t>Literature Sources and Search Strategies</w:t>
      </w:r>
      <w:bookmarkEnd w:id="126"/>
    </w:p>
    <w:p w14:paraId="0E8F50B7" w14:textId="531100E8" w:rsidR="00CB3878" w:rsidRPr="00435463" w:rsidRDefault="00CB3878" w:rsidP="007501B9">
      <w:r w:rsidRPr="00897B1B">
        <w:t>The medi</w:t>
      </w:r>
      <w:r>
        <w:t xml:space="preserve">cal literature was searched on </w:t>
      </w:r>
      <w:r w:rsidRPr="00897B1B">
        <w:t>7</w:t>
      </w:r>
      <w:r>
        <w:t xml:space="preserve"> February </w:t>
      </w:r>
      <w:r w:rsidRPr="00897B1B">
        <w:t xml:space="preserve">2021 to identify relevant studies and systematic reviews published during the period </w:t>
      </w:r>
      <w:r w:rsidRPr="00435463">
        <w:t xml:space="preserve">1991 to </w:t>
      </w:r>
      <w:r>
        <w:t xml:space="preserve">January </w:t>
      </w:r>
      <w:r w:rsidRPr="00435463">
        <w:t>2021</w:t>
      </w:r>
      <w:r w:rsidR="007501B9">
        <w:t xml:space="preserve">. </w:t>
      </w:r>
      <w:r w:rsidRPr="00897B1B">
        <w:t>Searches were conducted of the dat</w:t>
      </w:r>
      <w:r w:rsidR="00577811">
        <w:t>abases and sources (See Appendix B)</w:t>
      </w:r>
      <w:r w:rsidR="007501B9">
        <w:t xml:space="preserve">. </w:t>
      </w:r>
      <w:r>
        <w:t>To source</w:t>
      </w:r>
      <w:r w:rsidRPr="00174E81">
        <w:t xml:space="preserve"> unpublished or grey literature, reference lists and publications of key authors in the field were manually searched to identify relevant full-text </w:t>
      </w:r>
      <w:r w:rsidRPr="00435463">
        <w:t xml:space="preserve">articles </w:t>
      </w:r>
      <w:r>
        <w:t xml:space="preserve">across the same </w:t>
      </w:r>
      <w:proofErr w:type="gramStart"/>
      <w:r>
        <w:t>time period</w:t>
      </w:r>
      <w:proofErr w:type="gramEnd"/>
      <w:r w:rsidRPr="00435463">
        <w:t>.</w:t>
      </w:r>
    </w:p>
    <w:p w14:paraId="2B184829" w14:textId="65A4B7D0" w:rsidR="00CB3878" w:rsidRDefault="00CB3878" w:rsidP="007501B9">
      <w:r>
        <w:t>Consistent with the</w:t>
      </w:r>
      <w:r w:rsidRPr="00897B1B">
        <w:t xml:space="preserve"> PICO</w:t>
      </w:r>
      <w:r w:rsidR="00577811">
        <w:t xml:space="preserve"> criteria</w:t>
      </w:r>
      <w:r w:rsidRPr="00897B1B">
        <w:t xml:space="preserve"> </w:t>
      </w:r>
      <w:r>
        <w:t>the search aimed to identify controlled trials that included:</w:t>
      </w:r>
    </w:p>
    <w:p w14:paraId="5D9511E7" w14:textId="2A5E6CB3" w:rsidR="00CB3878" w:rsidRDefault="00CB3878" w:rsidP="00CA47CA">
      <w:pPr>
        <w:pStyle w:val="ListBullet"/>
      </w:pPr>
      <w:r>
        <w:t xml:space="preserve">A population (P) that was </w:t>
      </w:r>
      <w:r w:rsidRPr="00897B1B">
        <w:t xml:space="preserve">aged care residents </w:t>
      </w:r>
      <w:r>
        <w:t>treated with</w:t>
      </w:r>
      <w:r w:rsidRPr="00897B1B">
        <w:t xml:space="preserve"> </w:t>
      </w:r>
      <w:proofErr w:type="gramStart"/>
      <w:r w:rsidRPr="00897B1B">
        <w:t>medic</w:t>
      </w:r>
      <w:r>
        <w:t>ines</w:t>
      </w:r>
      <w:r w:rsidR="00577811">
        <w:t>;</w:t>
      </w:r>
      <w:proofErr w:type="gramEnd"/>
    </w:p>
    <w:p w14:paraId="3ADCAFEC" w14:textId="7AF081DC" w:rsidR="00CB3878" w:rsidRDefault="00CB3878" w:rsidP="00CA47CA">
      <w:pPr>
        <w:pStyle w:val="ListBullet"/>
      </w:pPr>
      <w:r>
        <w:t xml:space="preserve">An </w:t>
      </w:r>
      <w:r w:rsidRPr="00897B1B">
        <w:t xml:space="preserve">Intervention (I) </w:t>
      </w:r>
      <w:r>
        <w:t>that involved a</w:t>
      </w:r>
      <w:r w:rsidRPr="00897B1B">
        <w:t xml:space="preserve"> pharmacist </w:t>
      </w:r>
      <w:r>
        <w:t xml:space="preserve">service that included multiple visits for the same person and </w:t>
      </w:r>
      <w:r w:rsidRPr="00897B1B">
        <w:t xml:space="preserve">medication </w:t>
      </w:r>
      <w:proofErr w:type="gramStart"/>
      <w:r w:rsidRPr="00897B1B">
        <w:t>review</w:t>
      </w:r>
      <w:proofErr w:type="gramEnd"/>
      <w:r>
        <w:t xml:space="preserve"> or assessment of medicine appropriateness or medicine induced harm</w:t>
      </w:r>
      <w:r w:rsidR="00577811">
        <w:t>;</w:t>
      </w:r>
    </w:p>
    <w:p w14:paraId="3F55C4E1" w14:textId="21962B96" w:rsidR="00CB3878" w:rsidRDefault="00CB3878" w:rsidP="00CA47CA">
      <w:pPr>
        <w:pStyle w:val="ListBullet"/>
      </w:pPr>
      <w:r w:rsidRPr="00897B1B">
        <w:t>Co</w:t>
      </w:r>
      <w:r w:rsidR="00577811">
        <w:t>mparison (C) was standard care; and</w:t>
      </w:r>
    </w:p>
    <w:p w14:paraId="586EC4E7" w14:textId="3F1F8B1C" w:rsidR="00CB3878" w:rsidRDefault="00CB3878" w:rsidP="00CA47CA">
      <w:pPr>
        <w:pStyle w:val="ListBullet"/>
      </w:pPr>
      <w:r w:rsidRPr="00897B1B">
        <w:t xml:space="preserve">Outcomes (O) were reduction in medicine-induced deterioration from baseline to end of intervention, change in cognition scores, change in body </w:t>
      </w:r>
      <w:proofErr w:type="gramStart"/>
      <w:r w:rsidRPr="00897B1B">
        <w:t>weight</w:t>
      </w:r>
      <w:proofErr w:type="gramEnd"/>
      <w:r w:rsidRPr="00897B1B">
        <w:t xml:space="preserve"> </w:t>
      </w:r>
      <w:r>
        <w:t>or change in</w:t>
      </w:r>
      <w:r w:rsidRPr="00897B1B">
        <w:t xml:space="preserve"> r</w:t>
      </w:r>
      <w:r w:rsidR="00577811">
        <w:t>ate of adverse medicine events.</w:t>
      </w:r>
    </w:p>
    <w:p w14:paraId="2C84B19A" w14:textId="7CCE90C4" w:rsidR="00CB3878" w:rsidRPr="00897B1B" w:rsidRDefault="00CB3878" w:rsidP="007501B9">
      <w:r w:rsidRPr="00897B1B">
        <w:t>Medication review was defined as any kind of systematic assessment of a patient medication with an aim to evaluate and optimize the pharmaceutical treatment</w:t>
      </w:r>
      <w:r w:rsidR="007501B9">
        <w:t xml:space="preserve">. </w:t>
      </w:r>
      <w:r w:rsidRPr="00897B1B">
        <w:t>We included randomised controlled trials (RCT) and restricted the publications to English</w:t>
      </w:r>
      <w:r w:rsidR="007501B9">
        <w:t xml:space="preserve">. </w:t>
      </w:r>
      <w:r w:rsidRPr="00897B1B">
        <w:t xml:space="preserve">Studies in which the medication review was focused on a specific </w:t>
      </w:r>
      <w:proofErr w:type="gramStart"/>
      <w:r w:rsidRPr="00897B1B">
        <w:t>condition</w:t>
      </w:r>
      <w:proofErr w:type="gramEnd"/>
      <w:r w:rsidRPr="00897B1B">
        <w:t xml:space="preserve"> or a specific class of drug were excluded. Ongoing studies or protocols were not included in the review, </w:t>
      </w:r>
      <w:r>
        <w:t>but their references were examined to detect any relevant studies</w:t>
      </w:r>
      <w:r w:rsidRPr="00897B1B">
        <w:t>.</w:t>
      </w:r>
    </w:p>
    <w:p w14:paraId="45FFE5AA" w14:textId="605B3DF0" w:rsidR="00CB3878" w:rsidRPr="00C0368C" w:rsidRDefault="00CB3878" w:rsidP="007501B9">
      <w:r>
        <w:t>Elements of clinical question, as well as specific search terms</w:t>
      </w:r>
      <w:r w:rsidRPr="00897B1B">
        <w:t xml:space="preserve"> are described in </w:t>
      </w:r>
      <w:r w:rsidR="00577811">
        <w:t>Table B-1.</w:t>
      </w:r>
    </w:p>
    <w:tbl>
      <w:tblPr>
        <w:tblStyle w:val="TableGrid"/>
        <w:tblW w:w="9747" w:type="dxa"/>
        <w:tblInd w:w="-113" w:type="dxa"/>
        <w:tblLook w:val="04A0" w:firstRow="1" w:lastRow="0" w:firstColumn="1" w:lastColumn="0" w:noHBand="0" w:noVBand="1"/>
        <w:tblCaption w:val="Search terms used (literature search platform)"/>
        <w:tblDescription w:val="Search terms used (literature search platform)"/>
      </w:tblPr>
      <w:tblGrid>
        <w:gridCol w:w="1951"/>
        <w:gridCol w:w="7796"/>
      </w:tblGrid>
      <w:tr w:rsidR="00897C5B" w:rsidRPr="00897C5B" w14:paraId="7F9C3C32" w14:textId="77777777" w:rsidTr="00CA47CA">
        <w:trPr>
          <w:cantSplit/>
        </w:trPr>
        <w:tc>
          <w:tcPr>
            <w:tcW w:w="1951" w:type="dxa"/>
            <w:shd w:val="clear" w:color="auto" w:fill="000000" w:themeFill="text1"/>
          </w:tcPr>
          <w:p w14:paraId="051A9649" w14:textId="77777777" w:rsidR="00CB3878" w:rsidRPr="00CA47CA" w:rsidRDefault="00CB3878" w:rsidP="00897C5B">
            <w:pPr>
              <w:pStyle w:val="TableHeader"/>
              <w:ind w:left="142"/>
              <w:rPr>
                <w:sz w:val="20"/>
                <w:szCs w:val="20"/>
              </w:rPr>
            </w:pPr>
            <w:bookmarkStart w:id="130" w:name="RowTitle_5" w:colFirst="0" w:colLast="0"/>
            <w:r w:rsidRPr="00CA47CA">
              <w:rPr>
                <w:sz w:val="20"/>
                <w:szCs w:val="20"/>
              </w:rPr>
              <w:t>Element of clinical question</w:t>
            </w:r>
            <w:bookmarkStart w:id="131" w:name="RowTitle_6"/>
            <w:bookmarkEnd w:id="131"/>
          </w:p>
        </w:tc>
        <w:tc>
          <w:tcPr>
            <w:tcW w:w="7796" w:type="dxa"/>
          </w:tcPr>
          <w:p w14:paraId="680414BB" w14:textId="77777777" w:rsidR="00CB3878" w:rsidRPr="00897C5B" w:rsidRDefault="00CB3878" w:rsidP="00897C5B">
            <w:pPr>
              <w:pStyle w:val="Tabletext1"/>
              <w:ind w:left="178"/>
            </w:pPr>
            <w:r w:rsidRPr="00897C5B">
              <w:t xml:space="preserve">Does the pharmacy service have impact on cognition, adverse events, falls and mortality in older adults living in aged care facilities? </w:t>
            </w:r>
          </w:p>
        </w:tc>
      </w:tr>
      <w:tr w:rsidR="00897C5B" w:rsidRPr="00897C5B" w14:paraId="478CC092" w14:textId="77777777" w:rsidTr="00CA47CA">
        <w:trPr>
          <w:cantSplit/>
        </w:trPr>
        <w:tc>
          <w:tcPr>
            <w:tcW w:w="1951" w:type="dxa"/>
            <w:shd w:val="clear" w:color="auto" w:fill="000000" w:themeFill="text1"/>
          </w:tcPr>
          <w:p w14:paraId="27BE4A71" w14:textId="77777777" w:rsidR="00CB3878" w:rsidRPr="00CA47CA" w:rsidRDefault="00CB3878" w:rsidP="00897C5B">
            <w:pPr>
              <w:pStyle w:val="TableHeader"/>
              <w:ind w:left="142"/>
              <w:rPr>
                <w:sz w:val="20"/>
                <w:szCs w:val="20"/>
              </w:rPr>
            </w:pPr>
            <w:r w:rsidRPr="00CA47CA">
              <w:rPr>
                <w:sz w:val="20"/>
                <w:szCs w:val="20"/>
              </w:rPr>
              <w:t>Population</w:t>
            </w:r>
          </w:p>
        </w:tc>
        <w:tc>
          <w:tcPr>
            <w:tcW w:w="7796" w:type="dxa"/>
          </w:tcPr>
          <w:p w14:paraId="4A3AA9B1" w14:textId="77777777" w:rsidR="00CB3878" w:rsidRPr="00897C5B" w:rsidRDefault="00CB3878" w:rsidP="00897C5B">
            <w:pPr>
              <w:pStyle w:val="Tabletext1"/>
              <w:ind w:left="178"/>
            </w:pPr>
            <w:r w:rsidRPr="00897C5B">
              <w:t xml:space="preserve">“aged” OR “aging” OR “elderly” OR “resident” OR “senior” </w:t>
            </w:r>
          </w:p>
        </w:tc>
      </w:tr>
      <w:tr w:rsidR="00897C5B" w:rsidRPr="00897C5B" w14:paraId="196E18F0" w14:textId="77777777" w:rsidTr="00CA47CA">
        <w:trPr>
          <w:cantSplit/>
        </w:trPr>
        <w:tc>
          <w:tcPr>
            <w:tcW w:w="1951" w:type="dxa"/>
            <w:shd w:val="clear" w:color="auto" w:fill="000000" w:themeFill="text1"/>
          </w:tcPr>
          <w:p w14:paraId="7DC46FA3" w14:textId="77777777" w:rsidR="00CB3878" w:rsidRPr="00CA47CA" w:rsidRDefault="00CB3878" w:rsidP="00897C5B">
            <w:pPr>
              <w:pStyle w:val="TableHeader"/>
              <w:ind w:left="142"/>
              <w:rPr>
                <w:sz w:val="20"/>
                <w:szCs w:val="20"/>
              </w:rPr>
            </w:pPr>
            <w:r w:rsidRPr="00CA47CA">
              <w:rPr>
                <w:sz w:val="20"/>
                <w:szCs w:val="20"/>
              </w:rPr>
              <w:t>Intervention</w:t>
            </w:r>
          </w:p>
        </w:tc>
        <w:tc>
          <w:tcPr>
            <w:tcW w:w="7796" w:type="dxa"/>
          </w:tcPr>
          <w:p w14:paraId="73FBAECE" w14:textId="77777777" w:rsidR="00CB3878" w:rsidRPr="00897C5B" w:rsidRDefault="00CB3878" w:rsidP="00897C5B">
            <w:pPr>
              <w:pStyle w:val="Tabletext1"/>
              <w:ind w:left="178"/>
            </w:pPr>
            <w:r w:rsidRPr="00897C5B">
              <w:t xml:space="preserve">(“randomized controlled trial”) </w:t>
            </w:r>
            <w:proofErr w:type="gramStart"/>
            <w:r w:rsidRPr="00897C5B">
              <w:t>OR  (</w:t>
            </w:r>
            <w:proofErr w:type="gramEnd"/>
            <w:r w:rsidRPr="00897C5B">
              <w:t xml:space="preserve">“randomised clinical trial”) AND  ((“residential aged care”) OR (“nursing home”) OR (“aged care”) OR (“long term”) OR (“care home”)) AND ((“pharmacy service”) </w:t>
            </w:r>
          </w:p>
        </w:tc>
      </w:tr>
      <w:tr w:rsidR="00897C5B" w:rsidRPr="00897C5B" w14:paraId="3EC8293B" w14:textId="77777777" w:rsidTr="00CA47CA">
        <w:trPr>
          <w:cantSplit/>
        </w:trPr>
        <w:tc>
          <w:tcPr>
            <w:tcW w:w="1951" w:type="dxa"/>
            <w:shd w:val="clear" w:color="auto" w:fill="000000" w:themeFill="text1"/>
          </w:tcPr>
          <w:p w14:paraId="2FBF6BA8" w14:textId="77777777" w:rsidR="00CB3878" w:rsidRPr="00CA47CA" w:rsidRDefault="00CB3878" w:rsidP="00897C5B">
            <w:pPr>
              <w:pStyle w:val="TableHeader"/>
              <w:ind w:left="142"/>
              <w:rPr>
                <w:sz w:val="20"/>
                <w:szCs w:val="20"/>
              </w:rPr>
            </w:pPr>
            <w:r w:rsidRPr="00CA47CA">
              <w:rPr>
                <w:sz w:val="20"/>
                <w:szCs w:val="20"/>
              </w:rPr>
              <w:t>Comparator (if applicable)</w:t>
            </w:r>
          </w:p>
        </w:tc>
        <w:tc>
          <w:tcPr>
            <w:tcW w:w="7796" w:type="dxa"/>
          </w:tcPr>
          <w:p w14:paraId="5D91D5E9" w14:textId="77777777" w:rsidR="00CB3878" w:rsidRPr="00897C5B" w:rsidRDefault="00CB3878" w:rsidP="00897C5B">
            <w:pPr>
              <w:pStyle w:val="Tabletext1"/>
              <w:ind w:left="178"/>
            </w:pPr>
            <w:r w:rsidRPr="00897C5B">
              <w:t>Control (usual care)</w:t>
            </w:r>
          </w:p>
        </w:tc>
      </w:tr>
      <w:tr w:rsidR="00897C5B" w:rsidRPr="00897C5B" w14:paraId="3F4CF914" w14:textId="77777777" w:rsidTr="00CA47CA">
        <w:trPr>
          <w:cantSplit/>
        </w:trPr>
        <w:tc>
          <w:tcPr>
            <w:tcW w:w="1951" w:type="dxa"/>
            <w:shd w:val="clear" w:color="auto" w:fill="000000" w:themeFill="text1"/>
          </w:tcPr>
          <w:p w14:paraId="1FE29141" w14:textId="77777777" w:rsidR="00CB3878" w:rsidRPr="00CA47CA" w:rsidRDefault="00CB3878" w:rsidP="00897C5B">
            <w:pPr>
              <w:pStyle w:val="TableHeader"/>
              <w:ind w:left="142"/>
              <w:rPr>
                <w:sz w:val="20"/>
                <w:szCs w:val="20"/>
              </w:rPr>
            </w:pPr>
            <w:r w:rsidRPr="00CA47CA">
              <w:rPr>
                <w:sz w:val="20"/>
                <w:szCs w:val="20"/>
              </w:rPr>
              <w:t>Outcomes (if applicable)</w:t>
            </w:r>
          </w:p>
        </w:tc>
        <w:tc>
          <w:tcPr>
            <w:tcW w:w="7796" w:type="dxa"/>
          </w:tcPr>
          <w:p w14:paraId="51EB35C4" w14:textId="77777777" w:rsidR="00CB3878" w:rsidRPr="00897C5B" w:rsidRDefault="00CB3878" w:rsidP="00897C5B">
            <w:pPr>
              <w:pStyle w:val="Tabletext1"/>
              <w:ind w:left="178"/>
            </w:pPr>
            <w:r w:rsidRPr="00897C5B">
              <w:t xml:space="preserve">“cognition” OR “cognitive” OR (“Montreal Cognitive Assessment”) OR “MoCA” OR (“Cognitive Assessment Screening Instrument”) </w:t>
            </w:r>
          </w:p>
          <w:p w14:paraId="477A8129" w14:textId="77777777" w:rsidR="00CB3878" w:rsidRPr="00897C5B" w:rsidRDefault="00CB3878" w:rsidP="00897C5B">
            <w:pPr>
              <w:pStyle w:val="Tabletext1"/>
              <w:ind w:left="178"/>
              <w:rPr>
                <w:rFonts w:cs="Calibri"/>
              </w:rPr>
            </w:pPr>
            <w:r w:rsidRPr="00897C5B">
              <w:t>“frail” OR “frailty” OR "frailness" OR "frails" “frailty index”</w:t>
            </w:r>
          </w:p>
          <w:p w14:paraId="41B9DD62" w14:textId="77777777" w:rsidR="00CB3878" w:rsidRPr="00897C5B" w:rsidRDefault="00CB3878" w:rsidP="00897C5B">
            <w:pPr>
              <w:pStyle w:val="Tabletext1"/>
              <w:ind w:left="178"/>
            </w:pPr>
            <w:r w:rsidRPr="00897C5B">
              <w:t xml:space="preserve">“weight” OR “weight body” OR “weights and measures” OR “weighting” OR “weights” </w:t>
            </w:r>
          </w:p>
          <w:p w14:paraId="126ECA20" w14:textId="7D12BC09" w:rsidR="00CB3878" w:rsidRPr="00897C5B" w:rsidRDefault="00CB3878" w:rsidP="00897C5B">
            <w:pPr>
              <w:pStyle w:val="Tabletext1"/>
              <w:ind w:left="178"/>
            </w:pPr>
            <w:r w:rsidRPr="00897C5B">
              <w:t xml:space="preserve">"adversely" OR “medication error” “misadventure” OR “medication incidence” OR </w:t>
            </w:r>
            <w:proofErr w:type="gramStart"/>
            <w:r w:rsidRPr="00897C5B">
              <w:t>“”medication</w:t>
            </w:r>
            <w:proofErr w:type="gramEnd"/>
            <w:r w:rsidRPr="00897C5B">
              <w:t xml:space="preserve"> safety” OR ‘’adverse drug reaction” OR ”hospitalisation” </w:t>
            </w:r>
            <w:r w:rsidR="00577811" w:rsidRPr="00897C5B">
              <w:t>OR "adverse</w:t>
            </w:r>
            <w:r w:rsidRPr="00897C5B">
              <w:t xml:space="preserve">" AND ("event" OR "events" OR "events") </w:t>
            </w:r>
          </w:p>
        </w:tc>
      </w:tr>
      <w:tr w:rsidR="00897C5B" w:rsidRPr="00897C5B" w14:paraId="25F6C101" w14:textId="77777777" w:rsidTr="00CA47CA">
        <w:trPr>
          <w:cantSplit/>
          <w:trHeight w:val="570"/>
        </w:trPr>
        <w:tc>
          <w:tcPr>
            <w:tcW w:w="1951" w:type="dxa"/>
            <w:shd w:val="clear" w:color="auto" w:fill="000000" w:themeFill="text1"/>
          </w:tcPr>
          <w:p w14:paraId="06FC4ABD" w14:textId="19122001" w:rsidR="00CB3878" w:rsidRPr="00CA47CA" w:rsidRDefault="00CB3878" w:rsidP="00897C5B">
            <w:pPr>
              <w:pStyle w:val="TableHeader"/>
              <w:ind w:left="142"/>
              <w:rPr>
                <w:sz w:val="20"/>
                <w:szCs w:val="20"/>
              </w:rPr>
            </w:pPr>
            <w:r w:rsidRPr="00CA47CA">
              <w:rPr>
                <w:sz w:val="20"/>
                <w:szCs w:val="20"/>
              </w:rPr>
              <w:lastRenderedPageBreak/>
              <w:t>Limits</w:t>
            </w:r>
          </w:p>
        </w:tc>
        <w:tc>
          <w:tcPr>
            <w:tcW w:w="7796" w:type="dxa"/>
          </w:tcPr>
          <w:p w14:paraId="17CBD94E" w14:textId="17AEF554" w:rsidR="00CB3878" w:rsidRPr="00897C5B" w:rsidRDefault="00CB3878" w:rsidP="00897C5B">
            <w:pPr>
              <w:pStyle w:val="Tabletext1"/>
              <w:ind w:left="178"/>
            </w:pPr>
            <w:r w:rsidRPr="00897C5B">
              <w:t>Studies published from 1990 until January 2021</w:t>
            </w:r>
          </w:p>
          <w:p w14:paraId="025C31FF" w14:textId="77777777" w:rsidR="00CB3878" w:rsidRPr="00897C5B" w:rsidRDefault="00CB3878" w:rsidP="00897C5B">
            <w:pPr>
              <w:pStyle w:val="Tabletext1"/>
              <w:ind w:left="178"/>
            </w:pPr>
            <w:r w:rsidRPr="00897C5B">
              <w:t>English language</w:t>
            </w:r>
          </w:p>
        </w:tc>
      </w:tr>
    </w:tbl>
    <w:bookmarkEnd w:id="130"/>
    <w:p w14:paraId="06571424" w14:textId="1903D9CD" w:rsidR="00CB3878" w:rsidRPr="00897B1B" w:rsidRDefault="00577811" w:rsidP="00897C5B">
      <w:pPr>
        <w:pStyle w:val="Caption"/>
      </w:pPr>
      <w:r w:rsidRPr="00577811">
        <w:t>Table B-</w:t>
      </w:r>
      <w:fldSimple w:instr=" SEQ Table \* ARABIC ">
        <w:r w:rsidR="00164214">
          <w:rPr>
            <w:noProof/>
          </w:rPr>
          <w:t>1</w:t>
        </w:r>
      </w:fldSimple>
      <w:r w:rsidRPr="00577811">
        <w:t xml:space="preserve"> Search terms used (literature search platform)</w:t>
      </w:r>
    </w:p>
    <w:p w14:paraId="55AC6C36" w14:textId="28FBE92A" w:rsidR="00CB3878" w:rsidRPr="00CA47CA" w:rsidRDefault="00CB3878" w:rsidP="0084765B">
      <w:pPr>
        <w:pStyle w:val="Heading3"/>
      </w:pPr>
      <w:bookmarkStart w:id="132" w:name="_Toc117758239"/>
      <w:r w:rsidRPr="00CA47CA">
        <w:t>Data screening and extraction</w:t>
      </w:r>
      <w:bookmarkEnd w:id="132"/>
    </w:p>
    <w:p w14:paraId="52C04A3A" w14:textId="304E0F39" w:rsidR="00CB3878" w:rsidRPr="00EC1C8F" w:rsidRDefault="00CB3878" w:rsidP="007501B9">
      <w:r w:rsidRPr="00EC1C8F">
        <w:t>Studies were selected independently by a single reviewer with a random sample receiving independent assessment by a second reviewer</w:t>
      </w:r>
      <w:r w:rsidR="007501B9">
        <w:t xml:space="preserve">. </w:t>
      </w:r>
      <w:r w:rsidRPr="00EC1C8F">
        <w:t xml:space="preserve">Discrepancies in judgement were discussed among the reviewers to reach </w:t>
      </w:r>
      <w:r w:rsidR="00C86345">
        <w:t>consensus about final decision.</w:t>
      </w:r>
    </w:p>
    <w:p w14:paraId="35EC8184" w14:textId="65245572" w:rsidR="00CB3878" w:rsidRPr="00EC1C8F" w:rsidRDefault="00CB3878" w:rsidP="007501B9">
      <w:r w:rsidRPr="00EC1C8F">
        <w:t xml:space="preserve">Additional pre-specified criteria </w:t>
      </w:r>
      <w:r w:rsidR="00C86345">
        <w:t>for excluding studies included:</w:t>
      </w:r>
    </w:p>
    <w:p w14:paraId="4D3174C0" w14:textId="7E9FC2A6" w:rsidR="00CB3878" w:rsidRDefault="00CB3878" w:rsidP="00E979A5">
      <w:pPr>
        <w:pStyle w:val="ListBullet"/>
      </w:pPr>
      <w:r>
        <w:t>interventions limited t</w:t>
      </w:r>
      <w:r w:rsidR="00C86345">
        <w:t xml:space="preserve">o the community or home </w:t>
      </w:r>
      <w:proofErr w:type="gramStart"/>
      <w:r w:rsidR="00C86345">
        <w:t>setting;</w:t>
      </w:r>
      <w:proofErr w:type="gramEnd"/>
    </w:p>
    <w:p w14:paraId="7D58D4BF" w14:textId="58F3CB49" w:rsidR="00CB3878" w:rsidRDefault="00CB3878" w:rsidP="00E979A5">
      <w:pPr>
        <w:pStyle w:val="ListBullet"/>
      </w:pPr>
      <w:r>
        <w:t xml:space="preserve">interventions for residents transitioning from hospital </w:t>
      </w:r>
      <w:proofErr w:type="gramStart"/>
      <w:r>
        <w:t>setting</w:t>
      </w:r>
      <w:r w:rsidR="00C86345">
        <w:t>;</w:t>
      </w:r>
      <w:proofErr w:type="gramEnd"/>
    </w:p>
    <w:p w14:paraId="53E68BE9" w14:textId="76A0D6B1" w:rsidR="00CB3878" w:rsidRDefault="00CB3878" w:rsidP="00E979A5">
      <w:pPr>
        <w:pStyle w:val="ListBullet"/>
      </w:pPr>
      <w:r>
        <w:t>si</w:t>
      </w:r>
      <w:r w:rsidR="00C86345">
        <w:t xml:space="preserve">ngle clinical pharmacist </w:t>
      </w:r>
      <w:proofErr w:type="gramStart"/>
      <w:r w:rsidR="00C86345">
        <w:t>review;</w:t>
      </w:r>
      <w:proofErr w:type="gramEnd"/>
    </w:p>
    <w:p w14:paraId="4E925278" w14:textId="28854A19" w:rsidR="00CB3878" w:rsidRPr="00EC1C8F" w:rsidRDefault="00CB3878" w:rsidP="00E979A5">
      <w:pPr>
        <w:pStyle w:val="ListBullet"/>
      </w:pPr>
      <w:r>
        <w:t xml:space="preserve">the </w:t>
      </w:r>
      <w:r w:rsidRPr="00EC1C8F">
        <w:t xml:space="preserve">intervention </w:t>
      </w:r>
      <w:r>
        <w:t>was provided by a</w:t>
      </w:r>
      <w:r w:rsidRPr="00EC1C8F">
        <w:t xml:space="preserve"> health professional</w:t>
      </w:r>
      <w:r>
        <w:t xml:space="preserve"> other </w:t>
      </w:r>
      <w:r w:rsidRPr="00EC1C8F">
        <w:t xml:space="preserve">than </w:t>
      </w:r>
      <w:r>
        <w:t xml:space="preserve">a </w:t>
      </w:r>
      <w:proofErr w:type="gramStart"/>
      <w:r w:rsidRPr="00EC1C8F">
        <w:t>pharmacist</w:t>
      </w:r>
      <w:r w:rsidR="00C86345">
        <w:t>;</w:t>
      </w:r>
      <w:proofErr w:type="gramEnd"/>
    </w:p>
    <w:p w14:paraId="5E72A3DA" w14:textId="30D96B0B" w:rsidR="00CB3878" w:rsidRDefault="00CB3878" w:rsidP="00E979A5">
      <w:pPr>
        <w:pStyle w:val="ListBullet"/>
      </w:pPr>
      <w:r>
        <w:t>lack of</w:t>
      </w:r>
      <w:r w:rsidRPr="00EC1C8F">
        <w:t xml:space="preserve"> comparative data for both groups, </w:t>
      </w:r>
      <w:proofErr w:type="gramStart"/>
      <w:r>
        <w:t>e.g.</w:t>
      </w:r>
      <w:proofErr w:type="gramEnd"/>
      <w:r>
        <w:t xml:space="preserve"> </w:t>
      </w:r>
      <w:r w:rsidRPr="00EC1C8F">
        <w:t>only baseline data</w:t>
      </w:r>
      <w:r>
        <w:t xml:space="preserve"> or data for only one group</w:t>
      </w:r>
      <w:r w:rsidR="00C86345">
        <w:t>; and</w:t>
      </w:r>
    </w:p>
    <w:p w14:paraId="6F04CF5D" w14:textId="77777777" w:rsidR="00CB3878" w:rsidRPr="00EC1C8F" w:rsidRDefault="00CB3878" w:rsidP="00E979A5">
      <w:pPr>
        <w:pStyle w:val="ListBullet"/>
      </w:pPr>
      <w:r>
        <w:rPr>
          <w:rFonts w:cstheme="minorHAnsi"/>
        </w:rPr>
        <w:t>S</w:t>
      </w:r>
      <w:r w:rsidRPr="00897B1B">
        <w:rPr>
          <w:rFonts w:cstheme="minorHAnsi"/>
        </w:rPr>
        <w:t xml:space="preserve">ystematic </w:t>
      </w:r>
      <w:r>
        <w:rPr>
          <w:rFonts w:cstheme="minorHAnsi"/>
        </w:rPr>
        <w:t>or</w:t>
      </w:r>
      <w:r w:rsidRPr="00897B1B">
        <w:rPr>
          <w:rFonts w:cstheme="minorHAnsi"/>
        </w:rPr>
        <w:t xml:space="preserve"> narrative reviews </w:t>
      </w:r>
      <w:r>
        <w:rPr>
          <w:rFonts w:cstheme="minorHAnsi"/>
        </w:rPr>
        <w:t>(all were screened for relevant primary studies).</w:t>
      </w:r>
    </w:p>
    <w:p w14:paraId="1A0C8CBC" w14:textId="0EF1D497" w:rsidR="00CB3878" w:rsidRPr="00897B1B" w:rsidRDefault="00CB3878" w:rsidP="007501B9">
      <w:pPr>
        <w:rPr>
          <w:rFonts w:cstheme="minorHAnsi"/>
        </w:rPr>
      </w:pPr>
      <w:r w:rsidRPr="002A46AF">
        <w:t>The application of the study selection criteria included in the PRISMA checklist was used to guide reporting</w:t>
      </w:r>
      <w:r w:rsidR="00C86345">
        <w:t xml:space="preserve">. </w:t>
      </w:r>
      <w:r>
        <w:fldChar w:fldCharType="begin"/>
      </w:r>
      <w:r w:rsidR="00C86345">
        <w:instrText xml:space="preserve"> ADDIN EN.CITE &lt;EndNote&gt;&lt;Cite&gt;&lt;Author&gt;Liberati&lt;/Author&gt;&lt;Year&gt;2009&lt;/Year&gt;&lt;RecNum&gt;78&lt;/RecNum&gt;&lt;DisplayText&gt;(19)&lt;/DisplayText&gt;&lt;record&gt;&lt;rec-number&gt;78&lt;/rec-number&gt;&lt;foreign-keys&gt;&lt;key app="EN" db-id="9s5z5ped05vxdnede99vfsxhtzavzdzs2d5r" timestamp="1616566316"&gt;78&lt;/key&gt;&lt;/foreign-keys&gt;&lt;ref-type name="Journal Article"&gt;17&lt;/ref-type&gt;&lt;contributors&gt;&lt;authors&gt;&lt;author&gt;Liberati, Alessandro&lt;/author&gt;&lt;author&gt;Altman, Douglas G&lt;/author&gt;&lt;author&gt;Tetzlaff, Jennifer&lt;/author&gt;&lt;author&gt;Mulrow, Cynthia&lt;/author&gt;&lt;author&gt;Gøtzsche, Peter C&lt;/author&gt;&lt;author&gt;Ioannidis, John PA&lt;/author&gt;&lt;author&gt;Clarke, Mike&lt;/author&gt;&lt;author&gt;Devereaux, Philip J&lt;/author&gt;&lt;author&gt;Kleijnen, Jos&lt;/author&gt;&lt;author&gt;Moher, David&lt;/author&gt;&lt;/authors&gt;&lt;/contributors&gt;&lt;titles&gt;&lt;title&gt;The PRISMA statement for reporting systematic reviews and meta-analyses of studies that evaluate health care interventions: explanation and elaboration&lt;/title&gt;&lt;secondary-title&gt;Journal of clinical epidemiology&lt;/secondary-title&gt;&lt;/titles&gt;&lt;periodical&gt;&lt;full-title&gt;Journal of clinical epidemiology&lt;/full-title&gt;&lt;/periodical&gt;&lt;pages&gt;e1-e34&lt;/pages&gt;&lt;volume&gt;62&lt;/volume&gt;&lt;number&gt;10&lt;/number&gt;&lt;dates&gt;&lt;year&gt;2009&lt;/year&gt;&lt;/dates&gt;&lt;isbn&gt;0895-4356&lt;/isbn&gt;&lt;urls&gt;&lt;/urls&gt;&lt;/record&gt;&lt;/Cite&gt;&lt;/EndNote&gt;</w:instrText>
      </w:r>
      <w:r>
        <w:fldChar w:fldCharType="separate"/>
      </w:r>
      <w:r w:rsidR="00C86345">
        <w:rPr>
          <w:noProof/>
        </w:rPr>
        <w:t>(</w:t>
      </w:r>
      <w:hyperlink w:anchor="_ENREF_19" w:tooltip="Liberati, 2009 #78" w:history="1">
        <w:r w:rsidR="00EB6EA4">
          <w:rPr>
            <w:noProof/>
          </w:rPr>
          <w:t>19</w:t>
        </w:r>
      </w:hyperlink>
      <w:r w:rsidR="00C86345">
        <w:rPr>
          <w:noProof/>
        </w:rPr>
        <w:t>)</w:t>
      </w:r>
      <w:r>
        <w:fldChar w:fldCharType="end"/>
      </w:r>
      <w:r w:rsidR="00C86345">
        <w:t xml:space="preserve"> (See Appendix B)</w:t>
      </w:r>
    </w:p>
    <w:p w14:paraId="3F25A89D" w14:textId="77777777" w:rsidR="00CB3878" w:rsidRPr="00E979A5" w:rsidRDefault="00CB3878" w:rsidP="00857F40">
      <w:pPr>
        <w:pStyle w:val="Heading2-SectionB"/>
      </w:pPr>
      <w:bookmarkStart w:id="133" w:name="_Toc117758240"/>
      <w:r w:rsidRPr="00E979A5">
        <w:t>Results of Literature Search</w:t>
      </w:r>
      <w:bookmarkEnd w:id="133"/>
    </w:p>
    <w:p w14:paraId="22C261FC" w14:textId="5A6A3214" w:rsidR="00CB3878" w:rsidRDefault="00CB3878" w:rsidP="007501B9">
      <w:pPr>
        <w:rPr>
          <w:rFonts w:cstheme="minorHAnsi"/>
        </w:rPr>
      </w:pPr>
      <w:r>
        <w:t>The search criteria resulted in</w:t>
      </w:r>
      <w:r w:rsidRPr="00897B1B">
        <w:t xml:space="preserve"> </w:t>
      </w:r>
      <w:r>
        <w:t>1792</w:t>
      </w:r>
      <w:r w:rsidRPr="00897B1B">
        <w:t xml:space="preserve"> potentially relevant records</w:t>
      </w:r>
      <w:r>
        <w:t>;</w:t>
      </w:r>
      <w:r w:rsidRPr="00897B1B">
        <w:t xml:space="preserve"> </w:t>
      </w:r>
      <w:r>
        <w:t>316</w:t>
      </w:r>
      <w:r w:rsidRPr="00897B1B">
        <w:t xml:space="preserve"> were duplicates and </w:t>
      </w:r>
      <w:r>
        <w:t>1353</w:t>
      </w:r>
      <w:r w:rsidRPr="00897B1B">
        <w:t xml:space="preserve"> were deemed as irrelevant after </w:t>
      </w:r>
      <w:r w:rsidRPr="00897B1B">
        <w:rPr>
          <w:rFonts w:cstheme="minorHAnsi"/>
        </w:rPr>
        <w:t xml:space="preserve">screening </w:t>
      </w:r>
      <w:r>
        <w:rPr>
          <w:rFonts w:cstheme="minorHAnsi"/>
        </w:rPr>
        <w:t>of</w:t>
      </w:r>
      <w:r w:rsidRPr="00897B1B">
        <w:rPr>
          <w:rFonts w:cstheme="minorHAnsi"/>
        </w:rPr>
        <w:t xml:space="preserve"> the title</w:t>
      </w:r>
      <w:r>
        <w:rPr>
          <w:rFonts w:cstheme="minorHAnsi"/>
        </w:rPr>
        <w:t xml:space="preserve"> or </w:t>
      </w:r>
      <w:r w:rsidRPr="00897B1B">
        <w:rPr>
          <w:rFonts w:cstheme="minorHAnsi"/>
        </w:rPr>
        <w:t>abstract level</w:t>
      </w:r>
      <w:r w:rsidR="007501B9">
        <w:rPr>
          <w:rFonts w:cstheme="minorHAnsi"/>
        </w:rPr>
        <w:t xml:space="preserve">. </w:t>
      </w:r>
      <w:r w:rsidRPr="00897B1B">
        <w:rPr>
          <w:rFonts w:cstheme="minorHAnsi"/>
        </w:rPr>
        <w:t xml:space="preserve">A full-text analysis was completed for </w:t>
      </w:r>
      <w:r>
        <w:rPr>
          <w:rFonts w:cstheme="minorHAnsi"/>
        </w:rPr>
        <w:t>123</w:t>
      </w:r>
      <w:r w:rsidRPr="00897B1B">
        <w:rPr>
          <w:rFonts w:cstheme="minorHAnsi"/>
        </w:rPr>
        <w:t xml:space="preserve"> studies, of which </w:t>
      </w:r>
      <w:r>
        <w:rPr>
          <w:rFonts w:cstheme="minorHAnsi"/>
        </w:rPr>
        <w:t>four</w:t>
      </w:r>
      <w:r w:rsidRPr="00897B1B">
        <w:rPr>
          <w:rFonts w:cstheme="minorHAnsi"/>
        </w:rPr>
        <w:t xml:space="preserve"> RCTs</w:t>
      </w:r>
      <w:r w:rsidR="00C86345">
        <w:rPr>
          <w:rFonts w:cstheme="minorHAnsi"/>
        </w:rPr>
        <w:t xml:space="preserve"> </w:t>
      </w:r>
      <w:r>
        <w:rPr>
          <w:rFonts w:cstheme="minorHAnsi"/>
        </w:rPr>
        <w:fldChar w:fldCharType="begin">
          <w:fldData xml:space="preserve">PEVuZE5vdGU+PENpdGU+PEF1dGhvcj5GcmFua2VudGhhbDwvQXV0aG9yPjxZZWFyPjIwMTQ8L1ll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</w:fldData>
        </w:fldChar>
      </w:r>
      <w:r w:rsidR="00C86345">
        <w:rPr>
          <w:rFonts w:cstheme="minorHAnsi"/>
        </w:rPr>
        <w:instrText xml:space="preserve"> ADDIN EN.CITE </w:instrText>
      </w:r>
      <w:r w:rsidR="00C86345">
        <w:rPr>
          <w:rFonts w:cstheme="minorHAnsi"/>
        </w:rPr>
        <w:fldChar w:fldCharType="begin">
          <w:fldData xml:space="preserve">PEVuZE5vdGU+PENpdGU+PEF1dGhvcj5GcmFua2VudGhhbDwvQXV0aG9yPjxZZWFyPjIwMTQ8L1ll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</w:fldData>
        </w:fldChar>
      </w:r>
      <w:r w:rsidR="00C86345">
        <w:rPr>
          <w:rFonts w:cstheme="minorHAnsi"/>
        </w:rPr>
        <w:instrText xml:space="preserve"> ADDIN EN.CITE.DATA </w:instrText>
      </w:r>
      <w:r w:rsidR="00C86345">
        <w:rPr>
          <w:rFonts w:cstheme="minorHAnsi"/>
        </w:rPr>
      </w:r>
      <w:r w:rsidR="00C86345">
        <w:rPr>
          <w:rFonts w:cstheme="minorHAnsi"/>
        </w:rPr>
        <w:fldChar w:fldCharType="end"/>
      </w:r>
      <w:r>
        <w:rPr>
          <w:rFonts w:cstheme="minorHAnsi"/>
        </w:rPr>
      </w:r>
      <w:r>
        <w:rPr>
          <w:rFonts w:cstheme="minorHAnsi"/>
        </w:rPr>
        <w:fldChar w:fldCharType="separate"/>
      </w:r>
      <w:r w:rsidR="00C86345">
        <w:rPr>
          <w:rFonts w:cstheme="minorHAnsi"/>
          <w:noProof/>
        </w:rPr>
        <w:t>(</w:t>
      </w:r>
      <w:hyperlink w:anchor="_ENREF_20" w:tooltip="Frankenthal, 2014 #79" w:history="1">
        <w:r w:rsidR="00EB6EA4">
          <w:rPr>
            <w:rFonts w:cstheme="minorHAnsi"/>
            <w:noProof/>
          </w:rPr>
          <w:t>20-23</w:t>
        </w:r>
      </w:hyperlink>
      <w:r w:rsidR="00C86345">
        <w:rPr>
          <w:rFonts w:cstheme="minorHAnsi"/>
          <w:noProof/>
        </w:rPr>
        <w:t>)</w:t>
      </w:r>
      <w:r>
        <w:rPr>
          <w:rFonts w:cstheme="minorHAnsi"/>
        </w:rPr>
        <w:fldChar w:fldCharType="end"/>
      </w:r>
      <w:r>
        <w:rPr>
          <w:rFonts w:cstheme="minorHAnsi"/>
        </w:rPr>
        <w:t xml:space="preserve"> </w:t>
      </w:r>
      <w:r w:rsidRPr="00897B1B">
        <w:rPr>
          <w:rFonts w:cstheme="minorHAnsi"/>
        </w:rPr>
        <w:t>met the inclusion criteria</w:t>
      </w:r>
      <w:r w:rsidR="00C86345">
        <w:rPr>
          <w:rFonts w:cstheme="minorHAnsi"/>
        </w:rPr>
        <w:t>.</w:t>
      </w:r>
    </w:p>
    <w:p w14:paraId="25B836CF" w14:textId="26DD6E25" w:rsidR="00CB3878" w:rsidRDefault="00CB3878" w:rsidP="007501B9">
      <w:r w:rsidRPr="00897B1B">
        <w:t>A PRISMA (</w:t>
      </w:r>
      <w:r w:rsidRPr="00C86345">
        <w:rPr>
          <w:shd w:val="clear" w:color="auto" w:fill="FFFFFF"/>
        </w:rPr>
        <w:t>preferred reporting items for systematic reviews and meta-analyses)</w:t>
      </w:r>
      <w:r w:rsidRPr="00C86345">
        <w:t xml:space="preserve"> flowchart </w:t>
      </w:r>
      <w:r w:rsidR="00C86345" w:rsidRPr="00C86345">
        <w:t>(Figure B-1)</w:t>
      </w:r>
      <w:r w:rsidRPr="00C86345">
        <w:t xml:space="preserve"> provides a</w:t>
      </w:r>
      <w:r w:rsidRPr="00897B1B">
        <w:t xml:space="preserve"> graphic depiction of the results of the literature search</w:t>
      </w:r>
      <w:r w:rsidR="007501B9">
        <w:t xml:space="preserve">. </w:t>
      </w:r>
      <w:r>
        <w:t>T</w:t>
      </w:r>
      <w:r w:rsidRPr="00897B1B">
        <w:t>he most common reason for exclud</w:t>
      </w:r>
      <w:r>
        <w:t>ing</w:t>
      </w:r>
      <w:r w:rsidRPr="00897B1B">
        <w:t xml:space="preserve"> studies was wrong setting</w:t>
      </w:r>
      <w:r>
        <w:t>, wrong intervention, single review only</w:t>
      </w:r>
      <w:r w:rsidR="007501B9">
        <w:t xml:space="preserve">. </w:t>
      </w:r>
      <w:r>
        <w:t>Among</w:t>
      </w:r>
      <w:r w:rsidRPr="00897B1B">
        <w:t xml:space="preserve"> the excluded studies,</w:t>
      </w:r>
      <w:r>
        <w:t xml:space="preserve"> 16 were protocols only</w:t>
      </w:r>
      <w:r w:rsidR="007501B9">
        <w:t xml:space="preserve">. </w:t>
      </w:r>
      <w:r>
        <w:t xml:space="preserve">Two studies performed a single medication review for aged </w:t>
      </w:r>
      <w:r w:rsidR="00EF17A7">
        <w:t xml:space="preserve">care residents during the trial </w:t>
      </w:r>
      <w:r>
        <w:fldChar w:fldCharType="begin">
          <w:fldData xml:space="preserve">PEVuZE5vdGU+PENpdGU+PEF1dGhvcj5Qb3R0ZXI8L0F1dGhvcj48WWVhcj4yMDE2PC9ZZWFyPjxS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</w:fldData>
        </w:fldChar>
      </w:r>
      <w:r w:rsidR="00C86345">
        <w:instrText xml:space="preserve"> ADDIN EN.CITE </w:instrText>
      </w:r>
      <w:r w:rsidR="00C86345">
        <w:fldChar w:fldCharType="begin">
          <w:fldData xml:space="preserve">PEVuZE5vdGU+PENpdGU+PEF1dGhvcj5Qb3R0ZXI8L0F1dGhvcj48WWVhcj4yMDE2PC9ZZWFyPjxS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</w:fldData>
        </w:fldChar>
      </w:r>
      <w:r w:rsidR="00C86345">
        <w:instrText xml:space="preserve"> ADDIN EN.CITE.DATA </w:instrText>
      </w:r>
      <w:r w:rsidR="00C86345">
        <w:fldChar w:fldCharType="end"/>
      </w:r>
      <w:r>
        <w:fldChar w:fldCharType="separate"/>
      </w:r>
      <w:r w:rsidR="00C86345">
        <w:rPr>
          <w:noProof/>
        </w:rPr>
        <w:t>(</w:t>
      </w:r>
      <w:hyperlink w:anchor="_ENREF_24" w:tooltip="Potter, 2016 #10" w:history="1">
        <w:r w:rsidR="00EB6EA4">
          <w:rPr>
            <w:noProof/>
          </w:rPr>
          <w:t>24</w:t>
        </w:r>
      </w:hyperlink>
      <w:r w:rsidR="00C86345">
        <w:rPr>
          <w:noProof/>
        </w:rPr>
        <w:t xml:space="preserve">, </w:t>
      </w:r>
      <w:hyperlink w:anchor="_ENREF_25" w:tooltip="Zermansky, 2006 #13" w:history="1">
        <w:r w:rsidR="00EB6EA4">
          <w:rPr>
            <w:noProof/>
          </w:rPr>
          <w:t>25</w:t>
        </w:r>
      </w:hyperlink>
      <w:r w:rsidR="00C86345">
        <w:rPr>
          <w:noProof/>
        </w:rPr>
        <w:t>)</w:t>
      </w:r>
      <w:r>
        <w:fldChar w:fldCharType="end"/>
      </w:r>
      <w:r>
        <w:t>, and nine studies compared intervention effect of training non-pharmacy professionals.</w:t>
      </w:r>
      <w:r>
        <w:fldChar w:fldCharType="begin">
          <w:fldData xml:space="preserve">PEVuZE5vdGU+PENpdGU+PEF1dGhvcj5Dcm90dHk8L0F1dGhvcj48WWVhcj4yMDA0PC9ZZWFyPjxS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==
</w:fldData>
        </w:fldChar>
      </w:r>
      <w:r w:rsidR="00C86345">
        <w:instrText xml:space="preserve"> ADDIN EN.CITE </w:instrText>
      </w:r>
      <w:r w:rsidR="00C86345">
        <w:fldChar w:fldCharType="begin">
          <w:fldData xml:space="preserve">PEVuZE5vdGU+PENpdGU+PEF1dGhvcj5Dcm90dHk8L0F1dGhvcj48WWVhcj4yMDA0PC9ZZWFyPjxS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==
</w:fldData>
        </w:fldChar>
      </w:r>
      <w:r w:rsidR="00C86345">
        <w:instrText xml:space="preserve"> ADDIN EN.CITE.DATA </w:instrText>
      </w:r>
      <w:r w:rsidR="00C86345">
        <w:fldChar w:fldCharType="end"/>
      </w:r>
      <w:r>
        <w:fldChar w:fldCharType="separate"/>
      </w:r>
      <w:r w:rsidR="00C86345">
        <w:rPr>
          <w:noProof/>
        </w:rPr>
        <w:t>(</w:t>
      </w:r>
      <w:hyperlink w:anchor="_ENREF_26" w:tooltip="Crotty, 2004 #2" w:history="1">
        <w:r w:rsidR="00EB6EA4">
          <w:rPr>
            <w:noProof/>
          </w:rPr>
          <w:t>26-35</w:t>
        </w:r>
      </w:hyperlink>
      <w:r w:rsidR="00C86345">
        <w:rPr>
          <w:noProof/>
        </w:rPr>
        <w:t>)</w:t>
      </w:r>
      <w:r>
        <w:fldChar w:fldCharType="end"/>
      </w:r>
      <w:r>
        <w:t xml:space="preserve">  All references from excluded studies were examined </w:t>
      </w:r>
      <w:r w:rsidRPr="00897B1B">
        <w:t xml:space="preserve">to identify any </w:t>
      </w:r>
      <w:r>
        <w:t>further</w:t>
      </w:r>
      <w:r w:rsidRPr="00897B1B">
        <w:t xml:space="preserve"> </w:t>
      </w:r>
      <w:r>
        <w:t>relevant studies</w:t>
      </w:r>
      <w:r w:rsidR="007501B9">
        <w:t xml:space="preserve">. </w:t>
      </w:r>
      <w:r w:rsidRPr="00897B1B">
        <w:t xml:space="preserve">Studies that could not be retrieved or that met the inclusion criteria but contained insufficient or inadequate data for inclusion are listed as </w:t>
      </w:r>
      <w:r w:rsidRPr="00C86345">
        <w:t xml:space="preserve">excluded </w:t>
      </w:r>
      <w:r w:rsidR="00C86345" w:rsidRPr="00C86345">
        <w:t>studies.</w:t>
      </w:r>
    </w:p>
    <w:p w14:paraId="271B7553" w14:textId="77777777" w:rsidR="00CB3878" w:rsidRPr="00897B1B" w:rsidRDefault="00CB3878" w:rsidP="007501B9">
      <w:r w:rsidRPr="0038322B">
        <w:rPr>
          <w:noProof/>
        </w:rPr>
        <w:lastRenderedPageBreak/>
        <w:drawing>
          <wp:inline distT="0" distB="0" distL="0" distR="0" wp14:anchorId="52E4D8AC" wp14:editId="1C9BC553">
            <wp:extent cx="5731510" cy="6324963"/>
            <wp:effectExtent l="0" t="0" r="2540" b="0"/>
            <wp:docPr id="42" name="Picture 42" descr="The search criteria resulted in 1792 potentially relevant records; 316 were duplicates and 1353 were deemed as irrelevant after screening of the title or abstract level. A full-text analysis was completed for 123 studies, of which four RCTs(20-23) met the inclusion criteria. " title="PRISMA flow diagram of search process for literature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orjg\Pictures\Screenshots\Screenshot (1727).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6324963"/>
                    </a:xfrm>
                    <a:prstGeom prst="rect">
                      <a:avLst/>
                    </a:prstGeom>
                    <a:noFill/>
                    <a:ln>
                      <a:noFill/>
                    </a:ln>
                  </pic:spPr>
                </pic:pic>
              </a:graphicData>
            </a:graphic>
          </wp:inline>
        </w:drawing>
      </w:r>
    </w:p>
    <w:p w14:paraId="396C7F85" w14:textId="10F54C47" w:rsidR="00973CC2" w:rsidRDefault="00CB3878" w:rsidP="00897C5B">
      <w:pPr>
        <w:pStyle w:val="Caption"/>
      </w:pPr>
      <w:r w:rsidRPr="00C86345">
        <w:t xml:space="preserve">Figure </w:t>
      </w:r>
      <w:r w:rsidR="00C86345" w:rsidRPr="00C86345">
        <w:t>B-</w:t>
      </w:r>
      <w:fldSimple w:instr=" SEQ Figure \* ARABIC ">
        <w:r w:rsidR="00164214">
          <w:rPr>
            <w:noProof/>
          </w:rPr>
          <w:t>1</w:t>
        </w:r>
      </w:fldSimple>
      <w:r w:rsidRPr="00C86345">
        <w:t xml:space="preserve"> Summary of the process used to identify and select studies for assessment</w:t>
      </w:r>
      <w:r w:rsidRPr="00897B1B">
        <w:t xml:space="preserve"> </w:t>
      </w:r>
    </w:p>
    <w:p w14:paraId="6BA11C58" w14:textId="028136D2" w:rsidR="00973CC2" w:rsidRDefault="00973CC2" w:rsidP="007501B9">
      <w:r w:rsidRPr="00973CC2">
        <w:t>Four stud</w:t>
      </w:r>
      <w:r w:rsidR="00276AC1">
        <w:t>ies met the inclusion criteria.</w:t>
      </w:r>
    </w:p>
    <w:p w14:paraId="1EC9404D" w14:textId="3BB8EC1F" w:rsidR="00973CC2" w:rsidRDefault="00973CC2" w:rsidP="007501B9">
      <w:r>
        <w:t xml:space="preserve">Furniss </w:t>
      </w:r>
      <w:r w:rsidRPr="00276AC1">
        <w:rPr>
          <w:i/>
        </w:rPr>
        <w:t>et al</w:t>
      </w:r>
      <w:r>
        <w:t>., tested the effectiveness of a single medicine review with a follow-up visit at three weeks</w:t>
      </w:r>
      <w:r w:rsidR="007501B9">
        <w:t xml:space="preserve">. </w:t>
      </w:r>
      <w:r>
        <w:t>Outcomes were ass</w:t>
      </w:r>
      <w:r w:rsidR="000878D8">
        <w:t xml:space="preserve">essed at four and eight months. </w:t>
      </w:r>
      <w:r w:rsidR="00276AC1">
        <w:t>(21)</w:t>
      </w:r>
    </w:p>
    <w:p w14:paraId="29B485D8" w14:textId="080F21FC" w:rsidR="00973CC2" w:rsidRDefault="00973CC2" w:rsidP="007501B9">
      <w:proofErr w:type="spellStart"/>
      <w:r>
        <w:t>Frankenthal</w:t>
      </w:r>
      <w:proofErr w:type="spellEnd"/>
      <w:r>
        <w:t xml:space="preserve"> </w:t>
      </w:r>
      <w:r w:rsidRPr="00276AC1">
        <w:rPr>
          <w:i/>
        </w:rPr>
        <w:t>et al</w:t>
      </w:r>
      <w:r>
        <w:t xml:space="preserve">., tested the effectiveness of a pharmacist intervention comprising </w:t>
      </w:r>
      <w:r w:rsidR="000878D8">
        <w:t xml:space="preserve">2 visits over a 6 month period. </w:t>
      </w:r>
      <w:r w:rsidR="000878D8">
        <w:fldChar w:fldCharType="begin"/>
      </w:r>
      <w:r w:rsidR="000878D8">
        <w:instrText xml:space="preserve"> ADDIN EN.CITE &lt;EndNote&gt;&lt;Cite&gt;&lt;Author&gt;Frankenthal&lt;/Author&gt;&lt;Year&gt;2014&lt;/Year&gt;&lt;RecNum&gt;79&lt;/RecNum&gt;&lt;DisplayText&gt;(20)&lt;/DisplayText&gt;&lt;record&gt;&lt;rec-number&gt;79&lt;/rec-number&gt;&lt;foreign-keys&gt;&lt;key app="EN" db-id="9s5z5ped05vxdnede99vfsxhtzavzdzs2d5r" timestamp="1616566370"&gt;79&lt;/key&gt;&lt;/foreign-keys&gt;&lt;ref-type name="Journal Article"&gt;17&lt;/ref-type&gt;&lt;contributors&gt;&lt;authors&gt;&lt;author&gt;Frankenthal, Dvora&lt;/author&gt;&lt;author&gt;Lerman, Yaffa&lt;/author&gt;&lt;author&gt;Kalendaryev, Edward&lt;/author&gt;&lt;author&gt;Lerman, Yehuda&lt;/author&gt;&lt;/authors&gt;&lt;/contributors&gt;&lt;titles&gt;&lt;title&gt;Intervention with the screening tool of older persons potentially inappropriate prescriptions/screening tool to alert doctors to right treatment criteria in elderly residents of a chronic geriatric facility: a randomized clinical trial&lt;/title&gt;&lt;secondary-title&gt;Journal of the American Geriatrics Society&lt;/secondary-title&gt;&lt;/titles&gt;&lt;periodical&gt;&lt;full-title&gt;Journal of the American Geriatrics Society&lt;/full-title&gt;&lt;/periodical&gt;&lt;pages&gt;1658-1665&lt;/pages&gt;&lt;volume&gt;62&lt;/volume&gt;&lt;number&gt;9&lt;/number&gt;&lt;dates&gt;&lt;year&gt;2014&lt;/year&gt;&lt;/dates&gt;&lt;isbn&gt;0002-8614&lt;/isbn&gt;&lt;urls&gt;&lt;/urls&gt;&lt;/record&gt;&lt;/Cite&gt;&lt;/EndNote&gt;</w:instrText>
      </w:r>
      <w:r w:rsidR="000878D8">
        <w:fldChar w:fldCharType="separate"/>
      </w:r>
      <w:r w:rsidR="000878D8">
        <w:rPr>
          <w:noProof/>
        </w:rPr>
        <w:t>(</w:t>
      </w:r>
      <w:hyperlink w:anchor="_ENREF_20" w:tooltip="Frankenthal, 2014 #79" w:history="1">
        <w:r w:rsidR="00EB6EA4">
          <w:rPr>
            <w:noProof/>
          </w:rPr>
          <w:t>20</w:t>
        </w:r>
      </w:hyperlink>
      <w:r w:rsidR="000878D8">
        <w:rPr>
          <w:noProof/>
        </w:rPr>
        <w:t>)</w:t>
      </w:r>
      <w:r w:rsidR="000878D8">
        <w:fldChar w:fldCharType="end"/>
      </w:r>
      <w:r w:rsidR="000878D8">
        <w:t xml:space="preserve">  </w:t>
      </w:r>
      <w:r>
        <w:t>The pharmacists used the Stop/Start criteria as part of their intervention</w:t>
      </w:r>
      <w:r w:rsidR="007501B9">
        <w:t xml:space="preserve">. </w:t>
      </w:r>
      <w:r>
        <w:t>Follow-up was at 12 months.</w:t>
      </w:r>
    </w:p>
    <w:p w14:paraId="0D7F67F8" w14:textId="7A4C7332" w:rsidR="00973CC2" w:rsidRDefault="00973CC2" w:rsidP="007501B9">
      <w:pPr>
        <w:rPr>
          <w:color w:val="1C1D1E"/>
          <w:shd w:val="clear" w:color="auto" w:fill="FFFFFF"/>
        </w:rPr>
      </w:pPr>
      <w:r>
        <w:t xml:space="preserve">Patterson </w:t>
      </w:r>
      <w:r w:rsidRPr="00276AC1">
        <w:rPr>
          <w:i/>
        </w:rPr>
        <w:t>et al</w:t>
      </w:r>
      <w:r>
        <w:t xml:space="preserve">., tested the effectiveness of monthly pharmacist services to aged-care residents with a focus on reducing use of psychoactive medicines. </w:t>
      </w:r>
      <w:r w:rsidR="000878D8">
        <w:fldChar w:fldCharType="begin"/>
      </w:r>
      <w:r w:rsidR="000878D8">
        <w:instrText xml:space="preserve"> ADDIN EN.CITE &lt;EndNote&gt;&lt;Cite&gt;&lt;Author&gt;Patterson&lt;/Author&gt;&lt;Year&gt;2010&lt;/Year&gt;&lt;RecNum&gt;81&lt;/RecNum&gt;&lt;DisplayText&gt;(23)&lt;/DisplayText&gt;&lt;record&gt;&lt;rec-number&gt;81&lt;/rec-number&gt;&lt;foreign-keys&gt;&lt;key app="EN" db-id="9s5z5ped05vxdnede99vfsxhtzavzdzs2d5r" timestamp="1616566476"&gt;81&lt;/key&gt;&lt;/foreign-keys&gt;&lt;ref-type name="Journal Article"&gt;17&lt;/ref-type&gt;&lt;contributors&gt;&lt;authors&gt;&lt;author&gt;Patterson, Susan M&lt;/author&gt;&lt;author&gt;Hughes, Carmel M&lt;/author&gt;&lt;author&gt;Crealey, Grainne&lt;/author&gt;&lt;author&gt;Cardwell, Chris&lt;/author&gt;&lt;author&gt;Lapane, Kate L&lt;/author&gt;&lt;/authors&gt;&lt;/contributors&gt;&lt;titles&gt;&lt;title&gt;An evaluation of an adapted US model of pharmaceutical care to improve psychoactive prescribing for nursing home residents in Northern Ireland (Fleetwood Northern Ireland study)&lt;/title&gt;&lt;secondary-title&gt;Journal of the American Geriatrics Society&lt;/secondary-title&gt;&lt;/titles&gt;&lt;periodical&gt;&lt;full-title&gt;Journal of the American Geriatrics Society&lt;/full-title&gt;&lt;/periodical&gt;&lt;pages&gt;44-53&lt;/pages&gt;&lt;volume&gt;58&lt;/volume&gt;&lt;number&gt;1&lt;/number&gt;&lt;dates&gt;&lt;year&gt;2010&lt;/year&gt;&lt;/dates&gt;&lt;isbn&gt;0002-8614&lt;/isbn&gt;&lt;urls&gt;&lt;/urls&gt;&lt;/record&gt;&lt;/Cite&gt;&lt;/EndNote&gt;</w:instrText>
      </w:r>
      <w:r w:rsidR="000878D8">
        <w:fldChar w:fldCharType="separate"/>
      </w:r>
      <w:r w:rsidR="000878D8">
        <w:rPr>
          <w:noProof/>
        </w:rPr>
        <w:t>(</w:t>
      </w:r>
      <w:hyperlink w:anchor="_ENREF_23" w:tooltip="Patterson, 2010 #81" w:history="1">
        <w:r w:rsidR="00EB6EA4">
          <w:rPr>
            <w:noProof/>
          </w:rPr>
          <w:t>23</w:t>
        </w:r>
      </w:hyperlink>
      <w:r w:rsidR="000878D8">
        <w:rPr>
          <w:noProof/>
        </w:rPr>
        <w:t>)</w:t>
      </w:r>
      <w:r w:rsidR="000878D8">
        <w:fldChar w:fldCharType="end"/>
      </w:r>
      <w:r w:rsidR="000878D8">
        <w:t xml:space="preserve">  </w:t>
      </w:r>
      <w:r>
        <w:t xml:space="preserve">Pharmacists were </w:t>
      </w:r>
      <w:r>
        <w:lastRenderedPageBreak/>
        <w:t>supported with an algorithm adapted from a previous study</w:t>
      </w:r>
      <w:r w:rsidR="007501B9">
        <w:t xml:space="preserve">. </w:t>
      </w:r>
      <w:r>
        <w:t xml:space="preserve">“[Pharmacists] </w:t>
      </w:r>
      <w:r w:rsidRPr="00CA50D4">
        <w:rPr>
          <w:i/>
          <w:color w:val="1C1D1E"/>
          <w:shd w:val="clear" w:color="auto" w:fill="FFFFFF"/>
        </w:rPr>
        <w:t>assessed the pharmaceutical care needs of each resident by interviewing the residents, their named nurses and their family members or caregivers</w:t>
      </w:r>
      <w:r w:rsidR="007501B9">
        <w:rPr>
          <w:i/>
          <w:color w:val="1C1D1E"/>
          <w:shd w:val="clear" w:color="auto" w:fill="FFFFFF"/>
        </w:rPr>
        <w:t xml:space="preserve">. </w:t>
      </w:r>
      <w:r w:rsidRPr="00CA50D4">
        <w:rPr>
          <w:i/>
          <w:color w:val="1C1D1E"/>
          <w:shd w:val="clear" w:color="auto" w:fill="FFFFFF"/>
        </w:rPr>
        <w:t>Potential and actual medication</w:t>
      </w:r>
      <w:r w:rsidRPr="00CA50D4">
        <w:rPr>
          <w:rFonts w:ascii="Cambria Math" w:hAnsi="Cambria Math" w:cs="Cambria Math"/>
          <w:i/>
          <w:color w:val="1C1D1E"/>
          <w:shd w:val="clear" w:color="auto" w:fill="FFFFFF"/>
        </w:rPr>
        <w:t>‐</w:t>
      </w:r>
      <w:r w:rsidRPr="00CA50D4">
        <w:rPr>
          <w:i/>
          <w:color w:val="1C1D1E"/>
          <w:shd w:val="clear" w:color="auto" w:fill="FFFFFF"/>
        </w:rPr>
        <w:t>related problems were identified, and recommendations for intervention were recorded</w:t>
      </w:r>
      <w:r w:rsidR="007501B9">
        <w:rPr>
          <w:i/>
          <w:color w:val="1C1D1E"/>
          <w:shd w:val="clear" w:color="auto" w:fill="FFFFFF"/>
        </w:rPr>
        <w:t xml:space="preserve">. </w:t>
      </w:r>
      <w:r w:rsidRPr="00CA50D4">
        <w:rPr>
          <w:i/>
          <w:color w:val="1C1D1E"/>
          <w:shd w:val="clear" w:color="auto" w:fill="FFFFFF"/>
        </w:rPr>
        <w:t>An algorithmic approach adapted from a previous study</w:t>
      </w:r>
      <w:hyperlink r:id="rId26" w:anchor="b16" w:history="1"/>
      <w:r w:rsidRPr="00CA50D4">
        <w:rPr>
          <w:i/>
          <w:color w:val="1C1D1E"/>
          <w:shd w:val="clear" w:color="auto" w:fill="FFFFFF"/>
        </w:rPr>
        <w:t> was used as a guide for study pharmacists to ascertain whether participating residents were receiving inappropriate psychoactive medication”</w:t>
      </w:r>
      <w:r w:rsidR="007501B9">
        <w:rPr>
          <w:i/>
          <w:color w:val="1C1D1E"/>
          <w:shd w:val="clear" w:color="auto" w:fill="FFFFFF"/>
        </w:rPr>
        <w:t xml:space="preserve">. </w:t>
      </w:r>
      <w:r w:rsidRPr="00A35B30">
        <w:rPr>
          <w:color w:val="1C1D1E"/>
          <w:shd w:val="clear" w:color="auto" w:fill="FFFFFF"/>
        </w:rPr>
        <w:t>Intervention participants were followed up monthly</w:t>
      </w:r>
      <w:r w:rsidR="007501B9">
        <w:rPr>
          <w:color w:val="1C1D1E"/>
          <w:shd w:val="clear" w:color="auto" w:fill="FFFFFF"/>
        </w:rPr>
        <w:t xml:space="preserve">. </w:t>
      </w:r>
      <w:r>
        <w:rPr>
          <w:color w:val="1C1D1E"/>
          <w:shd w:val="clear" w:color="auto" w:fill="FFFFFF"/>
        </w:rPr>
        <w:t xml:space="preserve">Follow-up was at 12 months. </w:t>
      </w:r>
    </w:p>
    <w:p w14:paraId="6BC446EB" w14:textId="46606CF3" w:rsidR="00973CC2" w:rsidRPr="00A35B30" w:rsidRDefault="00973CC2" w:rsidP="007501B9">
      <w:proofErr w:type="spellStart"/>
      <w:r>
        <w:rPr>
          <w:shd w:val="clear" w:color="auto" w:fill="FFFFFF"/>
        </w:rPr>
        <w:t>Lapane</w:t>
      </w:r>
      <w:proofErr w:type="spellEnd"/>
      <w:r>
        <w:rPr>
          <w:shd w:val="clear" w:color="auto" w:fill="FFFFFF"/>
        </w:rPr>
        <w:t xml:space="preserve"> </w:t>
      </w:r>
      <w:r w:rsidRPr="00276AC1">
        <w:rPr>
          <w:i/>
          <w:shd w:val="clear" w:color="auto" w:fill="FFFFFF"/>
        </w:rPr>
        <w:t>et al</w:t>
      </w:r>
      <w:r>
        <w:rPr>
          <w:shd w:val="clear" w:color="auto" w:fill="FFFFFF"/>
        </w:rPr>
        <w:t xml:space="preserve">., tested the effectiveness of an algorithm generated from the clinical record to support pharmacists undertaking medicine reviews. </w:t>
      </w:r>
      <w:r w:rsidR="000878D8">
        <w:rPr>
          <w:shd w:val="clear" w:color="auto" w:fill="FFFFFF"/>
        </w:rPr>
        <w:fldChar w:fldCharType="begin"/>
      </w:r>
      <w:r w:rsidR="000878D8">
        <w:rPr>
          <w:shd w:val="clear" w:color="auto" w:fill="FFFFFF"/>
        </w:rPr>
        <w:instrText xml:space="preserve"> ADDIN EN.CITE &lt;EndNote&gt;&lt;Cite&gt;&lt;Author&gt;Lapane&lt;/Author&gt;&lt;Year&gt;2011&lt;/Year&gt;&lt;RecNum&gt;80&lt;/RecNum&gt;&lt;DisplayText&gt;(22)&lt;/DisplayText&gt;&lt;record&gt;&lt;rec-number&gt;80&lt;/rec-number&gt;&lt;foreign-keys&gt;&lt;key app="EN" db-id="9s5z5ped05vxdnede99vfsxhtzavzdzs2d5r" timestamp="1616566440"&gt;80&lt;/key&gt;&lt;/foreign-keys&gt;&lt;ref-type name="Journal Article"&gt;17&lt;/ref-type&gt;&lt;contributors&gt;&lt;authors&gt;&lt;author&gt;Lapane, Kate L&lt;/author&gt;&lt;author&gt;Hughes, Carmel M&lt;/author&gt;&lt;author&gt;Daiello, Lori A&lt;/author&gt;&lt;author&gt;Cameron, Kathleen A&lt;/author&gt;&lt;author&gt;Feinberg, Janice&lt;/author&gt;&lt;/authors&gt;&lt;/contributors&gt;&lt;titles&gt;&lt;title&gt;Effect of a pharmacist</w:instrText>
      </w:r>
      <w:r w:rsidR="000878D8">
        <w:rPr>
          <w:rFonts w:ascii="Cambria Math" w:hAnsi="Cambria Math" w:cs="Cambria Math"/>
          <w:shd w:val="clear" w:color="auto" w:fill="FFFFFF"/>
        </w:rPr>
        <w:instrText>‐</w:instrText>
      </w:r>
      <w:r w:rsidR="000878D8">
        <w:rPr>
          <w:shd w:val="clear" w:color="auto" w:fill="FFFFFF"/>
        </w:rPr>
        <w:instrText>led multicomponent intervention focusing on the medication monitoring phase to prevent potential adverse drug events in nursing homes&lt;/title&gt;&lt;secondary-title&gt;Journal of the American Geriatrics Society&lt;/secondary-title&gt;&lt;/titles&gt;&lt;periodical&gt;&lt;full-title&gt;Journal of the American Geriatrics Society&lt;/full-title&gt;&lt;/periodical&gt;&lt;pages&gt;1238-1245&lt;/pages&gt;&lt;volume&gt;59&lt;/volume&gt;&lt;number&gt;7&lt;/number&gt;&lt;dates&gt;&lt;year&gt;2011&lt;/year&gt;&lt;/dates&gt;&lt;isbn&gt;0002-8614&lt;/isbn&gt;&lt;urls&gt;&lt;/urls&gt;&lt;/record&gt;&lt;/Cite&gt;&lt;/EndNote&gt;</w:instrText>
      </w:r>
      <w:r w:rsidR="000878D8">
        <w:rPr>
          <w:shd w:val="clear" w:color="auto" w:fill="FFFFFF"/>
        </w:rPr>
        <w:fldChar w:fldCharType="separate"/>
      </w:r>
      <w:r w:rsidR="000878D8">
        <w:rPr>
          <w:noProof/>
          <w:shd w:val="clear" w:color="auto" w:fill="FFFFFF"/>
        </w:rPr>
        <w:t>(</w:t>
      </w:r>
      <w:hyperlink w:anchor="_ENREF_22" w:tooltip="Lapane, 2011 #80" w:history="1">
        <w:r w:rsidR="00EB6EA4">
          <w:rPr>
            <w:noProof/>
            <w:shd w:val="clear" w:color="auto" w:fill="FFFFFF"/>
          </w:rPr>
          <w:t>22</w:t>
        </w:r>
      </w:hyperlink>
      <w:r w:rsidR="000878D8">
        <w:rPr>
          <w:noProof/>
          <w:shd w:val="clear" w:color="auto" w:fill="FFFFFF"/>
        </w:rPr>
        <w:t>)</w:t>
      </w:r>
      <w:r w:rsidR="000878D8">
        <w:rPr>
          <w:shd w:val="clear" w:color="auto" w:fill="FFFFFF"/>
        </w:rPr>
        <w:fldChar w:fldCharType="end"/>
      </w:r>
      <w:r w:rsidR="000878D8">
        <w:rPr>
          <w:shd w:val="clear" w:color="auto" w:fill="FFFFFF"/>
        </w:rPr>
        <w:t xml:space="preserve"> </w:t>
      </w:r>
      <w:r>
        <w:rPr>
          <w:shd w:val="clear" w:color="auto" w:fill="FFFFFF"/>
        </w:rPr>
        <w:t xml:space="preserve"> Pharmacists visited the facility monthly, with algorithms generated for all residents newly admitted as well as for all residents with a recent fall or case of delirium</w:t>
      </w:r>
      <w:r w:rsidR="007501B9">
        <w:rPr>
          <w:shd w:val="clear" w:color="auto" w:fill="FFFFFF"/>
        </w:rPr>
        <w:t xml:space="preserve">. </w:t>
      </w:r>
      <w:r>
        <w:rPr>
          <w:shd w:val="clear" w:color="auto" w:fill="FFFFFF"/>
        </w:rPr>
        <w:t>Mandated medicine reviews occurred quarterly or yearly as required</w:t>
      </w:r>
      <w:r w:rsidR="007501B9">
        <w:rPr>
          <w:shd w:val="clear" w:color="auto" w:fill="FFFFFF"/>
        </w:rPr>
        <w:t xml:space="preserve">. </w:t>
      </w:r>
      <w:r>
        <w:rPr>
          <w:shd w:val="clear" w:color="auto" w:fill="FFFFFF"/>
        </w:rPr>
        <w:t xml:space="preserve">The usual care group received a similar number of interventions as the intervention </w:t>
      </w:r>
      <w:proofErr w:type="gramStart"/>
      <w:r>
        <w:rPr>
          <w:shd w:val="clear" w:color="auto" w:fill="FFFFFF"/>
        </w:rPr>
        <w:t>group,</w:t>
      </w:r>
      <w:proofErr w:type="gramEnd"/>
      <w:r>
        <w:rPr>
          <w:shd w:val="clear" w:color="auto" w:fill="FFFFFF"/>
        </w:rPr>
        <w:t xml:space="preserve"> thus this intervention is really testing the additional benefit of the algorithm rath</w:t>
      </w:r>
      <w:r w:rsidR="00276AC1">
        <w:rPr>
          <w:shd w:val="clear" w:color="auto" w:fill="FFFFFF"/>
        </w:rPr>
        <w:t>er than the pharmacist service.</w:t>
      </w:r>
    </w:p>
    <w:p w14:paraId="73DB80FC" w14:textId="45097450" w:rsidR="00CB3878" w:rsidRDefault="00973CC2" w:rsidP="007501B9">
      <w:r>
        <w:t>None of these studies were limited to the aged-care population with mild cognitive impairment</w:t>
      </w:r>
      <w:r w:rsidR="007501B9">
        <w:t xml:space="preserve">. </w:t>
      </w:r>
      <w:r>
        <w:t xml:space="preserve">Thus, the </w:t>
      </w:r>
      <w:proofErr w:type="spellStart"/>
      <w:r w:rsidR="00276AC1">
        <w:t>ReMInDAR</w:t>
      </w:r>
      <w:proofErr w:type="spellEnd"/>
      <w:r>
        <w:t xml:space="preserve"> trial forms the basis of the evidenc</w:t>
      </w:r>
      <w:r w:rsidRPr="00276AC1">
        <w:t>e for this submission</w:t>
      </w:r>
      <w:r w:rsidR="00CA47CA">
        <w:t xml:space="preserve">. </w:t>
      </w:r>
      <w:r w:rsidRPr="00276AC1">
        <w:t xml:space="preserve">A full summary of the results of the four studies is provided in </w:t>
      </w:r>
      <w:r w:rsidR="000878D8" w:rsidRPr="00276AC1">
        <w:t>Appendix B.</w:t>
      </w:r>
    </w:p>
    <w:p w14:paraId="763D78E5" w14:textId="77777777" w:rsidR="00CB3878" w:rsidRPr="00897B1B" w:rsidRDefault="00CB3878" w:rsidP="00857F40">
      <w:pPr>
        <w:pStyle w:val="Heading2-SectionB"/>
      </w:pPr>
      <w:bookmarkStart w:id="134" w:name="_Toc117758241"/>
      <w:r w:rsidRPr="00897B1B">
        <w:t>Results of the Systematic Literature review</w:t>
      </w:r>
      <w:bookmarkEnd w:id="134"/>
    </w:p>
    <w:p w14:paraId="66A27715" w14:textId="477D06EE" w:rsidR="00E24504" w:rsidRDefault="00CB3878" w:rsidP="007501B9">
      <w:r>
        <w:t>We located n</w:t>
      </w:r>
      <w:r w:rsidRPr="00232030">
        <w:t xml:space="preserve">o previous research that </w:t>
      </w:r>
      <w:r>
        <w:t xml:space="preserve">aimed to </w:t>
      </w:r>
      <w:r w:rsidRPr="00232030">
        <w:t>assess the effect of ongoing pharmacist assessment to prevent deterioration due to medicine use in persons in aged care who were not cognitively impaired or frail</w:t>
      </w:r>
      <w:r w:rsidR="007501B9">
        <w:t xml:space="preserve">. </w:t>
      </w:r>
      <w:r>
        <w:t>Further, n</w:t>
      </w:r>
      <w:r w:rsidRPr="00232030">
        <w:t xml:space="preserve">o previous research </w:t>
      </w:r>
      <w:r>
        <w:t xml:space="preserve">aimed </w:t>
      </w:r>
      <w:r w:rsidRPr="00232030">
        <w:t>to prevent mild cognitive impairment</w:t>
      </w:r>
      <w:r>
        <w:t xml:space="preserve"> or used assessment tools to detect mild cognitive impairment</w:t>
      </w:r>
      <w:r w:rsidR="007501B9">
        <w:t xml:space="preserve">. </w:t>
      </w:r>
      <w:r>
        <w:t>The limitation of prior research is that cognitive assessment tools used would only detect major changes in cognition</w:t>
      </w:r>
      <w:r w:rsidR="007501B9">
        <w:t xml:space="preserve">. </w:t>
      </w:r>
      <w:r>
        <w:t xml:space="preserve">No previous published </w:t>
      </w:r>
      <w:r w:rsidRPr="00897B1B">
        <w:t xml:space="preserve">studies </w:t>
      </w:r>
      <w:r>
        <w:t>used the</w:t>
      </w:r>
      <w:r w:rsidRPr="00897B1B">
        <w:t xml:space="preserve"> Montreal Cognitive Assessment (MoCA)</w:t>
      </w:r>
      <w:r w:rsidR="007501B9">
        <w:t xml:space="preserve">. </w:t>
      </w:r>
      <w:r w:rsidR="00276AC1">
        <w:t xml:space="preserve">The </w:t>
      </w:r>
      <w:r w:rsidRPr="00897B1B">
        <w:t>MoCA is validated for detecting mild cognitive impairment in older people.</w:t>
      </w:r>
      <w:r w:rsidRPr="00897B1B">
        <w:fldChar w:fldCharType="begin"/>
      </w:r>
      <w:r w:rsidR="00EB6EA4">
        <w:instrText xml:space="preserve"> ADDIN EN.CITE &lt;EndNote&gt;&lt;Cite&gt;&lt;Author&gt;Lim&lt;/Author&gt;&lt;Year&gt;2020&lt;/Year&gt;&lt;RecNum&gt;22&lt;/RecNum&gt;&lt;DisplayText&gt;(36)&lt;/DisplayText&gt;&lt;record&gt;&lt;rec-number&gt;22&lt;/rec-number&gt;&lt;foreign-keys&gt;&lt;key app="EN" db-id="eeezzstvhp5ss3eptfpxdww9tvawrfef0xa5" timestamp="1615264270"&gt;22&lt;/key&gt;&lt;/foreign-keys&gt;&lt;ref-type name="Journal Article"&gt;17&lt;/ref-type&gt;&lt;contributors&gt;&lt;authors&gt;&lt;author&gt;Lim, Renly&lt;/author&gt;&lt;author&gt;Bereznicki, Luke&lt;/author&gt;&lt;author&gt;Corlis, Megan&lt;/author&gt;&lt;author&gt;Ellett, Lisa M Kalisch&lt;/author&gt;&lt;author&gt;Kang, Ai Choo&lt;/author&gt;&lt;author&gt;Merlin, Tracy&lt;/author&gt;&lt;author&gt;Parfitt, Gaynor&lt;/author&gt;&lt;author&gt;Pratt, Nicole L&lt;/author&gt;&lt;author&gt;Rowett, Debra&lt;/author&gt;&lt;author&gt;Torode, Stacey&lt;/author&gt;&lt;/authors&gt;&lt;/contributors&gt;&lt;titles&gt;&lt;title&gt;Reducing medicine-induced deterioration and adverse reactions (ReMInDAR) trial: study protocol for a randomised controlled trial in residential aged-care facilities assessing frailty as the primary outcome&lt;/title&gt;&lt;secondary-title&gt;BMJ open&lt;/secondary-title&gt;&lt;/titles&gt;&lt;periodical&gt;&lt;full-title&gt;BMJ open&lt;/full-title&gt;&lt;/periodical&gt;&lt;pages&gt;e032851&lt;/pages&gt;&lt;volume&gt;10&lt;/volume&gt;&lt;number&gt;4&lt;/number&gt;&lt;dates&gt;&lt;year&gt;2020&lt;/year&gt;&lt;/dates&gt;&lt;isbn&gt;2044-6055&lt;/isbn&gt;&lt;urls&gt;&lt;/urls&gt;&lt;/record&gt;&lt;/Cite&gt;&lt;/EndNote&gt;</w:instrText>
      </w:r>
      <w:r w:rsidRPr="00897B1B">
        <w:fldChar w:fldCharType="separate"/>
      </w:r>
      <w:r w:rsidR="00EB6EA4">
        <w:rPr>
          <w:noProof/>
        </w:rPr>
        <w:t>(</w:t>
      </w:r>
      <w:hyperlink w:anchor="_ENREF_36" w:tooltip="Lim, 2020 #22" w:history="1">
        <w:r w:rsidR="00EB6EA4">
          <w:rPr>
            <w:noProof/>
          </w:rPr>
          <w:t>36</w:t>
        </w:r>
      </w:hyperlink>
      <w:r w:rsidR="00EB6EA4">
        <w:rPr>
          <w:noProof/>
        </w:rPr>
        <w:t>)</w:t>
      </w:r>
      <w:r w:rsidRPr="00897B1B">
        <w:fldChar w:fldCharType="end"/>
      </w:r>
      <w:r w:rsidRPr="00897B1B">
        <w:t xml:space="preserve"> </w:t>
      </w:r>
      <w:r>
        <w:t xml:space="preserve"> Thus, the </w:t>
      </w:r>
      <w:proofErr w:type="spellStart"/>
      <w:r w:rsidR="00276AC1">
        <w:t>ReMInDAR</w:t>
      </w:r>
      <w:proofErr w:type="spellEnd"/>
      <w:r>
        <w:t xml:space="preserve"> trial forms the basis of the evidence for this submission.</w:t>
      </w:r>
    </w:p>
    <w:p w14:paraId="434ED707" w14:textId="564CDC30" w:rsidR="006D39A1" w:rsidRPr="00F42B1D" w:rsidRDefault="006D39A1" w:rsidP="0084765B">
      <w:pPr>
        <w:pStyle w:val="Heading3-SectionB3"/>
      </w:pPr>
      <w:bookmarkStart w:id="135" w:name="_Toc117758242"/>
      <w:r w:rsidRPr="00F42B1D">
        <w:t xml:space="preserve">Methodology of the </w:t>
      </w:r>
      <w:proofErr w:type="spellStart"/>
      <w:r w:rsidRPr="00F42B1D">
        <w:t>ReMInDAR</w:t>
      </w:r>
      <w:proofErr w:type="spellEnd"/>
      <w:r w:rsidRPr="00F42B1D">
        <w:t xml:space="preserve"> trial</w:t>
      </w:r>
      <w:bookmarkEnd w:id="135"/>
    </w:p>
    <w:p w14:paraId="429BEF66" w14:textId="77777777" w:rsidR="006D39A1" w:rsidRPr="00F42B1D" w:rsidRDefault="006D39A1" w:rsidP="00391CFD">
      <w:pPr>
        <w:pStyle w:val="Heading4"/>
      </w:pPr>
      <w:r w:rsidRPr="00F42B1D">
        <w:t>Ethics and dissemination</w:t>
      </w:r>
    </w:p>
    <w:p w14:paraId="733BFD4F" w14:textId="43FED023" w:rsidR="006D39A1" w:rsidRPr="00F42B1D" w:rsidRDefault="006D39A1" w:rsidP="007501B9">
      <w:r w:rsidRPr="00F42B1D">
        <w:t>The trial was conducted in accordance with principles of the World Medical Association Declaration of Helsinki</w:t>
      </w:r>
      <w:r w:rsidR="00060079" w:rsidRPr="00F42B1D">
        <w:t xml:space="preserve"> </w:t>
      </w:r>
      <w:r w:rsidRPr="00F42B1D">
        <w:fldChar w:fldCharType="begin"/>
      </w:r>
      <w:r w:rsidR="00EB6EA4">
        <w:instrText xml:space="preserve"> ADDIN EN.CITE &lt;EndNote&gt;&lt;Cite&gt;&lt;Author&gt;World Medical Association.&lt;/Author&gt;&lt;Year&gt;2013&lt;/Year&gt;&lt;RecNum&gt;38&lt;/RecNum&gt;&lt;DisplayText&gt;(37)&lt;/DisplayText&gt;&lt;record&gt;&lt;rec-number&gt;38&lt;/rec-number&gt;&lt;foreign-keys&gt;&lt;key app="EN" db-id="9s5z5ped05vxdnede99vfsxhtzavzdzs2d5r" timestamp="1597381999"&gt;38&lt;/key&gt;&lt;/foreign-keys&gt;&lt;ref-type name="Journal Article"&gt;17&lt;/ref-type&gt;&lt;contributors&gt;&lt;authors&gt;&lt;author&gt;World Medical Association.,&lt;/author&gt;&lt;/authors&gt;&lt;/contributors&gt;&lt;titles&gt;&lt;title&gt;World Medical Association Declaration of Helsinki: ethical principles for medical research involving human subjects&lt;/title&gt;&lt;secondary-title&gt;JAMA&lt;/secondary-title&gt;&lt;alt-title&gt;Jama&lt;/alt-title&gt;&lt;/titles&gt;&lt;pages&gt;2191-4&lt;/pages&gt;&lt;volume&gt;310&lt;/volume&gt;&lt;number&gt;20&lt;/number&gt;&lt;edition&gt;2013/10/22&lt;/edition&gt;&lt;keywords&gt;&lt;keyword&gt;Clinical Trials as Topic/ ethics&lt;/keyword&gt;&lt;keyword&gt;Confidentiality&lt;/keyword&gt;&lt;keyword&gt;Ethics, Research&lt;/keyword&gt;&lt;keyword&gt;Helsinki Declaration&lt;/keyword&gt;&lt;keyword&gt;Human Experimentation/ ethics&lt;/keyword&gt;&lt;keyword&gt;Humans&lt;/keyword&gt;&lt;keyword&gt;Informed Consent&lt;/keyword&gt;&lt;keyword&gt;Physicians/ethics&lt;/keyword&gt;&lt;keyword&gt;Placebos&lt;/keyword&gt;&lt;keyword&gt;Research Design&lt;/keyword&gt;&lt;keyword&gt;Risk Assessment&lt;/keyword&gt;&lt;keyword&gt;Vulnerable Populations&lt;/keyword&gt;&lt;/keywords&gt;&lt;dates&gt;&lt;year&gt;2013&lt;/year&gt;&lt;pub-dates&gt;&lt;date&gt;Nov 27&lt;/date&gt;&lt;/pub-dates&gt;&lt;/dates&gt;&lt;isbn&gt;1538-3598 (Electronic)&amp;#xD;0098-7484 (Linking)&lt;/isbn&gt;&lt;accession-num&gt;24141714&lt;/accession-num&gt;&lt;urls&gt;&lt;/urls&gt;&lt;electronic-resource-num&gt;10.1001/jama.2013.281053&lt;/electronic-resource-num&gt;&lt;remote-database-provider&gt;NLM&lt;/remote-database-provider&gt;&lt;language&gt;eng&lt;/language&gt;&lt;/record&gt;&lt;/Cite&gt;&lt;/EndNote&gt;</w:instrText>
      </w:r>
      <w:r w:rsidRPr="00F42B1D">
        <w:fldChar w:fldCharType="separate"/>
      </w:r>
      <w:r w:rsidR="00EB6EA4">
        <w:rPr>
          <w:noProof/>
        </w:rPr>
        <w:t>(</w:t>
      </w:r>
      <w:hyperlink w:anchor="_ENREF_37" w:tooltip="World Medical Association., 2013 #38" w:history="1">
        <w:r w:rsidR="00EB6EA4">
          <w:rPr>
            <w:noProof/>
          </w:rPr>
          <w:t>37</w:t>
        </w:r>
      </w:hyperlink>
      <w:r w:rsidR="00EB6EA4">
        <w:rPr>
          <w:noProof/>
        </w:rPr>
        <w:t>)</w:t>
      </w:r>
      <w:r w:rsidRPr="00F42B1D">
        <w:fldChar w:fldCharType="end"/>
      </w:r>
      <w:r w:rsidRPr="00F42B1D">
        <w:t xml:space="preserve"> and the Australian National Statement of Ethical Conduct in Human Research.</w:t>
      </w:r>
      <w:r w:rsidRPr="00F42B1D">
        <w:fldChar w:fldCharType="begin"/>
      </w:r>
      <w:r w:rsidR="00EB6EA4">
        <w:instrText xml:space="preserve"> ADDIN EN.CITE &lt;EndNote&gt;&lt;Cite&gt;&lt;Author&gt;National Health and Medical Research Council.&lt;/Author&gt;&lt;Year&gt;2007&lt;/Year&gt;&lt;RecNum&gt;39&lt;/RecNum&gt;&lt;DisplayText&gt;(38)&lt;/DisplayText&gt;&lt;record&gt;&lt;rec-number&gt;39&lt;/rec-number&gt;&lt;foreign-keys&gt;&lt;key app="EN" db-id="9s5z5ped05vxdnede99vfsxhtzavzdzs2d5r" timestamp="1597381999"&gt;39&lt;/key&gt;&lt;/foreign-keys&gt;&lt;ref-type name="Web Page"&gt;12&lt;/ref-type&gt;&lt;contributors&gt;&lt;authors&gt;&lt;author&gt;National Health and Medical Research Council.,&lt;/author&gt;&lt;/authors&gt;&lt;/contributors&gt;&lt;titles&gt;&lt;title&gt;National Statement of Ethical Conduct in Human Research&lt;/title&gt;&lt;/titles&gt;&lt;dates&gt;&lt;year&gt;2007&lt;/year&gt;&lt;/dates&gt;&lt;urls&gt;&lt;related-urls&gt;&lt;url&gt;https://www.nhmrc.gov.au/guidelines-publications/e72&lt;/url&gt;&lt;/related-urls&gt;&lt;/urls&gt;&lt;/record&gt;&lt;/Cite&gt;&lt;Cite&gt;&lt;Author&gt;National Health and Medical Research Council.&lt;/Author&gt;&lt;Year&gt;2007&lt;/Year&gt;&lt;RecNum&gt;39&lt;/RecNum&gt;&lt;record&gt;&lt;rec-number&gt;39&lt;/rec-number&gt;&lt;foreign-keys&gt;&lt;key app="EN" db-id="9s5z5ped05vxdnede99vfsxhtzavzdzs2d5r" timestamp="1597381999"&gt;39&lt;/key&gt;&lt;/foreign-keys&gt;&lt;ref-type name="Web Page"&gt;12&lt;/ref-type&gt;&lt;contributors&gt;&lt;authors&gt;&lt;author&gt;National Health and Medical Research Council.,&lt;/author&gt;&lt;/authors&gt;&lt;/contributors&gt;&lt;titles&gt;&lt;title&gt;National Statement of Ethical Conduct in Human Research&lt;/title&gt;&lt;/titles&gt;&lt;dates&gt;&lt;year&gt;2007&lt;/year&gt;&lt;/dates&gt;&lt;urls&gt;&lt;related-urls&gt;&lt;url&gt;https://www.nhmrc.gov.au/guidelines-publications/e72&lt;/url&gt;&lt;/related-urls&gt;&lt;/urls&gt;&lt;/record&gt;&lt;/Cite&gt;&lt;/EndNote&gt;</w:instrText>
      </w:r>
      <w:r w:rsidRPr="00F42B1D">
        <w:fldChar w:fldCharType="separate"/>
      </w:r>
      <w:r w:rsidR="00EB6EA4">
        <w:rPr>
          <w:noProof/>
        </w:rPr>
        <w:t>(</w:t>
      </w:r>
      <w:hyperlink w:anchor="_ENREF_38" w:tooltip="National Health and Medical Research Council., 2007 #39" w:history="1">
        <w:r w:rsidR="00EB6EA4">
          <w:rPr>
            <w:noProof/>
          </w:rPr>
          <w:t>38</w:t>
        </w:r>
      </w:hyperlink>
      <w:r w:rsidR="00EB6EA4">
        <w:rPr>
          <w:noProof/>
        </w:rPr>
        <w:t>)</w:t>
      </w:r>
      <w:r w:rsidRPr="00F42B1D">
        <w:fldChar w:fldCharType="end"/>
      </w:r>
      <w:r w:rsidR="00914F47" w:rsidRPr="00F42B1D">
        <w:t xml:space="preserve"> </w:t>
      </w:r>
      <w:r w:rsidRPr="00F42B1D">
        <w:t xml:space="preserve"> Ethics approvals were obtained from the Human Research Ethics Committee, University of South Australia (ID: 0000036440); the Tasmania Health and Medical Human Research Ethics Committee, University of Tasmania (ID: H0017022); the </w:t>
      </w:r>
      <w:r w:rsidR="007D621B">
        <w:lastRenderedPageBreak/>
        <w:t>Services Australia</w:t>
      </w:r>
      <w:r w:rsidRPr="00F42B1D">
        <w:t xml:space="preserve"> External Request Evaluation Committee (ID: RMS0124); and SA Department for Health and Wellbeing (DHW) Human Research Ethics Committee (ID: HREC/19/SAH/83)</w:t>
      </w:r>
      <w:r w:rsidR="00914F47" w:rsidRPr="00F42B1D">
        <w:t>.</w:t>
      </w:r>
    </w:p>
    <w:p w14:paraId="0B07A12D" w14:textId="6B70B0A2" w:rsidR="0036494E" w:rsidRDefault="006D39A1" w:rsidP="007501B9">
      <w:r w:rsidRPr="00F42B1D">
        <w:t>The trial was registered with the Australian and New Zealand Trials Regist</w:t>
      </w:r>
      <w:r w:rsidR="00914F47" w:rsidRPr="00F42B1D">
        <w:t>ry (ACTRN12618000766213).</w:t>
      </w:r>
    </w:p>
    <w:p w14:paraId="714CF305" w14:textId="77777777" w:rsidR="0036494E" w:rsidRPr="00F42B1D" w:rsidRDefault="0036494E" w:rsidP="0036494E">
      <w:pPr>
        <w:pStyle w:val="Heading4"/>
      </w:pPr>
      <w:r w:rsidRPr="00F42B1D">
        <w:t>Trial design and setting</w:t>
      </w:r>
    </w:p>
    <w:p w14:paraId="3014097E" w14:textId="1A88A763" w:rsidR="0036494E" w:rsidRPr="00F42B1D" w:rsidRDefault="0036494E" w:rsidP="007501B9">
      <w:r w:rsidRPr="00F42B1D">
        <w:t>The Reducing Medicine-induced Deterioration and Adverse Reactions (</w:t>
      </w:r>
      <w:proofErr w:type="spellStart"/>
      <w:r w:rsidRPr="00F42B1D">
        <w:t>ReMInDAR</w:t>
      </w:r>
      <w:proofErr w:type="spellEnd"/>
      <w:r w:rsidRPr="00F42B1D">
        <w:t xml:space="preserve">) trial was a multicentre, open-label, randomised controlled trial involving 39 </w:t>
      </w:r>
      <w:r w:rsidR="00812C48">
        <w:t>aged care</w:t>
      </w:r>
      <w:r w:rsidRPr="00F42B1D">
        <w:t xml:space="preserve"> facilities with a </w:t>
      </w:r>
      <w:proofErr w:type="gramStart"/>
      <w:r w:rsidRPr="00F42B1D">
        <w:t>12 month</w:t>
      </w:r>
      <w:proofErr w:type="gramEnd"/>
      <w:r w:rsidRPr="00F42B1D">
        <w:t xml:space="preserve"> follow-up period (Figure B-</w:t>
      </w:r>
      <w:r w:rsidR="00E716E6">
        <w:t>2</w:t>
      </w:r>
      <w:r w:rsidRPr="00F42B1D">
        <w:t>)</w:t>
      </w:r>
      <w:r w:rsidR="007501B9">
        <w:t xml:space="preserve">. </w:t>
      </w:r>
      <w:r w:rsidRPr="00F42B1D">
        <w:t>The intervention occurred between August 2018 and July 2020.</w:t>
      </w:r>
    </w:p>
    <w:p w14:paraId="5DF0F5F3" w14:textId="21E5967A" w:rsidR="00A10255" w:rsidRPr="00F42B1D" w:rsidRDefault="00A10255" w:rsidP="00897C5B">
      <w:pPr>
        <w:pStyle w:val="Caption"/>
      </w:pPr>
      <w:r w:rsidRPr="00426FDD">
        <w:lastRenderedPageBreak/>
        <w:t>Figure B-</w:t>
      </w:r>
      <w:r w:rsidR="00E716E6">
        <w:t>2</w:t>
      </w:r>
      <w:r w:rsidRPr="00426FDD">
        <w:t xml:space="preserve">: </w:t>
      </w:r>
      <w:proofErr w:type="spellStart"/>
      <w:r w:rsidRPr="00426FDD">
        <w:t>ReMInDAR</w:t>
      </w:r>
      <w:proofErr w:type="spellEnd"/>
      <w:r w:rsidRPr="00426FDD">
        <w:t xml:space="preserve"> recruitment and trial delivery flow chart</w:t>
      </w:r>
      <w:r w:rsidR="00A34316">
        <w:t>.</w:t>
      </w:r>
      <w:r w:rsidR="00A34316" w:rsidRPr="00A34316">
        <w:t xml:space="preserve"> </w:t>
      </w:r>
      <w:r w:rsidR="00A34316" w:rsidRPr="00426FDD">
        <w:rPr>
          <w:noProof/>
        </w:rPr>
        <mc:AlternateContent>
          <mc:Choice Requires="wpg">
            <w:drawing>
              <wp:inline distT="0" distB="0" distL="0" distR="0" wp14:anchorId="19EA8DDC" wp14:editId="6F6A7025">
                <wp:extent cx="5218430" cy="6849110"/>
                <wp:effectExtent l="19050" t="0" r="20320" b="27940"/>
                <wp:docPr id="297" name="Group 297" descr="Figure B-1 is a flow chart describing the recruitment and subsequent steps of trial delivery across the trial timeframe. At each residential aged care facility residents are screened by a research assistant for eligibility and those residents who do not wish to participate are able to opt out. For residents who opt out or who are ineligible, there is no further involvement in the trial.&#10;Eligible residents who chose to participate in the trial are assessed for baseline trial outcomes, and data is also collected from their medicine and health records. Residents are then randomised (1:1) into one of two trial arms, the comparator arm or the intervention pharmacist service for 12 months (which is further described in text below for Figure B-2). The comparator arm continued to receive usual care for 12 months regardless of any medicine or frailty changes during the year. Participants in both arms of the trial are assessed for 6 and 12 month time point outcomes at the respective period of the trial before trial completion.&#10;" title="recruitment and trial delivery flow chart"/>
                <wp:cNvGraphicFramePr/>
                <a:graphic xmlns:a="http://schemas.openxmlformats.org/drawingml/2006/main">
                  <a:graphicData uri="http://schemas.microsoft.com/office/word/2010/wordprocessingGroup">
                    <wpg:wgp>
                      <wpg:cNvGrpSpPr/>
                      <wpg:grpSpPr>
                        <a:xfrm>
                          <a:off x="0" y="0"/>
                          <a:ext cx="5218430" cy="6849110"/>
                          <a:chOff x="0" y="0"/>
                          <a:chExt cx="4972015" cy="6531007"/>
                        </a:xfrm>
                      </wpg:grpSpPr>
                      <wps:wsp>
                        <wps:cNvPr id="298" name="TextBox 93"/>
                        <wps:cNvSpPr txBox="1"/>
                        <wps:spPr>
                          <a:xfrm>
                            <a:off x="2527539" y="6262777"/>
                            <a:ext cx="2191172" cy="268230"/>
                          </a:xfrm>
                          <a:prstGeom prst="rect">
                            <a:avLst/>
                          </a:prstGeom>
                          <a:noFill/>
                          <a:ln>
                            <a:solidFill>
                              <a:schemeClr val="tx1"/>
                            </a:solidFill>
                          </a:ln>
                        </wps:spPr>
                        <wps:txbx>
                          <w:txbxContent>
                            <w:p w14:paraId="060E7D29" w14:textId="77777777" w:rsidR="007D621B" w:rsidRPr="00973CC2" w:rsidRDefault="007D621B" w:rsidP="00A34316">
                              <w:pPr>
                                <w:pStyle w:val="NormalWeb"/>
                                <w:rPr>
                                  <w:rFonts w:asciiTheme="minorHAnsi" w:hAnsiTheme="minorHAnsi" w:cstheme="minorHAnsi"/>
                                </w:rPr>
                              </w:pPr>
                              <w:r w:rsidRPr="00973CC2">
                                <w:rPr>
                                  <w:rFonts w:asciiTheme="minorHAnsi" w:hAnsiTheme="minorHAnsi" w:cstheme="minorHAnsi"/>
                                </w:rPr>
                                <w:t>RA follow up at 12 months</w:t>
                              </w:r>
                            </w:p>
                          </w:txbxContent>
                        </wps:txbx>
                        <wps:bodyPr wrap="square" rtlCol="0">
                          <a:noAutofit/>
                        </wps:bodyPr>
                      </wps:wsp>
                      <wps:wsp>
                        <wps:cNvPr id="299" name="Rectangle 299"/>
                        <wps:cNvSpPr/>
                        <wps:spPr>
                          <a:xfrm>
                            <a:off x="0" y="1940943"/>
                            <a:ext cx="2074454" cy="3293189"/>
                          </a:xfrm>
                          <a:prstGeom prst="rect">
                            <a:avLst/>
                          </a:prstGeom>
                          <a:solidFill>
                            <a:schemeClr val="bg1"/>
                          </a:solid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0" name="TextBox 54"/>
                        <wps:cNvSpPr txBox="1"/>
                        <wps:spPr>
                          <a:xfrm>
                            <a:off x="232913" y="0"/>
                            <a:ext cx="2115342" cy="412849"/>
                          </a:xfrm>
                          <a:prstGeom prst="rect">
                            <a:avLst/>
                          </a:prstGeom>
                          <a:noFill/>
                          <a:ln>
                            <a:solidFill>
                              <a:schemeClr val="tx1"/>
                            </a:solidFill>
                          </a:ln>
                        </wps:spPr>
                        <wps:txbx>
                          <w:txbxContent>
                            <w:p w14:paraId="74E44843" w14:textId="77777777" w:rsidR="007D621B" w:rsidRPr="00973CC2" w:rsidRDefault="007D621B" w:rsidP="00A34316">
                              <w:pPr>
                                <w:pStyle w:val="NormalWeb"/>
                                <w:rPr>
                                  <w:rFonts w:asciiTheme="minorHAnsi" w:hAnsiTheme="minorHAnsi" w:cstheme="minorHAnsi"/>
                                </w:rPr>
                              </w:pPr>
                              <w:r w:rsidRPr="00973CC2">
                                <w:rPr>
                                  <w:rFonts w:asciiTheme="minorHAnsi" w:hAnsiTheme="minorHAnsi" w:cstheme="minorHAnsi"/>
                                </w:rPr>
                                <w:t>Residential Aged Care Facility</w:t>
                              </w:r>
                            </w:p>
                          </w:txbxContent>
                        </wps:txbx>
                        <wps:bodyPr wrap="square" rtlCol="0">
                          <a:noAutofit/>
                        </wps:bodyPr>
                      </wps:wsp>
                      <wps:wsp>
                        <wps:cNvPr id="301" name="TextBox 57"/>
                        <wps:cNvSpPr txBox="1"/>
                        <wps:spPr>
                          <a:xfrm>
                            <a:off x="224287" y="2078966"/>
                            <a:ext cx="1551932" cy="436919"/>
                          </a:xfrm>
                          <a:prstGeom prst="rect">
                            <a:avLst/>
                          </a:prstGeom>
                          <a:solidFill>
                            <a:schemeClr val="accent2">
                              <a:lumMod val="60000"/>
                              <a:lumOff val="40000"/>
                            </a:schemeClr>
                          </a:solidFill>
                          <a:ln>
                            <a:solidFill>
                              <a:schemeClr val="accent2">
                                <a:lumMod val="60000"/>
                                <a:lumOff val="40000"/>
                              </a:schemeClr>
                            </a:solidFill>
                          </a:ln>
                        </wps:spPr>
                        <wps:txbx>
                          <w:txbxContent>
                            <w:p w14:paraId="74B51F48" w14:textId="77777777" w:rsidR="007D621B" w:rsidRPr="00973CC2" w:rsidRDefault="007D621B" w:rsidP="00A34316">
                              <w:pPr>
                                <w:pStyle w:val="NormalWeb"/>
                                <w:rPr>
                                  <w:rFonts w:asciiTheme="minorHAnsi" w:hAnsiTheme="minorHAnsi" w:cstheme="minorHAnsi"/>
                                </w:rPr>
                              </w:pPr>
                              <w:r w:rsidRPr="00973CC2">
                                <w:rPr>
                                  <w:rFonts w:asciiTheme="minorHAnsi" w:hAnsiTheme="minorHAnsi" w:cstheme="minorHAnsi"/>
                                </w:rPr>
                                <w:t xml:space="preserve">Pharmacist Intervention </w:t>
                              </w:r>
                            </w:p>
                            <w:p w14:paraId="637E118D" w14:textId="77777777" w:rsidR="007D621B" w:rsidRPr="00973CC2" w:rsidRDefault="007D621B" w:rsidP="00A34316">
                              <w:pPr>
                                <w:pStyle w:val="NormalWeb"/>
                                <w:rPr>
                                  <w:rFonts w:asciiTheme="minorHAnsi" w:hAnsiTheme="minorHAnsi" w:cstheme="minorHAnsi"/>
                                </w:rPr>
                              </w:pPr>
                              <w:r w:rsidRPr="00973CC2">
                                <w:rPr>
                                  <w:rFonts w:asciiTheme="minorHAnsi" w:hAnsiTheme="minorHAnsi" w:cstheme="minorHAnsi"/>
                                </w:rPr>
                                <w:t>See Figure B-2</w:t>
                              </w:r>
                            </w:p>
                            <w:p w14:paraId="76744CEC" w14:textId="77777777" w:rsidR="007D621B" w:rsidRPr="00973CC2" w:rsidRDefault="007D621B" w:rsidP="00A34316">
                              <w:pPr>
                                <w:pStyle w:val="NormalWeb"/>
                                <w:rPr>
                                  <w:rFonts w:asciiTheme="minorHAnsi" w:hAnsiTheme="minorHAnsi" w:cstheme="minorHAnsi"/>
                                </w:rPr>
                              </w:pPr>
                              <w:r w:rsidRPr="00973CC2">
                                <w:rPr>
                                  <w:rFonts w:asciiTheme="minorHAnsi" w:hAnsiTheme="minorHAnsi" w:cstheme="minorHAnsi"/>
                                </w:rPr>
                                <w:t>*</w:t>
                              </w:r>
                            </w:p>
                            <w:p w14:paraId="66B7FFDB" w14:textId="77777777" w:rsidR="007D621B" w:rsidRPr="00973CC2" w:rsidRDefault="007D621B" w:rsidP="00A34316">
                              <w:pPr>
                                <w:pStyle w:val="NormalWeb"/>
                                <w:rPr>
                                  <w:rFonts w:asciiTheme="minorHAnsi" w:hAnsiTheme="minorHAnsi" w:cstheme="minorHAnsi"/>
                                </w:rPr>
                              </w:pPr>
                            </w:p>
                            <w:p w14:paraId="3BDF53CB" w14:textId="77777777" w:rsidR="007D621B" w:rsidRPr="00973CC2" w:rsidRDefault="007D621B" w:rsidP="00A34316">
                              <w:pPr>
                                <w:pStyle w:val="NormalWeb"/>
                                <w:rPr>
                                  <w:rFonts w:asciiTheme="minorHAnsi" w:hAnsiTheme="minorHAnsi" w:cstheme="minorHAnsi"/>
                                </w:rPr>
                              </w:pPr>
                            </w:p>
                            <w:p w14:paraId="019E676B" w14:textId="77777777" w:rsidR="007D621B" w:rsidRPr="00973CC2" w:rsidRDefault="007D621B" w:rsidP="00A34316">
                              <w:pPr>
                                <w:pStyle w:val="NormalWeb"/>
                                <w:rPr>
                                  <w:rFonts w:asciiTheme="minorHAnsi" w:hAnsiTheme="minorHAnsi" w:cstheme="minorHAnsi"/>
                                </w:rPr>
                              </w:pPr>
                              <w:r w:rsidRPr="00973CC2">
                                <w:rPr>
                                  <w:rFonts w:asciiTheme="minorHAnsi" w:hAnsiTheme="minorHAnsi" w:cstheme="minorHAnsi"/>
                                </w:rPr>
                                <w:t>see</w:t>
                              </w:r>
                            </w:p>
                          </w:txbxContent>
                        </wps:txbx>
                        <wps:bodyPr wrap="square" rtlCol="0">
                          <a:noAutofit/>
                        </wps:bodyPr>
                      </wps:wsp>
                      <wps:wsp>
                        <wps:cNvPr id="302" name="TextBox 59"/>
                        <wps:cNvSpPr txBox="1"/>
                        <wps:spPr>
                          <a:xfrm>
                            <a:off x="2950234" y="1984075"/>
                            <a:ext cx="963268" cy="268832"/>
                          </a:xfrm>
                          <a:prstGeom prst="rect">
                            <a:avLst/>
                          </a:prstGeom>
                          <a:solidFill>
                            <a:schemeClr val="accent1">
                              <a:lumMod val="60000"/>
                              <a:lumOff val="40000"/>
                            </a:schemeClr>
                          </a:solidFill>
                          <a:ln>
                            <a:solidFill>
                              <a:schemeClr val="accent1">
                                <a:lumMod val="60000"/>
                                <a:lumOff val="40000"/>
                              </a:schemeClr>
                            </a:solidFill>
                          </a:ln>
                        </wps:spPr>
                        <wps:txbx>
                          <w:txbxContent>
                            <w:p w14:paraId="34F23117" w14:textId="77777777" w:rsidR="007D621B" w:rsidRPr="00973CC2" w:rsidRDefault="007D621B" w:rsidP="00A34316">
                              <w:pPr>
                                <w:pStyle w:val="NormalWeb"/>
                                <w:rPr>
                                  <w:rFonts w:asciiTheme="minorHAnsi" w:hAnsiTheme="minorHAnsi" w:cstheme="minorHAnsi"/>
                                </w:rPr>
                              </w:pPr>
                              <w:r w:rsidRPr="00973CC2">
                                <w:rPr>
                                  <w:rFonts w:asciiTheme="minorHAnsi" w:hAnsiTheme="minorHAnsi" w:cstheme="minorHAnsi"/>
                                </w:rPr>
                                <w:t>Usual Care</w:t>
                              </w:r>
                            </w:p>
                          </w:txbxContent>
                        </wps:txbx>
                        <wps:bodyPr wrap="square" rtlCol="0">
                          <a:noAutofit/>
                        </wps:bodyPr>
                      </wps:wsp>
                      <wps:wsp>
                        <wps:cNvPr id="303" name="TextBox 67"/>
                        <wps:cNvSpPr txBox="1"/>
                        <wps:spPr>
                          <a:xfrm>
                            <a:off x="250166" y="638355"/>
                            <a:ext cx="2074854" cy="253476"/>
                          </a:xfrm>
                          <a:prstGeom prst="rect">
                            <a:avLst/>
                          </a:prstGeom>
                          <a:noFill/>
                          <a:ln>
                            <a:solidFill>
                              <a:schemeClr val="tx1"/>
                            </a:solidFill>
                          </a:ln>
                        </wps:spPr>
                        <wps:txbx>
                          <w:txbxContent>
                            <w:p w14:paraId="4A520231" w14:textId="77777777" w:rsidR="007D621B" w:rsidRPr="00973CC2" w:rsidRDefault="007D621B" w:rsidP="00A34316">
                              <w:pPr>
                                <w:pStyle w:val="NormalWeb"/>
                                <w:rPr>
                                  <w:rFonts w:asciiTheme="minorHAnsi" w:hAnsiTheme="minorHAnsi" w:cstheme="minorHAnsi"/>
                                </w:rPr>
                              </w:pPr>
                              <w:r w:rsidRPr="00973CC2">
                                <w:rPr>
                                  <w:rFonts w:asciiTheme="minorHAnsi" w:hAnsiTheme="minorHAnsi" w:cstheme="minorHAnsi"/>
                                </w:rPr>
                                <w:t>Eligibility Screening and ‘opt’ out</w:t>
                              </w:r>
                            </w:p>
                          </w:txbxContent>
                        </wps:txbx>
                        <wps:bodyPr wrap="square" rtlCol="0">
                          <a:noAutofit/>
                        </wps:bodyPr>
                      </wps:wsp>
                      <wps:wsp>
                        <wps:cNvPr id="304" name="TextBox 69"/>
                        <wps:cNvSpPr txBox="1"/>
                        <wps:spPr>
                          <a:xfrm>
                            <a:off x="250166" y="1069675"/>
                            <a:ext cx="2074854" cy="253476"/>
                          </a:xfrm>
                          <a:prstGeom prst="rect">
                            <a:avLst/>
                          </a:prstGeom>
                          <a:noFill/>
                          <a:ln>
                            <a:solidFill>
                              <a:schemeClr val="tx1"/>
                            </a:solidFill>
                          </a:ln>
                        </wps:spPr>
                        <wps:txbx>
                          <w:txbxContent>
                            <w:p w14:paraId="472AF80A" w14:textId="77777777" w:rsidR="007D621B" w:rsidRPr="00973CC2" w:rsidRDefault="007D621B" w:rsidP="00A34316">
                              <w:pPr>
                                <w:pStyle w:val="NormalWeb"/>
                                <w:rPr>
                                  <w:rFonts w:asciiTheme="minorHAnsi" w:hAnsiTheme="minorHAnsi" w:cstheme="minorHAnsi"/>
                                </w:rPr>
                              </w:pPr>
                              <w:r w:rsidRPr="00973CC2">
                                <w:rPr>
                                  <w:rFonts w:asciiTheme="minorHAnsi" w:hAnsiTheme="minorHAnsi" w:cstheme="minorHAnsi"/>
                                </w:rPr>
                                <w:t>Baseline measures</w:t>
                              </w:r>
                            </w:p>
                          </w:txbxContent>
                        </wps:txbx>
                        <wps:bodyPr wrap="square" rtlCol="0">
                          <a:noAutofit/>
                        </wps:bodyPr>
                      </wps:wsp>
                      <wps:wsp>
                        <wps:cNvPr id="305" name="TextBox 71"/>
                        <wps:cNvSpPr txBox="1"/>
                        <wps:spPr>
                          <a:xfrm>
                            <a:off x="224287" y="1526875"/>
                            <a:ext cx="3191111" cy="253476"/>
                          </a:xfrm>
                          <a:prstGeom prst="rect">
                            <a:avLst/>
                          </a:prstGeom>
                          <a:noFill/>
                          <a:ln>
                            <a:solidFill>
                              <a:schemeClr val="tx1"/>
                            </a:solidFill>
                          </a:ln>
                        </wps:spPr>
                        <wps:txbx>
                          <w:txbxContent>
                            <w:p w14:paraId="567A7EE2" w14:textId="77777777" w:rsidR="007D621B" w:rsidRPr="00973CC2" w:rsidRDefault="007D621B" w:rsidP="00A34316">
                              <w:pPr>
                                <w:pStyle w:val="NormalWeb"/>
                                <w:rPr>
                                  <w:rFonts w:asciiTheme="minorHAnsi" w:hAnsiTheme="minorHAnsi" w:cstheme="minorHAnsi"/>
                                </w:rPr>
                              </w:pPr>
                              <w:proofErr w:type="spellStart"/>
                              <w:r w:rsidRPr="00973CC2">
                                <w:rPr>
                                  <w:rFonts w:asciiTheme="minorHAnsi" w:hAnsiTheme="minorHAnsi" w:cstheme="minorHAnsi"/>
                                </w:rPr>
                                <w:t>Randomisation</w:t>
                              </w:r>
                              <w:proofErr w:type="spellEnd"/>
                              <w:r w:rsidRPr="00973CC2">
                                <w:rPr>
                                  <w:rFonts w:asciiTheme="minorHAnsi" w:hAnsiTheme="minorHAnsi" w:cstheme="minorHAnsi"/>
                                </w:rPr>
                                <w:t xml:space="preserve"> (1:1)</w:t>
                              </w:r>
                            </w:p>
                          </w:txbxContent>
                        </wps:txbx>
                        <wps:bodyPr wrap="square" rtlCol="0">
                          <a:noAutofit/>
                        </wps:bodyPr>
                      </wps:wsp>
                      <wps:wsp>
                        <wps:cNvPr id="306" name="Straight Arrow Connector 306"/>
                        <wps:cNvCnPr/>
                        <wps:spPr>
                          <a:xfrm>
                            <a:off x="1138687" y="465826"/>
                            <a:ext cx="1" cy="16249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7" name="Straight Arrow Connector 307"/>
                        <wps:cNvCnPr/>
                        <wps:spPr>
                          <a:xfrm>
                            <a:off x="1147313" y="888521"/>
                            <a:ext cx="1" cy="16249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8" name="Straight Arrow Connector 308"/>
                        <wps:cNvCnPr/>
                        <wps:spPr>
                          <a:xfrm>
                            <a:off x="1138687" y="1319842"/>
                            <a:ext cx="1" cy="16249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9" name="Straight Arrow Connector 309"/>
                        <wps:cNvCnPr/>
                        <wps:spPr>
                          <a:xfrm>
                            <a:off x="1164566" y="1742536"/>
                            <a:ext cx="818" cy="1659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10" name="Straight Arrow Connector 310"/>
                        <wps:cNvCnPr/>
                        <wps:spPr>
                          <a:xfrm>
                            <a:off x="3407434" y="2208362"/>
                            <a:ext cx="0" cy="1941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11" name="TextBox 84"/>
                        <wps:cNvSpPr txBox="1"/>
                        <wps:spPr>
                          <a:xfrm>
                            <a:off x="2932981" y="3062377"/>
                            <a:ext cx="1026160" cy="292735"/>
                          </a:xfrm>
                          <a:prstGeom prst="rect">
                            <a:avLst/>
                          </a:prstGeom>
                          <a:solidFill>
                            <a:schemeClr val="accent1">
                              <a:lumMod val="60000"/>
                              <a:lumOff val="40000"/>
                            </a:schemeClr>
                          </a:solidFill>
                          <a:ln>
                            <a:solidFill>
                              <a:schemeClr val="accent1">
                                <a:lumMod val="60000"/>
                                <a:lumOff val="40000"/>
                              </a:schemeClr>
                            </a:solidFill>
                          </a:ln>
                        </wps:spPr>
                        <wps:txbx>
                          <w:txbxContent>
                            <w:p w14:paraId="3462897B" w14:textId="77777777" w:rsidR="007D621B" w:rsidRPr="00973CC2" w:rsidRDefault="007D621B" w:rsidP="00A34316">
                              <w:pPr>
                                <w:pStyle w:val="NormalWeb"/>
                                <w:rPr>
                                  <w:rFonts w:asciiTheme="minorHAnsi" w:hAnsiTheme="minorHAnsi" w:cstheme="minorHAnsi"/>
                                </w:rPr>
                              </w:pPr>
                              <w:r w:rsidRPr="00973CC2">
                                <w:rPr>
                                  <w:rFonts w:asciiTheme="minorHAnsi" w:hAnsiTheme="minorHAnsi" w:cstheme="minorHAnsi"/>
                                </w:rPr>
                                <w:t>Usual Care</w:t>
                              </w:r>
                            </w:p>
                          </w:txbxContent>
                        </wps:txbx>
                        <wps:bodyPr wrap="square" rtlCol="0">
                          <a:noAutofit/>
                        </wps:bodyPr>
                      </wps:wsp>
                      <wps:wsp>
                        <wps:cNvPr id="312" name="Straight Arrow Connector 312"/>
                        <wps:cNvCnPr/>
                        <wps:spPr>
                          <a:xfrm>
                            <a:off x="3416060" y="2786332"/>
                            <a:ext cx="0" cy="25492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13" name="TextBox 87"/>
                        <wps:cNvSpPr txBox="1"/>
                        <wps:spPr>
                          <a:xfrm>
                            <a:off x="8626" y="5501372"/>
                            <a:ext cx="2074854" cy="253476"/>
                          </a:xfrm>
                          <a:prstGeom prst="rect">
                            <a:avLst/>
                          </a:prstGeom>
                          <a:noFill/>
                          <a:ln>
                            <a:solidFill>
                              <a:schemeClr val="tx1"/>
                            </a:solidFill>
                          </a:ln>
                        </wps:spPr>
                        <wps:txbx>
                          <w:txbxContent>
                            <w:p w14:paraId="4341044E" w14:textId="77777777" w:rsidR="007D621B" w:rsidRPr="00973CC2" w:rsidRDefault="007D621B" w:rsidP="00A34316">
                              <w:pPr>
                                <w:pStyle w:val="NormalWeb"/>
                                <w:rPr>
                                  <w:rFonts w:asciiTheme="minorHAnsi" w:hAnsiTheme="minorHAnsi" w:cstheme="minorHAnsi"/>
                                </w:rPr>
                              </w:pPr>
                              <w:r w:rsidRPr="00973CC2">
                                <w:rPr>
                                  <w:rFonts w:asciiTheme="minorHAnsi" w:hAnsiTheme="minorHAnsi" w:cstheme="minorHAnsi"/>
                                </w:rPr>
                                <w:t>RA follow up at 6 months</w:t>
                              </w:r>
                            </w:p>
                          </w:txbxContent>
                        </wps:txbx>
                        <wps:bodyPr wrap="square" rtlCol="0">
                          <a:noAutofit/>
                        </wps:bodyPr>
                      </wps:wsp>
                      <wps:wsp>
                        <wps:cNvPr id="314" name="TextBox 89"/>
                        <wps:cNvSpPr txBox="1"/>
                        <wps:spPr>
                          <a:xfrm>
                            <a:off x="2484407" y="5546785"/>
                            <a:ext cx="2074854" cy="253476"/>
                          </a:xfrm>
                          <a:prstGeom prst="rect">
                            <a:avLst/>
                          </a:prstGeom>
                          <a:noFill/>
                          <a:ln>
                            <a:solidFill>
                              <a:schemeClr val="tx1"/>
                            </a:solidFill>
                          </a:ln>
                        </wps:spPr>
                        <wps:txbx>
                          <w:txbxContent>
                            <w:p w14:paraId="304F0F43" w14:textId="77777777" w:rsidR="007D621B" w:rsidRPr="00973CC2" w:rsidRDefault="007D621B" w:rsidP="00A34316">
                              <w:pPr>
                                <w:pStyle w:val="NormalWeb"/>
                                <w:rPr>
                                  <w:rFonts w:asciiTheme="minorHAnsi" w:hAnsiTheme="minorHAnsi" w:cstheme="minorHAnsi"/>
                                </w:rPr>
                              </w:pPr>
                              <w:r w:rsidRPr="00973CC2">
                                <w:rPr>
                                  <w:rFonts w:asciiTheme="minorHAnsi" w:hAnsiTheme="minorHAnsi" w:cstheme="minorHAnsi"/>
                                </w:rPr>
                                <w:t>RA follow up at 6 months</w:t>
                              </w:r>
                            </w:p>
                          </w:txbxContent>
                        </wps:txbx>
                        <wps:bodyPr wrap="square" rtlCol="0">
                          <a:noAutofit/>
                        </wps:bodyPr>
                      </wps:wsp>
                      <wps:wsp>
                        <wps:cNvPr id="315" name="Straight Arrow Connector 315"/>
                        <wps:cNvCnPr/>
                        <wps:spPr>
                          <a:xfrm>
                            <a:off x="3429731" y="3415064"/>
                            <a:ext cx="0" cy="204093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16" name="Straight Arrow Connector 316"/>
                        <wps:cNvCnPr/>
                        <wps:spPr>
                          <a:xfrm>
                            <a:off x="3493258" y="5967279"/>
                            <a:ext cx="0" cy="22812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17" name="Straight Arrow Connector 317"/>
                        <wps:cNvCnPr/>
                        <wps:spPr>
                          <a:xfrm>
                            <a:off x="2329132" y="767751"/>
                            <a:ext cx="271182"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18" name="TextBox 113"/>
                        <wps:cNvSpPr txBox="1"/>
                        <wps:spPr>
                          <a:xfrm>
                            <a:off x="2631056" y="638355"/>
                            <a:ext cx="1823164" cy="253476"/>
                          </a:xfrm>
                          <a:prstGeom prst="rect">
                            <a:avLst/>
                          </a:prstGeom>
                          <a:noFill/>
                          <a:ln>
                            <a:solidFill>
                              <a:schemeClr val="tx1"/>
                            </a:solidFill>
                          </a:ln>
                        </wps:spPr>
                        <wps:txbx>
                          <w:txbxContent>
                            <w:p w14:paraId="64093888" w14:textId="77777777" w:rsidR="007D621B" w:rsidRPr="00973CC2" w:rsidRDefault="007D621B" w:rsidP="00A34316">
                              <w:pPr>
                                <w:pStyle w:val="NormalWeb"/>
                                <w:rPr>
                                  <w:rFonts w:asciiTheme="minorHAnsi" w:hAnsiTheme="minorHAnsi" w:cstheme="minorHAnsi"/>
                                </w:rPr>
                              </w:pPr>
                              <w:r w:rsidRPr="00973CC2">
                                <w:rPr>
                                  <w:rFonts w:asciiTheme="minorHAnsi" w:hAnsiTheme="minorHAnsi" w:cstheme="minorHAnsi"/>
                                </w:rPr>
                                <w:t>Not eligible or ‘opt’ out</w:t>
                              </w:r>
                            </w:p>
                          </w:txbxContent>
                        </wps:txbx>
                        <wps:bodyPr wrap="square" rtlCol="0">
                          <a:noAutofit/>
                        </wps:bodyPr>
                      </wps:wsp>
                      <wps:wsp>
                        <wps:cNvPr id="319" name="Straight Arrow Connector 319"/>
                        <wps:cNvCnPr/>
                        <wps:spPr>
                          <a:xfrm>
                            <a:off x="2958860" y="940279"/>
                            <a:ext cx="173375" cy="21661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20" name="Straight Arrow Connector 320"/>
                        <wps:cNvCnPr/>
                        <wps:spPr>
                          <a:xfrm>
                            <a:off x="957532" y="5287992"/>
                            <a:ext cx="3386" cy="2263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21" name="Straight Arrow Connector 321"/>
                        <wps:cNvCnPr/>
                        <wps:spPr>
                          <a:xfrm flipH="1">
                            <a:off x="940279" y="5781067"/>
                            <a:ext cx="1421" cy="15762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22" name="Straight Arrow Connector 322"/>
                        <wps:cNvCnPr/>
                        <wps:spPr>
                          <a:xfrm flipH="1">
                            <a:off x="931653" y="6239636"/>
                            <a:ext cx="1421" cy="15762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23" name="TextBox 63"/>
                        <wps:cNvSpPr txBox="1"/>
                        <wps:spPr>
                          <a:xfrm>
                            <a:off x="2950234" y="2406770"/>
                            <a:ext cx="952504" cy="413153"/>
                          </a:xfrm>
                          <a:prstGeom prst="rect">
                            <a:avLst/>
                          </a:prstGeom>
                          <a:solidFill>
                            <a:schemeClr val="accent1">
                              <a:lumMod val="60000"/>
                              <a:lumOff val="40000"/>
                            </a:schemeClr>
                          </a:solidFill>
                          <a:ln>
                            <a:solidFill>
                              <a:schemeClr val="accent1">
                                <a:lumMod val="60000"/>
                                <a:lumOff val="40000"/>
                              </a:schemeClr>
                            </a:solidFill>
                          </a:ln>
                        </wps:spPr>
                        <wps:txbx>
                          <w:txbxContent>
                            <w:p w14:paraId="50CAA647" w14:textId="77777777" w:rsidR="007D621B" w:rsidRPr="00973CC2" w:rsidRDefault="007D621B" w:rsidP="00A34316">
                              <w:pPr>
                                <w:pStyle w:val="NormalWeb"/>
                                <w:rPr>
                                  <w:rFonts w:asciiTheme="minorHAnsi" w:hAnsiTheme="minorHAnsi" w:cstheme="minorHAnsi"/>
                                </w:rPr>
                              </w:pPr>
                              <w:r w:rsidRPr="00973CC2">
                                <w:rPr>
                                  <w:rFonts w:asciiTheme="minorHAnsi" w:hAnsiTheme="minorHAnsi" w:cstheme="minorHAnsi"/>
                                </w:rPr>
                                <w:t>Medicine or frailty change</w:t>
                              </w:r>
                            </w:p>
                          </w:txbxContent>
                        </wps:txbx>
                        <wps:bodyPr wrap="square" rtlCol="0">
                          <a:noAutofit/>
                        </wps:bodyPr>
                      </wps:wsp>
                      <wps:wsp>
                        <wps:cNvPr id="324" name="Straight Arrow Connector 324"/>
                        <wps:cNvCnPr/>
                        <wps:spPr>
                          <a:xfrm>
                            <a:off x="3393567" y="1825606"/>
                            <a:ext cx="0" cy="1346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25" name="TextBox 95"/>
                        <wps:cNvSpPr txBox="1"/>
                        <wps:spPr>
                          <a:xfrm>
                            <a:off x="34505" y="5980843"/>
                            <a:ext cx="2040782" cy="244229"/>
                          </a:xfrm>
                          <a:prstGeom prst="rect">
                            <a:avLst/>
                          </a:prstGeom>
                          <a:solidFill>
                            <a:schemeClr val="accent2">
                              <a:lumMod val="60000"/>
                              <a:lumOff val="40000"/>
                            </a:schemeClr>
                          </a:solidFill>
                          <a:ln>
                            <a:solidFill>
                              <a:schemeClr val="accent2">
                                <a:lumMod val="60000"/>
                                <a:lumOff val="40000"/>
                              </a:schemeClr>
                            </a:solidFill>
                          </a:ln>
                        </wps:spPr>
                        <wps:txbx>
                          <w:txbxContent>
                            <w:p w14:paraId="0959C8B7" w14:textId="77777777" w:rsidR="007D621B" w:rsidRPr="00973CC2" w:rsidRDefault="007D621B" w:rsidP="00A34316">
                              <w:pPr>
                                <w:pStyle w:val="NormalWeb"/>
                                <w:rPr>
                                  <w:rFonts w:asciiTheme="minorHAnsi" w:hAnsiTheme="minorHAnsi" w:cstheme="minorHAnsi"/>
                                </w:rPr>
                              </w:pPr>
                              <w:r w:rsidRPr="00973CC2">
                                <w:rPr>
                                  <w:rFonts w:asciiTheme="minorHAnsi" w:hAnsiTheme="minorHAnsi" w:cstheme="minorHAnsi"/>
                                </w:rPr>
                                <w:t>Pharmacist Intervention*</w:t>
                              </w:r>
                            </w:p>
                          </w:txbxContent>
                        </wps:txbx>
                        <wps:bodyPr wrap="square" rtlCol="0">
                          <a:noAutofit/>
                        </wps:bodyPr>
                      </wps:wsp>
                      <wps:wsp>
                        <wps:cNvPr id="326" name="TextBox 118"/>
                        <wps:cNvSpPr txBox="1"/>
                        <wps:spPr>
                          <a:xfrm>
                            <a:off x="3148641" y="1086928"/>
                            <a:ext cx="1823374" cy="253481"/>
                          </a:xfrm>
                          <a:prstGeom prst="rect">
                            <a:avLst/>
                          </a:prstGeom>
                          <a:noFill/>
                          <a:ln>
                            <a:solidFill>
                              <a:schemeClr val="tx1"/>
                            </a:solidFill>
                          </a:ln>
                        </wps:spPr>
                        <wps:txbx>
                          <w:txbxContent>
                            <w:p w14:paraId="5475BC91" w14:textId="77777777" w:rsidR="007D621B" w:rsidRPr="00973CC2" w:rsidRDefault="007D621B" w:rsidP="00A34316">
                              <w:pPr>
                                <w:pStyle w:val="NormalWeb"/>
                                <w:rPr>
                                  <w:rFonts w:asciiTheme="minorHAnsi" w:hAnsiTheme="minorHAnsi" w:cstheme="minorHAnsi"/>
                                </w:rPr>
                              </w:pPr>
                              <w:r w:rsidRPr="00973CC2">
                                <w:rPr>
                                  <w:rFonts w:asciiTheme="minorHAnsi" w:hAnsiTheme="minorHAnsi" w:cstheme="minorHAnsi"/>
                                </w:rPr>
                                <w:t>No further involvement</w:t>
                              </w:r>
                            </w:p>
                          </w:txbxContent>
                        </wps:txbx>
                        <wps:bodyPr wrap="square" rtlCol="0">
                          <a:noAutofit/>
                        </wps:bodyPr>
                      </wps:wsp>
                    </wpg:wgp>
                  </a:graphicData>
                </a:graphic>
              </wp:inline>
            </w:drawing>
          </mc:Choice>
          <mc:Fallback>
            <w:pict>
              <v:group w14:anchorId="19EA8DDC" id="Group 297" o:spid="_x0000_s1123" alt="Title: recruitment and trial delivery flow chart - Description: Figure B-1 is a flow chart describing the recruitment and subsequent steps of trial delivery across the trial timeframe. At each residential aged care facility residents are screened by a research assistant for eligibility and those residents who do not wish to participate are able to opt out. For residents who opt out or who are ineligible, there is no further involvement in the trial.&#10;Eligible residents who chose to participate in the trial are assessed for baseline trial outcomes, and data is also collected from their medicine and health records. Residents are then randomised (1:1) into one of two trial arms, the comparator arm or the intervention pharmacist service for 12 months (which is further described in text below for Figure B-2). The comparator arm continued to receive usual care for 12 months regardless of any medicine or frailty changes during the year. Participants in both arms of the trial are assessed for 6 and 12 month time point outcomes at the respective period of the trial before trial completion.&#10;" style="width:410.9pt;height:539.3pt;mso-position-horizontal-relative:char;mso-position-vertical-relative:line" coordsize="49720,65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">
                <v:shape id="TextBox 93" o:spid="_x0000_s1124" type="#_x0000_t202" style="position:absolute;left:25275;top:62627;width:21912;height:2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" filled="f" strokecolor="black [3213]">
                  <v:textbox>
                    <w:txbxContent>
                      <w:p w14:paraId="060E7D29" w14:textId="77777777" w:rsidR="007D621B" w:rsidRPr="00973CC2" w:rsidRDefault="007D621B" w:rsidP="00A34316">
                        <w:pPr>
                          <w:pStyle w:val="NormalWeb"/>
                          <w:rPr>
                            <w:rFonts w:asciiTheme="minorHAnsi" w:hAnsiTheme="minorHAnsi" w:cstheme="minorHAnsi"/>
                          </w:rPr>
                        </w:pPr>
                        <w:r w:rsidRPr="00973CC2">
                          <w:rPr>
                            <w:rFonts w:asciiTheme="minorHAnsi" w:hAnsiTheme="minorHAnsi" w:cstheme="minorHAnsi"/>
                          </w:rPr>
                          <w:t>RA follow up at 12 months</w:t>
                        </w:r>
                      </w:p>
                    </w:txbxContent>
                  </v:textbox>
                </v:shape>
                <v:rect id="Rectangle 299" o:spid="_x0000_s1125" style="position:absolute;top:19409;width:20744;height:32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" fillcolor="white [3212]" strokecolor="red" strokeweight="2.25pt">
                  <v:stroke dashstyle="3 1"/>
                </v:rect>
                <v:shape id="TextBox 54" o:spid="_x0000_s1126" type="#_x0000_t202" style="position:absolute;left:2329;width:21153;height:4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" filled="f" strokecolor="black [3213]">
                  <v:textbox>
                    <w:txbxContent>
                      <w:p w14:paraId="74E44843" w14:textId="77777777" w:rsidR="007D621B" w:rsidRPr="00973CC2" w:rsidRDefault="007D621B" w:rsidP="00A34316">
                        <w:pPr>
                          <w:pStyle w:val="NormalWeb"/>
                          <w:rPr>
                            <w:rFonts w:asciiTheme="minorHAnsi" w:hAnsiTheme="minorHAnsi" w:cstheme="minorHAnsi"/>
                          </w:rPr>
                        </w:pPr>
                        <w:r w:rsidRPr="00973CC2">
                          <w:rPr>
                            <w:rFonts w:asciiTheme="minorHAnsi" w:hAnsiTheme="minorHAnsi" w:cstheme="minorHAnsi"/>
                          </w:rPr>
                          <w:t>Residential Aged Care Facility</w:t>
                        </w:r>
                      </w:p>
                    </w:txbxContent>
                  </v:textbox>
                </v:shape>
                <v:shape id="TextBox 57" o:spid="_x0000_s1127" type="#_x0000_t202" style="position:absolute;left:2242;top:20789;width:15520;height:4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" fillcolor="#f4b083 [1941]" strokecolor="#f4b083 [1941]">
                  <v:textbox>
                    <w:txbxContent>
                      <w:p w14:paraId="74B51F48" w14:textId="77777777" w:rsidR="007D621B" w:rsidRPr="00973CC2" w:rsidRDefault="007D621B" w:rsidP="00A34316">
                        <w:pPr>
                          <w:pStyle w:val="NormalWeb"/>
                          <w:rPr>
                            <w:rFonts w:asciiTheme="minorHAnsi" w:hAnsiTheme="minorHAnsi" w:cstheme="minorHAnsi"/>
                          </w:rPr>
                        </w:pPr>
                        <w:r w:rsidRPr="00973CC2">
                          <w:rPr>
                            <w:rFonts w:asciiTheme="minorHAnsi" w:hAnsiTheme="minorHAnsi" w:cstheme="minorHAnsi"/>
                          </w:rPr>
                          <w:t xml:space="preserve">Pharmacist Intervention </w:t>
                        </w:r>
                      </w:p>
                      <w:p w14:paraId="637E118D" w14:textId="77777777" w:rsidR="007D621B" w:rsidRPr="00973CC2" w:rsidRDefault="007D621B" w:rsidP="00A34316">
                        <w:pPr>
                          <w:pStyle w:val="NormalWeb"/>
                          <w:rPr>
                            <w:rFonts w:asciiTheme="minorHAnsi" w:hAnsiTheme="minorHAnsi" w:cstheme="minorHAnsi"/>
                          </w:rPr>
                        </w:pPr>
                        <w:r w:rsidRPr="00973CC2">
                          <w:rPr>
                            <w:rFonts w:asciiTheme="minorHAnsi" w:hAnsiTheme="minorHAnsi" w:cstheme="minorHAnsi"/>
                          </w:rPr>
                          <w:t>See Figure B-2</w:t>
                        </w:r>
                      </w:p>
                      <w:p w14:paraId="76744CEC" w14:textId="77777777" w:rsidR="007D621B" w:rsidRPr="00973CC2" w:rsidRDefault="007D621B" w:rsidP="00A34316">
                        <w:pPr>
                          <w:pStyle w:val="NormalWeb"/>
                          <w:rPr>
                            <w:rFonts w:asciiTheme="minorHAnsi" w:hAnsiTheme="minorHAnsi" w:cstheme="minorHAnsi"/>
                          </w:rPr>
                        </w:pPr>
                        <w:r w:rsidRPr="00973CC2">
                          <w:rPr>
                            <w:rFonts w:asciiTheme="minorHAnsi" w:hAnsiTheme="minorHAnsi" w:cstheme="minorHAnsi"/>
                          </w:rPr>
                          <w:t>*</w:t>
                        </w:r>
                      </w:p>
                      <w:p w14:paraId="66B7FFDB" w14:textId="77777777" w:rsidR="007D621B" w:rsidRPr="00973CC2" w:rsidRDefault="007D621B" w:rsidP="00A34316">
                        <w:pPr>
                          <w:pStyle w:val="NormalWeb"/>
                          <w:rPr>
                            <w:rFonts w:asciiTheme="minorHAnsi" w:hAnsiTheme="minorHAnsi" w:cstheme="minorHAnsi"/>
                          </w:rPr>
                        </w:pPr>
                      </w:p>
                      <w:p w14:paraId="3BDF53CB" w14:textId="77777777" w:rsidR="007D621B" w:rsidRPr="00973CC2" w:rsidRDefault="007D621B" w:rsidP="00A34316">
                        <w:pPr>
                          <w:pStyle w:val="NormalWeb"/>
                          <w:rPr>
                            <w:rFonts w:asciiTheme="minorHAnsi" w:hAnsiTheme="minorHAnsi" w:cstheme="minorHAnsi"/>
                          </w:rPr>
                        </w:pPr>
                      </w:p>
                      <w:p w14:paraId="019E676B" w14:textId="77777777" w:rsidR="007D621B" w:rsidRPr="00973CC2" w:rsidRDefault="007D621B" w:rsidP="00A34316">
                        <w:pPr>
                          <w:pStyle w:val="NormalWeb"/>
                          <w:rPr>
                            <w:rFonts w:asciiTheme="minorHAnsi" w:hAnsiTheme="minorHAnsi" w:cstheme="minorHAnsi"/>
                          </w:rPr>
                        </w:pPr>
                        <w:r w:rsidRPr="00973CC2">
                          <w:rPr>
                            <w:rFonts w:asciiTheme="minorHAnsi" w:hAnsiTheme="minorHAnsi" w:cstheme="minorHAnsi"/>
                          </w:rPr>
                          <w:t>see</w:t>
                        </w:r>
                      </w:p>
                    </w:txbxContent>
                  </v:textbox>
                </v:shape>
                <v:shape id="TextBox 59" o:spid="_x0000_s1128" type="#_x0000_t202" style="position:absolute;left:29502;top:19840;width:9633;height:2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" fillcolor="#9cc2e5 [1940]" strokecolor="#9cc2e5 [1940]">
                  <v:textbox>
                    <w:txbxContent>
                      <w:p w14:paraId="34F23117" w14:textId="77777777" w:rsidR="007D621B" w:rsidRPr="00973CC2" w:rsidRDefault="007D621B" w:rsidP="00A34316">
                        <w:pPr>
                          <w:pStyle w:val="NormalWeb"/>
                          <w:rPr>
                            <w:rFonts w:asciiTheme="minorHAnsi" w:hAnsiTheme="minorHAnsi" w:cstheme="minorHAnsi"/>
                          </w:rPr>
                        </w:pPr>
                        <w:r w:rsidRPr="00973CC2">
                          <w:rPr>
                            <w:rFonts w:asciiTheme="minorHAnsi" w:hAnsiTheme="minorHAnsi" w:cstheme="minorHAnsi"/>
                          </w:rPr>
                          <w:t>Usual Care</w:t>
                        </w:r>
                      </w:p>
                    </w:txbxContent>
                  </v:textbox>
                </v:shape>
                <v:shape id="TextBox 67" o:spid="_x0000_s1129" type="#_x0000_t202" style="position:absolute;left:2501;top:6383;width:20749;height:2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" filled="f" strokecolor="black [3213]">
                  <v:textbox>
                    <w:txbxContent>
                      <w:p w14:paraId="4A520231" w14:textId="77777777" w:rsidR="007D621B" w:rsidRPr="00973CC2" w:rsidRDefault="007D621B" w:rsidP="00A34316">
                        <w:pPr>
                          <w:pStyle w:val="NormalWeb"/>
                          <w:rPr>
                            <w:rFonts w:asciiTheme="minorHAnsi" w:hAnsiTheme="minorHAnsi" w:cstheme="minorHAnsi"/>
                          </w:rPr>
                        </w:pPr>
                        <w:r w:rsidRPr="00973CC2">
                          <w:rPr>
                            <w:rFonts w:asciiTheme="minorHAnsi" w:hAnsiTheme="minorHAnsi" w:cstheme="minorHAnsi"/>
                          </w:rPr>
                          <w:t>Eligibility Screening and ‘opt’ out</w:t>
                        </w:r>
                      </w:p>
                    </w:txbxContent>
                  </v:textbox>
                </v:shape>
                <v:shape id="TextBox 69" o:spid="_x0000_s1130" type="#_x0000_t202" style="position:absolute;left:2501;top:10696;width:20749;height:2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" filled="f" strokecolor="black [3213]">
                  <v:textbox>
                    <w:txbxContent>
                      <w:p w14:paraId="472AF80A" w14:textId="77777777" w:rsidR="007D621B" w:rsidRPr="00973CC2" w:rsidRDefault="007D621B" w:rsidP="00A34316">
                        <w:pPr>
                          <w:pStyle w:val="NormalWeb"/>
                          <w:rPr>
                            <w:rFonts w:asciiTheme="minorHAnsi" w:hAnsiTheme="minorHAnsi" w:cstheme="minorHAnsi"/>
                          </w:rPr>
                        </w:pPr>
                        <w:r w:rsidRPr="00973CC2">
                          <w:rPr>
                            <w:rFonts w:asciiTheme="minorHAnsi" w:hAnsiTheme="minorHAnsi" w:cstheme="minorHAnsi"/>
                          </w:rPr>
                          <w:t>Baseline measures</w:t>
                        </w:r>
                      </w:p>
                    </w:txbxContent>
                  </v:textbox>
                </v:shape>
                <v:shape id="TextBox 71" o:spid="_x0000_s1131" type="#_x0000_t202" style="position:absolute;left:2242;top:15268;width:31911;height:2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" filled="f" strokecolor="black [3213]">
                  <v:textbox>
                    <w:txbxContent>
                      <w:p w14:paraId="567A7EE2" w14:textId="77777777" w:rsidR="007D621B" w:rsidRPr="00973CC2" w:rsidRDefault="007D621B" w:rsidP="00A34316">
                        <w:pPr>
                          <w:pStyle w:val="NormalWeb"/>
                          <w:rPr>
                            <w:rFonts w:asciiTheme="minorHAnsi" w:hAnsiTheme="minorHAnsi" w:cstheme="minorHAnsi"/>
                          </w:rPr>
                        </w:pPr>
                        <w:r w:rsidRPr="00973CC2">
                          <w:rPr>
                            <w:rFonts w:asciiTheme="minorHAnsi" w:hAnsiTheme="minorHAnsi" w:cstheme="minorHAnsi"/>
                          </w:rPr>
                          <w:t>Randomisation (1:1)</w:t>
                        </w:r>
                      </w:p>
                    </w:txbxContent>
                  </v:textbox>
                </v:shape>
                <v:shape id="Straight Arrow Connector 306" o:spid="_x0000_s1132" type="#_x0000_t32" style="position:absolute;left:11386;top:4658;width:0;height:16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" strokecolor="#4e92d1 [3044]">
                  <v:stroke endarrow="block"/>
                </v:shape>
                <v:shape id="Straight Arrow Connector 307" o:spid="_x0000_s1133" type="#_x0000_t32" style="position:absolute;left:11473;top:8885;width:0;height:16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" strokecolor="#4e92d1 [3044]">
                  <v:stroke endarrow="block"/>
                </v:shape>
                <v:shape id="Straight Arrow Connector 308" o:spid="_x0000_s1134" type="#_x0000_t32" style="position:absolute;left:11386;top:13198;width:0;height:16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" strokecolor="#4e92d1 [3044]">
                  <v:stroke endarrow="block"/>
                </v:shape>
                <v:shape id="Straight Arrow Connector 309" o:spid="_x0000_s1135" type="#_x0000_t32" style="position:absolute;left:11645;top:17425;width:8;height:16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" strokecolor="#4e92d1 [3044]">
                  <v:stroke endarrow="block"/>
                </v:shape>
                <v:shape id="Straight Arrow Connector 310" o:spid="_x0000_s1136" type="#_x0000_t32" style="position:absolute;left:34074;top:22083;width:0;height:19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" strokecolor="#4e92d1 [3044]">
                  <v:stroke endarrow="block"/>
                </v:shape>
                <v:shape id="TextBox 84" o:spid="_x0000_s1137" type="#_x0000_t202" style="position:absolute;left:29329;top:30623;width:10262;height:2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" fillcolor="#9cc2e5 [1940]" strokecolor="#9cc2e5 [1940]">
                  <v:textbox>
                    <w:txbxContent>
                      <w:p w14:paraId="3462897B" w14:textId="77777777" w:rsidR="007D621B" w:rsidRPr="00973CC2" w:rsidRDefault="007D621B" w:rsidP="00A34316">
                        <w:pPr>
                          <w:pStyle w:val="NormalWeb"/>
                          <w:rPr>
                            <w:rFonts w:asciiTheme="minorHAnsi" w:hAnsiTheme="minorHAnsi" w:cstheme="minorHAnsi"/>
                          </w:rPr>
                        </w:pPr>
                        <w:r w:rsidRPr="00973CC2">
                          <w:rPr>
                            <w:rFonts w:asciiTheme="minorHAnsi" w:hAnsiTheme="minorHAnsi" w:cstheme="minorHAnsi"/>
                          </w:rPr>
                          <w:t>Usual Care</w:t>
                        </w:r>
                      </w:p>
                    </w:txbxContent>
                  </v:textbox>
                </v:shape>
                <v:shape id="Straight Arrow Connector 312" o:spid="_x0000_s1138" type="#_x0000_t32" style="position:absolute;left:34160;top:27863;width:0;height:25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" strokecolor="#4e92d1 [3044]">
                  <v:stroke endarrow="block"/>
                </v:shape>
                <v:shape id="TextBox 87" o:spid="_x0000_s1139" type="#_x0000_t202" style="position:absolute;left:86;top:55013;width:20748;height:2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" filled="f" strokecolor="black [3213]">
                  <v:textbox>
                    <w:txbxContent>
                      <w:p w14:paraId="4341044E" w14:textId="77777777" w:rsidR="007D621B" w:rsidRPr="00973CC2" w:rsidRDefault="007D621B" w:rsidP="00A34316">
                        <w:pPr>
                          <w:pStyle w:val="NormalWeb"/>
                          <w:rPr>
                            <w:rFonts w:asciiTheme="minorHAnsi" w:hAnsiTheme="minorHAnsi" w:cstheme="minorHAnsi"/>
                          </w:rPr>
                        </w:pPr>
                        <w:r w:rsidRPr="00973CC2">
                          <w:rPr>
                            <w:rFonts w:asciiTheme="minorHAnsi" w:hAnsiTheme="minorHAnsi" w:cstheme="minorHAnsi"/>
                          </w:rPr>
                          <w:t>RA follow up at 6 months</w:t>
                        </w:r>
                      </w:p>
                    </w:txbxContent>
                  </v:textbox>
                </v:shape>
                <v:shape id="TextBox 89" o:spid="_x0000_s1140" type="#_x0000_t202" style="position:absolute;left:24844;top:55467;width:20748;height:2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" filled="f" strokecolor="black [3213]">
                  <v:textbox>
                    <w:txbxContent>
                      <w:p w14:paraId="304F0F43" w14:textId="77777777" w:rsidR="007D621B" w:rsidRPr="00973CC2" w:rsidRDefault="007D621B" w:rsidP="00A34316">
                        <w:pPr>
                          <w:pStyle w:val="NormalWeb"/>
                          <w:rPr>
                            <w:rFonts w:asciiTheme="minorHAnsi" w:hAnsiTheme="minorHAnsi" w:cstheme="minorHAnsi"/>
                          </w:rPr>
                        </w:pPr>
                        <w:r w:rsidRPr="00973CC2">
                          <w:rPr>
                            <w:rFonts w:asciiTheme="minorHAnsi" w:hAnsiTheme="minorHAnsi" w:cstheme="minorHAnsi"/>
                          </w:rPr>
                          <w:t>RA follow up at 6 months</w:t>
                        </w:r>
                      </w:p>
                    </w:txbxContent>
                  </v:textbox>
                </v:shape>
                <v:shape id="Straight Arrow Connector 315" o:spid="_x0000_s1141" type="#_x0000_t32" style="position:absolute;left:34297;top:34150;width:0;height:204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" strokecolor="#4e92d1 [3044]">
                  <v:stroke endarrow="block"/>
                </v:shape>
                <v:shape id="Straight Arrow Connector 316" o:spid="_x0000_s1142" type="#_x0000_t32" style="position:absolute;left:34932;top:59672;width:0;height:22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" strokecolor="#4e92d1 [3044]">
                  <v:stroke endarrow="block"/>
                </v:shape>
                <v:shape id="Straight Arrow Connector 317" o:spid="_x0000_s1143" type="#_x0000_t32" style="position:absolute;left:23291;top:7677;width:27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" strokecolor="#4e92d1 [3044]">
                  <v:stroke endarrow="block"/>
                </v:shape>
                <v:shape id="TextBox 113" o:spid="_x0000_s1144" type="#_x0000_t202" style="position:absolute;left:26310;top:6383;width:18232;height:2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" filled="f" strokecolor="black [3213]">
                  <v:textbox>
                    <w:txbxContent>
                      <w:p w14:paraId="64093888" w14:textId="77777777" w:rsidR="007D621B" w:rsidRPr="00973CC2" w:rsidRDefault="007D621B" w:rsidP="00A34316">
                        <w:pPr>
                          <w:pStyle w:val="NormalWeb"/>
                          <w:rPr>
                            <w:rFonts w:asciiTheme="minorHAnsi" w:hAnsiTheme="minorHAnsi" w:cstheme="minorHAnsi"/>
                          </w:rPr>
                        </w:pPr>
                        <w:r w:rsidRPr="00973CC2">
                          <w:rPr>
                            <w:rFonts w:asciiTheme="minorHAnsi" w:hAnsiTheme="minorHAnsi" w:cstheme="minorHAnsi"/>
                          </w:rPr>
                          <w:t>Not eligible or ‘opt’ out</w:t>
                        </w:r>
                      </w:p>
                    </w:txbxContent>
                  </v:textbox>
                </v:shape>
                <v:shape id="Straight Arrow Connector 319" o:spid="_x0000_s1145" type="#_x0000_t32" style="position:absolute;left:29588;top:9402;width:1734;height:21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" strokecolor="#4e92d1 [3044]">
                  <v:stroke endarrow="block"/>
                </v:shape>
                <v:shape id="Straight Arrow Connector 320" o:spid="_x0000_s1146" type="#_x0000_t32" style="position:absolute;left:9575;top:52879;width:34;height:2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" strokecolor="#4e92d1 [3044]">
                  <v:stroke endarrow="block"/>
                </v:shape>
                <v:shape id="Straight Arrow Connector 321" o:spid="_x0000_s1147" type="#_x0000_t32" style="position:absolute;left:9402;top:57810;width:15;height:15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" strokecolor="#4e92d1 [3044]">
                  <v:stroke endarrow="block"/>
                </v:shape>
                <v:shape id="Straight Arrow Connector 322" o:spid="_x0000_s1148" type="#_x0000_t32" style="position:absolute;left:9316;top:62396;width:14;height:15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" strokecolor="#4e92d1 [3044]">
                  <v:stroke endarrow="block"/>
                </v:shape>
                <v:shape id="TextBox 63" o:spid="_x0000_s1149" type="#_x0000_t202" style="position:absolute;left:29502;top:24067;width:9525;height:4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" fillcolor="#9cc2e5 [1940]" strokecolor="#9cc2e5 [1940]">
                  <v:textbox>
                    <w:txbxContent>
                      <w:p w14:paraId="50CAA647" w14:textId="77777777" w:rsidR="007D621B" w:rsidRPr="00973CC2" w:rsidRDefault="007D621B" w:rsidP="00A34316">
                        <w:pPr>
                          <w:pStyle w:val="NormalWeb"/>
                          <w:rPr>
                            <w:rFonts w:asciiTheme="minorHAnsi" w:hAnsiTheme="minorHAnsi" w:cstheme="minorHAnsi"/>
                          </w:rPr>
                        </w:pPr>
                        <w:r w:rsidRPr="00973CC2">
                          <w:rPr>
                            <w:rFonts w:asciiTheme="minorHAnsi" w:hAnsiTheme="minorHAnsi" w:cstheme="minorHAnsi"/>
                          </w:rPr>
                          <w:t>Medicine or frailty change</w:t>
                        </w:r>
                      </w:p>
                    </w:txbxContent>
                  </v:textbox>
                </v:shape>
                <v:shape id="Straight Arrow Connector 324" o:spid="_x0000_s1150" type="#_x0000_t32" style="position:absolute;left:33935;top:18256;width:0;height:13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" strokecolor="#4e92d1 [3044]">
                  <v:stroke endarrow="block"/>
                </v:shape>
                <v:shape id="TextBox 95" o:spid="_x0000_s1151" type="#_x0000_t202" style="position:absolute;left:345;top:59808;width:20407;height:2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" fillcolor="#f4b083 [1941]" strokecolor="#f4b083 [1941]">
                  <v:textbox>
                    <w:txbxContent>
                      <w:p w14:paraId="0959C8B7" w14:textId="77777777" w:rsidR="007D621B" w:rsidRPr="00973CC2" w:rsidRDefault="007D621B" w:rsidP="00A34316">
                        <w:pPr>
                          <w:pStyle w:val="NormalWeb"/>
                          <w:rPr>
                            <w:rFonts w:asciiTheme="minorHAnsi" w:hAnsiTheme="minorHAnsi" w:cstheme="minorHAnsi"/>
                          </w:rPr>
                        </w:pPr>
                        <w:r w:rsidRPr="00973CC2">
                          <w:rPr>
                            <w:rFonts w:asciiTheme="minorHAnsi" w:hAnsiTheme="minorHAnsi" w:cstheme="minorHAnsi"/>
                          </w:rPr>
                          <w:t>Pharmacist Intervention*</w:t>
                        </w:r>
                      </w:p>
                    </w:txbxContent>
                  </v:textbox>
                </v:shape>
                <v:shape id="TextBox 118" o:spid="_x0000_s1152" type="#_x0000_t202" style="position:absolute;left:31486;top:10869;width:18234;height:2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" filled="f" strokecolor="black [3213]">
                  <v:textbox>
                    <w:txbxContent>
                      <w:p w14:paraId="5475BC91" w14:textId="77777777" w:rsidR="007D621B" w:rsidRPr="00973CC2" w:rsidRDefault="007D621B" w:rsidP="00A34316">
                        <w:pPr>
                          <w:pStyle w:val="NormalWeb"/>
                          <w:rPr>
                            <w:rFonts w:asciiTheme="minorHAnsi" w:hAnsiTheme="minorHAnsi" w:cstheme="minorHAnsi"/>
                          </w:rPr>
                        </w:pPr>
                        <w:r w:rsidRPr="00973CC2">
                          <w:rPr>
                            <w:rFonts w:asciiTheme="minorHAnsi" w:hAnsiTheme="minorHAnsi" w:cstheme="minorHAnsi"/>
                          </w:rPr>
                          <w:t>No further involvement</w:t>
                        </w:r>
                      </w:p>
                    </w:txbxContent>
                  </v:textbox>
                </v:shape>
                <w10:anchorlock/>
              </v:group>
            </w:pict>
          </mc:Fallback>
        </mc:AlternateContent>
      </w:r>
      <w:r w:rsidR="000268E9" w:rsidRPr="00426FDD">
        <w:rPr>
          <w:noProof/>
        </w:rPr>
        <mc:AlternateContent>
          <mc:Choice Requires="wps">
            <w:drawing>
              <wp:inline distT="0" distB="0" distL="0" distR="0" wp14:anchorId="631ABBA9" wp14:editId="139E3CC1">
                <wp:extent cx="2074854" cy="253476"/>
                <wp:effectExtent l="0" t="0" r="20955" b="13335"/>
                <wp:docPr id="107" name="TextBox 91"/>
                <wp:cNvGraphicFramePr/>
                <a:graphic xmlns:a="http://schemas.openxmlformats.org/drawingml/2006/main">
                  <a:graphicData uri="http://schemas.microsoft.com/office/word/2010/wordprocessingShape">
                    <wps:wsp>
                      <wps:cNvSpPr txBox="1"/>
                      <wps:spPr>
                        <a:xfrm>
                          <a:off x="0" y="0"/>
                          <a:ext cx="2074854" cy="253476"/>
                        </a:xfrm>
                        <a:prstGeom prst="rect">
                          <a:avLst/>
                        </a:prstGeom>
                        <a:noFill/>
                        <a:ln>
                          <a:solidFill>
                            <a:sysClr val="windowText" lastClr="000000"/>
                          </a:solidFill>
                        </a:ln>
                      </wps:spPr>
                      <wps:txbx>
                        <w:txbxContent>
                          <w:p w14:paraId="15C3E20B" w14:textId="77777777" w:rsidR="007D621B" w:rsidRDefault="007D621B" w:rsidP="000268E9">
                            <w:pPr>
                              <w:pStyle w:val="NormalWeb"/>
                            </w:pPr>
                            <w:r>
                              <w:t>RA follow up at 12 months</w:t>
                            </w:r>
                          </w:p>
                        </w:txbxContent>
                      </wps:txbx>
                      <wps:bodyPr wrap="square" rtlCol="0">
                        <a:noAutofit/>
                      </wps:bodyPr>
                    </wps:wsp>
                  </a:graphicData>
                </a:graphic>
              </wp:inline>
            </w:drawing>
          </mc:Choice>
          <mc:Fallback>
            <w:pict>
              <v:shape w14:anchorId="631ABBA9" id="TextBox 91" o:spid="_x0000_s1153" type="#_x0000_t202" style="width:163.35pt;height:1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" filled="f" strokecolor="windowText">
                <v:textbox>
                  <w:txbxContent>
                    <w:p w14:paraId="15C3E20B" w14:textId="77777777" w:rsidR="007D621B" w:rsidRDefault="007D621B" w:rsidP="000268E9">
                      <w:pPr>
                        <w:pStyle w:val="NormalWeb"/>
                      </w:pPr>
                      <w:r>
                        <w:t>RA follow up at 12 months</w:t>
                      </w:r>
                    </w:p>
                  </w:txbxContent>
                </v:textbox>
                <w10:anchorlock/>
              </v:shape>
            </w:pict>
          </mc:Fallback>
        </mc:AlternateContent>
      </w:r>
    </w:p>
    <w:p w14:paraId="0018426C" w14:textId="77777777" w:rsidR="00A10255" w:rsidRPr="00F42B1D" w:rsidRDefault="00A10255" w:rsidP="007501B9">
      <w:r w:rsidRPr="00F42B1D">
        <w:br w:type="page"/>
      </w:r>
    </w:p>
    <w:p w14:paraId="3DB8E63A" w14:textId="77777777" w:rsidR="006D39A1" w:rsidRPr="00F42B1D" w:rsidRDefault="006D39A1" w:rsidP="00391CFD">
      <w:pPr>
        <w:pStyle w:val="Heading4"/>
      </w:pPr>
      <w:bookmarkStart w:id="136" w:name="_Randomisation"/>
      <w:bookmarkEnd w:id="136"/>
      <w:r w:rsidRPr="00F42B1D">
        <w:lastRenderedPageBreak/>
        <w:t>Randomisation</w:t>
      </w:r>
    </w:p>
    <w:p w14:paraId="7965135D" w14:textId="15946D6A" w:rsidR="006D39A1" w:rsidRPr="00F42B1D" w:rsidRDefault="006D39A1" w:rsidP="007501B9">
      <w:r w:rsidRPr="00F42B1D">
        <w:t xml:space="preserve">Residents were randomised in a 1:1 </w:t>
      </w:r>
      <w:r w:rsidR="00A10255" w:rsidRPr="00F42B1D">
        <w:t>ratio</w:t>
      </w:r>
      <w:r w:rsidR="00914F47" w:rsidRPr="00F42B1D">
        <w:t xml:space="preserve"> (Figure B-</w:t>
      </w:r>
      <w:r w:rsidR="00E716E6">
        <w:t>2</w:t>
      </w:r>
      <w:r w:rsidR="00914F47" w:rsidRPr="00F42B1D">
        <w:t>)</w:t>
      </w:r>
      <w:r w:rsidR="007501B9">
        <w:t xml:space="preserve">. </w:t>
      </w:r>
      <w:r w:rsidRPr="00F42B1D">
        <w:t>Randomisation was stratified at the level of the individual and not at the level of the facility to avoid confounding by facility related factors such as gym and exercise programs that may affect the outcome</w:t>
      </w:r>
      <w:r w:rsidR="007501B9">
        <w:t xml:space="preserve">. </w:t>
      </w:r>
      <w:r w:rsidRPr="00F42B1D">
        <w:t xml:space="preserve">A list of resident randomisation codes and unique participant identification numbers </w:t>
      </w:r>
      <w:r w:rsidR="00914F47" w:rsidRPr="00F42B1D">
        <w:t xml:space="preserve">(PIN) </w:t>
      </w:r>
      <w:r w:rsidRPr="00F42B1D">
        <w:t>was generated electronically for each facility</w:t>
      </w:r>
      <w:r w:rsidR="007501B9">
        <w:t xml:space="preserve">. </w:t>
      </w:r>
      <w:r w:rsidRPr="00F42B1D">
        <w:t>Residents were screened and residents meeting eligibility criteria were enrolled and assigned to a t</w:t>
      </w:r>
      <w:r w:rsidR="00914F47" w:rsidRPr="00F42B1D">
        <w:t>reatment arm and allocated a PIN</w:t>
      </w:r>
      <w:r w:rsidRPr="00F42B1D">
        <w:t xml:space="preserve"> based on the next randomised allocation</w:t>
      </w:r>
      <w:r w:rsidR="007501B9">
        <w:t xml:space="preserve">. </w:t>
      </w:r>
      <w:r w:rsidRPr="00F42B1D">
        <w:t xml:space="preserve">Due to the nature of the intervention (delivery of an </w:t>
      </w:r>
      <w:proofErr w:type="gramStart"/>
      <w:r w:rsidRPr="00F42B1D">
        <w:t>in person</w:t>
      </w:r>
      <w:proofErr w:type="gramEnd"/>
      <w:r w:rsidRPr="00F42B1D">
        <w:t xml:space="preserve"> pharmacist service), it was not possible to conceal allocation during the trial period.</w:t>
      </w:r>
    </w:p>
    <w:p w14:paraId="35A4CB86" w14:textId="0BBB0AF7" w:rsidR="006D39A1" w:rsidRPr="00F42B1D" w:rsidRDefault="006D39A1" w:rsidP="007501B9">
      <w:r w:rsidRPr="00F42B1D">
        <w:t>The statistician responsible for the main outcome analysis was provided with the PIN only and was blinded to the intervention arm allocation</w:t>
      </w:r>
      <w:r w:rsidR="007501B9">
        <w:t xml:space="preserve">. </w:t>
      </w:r>
      <w:r w:rsidRPr="00F42B1D">
        <w:t xml:space="preserve">No data on the number of services provided or clinical data collected </w:t>
      </w:r>
      <w:proofErr w:type="gramStart"/>
      <w:r w:rsidRPr="00F42B1D">
        <w:t>during the course of</w:t>
      </w:r>
      <w:proofErr w:type="gramEnd"/>
      <w:r w:rsidRPr="00F42B1D">
        <w:t xml:space="preserve"> the trial was provided to the statistician to maintain blinding of intervention arm allocation.</w:t>
      </w:r>
    </w:p>
    <w:p w14:paraId="0E20AD86" w14:textId="77777777" w:rsidR="006D39A1" w:rsidRPr="00F42B1D" w:rsidRDefault="006D39A1" w:rsidP="00391CFD">
      <w:pPr>
        <w:pStyle w:val="Heading4"/>
      </w:pPr>
      <w:bookmarkStart w:id="137" w:name="_Toc514157677"/>
      <w:r w:rsidRPr="00F42B1D">
        <w:t>Eligibility criteria</w:t>
      </w:r>
    </w:p>
    <w:p w14:paraId="617B680D" w14:textId="1E3DA6EE" w:rsidR="00584F40" w:rsidRDefault="006D39A1" w:rsidP="007501B9">
      <w:r w:rsidRPr="00F42B1D">
        <w:t xml:space="preserve">Residents were included if they were using four or more medicines at the time of </w:t>
      </w:r>
      <w:proofErr w:type="gramStart"/>
      <w:r w:rsidRPr="00F42B1D">
        <w:t>recruitment, or</w:t>
      </w:r>
      <w:proofErr w:type="gramEnd"/>
      <w:r w:rsidRPr="00F42B1D">
        <w:t xml:space="preserve"> were taking </w:t>
      </w:r>
      <w:r w:rsidR="003F2268" w:rsidRPr="00F42B1D">
        <w:t xml:space="preserve">at least one </w:t>
      </w:r>
      <w:r w:rsidRPr="00F42B1D">
        <w:t>medicine with anticholinergic or sedative properties</w:t>
      </w:r>
      <w:r w:rsidR="007501B9">
        <w:t xml:space="preserve">. </w:t>
      </w:r>
      <w:r w:rsidRPr="00F42B1D">
        <w:t>Residents were excluded if they</w:t>
      </w:r>
      <w:r w:rsidR="00584F40">
        <w:t>:</w:t>
      </w:r>
    </w:p>
    <w:p w14:paraId="1F3F09DB" w14:textId="48FE44E9" w:rsidR="00584F40" w:rsidRDefault="006D39A1" w:rsidP="00853EEA">
      <w:pPr>
        <w:pStyle w:val="ListParagraph"/>
        <w:numPr>
          <w:ilvl w:val="0"/>
          <w:numId w:val="16"/>
        </w:numPr>
        <w:spacing w:line="276" w:lineRule="auto"/>
        <w:ind w:left="851" w:hanging="491"/>
      </w:pPr>
      <w:r w:rsidRPr="00F42B1D">
        <w:t>had significant existing frailty, defined as a score of 0.40 or above using the Frailty Index</w:t>
      </w:r>
      <w:r w:rsidR="00584F40">
        <w:t>,</w:t>
      </w:r>
      <w:r w:rsidRPr="00F42B1D">
        <w:fldChar w:fldCharType="begin"/>
      </w:r>
      <w:r w:rsidR="00C86345">
        <w:instrText xml:space="preserve"> ADDIN EN.CITE &lt;EndNote&gt;&lt;Cite&gt;&lt;Author&gt;Widagdo&lt;/Author&gt;&lt;Year&gt;2015&lt;/Year&gt;&lt;RecNum&gt;15&lt;/RecNum&gt;&lt;DisplayText&gt;(15)&lt;/DisplayText&gt;&lt;record&gt;&lt;rec-number&gt;15&lt;/rec-number&gt;&lt;foreign-keys&gt;&lt;key app="EN" db-id="9s5z5ped05vxdnede99vfsxhtzavzdzs2d5r" timestamp="1597381993"&gt;15&lt;/key&gt;&lt;/foreign-keys&gt;&lt;ref-type name="Journal Article"&gt;17&lt;/ref-type&gt;&lt;contributors&gt;&lt;authors&gt;&lt;author&gt;Widagdo, I. S.&lt;/author&gt;&lt;author&gt;Pratt, N.&lt;/author&gt;&lt;author&gt;Russell, M.&lt;/author&gt;&lt;author&gt;Roughead, E. E.&lt;/author&gt;&lt;/authors&gt;&lt;/contributors&gt;&lt;auth-address&gt;Quality Use of Medicines and Pharmacy Research Centre, Sansom Institute, School of Pharmacy and Medical Sciences, University of South Australia, Adelaide, SA, Australia.&amp;#xD;Occupational Therapy Board, Australian Health Practitioner Regulation Agency, Melbourne, VIC, Australia.&lt;/auth-address&gt;&lt;titles&gt;&lt;title&gt;Predictive performance of four frailty measures in an older Australian population&lt;/title&gt;&lt;secondary-title&gt;Age Ageing&lt;/secondary-title&gt;&lt;alt-title&gt;Age and ageing&lt;/alt-title&gt;&lt;/titles&gt;&lt;alt-periodical&gt;&lt;full-title&gt;Age and ageing&lt;/full-title&gt;&lt;/alt-periodical&gt;&lt;pages&gt;967-72&lt;/pages&gt;&lt;volume&gt;44&lt;/volume&gt;&lt;number&gt;6&lt;/number&gt;&lt;keywords&gt;&lt;keyword&gt;Aged&lt;/keyword&gt;&lt;keyword&gt;Aged, 80 and over&lt;/keyword&gt;&lt;keyword&gt;Australia/epidemiology&lt;/keyword&gt;&lt;keyword&gt;Female&lt;/keyword&gt;&lt;keyword&gt;Frail Elderly/*statistics &amp;amp; numerical data&lt;/keyword&gt;&lt;keyword&gt;Geriatric Assessment/*methods&lt;/keyword&gt;&lt;keyword&gt;Humans&lt;/keyword&gt;&lt;keyword&gt;Male&lt;/keyword&gt;&lt;keyword&gt;Reproducibility of Results&lt;/keyword&gt;&lt;keyword&gt;Retrospective Studies&lt;/keyword&gt;&lt;keyword&gt;Risk Factors&lt;/keyword&gt;&lt;keyword&gt;Sensitivity and Specificity&lt;/keyword&gt;&lt;/keywords&gt;&lt;dates&gt;&lt;year&gt;2015&lt;/year&gt;&lt;pub-dates&gt;&lt;date&gt;Nov&lt;/date&gt;&lt;/pub-dates&gt;&lt;/dates&gt;&lt;isbn&gt;0002-0729 (Print)&amp;#xD;0002-0729 (Linking)&lt;/isbn&gt;&lt;accession-num&gt;26504118&lt;/accession-num&gt;&lt;urls&gt;&lt;related-urls&gt;&lt;url&gt;http://www.ncbi.nlm.nih.gov/pubmed/26504118&lt;/url&gt;&lt;/related-urls&gt;&lt;/urls&gt;&lt;custom2&gt;4621238&lt;/custom2&gt;&lt;electronic-resource-num&gt;10.1093/ageing/afv144&lt;/electronic-resource-num&gt;&lt;/record&gt;&lt;/Cite&gt;&lt;/EndNote&gt;</w:instrText>
      </w:r>
      <w:r w:rsidRPr="00F42B1D">
        <w:fldChar w:fldCharType="separate"/>
      </w:r>
      <w:r w:rsidR="00C86345">
        <w:rPr>
          <w:noProof/>
        </w:rPr>
        <w:t>(</w:t>
      </w:r>
      <w:hyperlink w:anchor="_ENREF_15" w:tooltip="Widagdo, 2015 #15" w:history="1">
        <w:r w:rsidR="00EB6EA4">
          <w:rPr>
            <w:noProof/>
          </w:rPr>
          <w:t>15</w:t>
        </w:r>
      </w:hyperlink>
      <w:r w:rsidR="00C86345">
        <w:rPr>
          <w:noProof/>
        </w:rPr>
        <w:t>)</w:t>
      </w:r>
      <w:r w:rsidRPr="00F42B1D">
        <w:fldChar w:fldCharType="end"/>
      </w:r>
    </w:p>
    <w:p w14:paraId="73EA2C45" w14:textId="22AC922B" w:rsidR="00584F40" w:rsidRDefault="006D39A1" w:rsidP="00853EEA">
      <w:pPr>
        <w:pStyle w:val="ListParagraph"/>
        <w:numPr>
          <w:ilvl w:val="0"/>
          <w:numId w:val="16"/>
        </w:numPr>
        <w:spacing w:line="276" w:lineRule="auto"/>
        <w:ind w:left="851" w:hanging="491"/>
      </w:pPr>
      <w:r w:rsidRPr="00F42B1D">
        <w:t xml:space="preserve">had moderate or severe dementia, measured using the Psychogeriatric Assessment Scales </w:t>
      </w:r>
      <w:r w:rsidRPr="00F42B1D">
        <w:fldChar w:fldCharType="begin"/>
      </w:r>
      <w:r w:rsidR="00C86345">
        <w:instrText xml:space="preserve"> ADDIN EN.CITE &lt;EndNote&gt;&lt;Cite&gt;&lt;Author&gt;Australian Government Department of Health&lt;/Author&gt;&lt;Year&gt;2016&lt;/Year&gt;&lt;RecNum&gt;26&lt;/RecNum&gt;&lt;DisplayText&gt;(18)&lt;/DisplayText&gt;&lt;record&gt;&lt;rec-number&gt;26&lt;/rec-number&gt;&lt;foreign-keys&gt;&lt;key app="EN" db-id="9s5z5ped05vxdnede99vfsxhtzavzdzs2d5r" timestamp="1597381996"&gt;26&lt;/key&gt;&lt;/foreign-keys&gt;&lt;ref-type name="Web Page"&gt;12&lt;/ref-type&gt;&lt;contributors&gt;&lt;authors&gt;&lt;author&gt;Australian Government Department of Health,&lt;/author&gt;&lt;/authors&gt;&lt;/contributors&gt;&lt;titles&gt;&lt;title&gt;Psychogeriatric Assessment Scales (PAS) User Guide&lt;/title&gt;&lt;/titles&gt;&lt;volume&gt;2019&lt;/volume&gt;&lt;number&gt;11 June&lt;/number&gt;&lt;dates&gt;&lt;year&gt;2016&lt;/year&gt;&lt;pub-dates&gt;&lt;date&gt;12 December 2016&lt;/date&gt;&lt;/pub-dates&gt;&lt;/dates&gt;&lt;urls&gt;&lt;related-urls&gt;&lt;url&gt;&lt;style face="underline" font="default" size="100%"&gt;https://agedcare.health.gov.au/aged-care-funding/residential-care-subsidy/basic-subsidy-amount-aged-care-funding-instrument/psychogeriatric-assessment-scales-pas-user-guide&lt;/style&gt;&lt;/url&gt;&lt;/related-urls&gt;&lt;/urls&gt;&lt;/record&gt;&lt;/Cite&gt;&lt;/EndNote&gt;</w:instrText>
      </w:r>
      <w:r w:rsidRPr="00F42B1D">
        <w:fldChar w:fldCharType="separate"/>
      </w:r>
      <w:r w:rsidR="00C86345">
        <w:rPr>
          <w:noProof/>
        </w:rPr>
        <w:t>(</w:t>
      </w:r>
      <w:hyperlink w:anchor="_ENREF_18" w:tooltip="Australian Government Department of Health, 2016 #26" w:history="1">
        <w:r w:rsidR="00EB6EA4">
          <w:rPr>
            <w:noProof/>
          </w:rPr>
          <w:t>18</w:t>
        </w:r>
      </w:hyperlink>
      <w:r w:rsidR="00C86345">
        <w:rPr>
          <w:noProof/>
        </w:rPr>
        <w:t>)</w:t>
      </w:r>
      <w:r w:rsidRPr="00F42B1D">
        <w:fldChar w:fldCharType="end"/>
      </w:r>
      <w:r w:rsidRPr="00F42B1D">
        <w:t xml:space="preserve"> </w:t>
      </w:r>
      <w:r w:rsidR="00060079" w:rsidRPr="00F42B1D">
        <w:t xml:space="preserve">(PAS &lt; 12/21) </w:t>
      </w:r>
      <w:r w:rsidRPr="00F42B1D">
        <w:t>or Montreal Cognitive Assessment tool</w:t>
      </w:r>
      <w:r w:rsidR="00060079" w:rsidRPr="00F42B1D">
        <w:t xml:space="preserve"> (MoCA </w:t>
      </w:r>
      <w:r w:rsidR="003F2268" w:rsidRPr="00F42B1D">
        <w:t>≤</w:t>
      </w:r>
      <w:r w:rsidR="00060079" w:rsidRPr="00F42B1D">
        <w:t xml:space="preserve"> 17/30) </w:t>
      </w:r>
      <w:r w:rsidRPr="00F42B1D">
        <w:t xml:space="preserve">, </w:t>
      </w:r>
    </w:p>
    <w:p w14:paraId="48F5D1DD" w14:textId="77777777" w:rsidR="00584F40" w:rsidRDefault="006D39A1" w:rsidP="00853EEA">
      <w:pPr>
        <w:pStyle w:val="ListParagraph"/>
        <w:numPr>
          <w:ilvl w:val="0"/>
          <w:numId w:val="16"/>
        </w:numPr>
        <w:spacing w:line="276" w:lineRule="auto"/>
        <w:ind w:left="851" w:hanging="491"/>
      </w:pPr>
      <w:proofErr w:type="spellStart"/>
      <w:r w:rsidRPr="00F42B1D">
        <w:t>were</w:t>
      </w:r>
      <w:proofErr w:type="spellEnd"/>
      <w:r w:rsidRPr="00F42B1D">
        <w:t xml:space="preserve"> receiving palliative care or respite care, or </w:t>
      </w:r>
    </w:p>
    <w:p w14:paraId="16AD98FE" w14:textId="3143772C" w:rsidR="006D39A1" w:rsidRPr="00F42B1D" w:rsidRDefault="006D39A1" w:rsidP="00853EEA">
      <w:pPr>
        <w:pStyle w:val="ListParagraph"/>
        <w:numPr>
          <w:ilvl w:val="0"/>
          <w:numId w:val="16"/>
        </w:numPr>
        <w:spacing w:line="276" w:lineRule="auto"/>
        <w:ind w:left="851" w:hanging="491"/>
      </w:pPr>
      <w:r w:rsidRPr="00F42B1D">
        <w:t>were involved in another research project that affected their participation in this trial.</w:t>
      </w:r>
    </w:p>
    <w:p w14:paraId="1CD2FB4D" w14:textId="18CFB469" w:rsidR="006D39A1" w:rsidRPr="00F42B1D" w:rsidRDefault="006D39A1" w:rsidP="007501B9">
      <w:r w:rsidRPr="00F42B1D">
        <w:t>Studies have shown that medicine changes such as anticholinergic cessation do not improve cognitive function in people who have dementia.</w:t>
      </w:r>
      <w:r w:rsidRPr="00F42B1D">
        <w:fldChar w:fldCharType="begin">
          <w:fldData xml:space="preserve">PEVuZE5vdGU+PENpdGU+PEF1dGhvcj5ZZWg8L0F1dGhvcj48WWVhcj4yMDEzPC9ZZWFyPjxSZWNO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</w:fldData>
        </w:fldChar>
      </w:r>
      <w:r w:rsidR="00EB6EA4">
        <w:instrText xml:space="preserve"> ADDIN EN.CITE </w:instrText>
      </w:r>
      <w:r w:rsidR="00EB6EA4">
        <w:fldChar w:fldCharType="begin">
          <w:fldData xml:space="preserve">PEVuZE5vdGU+PENpdGU+PEF1dGhvcj5ZZWg8L0F1dGhvcj48WWVhcj4yMDEzPC9ZZWFyPjxSZWNO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</w:fldData>
        </w:fldChar>
      </w:r>
      <w:r w:rsidR="00EB6EA4">
        <w:instrText xml:space="preserve"> ADDIN EN.CITE.DATA </w:instrText>
      </w:r>
      <w:r w:rsidR="00EB6EA4">
        <w:fldChar w:fldCharType="end"/>
      </w:r>
      <w:r w:rsidRPr="00F42B1D">
        <w:fldChar w:fldCharType="separate"/>
      </w:r>
      <w:r w:rsidR="00EB6EA4">
        <w:rPr>
          <w:noProof/>
        </w:rPr>
        <w:t>(</w:t>
      </w:r>
      <w:hyperlink w:anchor="_ENREF_39" w:tooltip="Yeh, 2013 #21" w:history="1">
        <w:r w:rsidR="00EB6EA4">
          <w:rPr>
            <w:noProof/>
          </w:rPr>
          <w:t>39</w:t>
        </w:r>
      </w:hyperlink>
      <w:r w:rsidR="00EB6EA4">
        <w:rPr>
          <w:noProof/>
        </w:rPr>
        <w:t xml:space="preserve">, </w:t>
      </w:r>
      <w:hyperlink w:anchor="_ENREF_40" w:tooltip="Kersten, 2013 #22" w:history="1">
        <w:r w:rsidR="00EB6EA4">
          <w:rPr>
            <w:noProof/>
          </w:rPr>
          <w:t>40</w:t>
        </w:r>
      </w:hyperlink>
      <w:r w:rsidR="00EB6EA4">
        <w:rPr>
          <w:noProof/>
        </w:rPr>
        <w:t>)</w:t>
      </w:r>
      <w:r w:rsidRPr="00F42B1D">
        <w:fldChar w:fldCharType="end"/>
      </w:r>
      <w:r w:rsidRPr="00F42B1D">
        <w:t xml:space="preserve"> </w:t>
      </w:r>
      <w:r w:rsidR="00914F47" w:rsidRPr="00F42B1D">
        <w:t xml:space="preserve"> Additionally there was an ethical requirement of the trial for participants to self-consent</w:t>
      </w:r>
      <w:r w:rsidR="007501B9">
        <w:t xml:space="preserve">. </w:t>
      </w:r>
      <w:r w:rsidRPr="00F42B1D">
        <w:t>Therefore, we excluded residents with moderate or severe dementia</w:t>
      </w:r>
      <w:r w:rsidR="007501B9">
        <w:t xml:space="preserve">. </w:t>
      </w:r>
      <w:r w:rsidRPr="00F42B1D">
        <w:t>In addition, residents with significant existing frailty burden, defined as Frailty Index score ≥ 0.40, were excluded because frailty index appears to reach a plateau by 0.</w:t>
      </w:r>
      <w:r w:rsidR="003F2268" w:rsidRPr="00F42B1D">
        <w:t>6</w:t>
      </w:r>
      <w:r w:rsidR="00584F40">
        <w:t xml:space="preserve"> </w:t>
      </w:r>
      <w:r w:rsidRPr="00F42B1D">
        <w:fldChar w:fldCharType="begin">
          <w:fldData xml:space="preserve">PEVuZE5vdGU+PENpdGU+PEF1dGhvcj5NaXRuaXRza2k8L0F1dGhvcj48WWVhcj4yMDA1PC9ZZWFy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</w:fldData>
        </w:fldChar>
      </w:r>
      <w:r w:rsidR="00EB6EA4">
        <w:instrText xml:space="preserve"> ADDIN EN.CITE </w:instrText>
      </w:r>
      <w:r w:rsidR="00EB6EA4">
        <w:fldChar w:fldCharType="begin">
          <w:fldData xml:space="preserve">PEVuZE5vdGU+PENpdGU+PEF1dGhvcj5NaXRuaXRza2k8L0F1dGhvcj48WWVhcj4yMDA1PC9ZZWFy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</w:fldData>
        </w:fldChar>
      </w:r>
      <w:r w:rsidR="00EB6EA4">
        <w:instrText xml:space="preserve"> ADDIN EN.CITE.DATA </w:instrText>
      </w:r>
      <w:r w:rsidR="00EB6EA4">
        <w:fldChar w:fldCharType="end"/>
      </w:r>
      <w:r w:rsidRPr="00F42B1D">
        <w:fldChar w:fldCharType="separate"/>
      </w:r>
      <w:r w:rsidR="00EB6EA4">
        <w:rPr>
          <w:noProof/>
        </w:rPr>
        <w:t>(</w:t>
      </w:r>
      <w:hyperlink w:anchor="_ENREF_41" w:tooltip="Mitnitski, 2005 #23" w:history="1">
        <w:r w:rsidR="00EB6EA4">
          <w:rPr>
            <w:noProof/>
          </w:rPr>
          <w:t>41</w:t>
        </w:r>
      </w:hyperlink>
      <w:r w:rsidR="00EB6EA4">
        <w:rPr>
          <w:noProof/>
        </w:rPr>
        <w:t>)</w:t>
      </w:r>
      <w:r w:rsidRPr="00F42B1D">
        <w:fldChar w:fldCharType="end"/>
      </w:r>
      <w:r w:rsidR="00584F40">
        <w:t>,</w:t>
      </w:r>
      <w:r w:rsidRPr="00F42B1D">
        <w:t xml:space="preserve"> meaning medicine changes affecting frailty may be harder to detect in residents who have a frailty index above 0.40</w:t>
      </w:r>
      <w:r w:rsidR="007501B9">
        <w:t xml:space="preserve">. </w:t>
      </w:r>
      <w:r w:rsidRPr="00F42B1D">
        <w:t>The exclusion criteria mean</w:t>
      </w:r>
      <w:r w:rsidR="003F2268" w:rsidRPr="00F42B1D">
        <w:t>t</w:t>
      </w:r>
      <w:r w:rsidRPr="00F42B1D">
        <w:t xml:space="preserve"> that the proportion of residents who could be involved </w:t>
      </w:r>
      <w:r w:rsidR="00584F40">
        <w:t xml:space="preserve">in the trial </w:t>
      </w:r>
      <w:r w:rsidRPr="00F42B1D">
        <w:t>was low</w:t>
      </w:r>
      <w:r w:rsidR="007501B9">
        <w:t xml:space="preserve">. </w:t>
      </w:r>
      <w:r w:rsidR="00584F40">
        <w:t>M</w:t>
      </w:r>
      <w:r w:rsidRPr="00F42B1D">
        <w:t>ore than 50% of residents living in aged care facilities in Australia have dementia</w:t>
      </w:r>
      <w:r w:rsidRPr="00F42B1D">
        <w:fldChar w:fldCharType="begin"/>
      </w:r>
      <w:r w:rsidR="00EB6EA4">
        <w:instrText xml:space="preserve"> ADDIN EN.CITE &lt;EndNote&gt;&lt;Cite&gt;&lt;Author&gt;Australian Institue of Health and Welfare&lt;/Author&gt;&lt;Year&gt;2018&lt;/Year&gt;&lt;RecNum&gt;24&lt;/RecNum&gt;&lt;DisplayText&gt;(42)&lt;/DisplayText&gt;&lt;record&gt;&lt;rec-number&gt;24&lt;/rec-number&gt;&lt;foreign-keys&gt;&lt;key app="EN" db-id="9s5z5ped05vxdnede99vfsxhtzavzdzs2d5r" timestamp="1597381995"&gt;24&lt;/key&gt;&lt;/foreign-keys&gt;&lt;ref-type name="Web Page"&gt;12&lt;/ref-type&gt;&lt;contributors&gt;&lt;authors&gt;&lt;author&gt;Australian Institue of Health and Welfare,&lt;/author&gt;&lt;/authors&gt;&lt;/contributors&gt;&lt;titles&gt;&lt;title&gt;Dementia overview&lt;/title&gt;&lt;/titles&gt;&lt;volume&gt;2019&lt;/volume&gt;&lt;number&gt;6 June&lt;/number&gt;&lt;dates&gt;&lt;year&gt;2018&lt;/year&gt;&lt;/dates&gt;&lt;urls&gt;&lt;related-urls&gt;&lt;url&gt;&lt;style face="underline" font="default" size="100%"&gt;https://www.aihw.gov.au/reports-data/health-conditions-disability-deaths/dementia/overview&lt;/style&gt;&lt;/url&gt;&lt;/related-urls&gt;&lt;/urls&gt;&lt;/record&gt;&lt;/Cite&gt;&lt;/EndNote&gt;</w:instrText>
      </w:r>
      <w:r w:rsidRPr="00F42B1D">
        <w:fldChar w:fldCharType="separate"/>
      </w:r>
      <w:r w:rsidR="00EB6EA4">
        <w:rPr>
          <w:noProof/>
        </w:rPr>
        <w:t>(</w:t>
      </w:r>
      <w:hyperlink w:anchor="_ENREF_42" w:tooltip="Australian Institue of Health and Welfare, 2018 #24" w:history="1">
        <w:r w:rsidR="00EB6EA4">
          <w:rPr>
            <w:noProof/>
          </w:rPr>
          <w:t>42</w:t>
        </w:r>
      </w:hyperlink>
      <w:r w:rsidR="00EB6EA4">
        <w:rPr>
          <w:noProof/>
        </w:rPr>
        <w:t>)</w:t>
      </w:r>
      <w:r w:rsidRPr="00F42B1D">
        <w:fldChar w:fldCharType="end"/>
      </w:r>
      <w:r w:rsidRPr="00F42B1D">
        <w:t xml:space="preserve"> and between 50% and 90% of aged care residents are frail.</w:t>
      </w:r>
      <w:r w:rsidRPr="00F42B1D">
        <w:fldChar w:fldCharType="begin"/>
      </w:r>
      <w:r w:rsidR="00EB6EA4">
        <w:instrText xml:space="preserve"> ADDIN EN.CITE &lt;EndNote&gt;&lt;Cite&gt;&lt;Author&gt;Zhang&lt;/Author&gt;&lt;Year&gt;2019&lt;/Year&gt;&lt;RecNum&gt;25&lt;/RecNum&gt;&lt;DisplayText&gt;(43)&lt;/DisplayText&gt;&lt;record&gt;&lt;rec-number&gt;25&lt;/rec-number&gt;&lt;foreign-keys&gt;&lt;key app="EN" db-id="9s5z5ped05vxdnede99vfsxhtzavzdzs2d5r" timestamp="1597381996"&gt;25&lt;/key&gt;&lt;/foreign-keys&gt;&lt;ref-type name="Journal Article"&gt;17&lt;/ref-type&gt;&lt;contributors&gt;&lt;authors&gt;&lt;author&gt;Zhang, XiaoMing&lt;/author&gt;&lt;author&gt;Dou, QingLi&lt;/author&gt;&lt;author&gt;Zhang, WenWu&lt;/author&gt;&lt;author&gt;Wang, CongHua&lt;/author&gt;&lt;author&gt;Xie, XiaoHua&lt;/author&gt;&lt;author&gt;Yang, YunZhi&lt;/author&gt;&lt;author&gt;Zeng, YingChun&lt;/author&gt;&lt;/authors&gt;&lt;/contributors&gt;&lt;titles&gt;&lt;title&gt;Frailty as a predictor of all-cause mortality among older nursing home residents: a systematic review and meta-analysis&lt;/title&gt;&lt;secondary-title&gt;Journal of the American Medical Directors Association&lt;/secondary-title&gt;&lt;/titles&gt;&lt;pages&gt;657-663. e4&lt;/pages&gt;&lt;volume&gt;20&lt;/volume&gt;&lt;number&gt;6&lt;/number&gt;&lt;dates&gt;&lt;year&gt;2019&lt;/year&gt;&lt;/dates&gt;&lt;isbn&gt;1525-8610&lt;/isbn&gt;&lt;urls&gt;&lt;/urls&gt;&lt;/record&gt;&lt;/Cite&gt;&lt;/EndNote&gt;</w:instrText>
      </w:r>
      <w:r w:rsidRPr="00F42B1D">
        <w:fldChar w:fldCharType="separate"/>
      </w:r>
      <w:r w:rsidR="00EB6EA4">
        <w:rPr>
          <w:noProof/>
        </w:rPr>
        <w:t>(</w:t>
      </w:r>
      <w:hyperlink w:anchor="_ENREF_43" w:tooltip="Zhang, 2019 #25" w:history="1">
        <w:r w:rsidR="00EB6EA4">
          <w:rPr>
            <w:noProof/>
          </w:rPr>
          <w:t>43</w:t>
        </w:r>
      </w:hyperlink>
      <w:r w:rsidR="00EB6EA4">
        <w:rPr>
          <w:noProof/>
        </w:rPr>
        <w:t>)</w:t>
      </w:r>
      <w:r w:rsidRPr="00F42B1D">
        <w:fldChar w:fldCharType="end"/>
      </w:r>
    </w:p>
    <w:p w14:paraId="64FF8732" w14:textId="77777777" w:rsidR="006D39A1" w:rsidRPr="00F42B1D" w:rsidRDefault="006D39A1" w:rsidP="00391CFD">
      <w:pPr>
        <w:pStyle w:val="Heading4"/>
      </w:pPr>
      <w:r w:rsidRPr="00F42B1D">
        <w:lastRenderedPageBreak/>
        <w:t>Recruitment</w:t>
      </w:r>
    </w:p>
    <w:p w14:paraId="39F27B48" w14:textId="35E58605" w:rsidR="006D39A1" w:rsidRPr="00F42B1D" w:rsidRDefault="00812C48" w:rsidP="00391CFD">
      <w:pPr>
        <w:pStyle w:val="Heading5"/>
      </w:pPr>
      <w:r>
        <w:t>Aged care</w:t>
      </w:r>
      <w:r w:rsidR="006D39A1" w:rsidRPr="00F42B1D">
        <w:t xml:space="preserve"> resident recruitment</w:t>
      </w:r>
    </w:p>
    <w:p w14:paraId="26704523" w14:textId="7F5E1113" w:rsidR="006D39A1" w:rsidRPr="00F42B1D" w:rsidRDefault="006D39A1" w:rsidP="007501B9">
      <w:r w:rsidRPr="00F42B1D">
        <w:t xml:space="preserve">Trial participants were recruited from 39 </w:t>
      </w:r>
      <w:r w:rsidR="00812C48">
        <w:t>aged care</w:t>
      </w:r>
      <w:r w:rsidRPr="00F42B1D">
        <w:t xml:space="preserve"> facilities across two Australian states, South </w:t>
      </w:r>
      <w:proofErr w:type="gramStart"/>
      <w:r w:rsidRPr="00F42B1D">
        <w:t>Australia</w:t>
      </w:r>
      <w:proofErr w:type="gramEnd"/>
      <w:r w:rsidRPr="00F42B1D">
        <w:t xml:space="preserve"> and Tasmania</w:t>
      </w:r>
      <w:r w:rsidR="007501B9">
        <w:t xml:space="preserve">. </w:t>
      </w:r>
      <w:r w:rsidRPr="00F42B1D">
        <w:t>Facilities were recruited to the trial by purposeful selection</w:t>
      </w:r>
      <w:r w:rsidR="007501B9">
        <w:t xml:space="preserve">. </w:t>
      </w:r>
      <w:r w:rsidR="00584F40">
        <w:t>D</w:t>
      </w:r>
      <w:r w:rsidRPr="00F42B1D">
        <w:t>ata on facility demographics and the bed numbers were collected to assess whether the facilities were representative of RACF in Australia</w:t>
      </w:r>
      <w:r w:rsidR="007501B9">
        <w:t xml:space="preserve">. </w:t>
      </w:r>
      <w:r w:rsidRPr="00F42B1D">
        <w:t>The trial adopted an “opt out approach”, as requested by the residential aged care facilities and consumer advisors</w:t>
      </w:r>
      <w:r w:rsidR="007501B9">
        <w:t xml:space="preserve">. </w:t>
      </w:r>
      <w:r w:rsidRPr="00F42B1D">
        <w:t>In compliance with the National Statement of Ethical Conduct in Human Research section 2.3.6, flyers were displayed at all participating residential aged care facilities at least one month prior to recruitment to inform the residents, family members and staff of the introduction of the pharmacist service</w:t>
      </w:r>
      <w:r w:rsidR="007501B9">
        <w:t xml:space="preserve">. </w:t>
      </w:r>
      <w:r w:rsidRPr="00F42B1D">
        <w:t>In addition, flyers were provided to all potential residents</w:t>
      </w:r>
      <w:r w:rsidR="007501B9">
        <w:t xml:space="preserve">. </w:t>
      </w:r>
      <w:r w:rsidRPr="00F42B1D">
        <w:t>The flyer explained the pharmacist service, information on what to do if the residents did not wish to participate and informed the residents that they could opt out at any time throughout the study period.</w:t>
      </w:r>
    </w:p>
    <w:p w14:paraId="3C190A3C" w14:textId="6A99A0C3" w:rsidR="006D39A1" w:rsidRPr="00F42B1D" w:rsidRDefault="003F2268" w:rsidP="007501B9">
      <w:r w:rsidRPr="00F42B1D">
        <w:t>The</w:t>
      </w:r>
      <w:r w:rsidR="006D39A1" w:rsidRPr="00F42B1D">
        <w:t xml:space="preserve"> trial excluded persons with moderate or severe dementia, as determined by </w:t>
      </w:r>
      <w:r w:rsidR="00584F40">
        <w:t>the last</w:t>
      </w:r>
      <w:r w:rsidR="006D39A1" w:rsidRPr="00F42B1D">
        <w:t xml:space="preserve"> facility recorded Psychogeriatric Assessment scale (PAS) or through administration of the Montreal Cognitive assessment</w:t>
      </w:r>
      <w:r w:rsidR="00207FAE">
        <w:t xml:space="preserve"> (MoCA)</w:t>
      </w:r>
      <w:r w:rsidR="006D39A1" w:rsidRPr="00F42B1D">
        <w:t xml:space="preserve"> tool during eligibility screening, meaning that the eligible residents had the capacity to decline participation if they wish to do so</w:t>
      </w:r>
      <w:r w:rsidR="007501B9">
        <w:t xml:space="preserve">. </w:t>
      </w:r>
      <w:r w:rsidR="006D39A1" w:rsidRPr="00F42B1D">
        <w:t>Participants who enrolled in the trial could withdraw from the trial for any reason or without having to give a reason.</w:t>
      </w:r>
    </w:p>
    <w:p w14:paraId="27AA7451" w14:textId="77777777" w:rsidR="006D39A1" w:rsidRPr="00F42B1D" w:rsidRDefault="006D39A1" w:rsidP="00E716E6">
      <w:pPr>
        <w:pStyle w:val="Heading5"/>
        <w:spacing w:line="276" w:lineRule="auto"/>
      </w:pPr>
      <w:r w:rsidRPr="00F42B1D">
        <w:t>Pharmacist recruitment</w:t>
      </w:r>
    </w:p>
    <w:p w14:paraId="513D1D11" w14:textId="38723FB1" w:rsidR="006D39A1" w:rsidRPr="00F42B1D" w:rsidRDefault="006D39A1" w:rsidP="007501B9">
      <w:r w:rsidRPr="00F42B1D">
        <w:t xml:space="preserve">The pharmacists were purposively recruited from community </w:t>
      </w:r>
      <w:proofErr w:type="gramStart"/>
      <w:r w:rsidRPr="00F42B1D">
        <w:t>pharmacy</w:t>
      </w:r>
      <w:proofErr w:type="gramEnd"/>
      <w:r w:rsidRPr="00F42B1D">
        <w:t xml:space="preserve"> or </w:t>
      </w:r>
      <w:r w:rsidR="003F2268" w:rsidRPr="00F42B1D">
        <w:t xml:space="preserve">the pool of </w:t>
      </w:r>
      <w:r w:rsidRPr="00F42B1D">
        <w:t>accredited pharmacists</w:t>
      </w:r>
      <w:r w:rsidR="00E069BD" w:rsidRPr="00F42B1D">
        <w:t xml:space="preserve"> associated with </w:t>
      </w:r>
      <w:r w:rsidR="00584F40">
        <w:t xml:space="preserve">the individual </w:t>
      </w:r>
      <w:r w:rsidR="00E069BD" w:rsidRPr="00F42B1D">
        <w:t>facilities</w:t>
      </w:r>
      <w:r w:rsidR="007501B9">
        <w:t xml:space="preserve">. </w:t>
      </w:r>
      <w:r w:rsidRPr="00F42B1D">
        <w:t xml:space="preserve">Initially, the community pharmacy providing the supply services to the </w:t>
      </w:r>
      <w:r w:rsidR="00812C48">
        <w:t>aged care</w:t>
      </w:r>
      <w:r w:rsidRPr="00F42B1D">
        <w:t xml:space="preserve"> facility was invited to provide the pharmacist intervention</w:t>
      </w:r>
      <w:r w:rsidR="007501B9">
        <w:t xml:space="preserve">. </w:t>
      </w:r>
      <w:r w:rsidRPr="00F42B1D">
        <w:t xml:space="preserve">Where there was not capacity among the pharmacists at the community pharmacy, alternative pharmacists were sought, with accredited pharmacists associated with </w:t>
      </w:r>
      <w:r w:rsidR="00812C48">
        <w:t>aged care</w:t>
      </w:r>
      <w:r w:rsidRPr="00F42B1D">
        <w:t xml:space="preserve"> facilities being approached</w:t>
      </w:r>
      <w:r w:rsidR="007501B9">
        <w:t xml:space="preserve">. </w:t>
      </w:r>
      <w:r w:rsidRPr="00F42B1D">
        <w:t xml:space="preserve">The 28 pharmacists </w:t>
      </w:r>
      <w:r w:rsidR="00584F40">
        <w:t xml:space="preserve">who participated </w:t>
      </w:r>
      <w:r w:rsidRPr="00F42B1D">
        <w:t>were experienced community pharmacists or accredited pharmacists</w:t>
      </w:r>
      <w:r w:rsidR="007501B9">
        <w:t xml:space="preserve">. </w:t>
      </w:r>
      <w:r w:rsidRPr="00F42B1D">
        <w:t>One hospital</w:t>
      </w:r>
      <w:r w:rsidR="00914F47" w:rsidRPr="00F42B1D">
        <w:t xml:space="preserve"> pharmacist was also recruited.</w:t>
      </w:r>
    </w:p>
    <w:p w14:paraId="3091069E" w14:textId="79A04739" w:rsidR="006D39A1" w:rsidRPr="00F42B1D" w:rsidRDefault="006D39A1" w:rsidP="007501B9">
      <w:r w:rsidRPr="00F42B1D">
        <w:t>Pharmacists who agreed to provide intervention services under the trial were provided a three-hour one on one initial training session prior to commencement of the service</w:t>
      </w:r>
      <w:r w:rsidR="007501B9">
        <w:t xml:space="preserve">. </w:t>
      </w:r>
      <w:r w:rsidRPr="00F42B1D">
        <w:t xml:space="preserve">The training covered identification of medicine-induced deterioration, use of the assessment tools, data collection and interpretation of measures. Standard operating procedure </w:t>
      </w:r>
      <w:r w:rsidR="00B10D40">
        <w:t xml:space="preserve">and training </w:t>
      </w:r>
      <w:r w:rsidRPr="00F42B1D">
        <w:t>manuals were supplied for the pharmacists to ensure consistency in trial operation</w:t>
      </w:r>
      <w:r w:rsidR="00891A48" w:rsidRPr="00F42B1D">
        <w:t xml:space="preserve"> (See section F</w:t>
      </w:r>
      <w:r w:rsidR="001A2CBA" w:rsidRPr="00F42B1D">
        <w:t>3</w:t>
      </w:r>
      <w:r w:rsidR="00891A48" w:rsidRPr="00F42B1D">
        <w:t>)</w:t>
      </w:r>
      <w:r w:rsidRPr="00F42B1D">
        <w:t>.</w:t>
      </w:r>
    </w:p>
    <w:p w14:paraId="46B7B563" w14:textId="11F9DE38" w:rsidR="006D39A1" w:rsidRPr="00F42B1D" w:rsidRDefault="006D39A1" w:rsidP="007501B9">
      <w:r w:rsidRPr="00F42B1D">
        <w:lastRenderedPageBreak/>
        <w:t xml:space="preserve">To ensure the intervention was integrated into existing </w:t>
      </w:r>
      <w:proofErr w:type="gramStart"/>
      <w:r w:rsidRPr="00F42B1D">
        <w:t>work flows</w:t>
      </w:r>
      <w:proofErr w:type="gramEnd"/>
      <w:r w:rsidRPr="00F42B1D">
        <w:t>, the clinical research pharmacists provided the intervention pharmacists with further on-site support during the first sessional visit</w:t>
      </w:r>
      <w:r w:rsidR="007501B9">
        <w:t xml:space="preserve">. </w:t>
      </w:r>
      <w:r w:rsidRPr="00F42B1D">
        <w:t xml:space="preserve">The on-site support aimed to ensure consistency in adherence to trial protocol and ensure pharmacist competence in using the standardised tools in the </w:t>
      </w:r>
      <w:r w:rsidR="00812C48">
        <w:t>aged care</w:t>
      </w:r>
      <w:r w:rsidRPr="00F42B1D">
        <w:t xml:space="preserve"> setting</w:t>
      </w:r>
      <w:r w:rsidR="007501B9">
        <w:t xml:space="preserve">. </w:t>
      </w:r>
      <w:r w:rsidRPr="00F42B1D">
        <w:t>Additional on-site support and training sessions were provided on request or where necessary</w:t>
      </w:r>
      <w:r w:rsidR="007501B9">
        <w:t xml:space="preserve">. </w:t>
      </w:r>
      <w:r w:rsidRPr="00F42B1D">
        <w:t xml:space="preserve">Pharmacists independently delivered the intervention once </w:t>
      </w:r>
      <w:r w:rsidR="00891A48" w:rsidRPr="00F42B1D">
        <w:t xml:space="preserve">the </w:t>
      </w:r>
      <w:r w:rsidRPr="00F42B1D">
        <w:t>clinical research leader was confident in their capacity to implement the intervention as planned</w:t>
      </w:r>
      <w:r w:rsidR="007501B9">
        <w:t xml:space="preserve">. </w:t>
      </w:r>
      <w:r w:rsidRPr="00F42B1D">
        <w:t>Clinical experts acted as mentors and were available to assist the pharmacists to interpret the results</w:t>
      </w:r>
      <w:r w:rsidR="007501B9">
        <w:t xml:space="preserve">. </w:t>
      </w:r>
      <w:r w:rsidRPr="00F42B1D">
        <w:t>Pharmacist discussion groups were convened every two months to provide mentoring and discuss solutions to any identified issues</w:t>
      </w:r>
      <w:r w:rsidR="007501B9">
        <w:t xml:space="preserve">. </w:t>
      </w:r>
      <w:r w:rsidR="00891A48" w:rsidRPr="00F42B1D">
        <w:t>A</w:t>
      </w:r>
      <w:r w:rsidRPr="00F42B1D">
        <w:t xml:space="preserve"> staged roll-out </w:t>
      </w:r>
      <w:r w:rsidR="00891A48" w:rsidRPr="00F42B1D">
        <w:t xml:space="preserve">was employed </w:t>
      </w:r>
      <w:r w:rsidRPr="00F42B1D">
        <w:t xml:space="preserve">to allow sufficient time for testing of </w:t>
      </w:r>
      <w:proofErr w:type="gramStart"/>
      <w:r w:rsidRPr="00F42B1D">
        <w:t>work-flows</w:t>
      </w:r>
      <w:proofErr w:type="gramEnd"/>
      <w:r w:rsidRPr="00F42B1D">
        <w:t xml:space="preserve"> and incorporation of feedback from all stakeholders, participants and trial pharmacists.</w:t>
      </w:r>
    </w:p>
    <w:p w14:paraId="10B67694" w14:textId="4AE7B7E0" w:rsidR="006D39A1" w:rsidRPr="00F42B1D" w:rsidRDefault="006D39A1" w:rsidP="007501B9">
      <w:r w:rsidRPr="00F42B1D">
        <w:t>The training program was reviewed and accredited by the Pharmaceutical Society of Australia for delivery of Group 2 continuing professional development points</w:t>
      </w:r>
      <w:r w:rsidR="007501B9">
        <w:t xml:space="preserve">. </w:t>
      </w:r>
      <w:r w:rsidRPr="00F42B1D">
        <w:t xml:space="preserve">The full training manual and accreditation notification are included in </w:t>
      </w:r>
      <w:r w:rsidR="00060079" w:rsidRPr="00F42B1D">
        <w:t>Section F</w:t>
      </w:r>
      <w:r w:rsidR="001A2CBA" w:rsidRPr="00F42B1D">
        <w:t>3</w:t>
      </w:r>
      <w:r w:rsidRPr="00F42B1D">
        <w:t>.</w:t>
      </w:r>
    </w:p>
    <w:p w14:paraId="42EFB68D" w14:textId="77777777" w:rsidR="006D39A1" w:rsidRPr="00F42B1D" w:rsidRDefault="006D39A1" w:rsidP="00E716E6">
      <w:pPr>
        <w:pStyle w:val="Heading5"/>
        <w:spacing w:line="276" w:lineRule="auto"/>
      </w:pPr>
      <w:r w:rsidRPr="00F42B1D">
        <w:t>General Practitioner recruitment</w:t>
      </w:r>
    </w:p>
    <w:p w14:paraId="013B0E34" w14:textId="4CB5F9F9" w:rsidR="006D39A1" w:rsidRPr="00F42B1D" w:rsidRDefault="006D39A1" w:rsidP="007501B9">
      <w:r w:rsidRPr="00F42B1D">
        <w:t>General practitioners (GPs) were not actively recruited to the trial</w:t>
      </w:r>
      <w:r w:rsidR="007501B9">
        <w:t xml:space="preserve">. </w:t>
      </w:r>
      <w:r w:rsidRPr="00F42B1D">
        <w:t xml:space="preserve">The general practitioners providing services to the </w:t>
      </w:r>
      <w:r w:rsidR="00812C48">
        <w:t>aged care</w:t>
      </w:r>
      <w:r w:rsidRPr="00F42B1D">
        <w:t xml:space="preserve"> facilities received a letter introducing the </w:t>
      </w:r>
      <w:proofErr w:type="spellStart"/>
      <w:r w:rsidRPr="00F42B1D">
        <w:t>ReMInDAR</w:t>
      </w:r>
      <w:proofErr w:type="spellEnd"/>
      <w:r w:rsidRPr="00F42B1D">
        <w:t xml:space="preserve"> trial prior to participant recruitment</w:t>
      </w:r>
      <w:r w:rsidR="007501B9">
        <w:t xml:space="preserve">. </w:t>
      </w:r>
      <w:r w:rsidRPr="00F42B1D">
        <w:t xml:space="preserve">If the participants were assigned to either trial group, GPs caring for the participants received a follow-up letter informing them of their patients’ trial allocation, and pharmacists </w:t>
      </w:r>
      <w:proofErr w:type="gramStart"/>
      <w:r w:rsidRPr="00F42B1D">
        <w:t>made contact with</w:t>
      </w:r>
      <w:proofErr w:type="gramEnd"/>
      <w:r w:rsidRPr="00F42B1D">
        <w:t xml:space="preserve"> the </w:t>
      </w:r>
      <w:r w:rsidR="00584F40" w:rsidRPr="00F42B1D">
        <w:t xml:space="preserve">general practitioner </w:t>
      </w:r>
      <w:r w:rsidRPr="00F42B1D">
        <w:t>as appropriate.</w:t>
      </w:r>
      <w:bookmarkEnd w:id="137"/>
    </w:p>
    <w:p w14:paraId="519C7F3C" w14:textId="77777777" w:rsidR="00891A48" w:rsidRPr="00F42B1D" w:rsidRDefault="00891A48" w:rsidP="00E716E6">
      <w:pPr>
        <w:pStyle w:val="Heading4"/>
        <w:spacing w:line="276" w:lineRule="auto"/>
      </w:pPr>
      <w:r w:rsidRPr="00F42B1D">
        <w:t>Intervention</w:t>
      </w:r>
    </w:p>
    <w:p w14:paraId="7BCA104A" w14:textId="1DB119E5" w:rsidR="00891A48" w:rsidRPr="00F42B1D" w:rsidRDefault="00891A48" w:rsidP="007501B9">
      <w:r w:rsidRPr="00F42B1D">
        <w:t>The intervention group received a sessional pharmacist service that occurred approximately every eight weeks over 12 months (Figure B-</w:t>
      </w:r>
      <w:r w:rsidR="00E716E6">
        <w:t>3</w:t>
      </w:r>
      <w:r w:rsidRPr="00F42B1D">
        <w:t>)</w:t>
      </w:r>
      <w:r w:rsidR="007501B9">
        <w:t xml:space="preserve">. </w:t>
      </w:r>
      <w:r w:rsidRPr="00F42B1D">
        <w:t xml:space="preserve">The </w:t>
      </w:r>
      <w:proofErr w:type="gramStart"/>
      <w:r w:rsidRPr="00F42B1D">
        <w:t>eight week</w:t>
      </w:r>
      <w:proofErr w:type="gramEnd"/>
      <w:r w:rsidRPr="00F42B1D">
        <w:t xml:space="preserve"> period was chosen as analysis of data from </w:t>
      </w:r>
      <w:r w:rsidR="00812C48">
        <w:t>aged care</w:t>
      </w:r>
      <w:r w:rsidRPr="00F42B1D">
        <w:t xml:space="preserve"> facilities showed that, on average, there were seven medication changes per resident per year; approximately one every two months</w:t>
      </w:r>
      <w:r w:rsidR="007501B9">
        <w:t xml:space="preserve">. </w:t>
      </w:r>
      <w:r w:rsidRPr="00F42B1D">
        <w:t xml:space="preserve">Australian evidence also shows that the majority of adverse events occur within the first four weeks of starting a medicine, </w:t>
      </w:r>
      <w:r w:rsidRPr="00F42B1D">
        <w:fldChar w:fldCharType="begin"/>
      </w:r>
      <w:r w:rsidR="00EB6EA4">
        <w:instrText xml:space="preserve"> ADDIN EN.CITE &lt;EndNote&gt;&lt;Cite&gt;&lt;Author&gt;Colebatch BPharm MClin Pharm&lt;/Author&gt;&lt;Year&gt;2000&lt;/Year&gt;&lt;RecNum&gt;27&lt;/RecNum&gt;&lt;DisplayText&gt;(44)&lt;/DisplayText&gt;&lt;record&gt;&lt;rec-number&gt;27&lt;/rec-number&gt;&lt;foreign-keys&gt;&lt;key app="EN" db-id="9s5z5ped05vxdnede99vfsxhtzavzdzs2d5r" timestamp="1597381996"&gt;27&lt;/key&gt;&lt;/foreign-keys&gt;&lt;ref-type name="Journal Article"&gt;17&lt;/ref-type&gt;&lt;contributors&gt;&lt;authors&gt;&lt;author&gt;Colebatch BPharm MClin Pharm, Karen A&lt;/author&gt;&lt;author&gt;Marley MD MBChB, John&lt;/author&gt;&lt;author&gt;Doecke, Christopher&lt;/author&gt;&lt;author&gt;Miles BSc, HelenB&lt;/author&gt;&lt;author&gt;Gilbert BPharm PhD, Andrew&lt;/author&gt;&lt;/authors&gt;&lt;/contributors&gt;&lt;titles&gt;&lt;title&gt;Evaluation of a patient event report monitoring system&lt;/title&gt;&lt;secondary-title&gt;Pharmacoepidemiology and drug safety&lt;/secondary-title&gt;&lt;/titles&gt;&lt;pages&gt;491-499&lt;/pages&gt;&lt;volume&gt;9&lt;/volume&gt;&lt;number&gt;6&lt;/number&gt;&lt;dates&gt;&lt;year&gt;2000&lt;/year&gt;&lt;/dates&gt;&lt;isbn&gt;1053-8569&lt;/isbn&gt;&lt;urls&gt;&lt;/urls&gt;&lt;/record&gt;&lt;/Cite&gt;&lt;/EndNote&gt;</w:instrText>
      </w:r>
      <w:r w:rsidRPr="00F42B1D">
        <w:fldChar w:fldCharType="separate"/>
      </w:r>
      <w:r w:rsidR="00EB6EA4">
        <w:rPr>
          <w:noProof/>
        </w:rPr>
        <w:t>(</w:t>
      </w:r>
      <w:hyperlink w:anchor="_ENREF_44" w:tooltip="Colebatch BPharm MClin Pharm, 2000 #27" w:history="1">
        <w:r w:rsidR="00EB6EA4">
          <w:rPr>
            <w:noProof/>
          </w:rPr>
          <w:t>44</w:t>
        </w:r>
      </w:hyperlink>
      <w:r w:rsidR="00EB6EA4">
        <w:rPr>
          <w:noProof/>
        </w:rPr>
        <w:t>)</w:t>
      </w:r>
      <w:r w:rsidRPr="00F42B1D">
        <w:fldChar w:fldCharType="end"/>
      </w:r>
      <w:r w:rsidRPr="00F42B1D">
        <w:t xml:space="preserve"> thus visits every 8 weeks were considered most likely to detect adv</w:t>
      </w:r>
      <w:r w:rsidR="00914F47" w:rsidRPr="00F42B1D">
        <w:t>erse events in a timely manner.</w:t>
      </w:r>
    </w:p>
    <w:p w14:paraId="11DFD6FB" w14:textId="2C4EC70E" w:rsidR="00891A48" w:rsidRPr="00F42B1D" w:rsidRDefault="00891A48" w:rsidP="007501B9">
      <w:r w:rsidRPr="00F42B1D">
        <w:t>All pharmacist interventions across the 12-month period were conducted by the same pharmacist assigned to the specific site where possible</w:t>
      </w:r>
      <w:r w:rsidR="007501B9">
        <w:t xml:space="preserve">. </w:t>
      </w:r>
      <w:r w:rsidRPr="00F42B1D">
        <w:t xml:space="preserve">Exceptions included pharmacists moving interstate, change of pharmacy contracts with the </w:t>
      </w:r>
      <w:r w:rsidR="00812C48">
        <w:t>aged care</w:t>
      </w:r>
      <w:r w:rsidRPr="00F42B1D">
        <w:t xml:space="preserve"> facility or alterati</w:t>
      </w:r>
      <w:r w:rsidR="00F22EAA">
        <w:t>ons to pharmacist availability.</w:t>
      </w:r>
    </w:p>
    <w:bookmarkStart w:id="138" w:name="_Toc514157687"/>
    <w:p w14:paraId="14994AB7" w14:textId="5F8E2DDD" w:rsidR="00936533" w:rsidRPr="008F1E88" w:rsidRDefault="00604A70" w:rsidP="008F1E88">
      <w:r w:rsidRPr="008F1E88">
        <w:fldChar w:fldCharType="begin"/>
      </w:r>
      <w:r w:rsidRPr="008F1E88">
        <w:instrText xml:space="preserve"> HYPERLINK \l "_G.4._Text_alternative_1" </w:instrText>
      </w:r>
      <w:r w:rsidRPr="008F1E88">
        <w:fldChar w:fldCharType="separate"/>
      </w:r>
      <w:r w:rsidR="00936533" w:rsidRPr="008F1E88">
        <w:rPr>
          <w:rStyle w:val="Hyperlink"/>
        </w:rPr>
        <w:t>Text Alternative for Figure B-2</w:t>
      </w:r>
      <w:r w:rsidRPr="008F1E88">
        <w:fldChar w:fldCharType="end"/>
      </w:r>
    </w:p>
    <w:p w14:paraId="6FC61CDA" w14:textId="72901819" w:rsidR="00936533" w:rsidRPr="00F42B1D" w:rsidRDefault="00936533" w:rsidP="00897C5B">
      <w:pPr>
        <w:pStyle w:val="Caption"/>
        <w:rPr>
          <w:lang w:eastAsia="zh-CN" w:bidi="th-TH"/>
        </w:rPr>
      </w:pPr>
      <w:r w:rsidRPr="00F42B1D">
        <w:lastRenderedPageBreak/>
        <w:t>Figure B-</w:t>
      </w:r>
      <w:r w:rsidR="00E716E6">
        <w:t>3</w:t>
      </w:r>
      <w:r w:rsidRPr="00F42B1D">
        <w:rPr>
          <w:lang w:eastAsia="zh-CN" w:bidi="th-TH"/>
        </w:rPr>
        <w:t>: Flow chart for sessional pharmacist visit.</w:t>
      </w:r>
      <w:r>
        <w:rPr>
          <w:noProof/>
        </w:rPr>
        <w:drawing>
          <wp:inline distT="0" distB="0" distL="0" distR="0" wp14:anchorId="2A58F7CC" wp14:editId="32FA346F">
            <wp:extent cx="5438738" cy="4849893"/>
            <wp:effectExtent l="0" t="0" r="0" b="0"/>
            <wp:docPr id="8" name="Picture 8" descr="Figure B-2 describes the cyclical pharmacist service that is provided, as resident reviews are conducted on an 8 weekly basis. This is a decision support flow chart that indicates how a resident is triaged through the clinical management algorithm for the new ReMInDAR pharmacy service. It also indicates the required actions for each decision pathway. &#10;&#10;Full alternative text description availiable through alt text hyperlink" title="Flow chart for sessional pharmacist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53947" cy="4863455"/>
                    </a:xfrm>
                    <a:prstGeom prst="rect">
                      <a:avLst/>
                    </a:prstGeom>
                    <a:noFill/>
                  </pic:spPr>
                </pic:pic>
              </a:graphicData>
            </a:graphic>
          </wp:inline>
        </w:drawing>
      </w:r>
    </w:p>
    <w:p w14:paraId="1E4DD109" w14:textId="77777777" w:rsidR="00936533" w:rsidRPr="008F1E88" w:rsidRDefault="00936533" w:rsidP="008F1E88">
      <w:r w:rsidRPr="008F1E88">
        <w:t>Abbreviations: AE - adverse event, MCSD - Minimal clinically significant difference</w:t>
      </w:r>
    </w:p>
    <w:p w14:paraId="5762E728" w14:textId="207D6782" w:rsidR="00EF6E9B" w:rsidRPr="00F42B1D" w:rsidRDefault="00EF6E9B" w:rsidP="007501B9">
      <w:pPr>
        <w:rPr>
          <w:highlight w:val="yellow"/>
        </w:rPr>
      </w:pPr>
      <w:bookmarkStart w:id="139" w:name="_Usual_care"/>
      <w:bookmarkEnd w:id="139"/>
      <w:r w:rsidRPr="00F42B1D">
        <w:t>The pharmacist service included assessment for adverse medicine events and medicine-induced deterioration</w:t>
      </w:r>
      <w:r w:rsidR="007501B9">
        <w:t xml:space="preserve">. </w:t>
      </w:r>
      <w:r w:rsidRPr="00F42B1D">
        <w:t>The pharmacists reviewed electronic or hard copy resident care records to identify any new illnesses or conditions present since the last assessment, including any adverse events (</w:t>
      </w:r>
      <w:proofErr w:type="gramStart"/>
      <w:r w:rsidRPr="00F42B1D">
        <w:t>e.g.</w:t>
      </w:r>
      <w:proofErr w:type="gramEnd"/>
      <w:r w:rsidRPr="00F42B1D">
        <w:t xml:space="preserve"> falls, delirium events, bowel or urinary changes, weight loss) or any signs or symptoms noted in the care record that could be indicative of adverse events (e.g. changes in nutritional status, pain)</w:t>
      </w:r>
      <w:r w:rsidR="007501B9">
        <w:t xml:space="preserve">. </w:t>
      </w:r>
      <w:r w:rsidRPr="00F42B1D">
        <w:t>The pharmacists also reviewed the medication chart to identify any medication changes that had occurred since the last visit</w:t>
      </w:r>
      <w:r w:rsidR="007501B9">
        <w:t xml:space="preserve">. </w:t>
      </w:r>
      <w:r w:rsidRPr="00F42B1D">
        <w:t>The pharmacist met with the resident and care staff to discuss and identify any concerns that they may have and to assess changes in activity and cognition</w:t>
      </w:r>
      <w:r w:rsidR="007501B9">
        <w:t xml:space="preserve">. </w:t>
      </w:r>
      <w:r w:rsidRPr="00F42B1D">
        <w:t xml:space="preserve">The assessment of participant cognition was undertaken using the Montreal Cognitive Assessment tool (MoCA)) </w:t>
      </w:r>
      <w:r w:rsidRPr="00F42B1D">
        <w:fldChar w:fldCharType="begin"/>
      </w:r>
      <w:r w:rsidR="00EB6EA4">
        <w:instrText xml:space="preserve"> ADDIN EN.CITE &lt;EndNote&gt;&lt;Cite&gt;&lt;Author&gt;Nasreddine&lt;/Author&gt;&lt;Year&gt;2005&lt;/Year&gt;&lt;RecNum&gt;28&lt;/RecNum&gt;&lt;DisplayText&gt;(45)&lt;/DisplayText&gt;&lt;record&gt;&lt;rec-number&gt;28&lt;/rec-number&gt;&lt;foreign-keys&gt;&lt;key app="EN" db-id="9s5z5ped05vxdnede99vfsxhtzavzdzs2d5r" timestamp="1597381996"&gt;28&lt;/key&gt;&lt;/foreign-keys&gt;&lt;ref-type name="Journal Article"&gt;17&lt;/ref-type&gt;&lt;contributors&gt;&lt;authors&gt;&lt;author&gt;Nasreddine, Z. S.&lt;/author&gt;&lt;author&gt;Phillips, N. A.&lt;/author&gt;&lt;author&gt;Bedirian, V.&lt;/author&gt;&lt;author&gt;Charbonneau, S.&lt;/author&gt;&lt;author&gt;Whitehead, V.&lt;/author&gt;&lt;author&gt;Collin, I.&lt;/author&gt;&lt;author&gt;Cummings, J. L.&lt;/author&gt;&lt;author&gt;Chertkow, H.&lt;/author&gt;&lt;/authors&gt;&lt;/contributors&gt;&lt;auth-address&gt;Center for Clinical Research, Neurology Service, Hopital Charles LeMoyne, Quebec, Canada. ziadn@sympatico.ca&lt;/auth-address&gt;&lt;titles&gt;&lt;title&gt;The Montreal Cognitive Assessment, MoCA: a brief screening tool for mild cognitive impairment&lt;/title&gt;&lt;secondary-title&gt;J Am Geriatr Soc&lt;/secondary-title&gt;&lt;alt-title&gt;Journal of the American Geriatrics Society&lt;/alt-title&gt;&lt;/titles&gt;&lt;periodical&gt;&lt;full-title&gt;J Am Geriatr Soc&lt;/full-title&gt;&lt;/periodical&gt;&lt;alt-periodical&gt;&lt;full-title&gt;Journal of the American Geriatrics Society&lt;/full-title&gt;&lt;/alt-periodical&gt;&lt;pages&gt;695-9&lt;/pages&gt;&lt;volume&gt;53&lt;/volume&gt;&lt;number&gt;4&lt;/number&gt;&lt;edition&gt;2005/04/09&lt;/edition&gt;&lt;keywords&gt;&lt;keyword&gt;Aged&lt;/keyword&gt;&lt;keyword&gt;Alzheimer Disease/ diagnosis&lt;/keyword&gt;&lt;keyword&gt;Case-Control Studies&lt;/keyword&gt;&lt;keyword&gt;Cognition Disorders/ diagnosis&lt;/keyword&gt;&lt;keyword&gt;Female&lt;/keyword&gt;&lt;keyword&gt;Humans&lt;/keyword&gt;&lt;keyword&gt;Male&lt;/keyword&gt;&lt;keyword&gt;Neuropsychological Tests&lt;/keyword&gt;&lt;keyword&gt;Psychometrics&lt;/keyword&gt;&lt;keyword&gt;Quebec&lt;/keyword&gt;&lt;keyword&gt;Reproducibility of Results&lt;/keyword&gt;&lt;keyword&gt;Sensitivity and Specificity&lt;/keyword&gt;&lt;/keywords&gt;&lt;dates&gt;&lt;year&gt;2005&lt;/year&gt;&lt;pub-dates&gt;&lt;date&gt;Apr&lt;/date&gt;&lt;/pub-dates&gt;&lt;/dates&gt;&lt;isbn&gt;0002-8614 (Print)&amp;#xD;0002-8614 (Linking)&lt;/isbn&gt;&lt;accession-num&gt;15817019&lt;/accession-num&gt;&lt;urls&gt;&lt;/urls&gt;&lt;electronic-resource-num&gt;10.1111/j.1532-5415.2005.53221.x&lt;/electronic-resource-num&gt;&lt;remote-database-provider&gt;NLM&lt;/remote-database-provider&gt;&lt;language&gt;Eng&lt;/language&gt;&lt;/record&gt;&lt;/Cite&gt;&lt;/EndNote&gt;</w:instrText>
      </w:r>
      <w:r w:rsidRPr="00F42B1D">
        <w:fldChar w:fldCharType="separate"/>
      </w:r>
      <w:r w:rsidR="00EB6EA4">
        <w:rPr>
          <w:noProof/>
        </w:rPr>
        <w:t>(</w:t>
      </w:r>
      <w:hyperlink w:anchor="_ENREF_45" w:tooltip="Nasreddine, 2005 #28" w:history="1">
        <w:r w:rsidR="00EB6EA4">
          <w:rPr>
            <w:noProof/>
          </w:rPr>
          <w:t>45</w:t>
        </w:r>
      </w:hyperlink>
      <w:r w:rsidR="00EB6EA4">
        <w:rPr>
          <w:noProof/>
        </w:rPr>
        <w:t>)</w:t>
      </w:r>
      <w:r w:rsidRPr="00F42B1D">
        <w:fldChar w:fldCharType="end"/>
      </w:r>
      <w:r w:rsidRPr="00F42B1D">
        <w:t xml:space="preserve">, 24-hour movement behaviour including sleep was assessed using </w:t>
      </w:r>
      <w:proofErr w:type="spellStart"/>
      <w:r w:rsidRPr="00F42B1D">
        <w:t>Activinsights</w:t>
      </w:r>
      <w:proofErr w:type="spellEnd"/>
      <w:r w:rsidRPr="00F42B1D">
        <w:t xml:space="preserve"> Bands, </w:t>
      </w:r>
      <w:proofErr w:type="spellStart"/>
      <w:r w:rsidRPr="00F42B1D">
        <w:t>Activinsights</w:t>
      </w:r>
      <w:proofErr w:type="spellEnd"/>
      <w:r w:rsidRPr="00F42B1D">
        <w:t xml:space="preserve"> Ltd, Cambridgeshire, UK, and hand grip strength was assessed using a dynamometer, Jamar, Illinois, USA. The </w:t>
      </w:r>
      <w:proofErr w:type="spellStart"/>
      <w:r w:rsidRPr="00F42B1D">
        <w:t>Activinsights</w:t>
      </w:r>
      <w:proofErr w:type="spellEnd"/>
      <w:r w:rsidRPr="00F42B1D">
        <w:t xml:space="preserve"> accelerometer was chosen because it was a health professional grade accelerometer with wireless communication function that did </w:t>
      </w:r>
      <w:r w:rsidRPr="00F42B1D">
        <w:lastRenderedPageBreak/>
        <w:t>not require charging for up to a year</w:t>
      </w:r>
      <w:r w:rsidR="007501B9">
        <w:t xml:space="preserve">. </w:t>
      </w:r>
      <w:r w:rsidRPr="00F42B1D">
        <w:t>Pharmacists recorded their findings in intervention documentation (example shown in Appendix C</w:t>
      </w:r>
      <w:r>
        <w:t>1)</w:t>
      </w:r>
      <w:r w:rsidRPr="00F42B1D">
        <w:t>.</w:t>
      </w:r>
    </w:p>
    <w:p w14:paraId="084AC1CD" w14:textId="02C92D0B" w:rsidR="00EF6E9B" w:rsidRPr="00F42B1D" w:rsidRDefault="00EF6E9B" w:rsidP="007501B9">
      <w:r w:rsidRPr="00F42B1D">
        <w:t>The pharmacists compared the results for the 24-hour movement behaviour, MoCA test, grip strength and weight with the most recent previous assessment and with baseline data to identify immediate and cumulative changes in a person’s condition</w:t>
      </w:r>
      <w:r w:rsidR="007501B9">
        <w:t xml:space="preserve">. </w:t>
      </w:r>
      <w:r w:rsidRPr="00F42B1D">
        <w:t>Where medicine-induced deterioration was detected and considered clinically significant, the pharmacists liaised with the participants’ GPs to discuss the participants’ condition and provide recommendations on medication-related problems</w:t>
      </w:r>
      <w:r w:rsidR="007501B9">
        <w:t xml:space="preserve">. </w:t>
      </w:r>
      <w:r w:rsidRPr="00F42B1D">
        <w:t>After the</w:t>
      </w:r>
      <w:r>
        <w:t xml:space="preserve"> pharmacists</w:t>
      </w:r>
      <w:r w:rsidRPr="00F42B1D">
        <w:t xml:space="preserve"> communicated recommended actions, they subsequently followed-up with the GP and facility staff</w:t>
      </w:r>
      <w:r w:rsidR="007501B9">
        <w:t xml:space="preserve">. </w:t>
      </w:r>
      <w:r w:rsidRPr="00F42B1D">
        <w:t>The pharmacists reassessed the participant at the next sessional visit to determine if medicine-induced deterioration or adverse events had resolved and documented this</w:t>
      </w:r>
      <w:r>
        <w:t xml:space="preserve"> in their progress notes</w:t>
      </w:r>
      <w:r w:rsidRPr="00F42B1D">
        <w:t>.</w:t>
      </w:r>
    </w:p>
    <w:p w14:paraId="36F987E6" w14:textId="77777777" w:rsidR="00EF6E9B" w:rsidRPr="00F42B1D" w:rsidRDefault="00EF6E9B" w:rsidP="007501B9">
      <w:r>
        <w:t>Implementation of t</w:t>
      </w:r>
      <w:r w:rsidRPr="00F42B1D">
        <w:t xml:space="preserve">he </w:t>
      </w:r>
      <w:proofErr w:type="spellStart"/>
      <w:r w:rsidRPr="00F42B1D">
        <w:t>Activinsights</w:t>
      </w:r>
      <w:proofErr w:type="spellEnd"/>
      <w:r w:rsidRPr="00F42B1D">
        <w:t xml:space="preserve"> accelerometer was </w:t>
      </w:r>
      <w:r>
        <w:t>not maintained across the trial</w:t>
      </w:r>
      <w:r w:rsidRPr="00F42B1D">
        <w:t>, due to limited wireless communication in some facilities and inconsistencies with the devices’ data collection at low activity and the Bluetooth upload of the data.</w:t>
      </w:r>
      <w:bookmarkStart w:id="140" w:name="Methods_and_analysis"/>
      <w:bookmarkStart w:id="141" w:name="Study_design_and_setting"/>
      <w:bookmarkStart w:id="142" w:name="_bookmark0"/>
      <w:bookmarkEnd w:id="140"/>
      <w:bookmarkEnd w:id="141"/>
      <w:bookmarkEnd w:id="142"/>
    </w:p>
    <w:p w14:paraId="1DDF65C3" w14:textId="63252C9C" w:rsidR="00EF6E9B" w:rsidRDefault="00EF6E9B" w:rsidP="007501B9">
      <w:r w:rsidRPr="00F42B1D">
        <w:t xml:space="preserve">The final months of the trial were affected by the </w:t>
      </w:r>
      <w:r>
        <w:t>COVID</w:t>
      </w:r>
      <w:r w:rsidRPr="00F42B1D">
        <w:t xml:space="preserve">-19 pandemic which </w:t>
      </w:r>
      <w:r>
        <w:t xml:space="preserve">delayed, </w:t>
      </w:r>
      <w:proofErr w:type="gramStart"/>
      <w:r>
        <w:t>modified</w:t>
      </w:r>
      <w:proofErr w:type="gramEnd"/>
      <w:r>
        <w:t xml:space="preserve"> or stopped</w:t>
      </w:r>
      <w:r w:rsidRPr="00F42B1D">
        <w:t xml:space="preserve"> some pharmacist sessions for some facilities</w:t>
      </w:r>
      <w:r w:rsidR="007501B9">
        <w:t xml:space="preserve">. </w:t>
      </w:r>
      <w:r w:rsidRPr="00F42B1D">
        <w:t xml:space="preserve">Variations to the delivery of the pharmacist intervention </w:t>
      </w:r>
      <w:r>
        <w:t xml:space="preserve">during the COVID-19 pandemic </w:t>
      </w:r>
      <w:r w:rsidRPr="00F42B1D">
        <w:t>were approved by the Commonwealth Pharmacy Trials Program and the Human Research Ethics Committees of University of South Australia and University of Tasmania</w:t>
      </w:r>
      <w:r w:rsidR="007501B9">
        <w:t xml:space="preserve">. </w:t>
      </w:r>
      <w:r w:rsidRPr="00F42B1D">
        <w:t xml:space="preserve">The variations allowed for remote data review and interview by telehealth where possible when access to residential aged care sites by ‘non-essential’ staff was prohibited due to </w:t>
      </w:r>
      <w:r>
        <w:t>COVID</w:t>
      </w:r>
      <w:r w:rsidRPr="00F42B1D">
        <w:t>-19; a period that spanned April to June 2020</w:t>
      </w:r>
      <w:r w:rsidR="007501B9">
        <w:t xml:space="preserve">. </w:t>
      </w:r>
      <w:r w:rsidRPr="00F42B1D">
        <w:t>Pharmacists were able to review medication charts and a summary of progress notes and adverse events remotely, however, intervention data including grip strength and MoCA could not be collected remotely by the pharmacist</w:t>
      </w:r>
      <w:r w:rsidR="007501B9">
        <w:t xml:space="preserve">. </w:t>
      </w:r>
      <w:r w:rsidRPr="00F42B1D">
        <w:t>Variations to the data collection for each participant at each session were logged to inform trial analysis.</w:t>
      </w:r>
    </w:p>
    <w:p w14:paraId="2176AABB" w14:textId="52A9636F" w:rsidR="006D39A1" w:rsidRPr="00F42B1D" w:rsidRDefault="006D39A1" w:rsidP="00F22EAA">
      <w:pPr>
        <w:pStyle w:val="Heading4"/>
        <w:spacing w:line="276" w:lineRule="auto"/>
      </w:pPr>
      <w:r w:rsidRPr="00F42B1D">
        <w:t>Usual care</w:t>
      </w:r>
    </w:p>
    <w:p w14:paraId="60808034" w14:textId="75631354" w:rsidR="006D39A1" w:rsidRPr="00F42B1D" w:rsidRDefault="006D39A1" w:rsidP="007501B9">
      <w:r w:rsidRPr="00F42B1D">
        <w:t xml:space="preserve">Residents in the </w:t>
      </w:r>
      <w:r w:rsidR="00812C48">
        <w:t>aged care</w:t>
      </w:r>
      <w:r w:rsidRPr="00F42B1D">
        <w:t xml:space="preserve"> facilities </w:t>
      </w:r>
      <w:r w:rsidR="00EF6E9B">
        <w:t>we</w:t>
      </w:r>
      <w:r w:rsidRPr="00F42B1D">
        <w:t>re eligible to receive residential medica</w:t>
      </w:r>
      <w:r w:rsidR="00531A90" w:rsidRPr="00F42B1D">
        <w:t>tion management reviews (RMMRs)</w:t>
      </w:r>
      <w:r w:rsidRPr="00F42B1D">
        <w:fldChar w:fldCharType="begin"/>
      </w:r>
      <w:r w:rsidR="00C86345">
        <w:instrText xml:space="preserve"> ADDIN EN.CITE &lt;EndNote&gt;&lt;Cite&gt;&lt;Author&gt;6th Community Pharmacy Agreement&lt;/Author&gt;&lt;RecNum&gt;29&lt;/RecNum&gt;&lt;DisplayText&gt;(2)&lt;/DisplayText&gt;&lt;record&gt;&lt;rec-number&gt;29&lt;/rec-number&gt;&lt;foreign-keys&gt;&lt;key app="EN" db-id="9s5z5ped05vxdnede99vfsxhtzavzdzs2d5r" timestamp="1597381997"&gt;29&lt;/key&gt;&lt;/foreign-keys&gt;&lt;ref-type name="Web Page"&gt;12&lt;/ref-type&gt;&lt;contributors&gt;&lt;authors&gt;&lt;author&gt;6th Community Pharmacy Agreement,&lt;/author&gt;&lt;/authors&gt;&lt;/contributors&gt;&lt;titles&gt;&lt;title&gt;Residential medication management review and QUM&lt;/title&gt;&lt;/titles&gt;&lt;volume&gt;2019&lt;/volume&gt;&lt;number&gt;8 January&lt;/number&gt;&lt;dates&gt;&lt;/dates&gt;&lt;urls&gt;&lt;related-urls&gt;&lt;url&gt;http://6cpa.com.au/medication-management-programs/residential-medication-management-review/&lt;/url&gt;&lt;/related-urls&gt;&lt;/urls&gt;&lt;/record&gt;&lt;/Cite&gt;&lt;/EndNote&gt;</w:instrText>
      </w:r>
      <w:r w:rsidRPr="00F42B1D">
        <w:fldChar w:fldCharType="separate"/>
      </w:r>
      <w:r w:rsidR="00C86345">
        <w:rPr>
          <w:noProof/>
        </w:rPr>
        <w:t>(</w:t>
      </w:r>
      <w:hyperlink w:anchor="_ENREF_2" w:tooltip="6th Community Pharmacy Agreement,  #29" w:history="1">
        <w:r w:rsidR="00EB6EA4">
          <w:rPr>
            <w:noProof/>
          </w:rPr>
          <w:t>2</w:t>
        </w:r>
      </w:hyperlink>
      <w:r w:rsidR="00C86345">
        <w:rPr>
          <w:noProof/>
        </w:rPr>
        <w:t>)</w:t>
      </w:r>
      <w:r w:rsidRPr="00F42B1D">
        <w:fldChar w:fldCharType="end"/>
      </w:r>
      <w:r w:rsidR="00531A90" w:rsidRPr="00F42B1D">
        <w:t>,</w:t>
      </w:r>
      <w:r w:rsidRPr="00F42B1D">
        <w:t xml:space="preserve"> and where required as part of usual care during the trial period, this occurred for participants in both intervention and control group</w:t>
      </w:r>
      <w:r w:rsidR="007501B9">
        <w:t xml:space="preserve">. </w:t>
      </w:r>
      <w:r w:rsidRPr="00F42B1D">
        <w:t>The RMMR is a comprehensive medication review conducted by an accredited pharmacist following a referral from the resident’s GP.</w:t>
      </w:r>
      <w:r w:rsidRPr="00F42B1D">
        <w:fldChar w:fldCharType="begin"/>
      </w:r>
      <w:r w:rsidR="00C86345">
        <w:instrText xml:space="preserve"> ADDIN EN.CITE &lt;EndNote&gt;&lt;Cite&gt;&lt;Author&gt;6th Community Pharmacy Agreement&lt;/Author&gt;&lt;RecNum&gt;29&lt;/RecNum&gt;&lt;DisplayText&gt;(2)&lt;/DisplayText&gt;&lt;record&gt;&lt;rec-number&gt;29&lt;/rec-number&gt;&lt;foreign-keys&gt;&lt;key app="EN" db-id="9s5z5ped05vxdnede99vfsxhtzavzdzs2d5r" timestamp="1597381997"&gt;29&lt;/key&gt;&lt;/foreign-keys&gt;&lt;ref-type name="Web Page"&gt;12&lt;/ref-type&gt;&lt;contributors&gt;&lt;authors&gt;&lt;author&gt;6th Community Pharmacy Agreement,&lt;/author&gt;&lt;/authors&gt;&lt;/contributors&gt;&lt;titles&gt;&lt;title&gt;Residential medication management review and QUM&lt;/title&gt;&lt;/titles&gt;&lt;volume&gt;2019&lt;/volume&gt;&lt;number&gt;8 January&lt;/number&gt;&lt;dates&gt;&lt;/dates&gt;&lt;urls&gt;&lt;related-urls&gt;&lt;url&gt;http://6cpa.com.au/medication-management-programs/residential-medication-management-review/&lt;/url&gt;&lt;/related-urls&gt;&lt;/urls&gt;&lt;/record&gt;&lt;/Cite&gt;&lt;/EndNote&gt;</w:instrText>
      </w:r>
      <w:r w:rsidRPr="00F42B1D">
        <w:fldChar w:fldCharType="separate"/>
      </w:r>
      <w:r w:rsidR="00C86345">
        <w:rPr>
          <w:noProof/>
        </w:rPr>
        <w:t>(</w:t>
      </w:r>
      <w:hyperlink w:anchor="_ENREF_2" w:tooltip="6th Community Pharmacy Agreement,  #29" w:history="1">
        <w:r w:rsidR="00EB6EA4">
          <w:rPr>
            <w:noProof/>
          </w:rPr>
          <w:t>2</w:t>
        </w:r>
      </w:hyperlink>
      <w:r w:rsidR="00C86345">
        <w:rPr>
          <w:noProof/>
        </w:rPr>
        <w:t>)</w:t>
      </w:r>
      <w:r w:rsidRPr="00F42B1D">
        <w:fldChar w:fldCharType="end"/>
      </w:r>
      <w:r w:rsidRPr="00F42B1D">
        <w:t xml:space="preserve"> </w:t>
      </w:r>
      <w:r w:rsidR="00531A90" w:rsidRPr="00F42B1D">
        <w:t xml:space="preserve"> </w:t>
      </w:r>
      <w:r w:rsidRPr="00F42B1D">
        <w:t>Accredited pharmacists are funded to conduct an RMMR every 12 to 24 months, or where there has been a significant change in the residents’ condition or medication regimen.</w:t>
      </w:r>
      <w:r w:rsidRPr="00F42B1D">
        <w:fldChar w:fldCharType="begin"/>
      </w:r>
      <w:r w:rsidR="00C86345">
        <w:instrText xml:space="preserve"> ADDIN EN.CITE &lt;EndNote&gt;&lt;Cite&gt;&lt;Author&gt;Pharmacy Programs Administrator.&lt;/Author&gt;&lt;Year&gt;2019&lt;/Year&gt;&lt;RecNum&gt;30&lt;/RecNum&gt;&lt;DisplayText&gt;(3)&lt;/DisplayText&gt;&lt;record&gt;&lt;rec-number&gt;30&lt;/rec-number&gt;&lt;foreign-keys&gt;&lt;key app="EN" db-id="9s5z5ped05vxdnede99vfsxhtzavzdzs2d5r" timestamp="1597381997"&gt;30&lt;/key&gt;&lt;/foreign-keys&gt;&lt;ref-type name="Journal Article"&gt;17&lt;/ref-type&gt;&lt;contributors&gt;&lt;authors&gt;&lt;author&gt;Pharmacy Programs Administrator.,&lt;/author&gt;&lt;/authors&gt;&lt;/contributors&gt;&lt;titles&gt;&lt;title&gt;Residential Medication Management Review and Quality Use of Medicines.&lt;/title&gt;&lt;/titles&gt;&lt;dates&gt;&lt;year&gt;2019&lt;/year&gt;&lt;/dates&gt;&lt;urls&gt;&lt;related-urls&gt;&lt;url&gt;https://www.ppaonline.com.au/programs/medication-management-programs/residential-medication-management-review-and-quality-use-of-medicines&lt;/url&gt;&lt;/related-urls&gt;&lt;/urls&gt;&lt;access-date&gt;11 Aug 2020&lt;/access-date&gt;&lt;/record&gt;&lt;/Cite&gt;&lt;/EndNote&gt;</w:instrText>
      </w:r>
      <w:r w:rsidRPr="00F42B1D">
        <w:fldChar w:fldCharType="separate"/>
      </w:r>
      <w:r w:rsidR="00C86345">
        <w:rPr>
          <w:noProof/>
        </w:rPr>
        <w:t>(</w:t>
      </w:r>
      <w:hyperlink w:anchor="_ENREF_3" w:tooltip="Pharmacy Programs Administrator., 2019 #30" w:history="1">
        <w:r w:rsidR="00EB6EA4">
          <w:rPr>
            <w:noProof/>
          </w:rPr>
          <w:t>3</w:t>
        </w:r>
      </w:hyperlink>
      <w:r w:rsidR="00C86345">
        <w:rPr>
          <w:noProof/>
        </w:rPr>
        <w:t>)</w:t>
      </w:r>
      <w:r w:rsidRPr="00F42B1D">
        <w:fldChar w:fldCharType="end"/>
      </w:r>
      <w:r w:rsidR="00531A90" w:rsidRPr="00F42B1D">
        <w:t xml:space="preserve"> </w:t>
      </w:r>
      <w:r w:rsidRPr="00F42B1D">
        <w:t xml:space="preserve"> No intervention other than usual care was provided to participants in the control group.</w:t>
      </w:r>
    </w:p>
    <w:p w14:paraId="3CC3348A" w14:textId="77777777" w:rsidR="006D39A1" w:rsidRPr="00F42B1D" w:rsidRDefault="006D39A1" w:rsidP="00F22EAA">
      <w:pPr>
        <w:pStyle w:val="Heading4"/>
        <w:spacing w:line="276" w:lineRule="auto"/>
      </w:pPr>
      <w:r w:rsidRPr="00F42B1D">
        <w:lastRenderedPageBreak/>
        <w:t>Primary outcome</w:t>
      </w:r>
    </w:p>
    <w:p w14:paraId="27C37052" w14:textId="709A4B29" w:rsidR="006D39A1" w:rsidRPr="00F42B1D" w:rsidRDefault="006D39A1" w:rsidP="007501B9">
      <w:r w:rsidRPr="00F42B1D">
        <w:t>The primary outcome was the reduction in medication-induced deterioration from baseline to twelve months, as measured by change in the frailty index.</w:t>
      </w:r>
      <w:r w:rsidRPr="00F42B1D">
        <w:fldChar w:fldCharType="begin"/>
      </w:r>
      <w:r w:rsidR="00C86345">
        <w:instrText xml:space="preserve"> ADDIN EN.CITE &lt;EndNote&gt;&lt;Cite&gt;&lt;Author&gt;Widagdo&lt;/Author&gt;&lt;Year&gt;2015&lt;/Year&gt;&lt;RecNum&gt;15&lt;/RecNum&gt;&lt;DisplayText&gt;(15)&lt;/DisplayText&gt;&lt;record&gt;&lt;rec-number&gt;15&lt;/rec-number&gt;&lt;foreign-keys&gt;&lt;key app="EN" db-id="9s5z5ped05vxdnede99vfsxhtzavzdzs2d5r" timestamp="1597381993"&gt;15&lt;/key&gt;&lt;/foreign-keys&gt;&lt;ref-type name="Journal Article"&gt;17&lt;/ref-type&gt;&lt;contributors&gt;&lt;authors&gt;&lt;author&gt;Widagdo, I. S.&lt;/author&gt;&lt;author&gt;Pratt, N.&lt;/author&gt;&lt;author&gt;Russell, M.&lt;/author&gt;&lt;author&gt;Roughead, E. E.&lt;/author&gt;&lt;/authors&gt;&lt;/contributors&gt;&lt;auth-address&gt;Quality Use of Medicines and Pharmacy Research Centre, Sansom Institute, School of Pharmacy and Medical Sciences, University of South Australia, Adelaide, SA, Australia.&amp;#xD;Occupational Therapy Board, Australian Health Practitioner Regulation Agency, Melbourne, VIC, Australia.&lt;/auth-address&gt;&lt;titles&gt;&lt;title&gt;Predictive performance of four frailty measures in an older Australian population&lt;/title&gt;&lt;secondary-title&gt;Age Ageing&lt;/secondary-title&gt;&lt;alt-title&gt;Age and ageing&lt;/alt-title&gt;&lt;/titles&gt;&lt;alt-periodical&gt;&lt;full-title&gt;Age and ageing&lt;/full-title&gt;&lt;/alt-periodical&gt;&lt;pages&gt;967-72&lt;/pages&gt;&lt;volume&gt;44&lt;/volume&gt;&lt;number&gt;6&lt;/number&gt;&lt;keywords&gt;&lt;keyword&gt;Aged&lt;/keyword&gt;&lt;keyword&gt;Aged, 80 and over&lt;/keyword&gt;&lt;keyword&gt;Australia/epidemiology&lt;/keyword&gt;&lt;keyword&gt;Female&lt;/keyword&gt;&lt;keyword&gt;Frail Elderly/*statistics &amp;amp; numerical data&lt;/keyword&gt;&lt;keyword&gt;Geriatric Assessment/*methods&lt;/keyword&gt;&lt;keyword&gt;Humans&lt;/keyword&gt;&lt;keyword&gt;Male&lt;/keyword&gt;&lt;keyword&gt;Reproducibility of Results&lt;/keyword&gt;&lt;keyword&gt;Retrospective Studies&lt;/keyword&gt;&lt;keyword&gt;Risk Factors&lt;/keyword&gt;&lt;keyword&gt;Sensitivity and Specificity&lt;/keyword&gt;&lt;/keywords&gt;&lt;dates&gt;&lt;year&gt;2015&lt;/year&gt;&lt;pub-dates&gt;&lt;date&gt;Nov&lt;/date&gt;&lt;/pub-dates&gt;&lt;/dates&gt;&lt;isbn&gt;0002-0729 (Print)&amp;#xD;0002-0729 (Linking)&lt;/isbn&gt;&lt;accession-num&gt;26504118&lt;/accession-num&gt;&lt;urls&gt;&lt;related-urls&gt;&lt;url&gt;http://www.ncbi.nlm.nih.gov/pubmed/26504118&lt;/url&gt;&lt;/related-urls&gt;&lt;/urls&gt;&lt;custom2&gt;4621238&lt;/custom2&gt;&lt;electronic-resource-num&gt;10.1093/ageing/afv144&lt;/electronic-resource-num&gt;&lt;/record&gt;&lt;/Cite&gt;&lt;/EndNote&gt;</w:instrText>
      </w:r>
      <w:r w:rsidRPr="00F42B1D">
        <w:fldChar w:fldCharType="separate"/>
      </w:r>
      <w:r w:rsidR="00C86345">
        <w:rPr>
          <w:noProof/>
        </w:rPr>
        <w:t>(</w:t>
      </w:r>
      <w:hyperlink w:anchor="_ENREF_15" w:tooltip="Widagdo, 2015 #15" w:history="1">
        <w:r w:rsidR="00EB6EA4">
          <w:rPr>
            <w:noProof/>
          </w:rPr>
          <w:t>15</w:t>
        </w:r>
      </w:hyperlink>
      <w:r w:rsidR="00C86345">
        <w:rPr>
          <w:noProof/>
        </w:rPr>
        <w:t>)</w:t>
      </w:r>
      <w:r w:rsidRPr="00F42B1D">
        <w:fldChar w:fldCharType="end"/>
      </w:r>
    </w:p>
    <w:p w14:paraId="0FB8B9A2" w14:textId="1B2EF619" w:rsidR="006D39A1" w:rsidRPr="00F42B1D" w:rsidRDefault="006D39A1" w:rsidP="007501B9">
      <w:r w:rsidRPr="00F42B1D">
        <w:t xml:space="preserve">Because medicine-induced deterioration is not limited to a single event, but can occur in either the physical, </w:t>
      </w:r>
      <w:proofErr w:type="gramStart"/>
      <w:r w:rsidRPr="00F42B1D">
        <w:t>medical</w:t>
      </w:r>
      <w:proofErr w:type="gramEnd"/>
      <w:r w:rsidRPr="00F42B1D">
        <w:t xml:space="preserve"> or psychological domains (for example loss of physical function or poorer cognition), an outcome measure that captured multiple domains was required</w:t>
      </w:r>
      <w:r w:rsidR="007501B9">
        <w:t xml:space="preserve">. </w:t>
      </w:r>
      <w:r w:rsidRPr="00F42B1D">
        <w:t xml:space="preserve">For this reason, the frailty index, which captures </w:t>
      </w:r>
      <w:r w:rsidR="00EF6E9B" w:rsidRPr="00F42B1D">
        <w:t xml:space="preserve">physical, medical, psychological, and social </w:t>
      </w:r>
      <w:r w:rsidRPr="00F42B1D">
        <w:t>domains, was used as a surrogate measure of medicine-induced deterioration</w:t>
      </w:r>
      <w:r w:rsidR="007501B9">
        <w:t xml:space="preserve">. </w:t>
      </w:r>
      <w:r w:rsidRPr="00F42B1D">
        <w:t xml:space="preserve">The Frailty Index </w:t>
      </w:r>
      <w:r w:rsidRPr="00F42B1D">
        <w:fldChar w:fldCharType="begin"/>
      </w:r>
      <w:r w:rsidR="00C86345">
        <w:instrText xml:space="preserve"> ADDIN EN.CITE &lt;EndNote&gt;&lt;Cite&gt;&lt;Author&gt;Widagdo&lt;/Author&gt;&lt;Year&gt;2015&lt;/Year&gt;&lt;RecNum&gt;15&lt;/RecNum&gt;&lt;DisplayText&gt;(15)&lt;/DisplayText&gt;&lt;record&gt;&lt;rec-number&gt;15&lt;/rec-number&gt;&lt;foreign-keys&gt;&lt;key app="EN" db-id="9s5z5ped05vxdnede99vfsxhtzavzdzs2d5r" timestamp="1597381993"&gt;15&lt;/key&gt;&lt;/foreign-keys&gt;&lt;ref-type name="Journal Article"&gt;17&lt;/ref-type&gt;&lt;contributors&gt;&lt;authors&gt;&lt;author&gt;Widagdo, I. S.&lt;/author&gt;&lt;author&gt;Pratt, N.&lt;/author&gt;&lt;author&gt;Russell, M.&lt;/author&gt;&lt;author&gt;Roughead, E. E.&lt;/author&gt;&lt;/authors&gt;&lt;/contributors&gt;&lt;auth-address&gt;Quality Use of Medicines and Pharmacy Research Centre, Sansom Institute, School of Pharmacy and Medical Sciences, University of South Australia, Adelaide, SA, Australia.&amp;#xD;Occupational Therapy Board, Australian Health Practitioner Regulation Agency, Melbourne, VIC, Australia.&lt;/auth-address&gt;&lt;titles&gt;&lt;title&gt;Predictive performance of four frailty measures in an older Australian population&lt;/title&gt;&lt;secondary-title&gt;Age Ageing&lt;/secondary-title&gt;&lt;alt-title&gt;Age and ageing&lt;/alt-title&gt;&lt;/titles&gt;&lt;alt-periodical&gt;&lt;full-title&gt;Age and ageing&lt;/full-title&gt;&lt;/alt-periodical&gt;&lt;pages&gt;967-72&lt;/pages&gt;&lt;volume&gt;44&lt;/volume&gt;&lt;number&gt;6&lt;/number&gt;&lt;keywords&gt;&lt;keyword&gt;Aged&lt;/keyword&gt;&lt;keyword&gt;Aged, 80 and over&lt;/keyword&gt;&lt;keyword&gt;Australia/epidemiology&lt;/keyword&gt;&lt;keyword&gt;Female&lt;/keyword&gt;&lt;keyword&gt;Frail Elderly/*statistics &amp;amp; numerical data&lt;/keyword&gt;&lt;keyword&gt;Geriatric Assessment/*methods&lt;/keyword&gt;&lt;keyword&gt;Humans&lt;/keyword&gt;&lt;keyword&gt;Male&lt;/keyword&gt;&lt;keyword&gt;Reproducibility of Results&lt;/keyword&gt;&lt;keyword&gt;Retrospective Studies&lt;/keyword&gt;&lt;keyword&gt;Risk Factors&lt;/keyword&gt;&lt;keyword&gt;Sensitivity and Specificity&lt;/keyword&gt;&lt;/keywords&gt;&lt;dates&gt;&lt;year&gt;2015&lt;/year&gt;&lt;pub-dates&gt;&lt;date&gt;Nov&lt;/date&gt;&lt;/pub-dates&gt;&lt;/dates&gt;&lt;isbn&gt;0002-0729 (Print)&amp;#xD;0002-0729 (Linking)&lt;/isbn&gt;&lt;accession-num&gt;26504118&lt;/accession-num&gt;&lt;urls&gt;&lt;related-urls&gt;&lt;url&gt;http://www.ncbi.nlm.nih.gov/pubmed/26504118&lt;/url&gt;&lt;/related-urls&gt;&lt;/urls&gt;&lt;custom2&gt;4621238&lt;/custom2&gt;&lt;electronic-resource-num&gt;10.1093/ageing/afv144&lt;/electronic-resource-num&gt;&lt;/record&gt;&lt;/Cite&gt;&lt;/EndNote&gt;</w:instrText>
      </w:r>
      <w:r w:rsidRPr="00F42B1D">
        <w:fldChar w:fldCharType="separate"/>
      </w:r>
      <w:r w:rsidR="00C86345">
        <w:rPr>
          <w:noProof/>
        </w:rPr>
        <w:t>(</w:t>
      </w:r>
      <w:hyperlink w:anchor="_ENREF_15" w:tooltip="Widagdo, 2015 #15" w:history="1">
        <w:r w:rsidR="00EB6EA4">
          <w:rPr>
            <w:noProof/>
          </w:rPr>
          <w:t>15</w:t>
        </w:r>
      </w:hyperlink>
      <w:r w:rsidR="00C86345">
        <w:rPr>
          <w:noProof/>
        </w:rPr>
        <w:t>)</w:t>
      </w:r>
      <w:r w:rsidRPr="00F42B1D">
        <w:fldChar w:fldCharType="end"/>
      </w:r>
      <w:r w:rsidRPr="00F42B1D">
        <w:t xml:space="preserve"> is a 39-item instrument. Measures within the physical domain </w:t>
      </w:r>
      <w:r w:rsidR="00EF6E9B">
        <w:t xml:space="preserve">of the Frailty Index </w:t>
      </w:r>
      <w:r w:rsidRPr="00F42B1D">
        <w:t>include ability to undertake the physical activities of daily living, while the medical domain includes morbidities</w:t>
      </w:r>
      <w:r w:rsidR="007501B9">
        <w:t xml:space="preserve">. </w:t>
      </w:r>
      <w:r w:rsidRPr="00F42B1D">
        <w:t>The psychological domain includes measures of cognitive function</w:t>
      </w:r>
      <w:r w:rsidR="007501B9">
        <w:t xml:space="preserve">. </w:t>
      </w:r>
      <w:r w:rsidRPr="00F42B1D">
        <w:t>The frailty index has been validated in the population recruited for the Australian Longitudinal Study of the Ageing, where it was shown to have good predictive ability for adverse events of falls and hospitalisations.</w:t>
      </w:r>
      <w:r w:rsidRPr="00F42B1D">
        <w:fldChar w:fldCharType="begin">
          <w:fldData xml:space="preserve">PEVuZE5vdGU+PENpdGU+PEF1dGhvcj5XaWRhZ2RvPC9BdXRob3I+PFllYXI+MjAxNTwvWWVhcj48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</w:fldData>
        </w:fldChar>
      </w:r>
      <w:r w:rsidR="00EB6EA4">
        <w:instrText xml:space="preserve"> ADDIN EN.CITE </w:instrText>
      </w:r>
      <w:r w:rsidR="00EB6EA4">
        <w:fldChar w:fldCharType="begin">
          <w:fldData xml:space="preserve">PEVuZE5vdGU+PENpdGU+PEF1dGhvcj5XaWRhZ2RvPC9BdXRob3I+PFllYXI+MjAxNTwvWWVhcj48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</w:fldData>
        </w:fldChar>
      </w:r>
      <w:r w:rsidR="00EB6EA4">
        <w:instrText xml:space="preserve"> ADDIN EN.CITE.DATA </w:instrText>
      </w:r>
      <w:r w:rsidR="00EB6EA4">
        <w:fldChar w:fldCharType="end"/>
      </w:r>
      <w:r w:rsidRPr="00F42B1D">
        <w:fldChar w:fldCharType="separate"/>
      </w:r>
      <w:r w:rsidR="00EB6EA4">
        <w:rPr>
          <w:noProof/>
        </w:rPr>
        <w:t>(</w:t>
      </w:r>
      <w:hyperlink w:anchor="_ENREF_15" w:tooltip="Widagdo, 2015 #15" w:history="1">
        <w:r w:rsidR="00EB6EA4">
          <w:rPr>
            <w:noProof/>
          </w:rPr>
          <w:t>15</w:t>
        </w:r>
      </w:hyperlink>
      <w:r w:rsidR="00EB6EA4">
        <w:rPr>
          <w:noProof/>
        </w:rPr>
        <w:t xml:space="preserve">, </w:t>
      </w:r>
      <w:hyperlink w:anchor="_ENREF_46" w:tooltip="Widagdo, 2016 #31" w:history="1">
        <w:r w:rsidR="00EB6EA4">
          <w:rPr>
            <w:noProof/>
          </w:rPr>
          <w:t>46</w:t>
        </w:r>
      </w:hyperlink>
      <w:r w:rsidR="00EB6EA4">
        <w:rPr>
          <w:noProof/>
        </w:rPr>
        <w:t>)</w:t>
      </w:r>
      <w:r w:rsidRPr="00F42B1D">
        <w:fldChar w:fldCharType="end"/>
      </w:r>
    </w:p>
    <w:p w14:paraId="3CB62609" w14:textId="1375DB05" w:rsidR="00AA200E" w:rsidRPr="00F42B1D" w:rsidRDefault="00AA200E" w:rsidP="007501B9">
      <w:r w:rsidRPr="00F42B1D">
        <w:t>Frailty assessment is increasingly being used in the clinical setting</w:t>
      </w:r>
      <w:r w:rsidR="007501B9">
        <w:t xml:space="preserve">. </w:t>
      </w:r>
      <w:r w:rsidRPr="00F42B1D">
        <w:t xml:space="preserve">For example, it is part of the standard risk assessment records collected on admission to hospitals in South Australia. Measures of frailty have consistently been shown to be predictive of adverse events, </w:t>
      </w:r>
      <w:r w:rsidRPr="00F42B1D">
        <w:fldChar w:fldCharType="begin">
          <w:fldData xml:space="preserve">PEVuZE5vdGU+PENpdGU+PEF1dGhvcj5DaGluPC9BdXRob3I+PFllYXI+MTk5OTwvWWVhcj48UmVj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</w:fldData>
        </w:fldChar>
      </w:r>
      <w:r w:rsidR="00EB6EA4">
        <w:instrText xml:space="preserve"> ADDIN EN.CITE </w:instrText>
      </w:r>
      <w:r w:rsidR="00EB6EA4">
        <w:fldChar w:fldCharType="begin">
          <w:fldData xml:space="preserve">PEVuZE5vdGU+PENpdGU+PEF1dGhvcj5DaGluPC9BdXRob3I+PFllYXI+MTk5OTwvWWVhcj48UmVj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</w:fldData>
        </w:fldChar>
      </w:r>
      <w:r w:rsidR="00EB6EA4">
        <w:instrText xml:space="preserve"> ADDIN EN.CITE.DATA </w:instrText>
      </w:r>
      <w:r w:rsidR="00EB6EA4">
        <w:fldChar w:fldCharType="end"/>
      </w:r>
      <w:r w:rsidRPr="00F42B1D">
        <w:fldChar w:fldCharType="separate"/>
      </w:r>
      <w:r w:rsidR="00EB6EA4">
        <w:rPr>
          <w:noProof/>
        </w:rPr>
        <w:t>(</w:t>
      </w:r>
      <w:hyperlink w:anchor="_ENREF_15" w:tooltip="Widagdo, 2015 #15" w:history="1">
        <w:r w:rsidR="00EB6EA4">
          <w:rPr>
            <w:noProof/>
          </w:rPr>
          <w:t>15</w:t>
        </w:r>
      </w:hyperlink>
      <w:r w:rsidR="00EB6EA4">
        <w:rPr>
          <w:noProof/>
        </w:rPr>
        <w:t xml:space="preserve">, </w:t>
      </w:r>
      <w:hyperlink w:anchor="_ENREF_47" w:tooltip="Chin, 1999 #543" w:history="1">
        <w:r w:rsidR="00EB6EA4">
          <w:rPr>
            <w:noProof/>
          </w:rPr>
          <w:t>47-58</w:t>
        </w:r>
      </w:hyperlink>
      <w:r w:rsidR="00EB6EA4">
        <w:rPr>
          <w:noProof/>
        </w:rPr>
        <w:t>)</w:t>
      </w:r>
      <w:r w:rsidRPr="00F42B1D">
        <w:fldChar w:fldCharType="end"/>
      </w:r>
      <w:r w:rsidR="007501B9">
        <w:t xml:space="preserve">. </w:t>
      </w:r>
      <w:r w:rsidRPr="00F42B1D">
        <w:t xml:space="preserve">The rate of death within three to five years in frail persons compared with non-frail persons is double; hazard ratios (HR) range between 1.9 and 2.4 </w:t>
      </w:r>
      <w:r w:rsidRPr="00F42B1D">
        <w:fldChar w:fldCharType="begin">
          <w:fldData xml:space="preserve">PEVuZE5vdGU+PENpdGU+PEF1dGhvcj5GcmllZDwvQXV0aG9yPjxZZWFyPjIwMDE8L1llYXI+PFJl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</w:fldData>
        </w:fldChar>
      </w:r>
      <w:r w:rsidR="00EB6EA4">
        <w:instrText xml:space="preserve"> ADDIN EN.CITE </w:instrText>
      </w:r>
      <w:r w:rsidR="00EB6EA4">
        <w:fldChar w:fldCharType="begin">
          <w:fldData xml:space="preserve">PEVuZE5vdGU+PENpdGU+PEF1dGhvcj5GcmllZDwvQXV0aG9yPjxZZWFyPjIwMDE8L1llYXI+PFJl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</w:fldData>
        </w:fldChar>
      </w:r>
      <w:r w:rsidR="00EB6EA4">
        <w:instrText xml:space="preserve"> ADDIN EN.CITE.DATA </w:instrText>
      </w:r>
      <w:r w:rsidR="00EB6EA4">
        <w:fldChar w:fldCharType="end"/>
      </w:r>
      <w:r w:rsidRPr="00F42B1D">
        <w:fldChar w:fldCharType="separate"/>
      </w:r>
      <w:r w:rsidR="00EB6EA4">
        <w:rPr>
          <w:noProof/>
        </w:rPr>
        <w:t>(</w:t>
      </w:r>
      <w:hyperlink w:anchor="_ENREF_49" w:tooltip="Fried, 2001 #215" w:history="1">
        <w:r w:rsidR="00EB6EA4">
          <w:rPr>
            <w:noProof/>
          </w:rPr>
          <w:t>49</w:t>
        </w:r>
      </w:hyperlink>
      <w:r w:rsidR="00EB6EA4">
        <w:rPr>
          <w:noProof/>
        </w:rPr>
        <w:t xml:space="preserve">, </w:t>
      </w:r>
      <w:hyperlink w:anchor="_ENREF_52" w:tooltip="Scarcella, 2005 #547" w:history="1">
        <w:r w:rsidR="00EB6EA4">
          <w:rPr>
            <w:noProof/>
          </w:rPr>
          <w:t>52</w:t>
        </w:r>
      </w:hyperlink>
      <w:r w:rsidR="00EB6EA4">
        <w:rPr>
          <w:noProof/>
        </w:rPr>
        <w:t xml:space="preserve">, </w:t>
      </w:r>
      <w:hyperlink w:anchor="_ENREF_53" w:tooltip="Ravaglia, 2008 #549" w:history="1">
        <w:r w:rsidR="00EB6EA4">
          <w:rPr>
            <w:noProof/>
          </w:rPr>
          <w:t>53</w:t>
        </w:r>
      </w:hyperlink>
      <w:r w:rsidR="00EB6EA4">
        <w:rPr>
          <w:noProof/>
        </w:rPr>
        <w:t>)</w:t>
      </w:r>
      <w:r w:rsidRPr="00F42B1D">
        <w:fldChar w:fldCharType="end"/>
      </w:r>
      <w:r w:rsidR="007501B9">
        <w:t xml:space="preserve">. </w:t>
      </w:r>
      <w:r w:rsidRPr="00F42B1D">
        <w:t>Frail older people are more likely to have disability at follow-up than non-frail</w:t>
      </w:r>
      <w:r w:rsidR="00EF6E9B">
        <w:t xml:space="preserve"> older people</w:t>
      </w:r>
      <w:r w:rsidRPr="00F42B1D">
        <w:t xml:space="preserve">; odds ratios (OR) range from 2.8-5.2 </w:t>
      </w:r>
      <w:r w:rsidRPr="00F42B1D">
        <w:fldChar w:fldCharType="begin">
          <w:fldData xml:space="preserve">PEVuZE5vdGU+PENpdGU+PEF1dGhvcj5DaGluPC9BdXRob3I+PFllYXI+MTk5OTwvWWVhcj48UmVj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</w:fldData>
        </w:fldChar>
      </w:r>
      <w:r w:rsidR="00EB6EA4">
        <w:instrText xml:space="preserve"> ADDIN EN.CITE </w:instrText>
      </w:r>
      <w:r w:rsidR="00EB6EA4">
        <w:fldChar w:fldCharType="begin">
          <w:fldData xml:space="preserve">PEVuZE5vdGU+PENpdGU+PEF1dGhvcj5DaGluPC9BdXRob3I+PFllYXI+MTk5OTwvWWVhcj48UmVj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</w:fldData>
        </w:fldChar>
      </w:r>
      <w:r w:rsidR="00EB6EA4">
        <w:instrText xml:space="preserve"> ADDIN EN.CITE.DATA </w:instrText>
      </w:r>
      <w:r w:rsidR="00EB6EA4">
        <w:fldChar w:fldCharType="end"/>
      </w:r>
      <w:r w:rsidRPr="00F42B1D">
        <w:fldChar w:fldCharType="separate"/>
      </w:r>
      <w:r w:rsidR="00EB6EA4">
        <w:rPr>
          <w:noProof/>
        </w:rPr>
        <w:t>(</w:t>
      </w:r>
      <w:hyperlink w:anchor="_ENREF_47" w:tooltip="Chin, 1999 #543" w:history="1">
        <w:r w:rsidR="00EB6EA4">
          <w:rPr>
            <w:noProof/>
          </w:rPr>
          <w:t>47</w:t>
        </w:r>
      </w:hyperlink>
      <w:r w:rsidR="00EB6EA4">
        <w:rPr>
          <w:noProof/>
        </w:rPr>
        <w:t xml:space="preserve">, </w:t>
      </w:r>
      <w:hyperlink w:anchor="_ENREF_53" w:tooltip="Ravaglia, 2008 #549" w:history="1">
        <w:r w:rsidR="00EB6EA4">
          <w:rPr>
            <w:noProof/>
          </w:rPr>
          <w:t>53</w:t>
        </w:r>
      </w:hyperlink>
      <w:r w:rsidR="00EB6EA4">
        <w:rPr>
          <w:noProof/>
        </w:rPr>
        <w:t>)</w:t>
      </w:r>
      <w:r w:rsidRPr="00F42B1D">
        <w:fldChar w:fldCharType="end"/>
      </w:r>
      <w:r w:rsidR="007501B9">
        <w:t xml:space="preserve">. </w:t>
      </w:r>
      <w:r w:rsidRPr="00F42B1D">
        <w:t>Further</w:t>
      </w:r>
      <w:r w:rsidR="00E069BD" w:rsidRPr="00F42B1D">
        <w:t>,</w:t>
      </w:r>
      <w:r w:rsidRPr="00F42B1D">
        <w:t xml:space="preserve"> there is a two to three fold increased risk of hospitalisations </w:t>
      </w:r>
      <w:r w:rsidRPr="00F42B1D">
        <w:fldChar w:fldCharType="begin"/>
      </w:r>
      <w:r w:rsidR="00C86345">
        <w:instrText xml:space="preserve"> ADDIN EN.CITE &lt;EndNote&gt;&lt;Cite&gt;&lt;Author&gt;Widagdo&lt;/Author&gt;&lt;Year&gt;2015&lt;/Year&gt;&lt;RecNum&gt;15&lt;/RecNum&gt;&lt;DisplayText&gt;(15)&lt;/DisplayText&gt;&lt;record&gt;&lt;rec-number&gt;15&lt;/rec-number&gt;&lt;foreign-keys&gt;&lt;key app="EN" db-id="9s5z5ped05vxdnede99vfsxhtzavzdzs2d5r" timestamp="1597381993"&gt;15&lt;/key&gt;&lt;/foreign-keys&gt;&lt;ref-type name="Journal Article"&gt;17&lt;/ref-type&gt;&lt;contributors&gt;&lt;authors&gt;&lt;author&gt;Widagdo, I. S.&lt;/author&gt;&lt;author&gt;Pratt, N.&lt;/author&gt;&lt;author&gt;Russell, M.&lt;/author&gt;&lt;author&gt;Roughead, E. E.&lt;/author&gt;&lt;/authors&gt;&lt;/contributors&gt;&lt;auth-address&gt;Quality Use of Medicines and Pharmacy Research Centre, Sansom Institute, School of Pharmacy and Medical Sciences, University of South Australia, Adelaide, SA, Australia.&amp;#xD;Occupational Therapy Board, Australian Health Practitioner Regulation Agency, Melbourne, VIC, Australia.&lt;/auth-address&gt;&lt;titles&gt;&lt;title&gt;Predictive performance of four frailty measures in an older Australian population&lt;/title&gt;&lt;secondary-title&gt;Age Ageing&lt;/secondary-title&gt;&lt;alt-title&gt;Age and ageing&lt;/alt-title&gt;&lt;/titles&gt;&lt;alt-periodical&gt;&lt;full-title&gt;Age and ageing&lt;/full-title&gt;&lt;/alt-periodical&gt;&lt;pages&gt;967-72&lt;/pages&gt;&lt;volume&gt;44&lt;/volume&gt;&lt;number&gt;6&lt;/number&gt;&lt;keywords&gt;&lt;keyword&gt;Aged&lt;/keyword&gt;&lt;keyword&gt;Aged, 80 and over&lt;/keyword&gt;&lt;keyword&gt;Australia/epidemiology&lt;/keyword&gt;&lt;keyword&gt;Female&lt;/keyword&gt;&lt;keyword&gt;Frail Elderly/*statistics &amp;amp; numerical data&lt;/keyword&gt;&lt;keyword&gt;Geriatric Assessment/*methods&lt;/keyword&gt;&lt;keyword&gt;Humans&lt;/keyword&gt;&lt;keyword&gt;Male&lt;/keyword&gt;&lt;keyword&gt;Reproducibility of Results&lt;/keyword&gt;&lt;keyword&gt;Retrospective Studies&lt;/keyword&gt;&lt;keyword&gt;Risk Factors&lt;/keyword&gt;&lt;keyword&gt;Sensitivity and Specificity&lt;/keyword&gt;&lt;/keywords&gt;&lt;dates&gt;&lt;year&gt;2015&lt;/year&gt;&lt;pub-dates&gt;&lt;date&gt;Nov&lt;/date&gt;&lt;/pub-dates&gt;&lt;/dates&gt;&lt;isbn&gt;0002-0729 (Print)&amp;#xD;0002-0729 (Linking)&lt;/isbn&gt;&lt;accession-num&gt;26504118&lt;/accession-num&gt;&lt;urls&gt;&lt;related-urls&gt;&lt;url&gt;http://www.ncbi.nlm.nih.gov/pubmed/26504118&lt;/url&gt;&lt;/related-urls&gt;&lt;/urls&gt;&lt;custom2&gt;4621238&lt;/custom2&gt;&lt;electronic-resource-num&gt;10.1093/ageing/afv144&lt;/electronic-resource-num&gt;&lt;/record&gt;&lt;/Cite&gt;&lt;/EndNote&gt;</w:instrText>
      </w:r>
      <w:r w:rsidRPr="00F42B1D">
        <w:fldChar w:fldCharType="separate"/>
      </w:r>
      <w:r w:rsidR="00C86345">
        <w:rPr>
          <w:noProof/>
        </w:rPr>
        <w:t>(</w:t>
      </w:r>
      <w:hyperlink w:anchor="_ENREF_15" w:tooltip="Widagdo, 2015 #15" w:history="1">
        <w:r w:rsidR="00EB6EA4">
          <w:rPr>
            <w:noProof/>
          </w:rPr>
          <w:t>15</w:t>
        </w:r>
      </w:hyperlink>
      <w:r w:rsidR="00C86345">
        <w:rPr>
          <w:noProof/>
        </w:rPr>
        <w:t>)</w:t>
      </w:r>
      <w:r w:rsidRPr="00F42B1D">
        <w:fldChar w:fldCharType="end"/>
      </w:r>
      <w:r w:rsidRPr="00F42B1D">
        <w:t xml:space="preserve"> and a twofold increased risk of falls </w:t>
      </w:r>
      <w:r w:rsidRPr="00F42B1D">
        <w:fldChar w:fldCharType="begin"/>
      </w:r>
      <w:r w:rsidR="00C86345">
        <w:instrText xml:space="preserve"> ADDIN EN.CITE &lt;EndNote&gt;&lt;Cite&gt;&lt;Author&gt;Widagdo&lt;/Author&gt;&lt;Year&gt;2015&lt;/Year&gt;&lt;RecNum&gt;15&lt;/RecNum&gt;&lt;DisplayText&gt;(15)&lt;/DisplayText&gt;&lt;record&gt;&lt;rec-number&gt;15&lt;/rec-number&gt;&lt;foreign-keys&gt;&lt;key app="EN" db-id="9s5z5ped05vxdnede99vfsxhtzavzdzs2d5r" timestamp="1597381993"&gt;15&lt;/key&gt;&lt;/foreign-keys&gt;&lt;ref-type name="Journal Article"&gt;17&lt;/ref-type&gt;&lt;contributors&gt;&lt;authors&gt;&lt;author&gt;Widagdo, I. S.&lt;/author&gt;&lt;author&gt;Pratt, N.&lt;/author&gt;&lt;author&gt;Russell, M.&lt;/author&gt;&lt;author&gt;Roughead, E. E.&lt;/author&gt;&lt;/authors&gt;&lt;/contributors&gt;&lt;auth-address&gt;Quality Use of Medicines and Pharmacy Research Centre, Sansom Institute, School of Pharmacy and Medical Sciences, University of South Australia, Adelaide, SA, Australia.&amp;#xD;Occupational Therapy Board, Australian Health Practitioner Regulation Agency, Melbourne, VIC, Australia.&lt;/auth-address&gt;&lt;titles&gt;&lt;title&gt;Predictive performance of four frailty measures in an older Australian population&lt;/title&gt;&lt;secondary-title&gt;Age Ageing&lt;/secondary-title&gt;&lt;alt-title&gt;Age and ageing&lt;/alt-title&gt;&lt;/titles&gt;&lt;alt-periodical&gt;&lt;full-title&gt;Age and ageing&lt;/full-title&gt;&lt;/alt-periodical&gt;&lt;pages&gt;967-72&lt;/pages&gt;&lt;volume&gt;44&lt;/volume&gt;&lt;number&gt;6&lt;/number&gt;&lt;keywords&gt;&lt;keyword&gt;Aged&lt;/keyword&gt;&lt;keyword&gt;Aged, 80 and over&lt;/keyword&gt;&lt;keyword&gt;Australia/epidemiology&lt;/keyword&gt;&lt;keyword&gt;Female&lt;/keyword&gt;&lt;keyword&gt;Frail Elderly/*statistics &amp;amp; numerical data&lt;/keyword&gt;&lt;keyword&gt;Geriatric Assessment/*methods&lt;/keyword&gt;&lt;keyword&gt;Humans&lt;/keyword&gt;&lt;keyword&gt;Male&lt;/keyword&gt;&lt;keyword&gt;Reproducibility of Results&lt;/keyword&gt;&lt;keyword&gt;Retrospective Studies&lt;/keyword&gt;&lt;keyword&gt;Risk Factors&lt;/keyword&gt;&lt;keyword&gt;Sensitivity and Specificity&lt;/keyword&gt;&lt;/keywords&gt;&lt;dates&gt;&lt;year&gt;2015&lt;/year&gt;&lt;pub-dates&gt;&lt;date&gt;Nov&lt;/date&gt;&lt;/pub-dates&gt;&lt;/dates&gt;&lt;isbn&gt;0002-0729 (Print)&amp;#xD;0002-0729 (Linking)&lt;/isbn&gt;&lt;accession-num&gt;26504118&lt;/accession-num&gt;&lt;urls&gt;&lt;related-urls&gt;&lt;url&gt;http://www.ncbi.nlm.nih.gov/pubmed/26504118&lt;/url&gt;&lt;/related-urls&gt;&lt;/urls&gt;&lt;custom2&gt;4621238&lt;/custom2&gt;&lt;electronic-resource-num&gt;10.1093/ageing/afv144&lt;/electronic-resource-num&gt;&lt;/record&gt;&lt;/Cite&gt;&lt;/EndNote&gt;</w:instrText>
      </w:r>
      <w:r w:rsidRPr="00F42B1D">
        <w:fldChar w:fldCharType="separate"/>
      </w:r>
      <w:r w:rsidR="00C86345">
        <w:rPr>
          <w:noProof/>
        </w:rPr>
        <w:t>(</w:t>
      </w:r>
      <w:hyperlink w:anchor="_ENREF_15" w:tooltip="Widagdo, 2015 #15" w:history="1">
        <w:r w:rsidR="00EB6EA4">
          <w:rPr>
            <w:noProof/>
          </w:rPr>
          <w:t>15</w:t>
        </w:r>
      </w:hyperlink>
      <w:r w:rsidR="00C86345">
        <w:rPr>
          <w:noProof/>
        </w:rPr>
        <w:t>)</w:t>
      </w:r>
      <w:r w:rsidRPr="00F42B1D">
        <w:fldChar w:fldCharType="end"/>
      </w:r>
      <w:r w:rsidRPr="00F42B1D">
        <w:t xml:space="preserve"> in t</w:t>
      </w:r>
      <w:r w:rsidR="00A34316">
        <w:t xml:space="preserve">he frail </w:t>
      </w:r>
      <w:r w:rsidR="00EF6E9B">
        <w:t xml:space="preserve">population </w:t>
      </w:r>
      <w:r w:rsidR="00A34316">
        <w:t>compared to non-frail</w:t>
      </w:r>
      <w:r w:rsidR="00EF6E9B">
        <w:t xml:space="preserve"> population</w:t>
      </w:r>
      <w:r w:rsidR="00A34316">
        <w:t>.</w:t>
      </w:r>
    </w:p>
    <w:p w14:paraId="32DE0B3A" w14:textId="77777777" w:rsidR="006D39A1" w:rsidRPr="00F42B1D" w:rsidRDefault="006D39A1" w:rsidP="00F22EAA">
      <w:pPr>
        <w:pStyle w:val="Heading4"/>
        <w:spacing w:line="276" w:lineRule="auto"/>
      </w:pPr>
      <w:r w:rsidRPr="00F42B1D">
        <w:t>Secondary outcomes</w:t>
      </w:r>
    </w:p>
    <w:p w14:paraId="0B616F63" w14:textId="77777777" w:rsidR="006D39A1" w:rsidRPr="00F42B1D" w:rsidRDefault="006D39A1" w:rsidP="007501B9">
      <w:r w:rsidRPr="00F42B1D">
        <w:t>The secondary outcomes were:</w:t>
      </w:r>
    </w:p>
    <w:p w14:paraId="33FAEF19" w14:textId="77777777" w:rsidR="006D39A1" w:rsidRPr="00F42B1D" w:rsidRDefault="006D39A1" w:rsidP="008F1E88">
      <w:pPr>
        <w:pStyle w:val="Heading5"/>
      </w:pPr>
      <w:proofErr w:type="spellStart"/>
      <w:r w:rsidRPr="00F42B1D">
        <w:t>i</w:t>
      </w:r>
      <w:proofErr w:type="spellEnd"/>
      <w:r w:rsidRPr="00F42B1D">
        <w:t>) Change in cognition scores</w:t>
      </w:r>
    </w:p>
    <w:p w14:paraId="3CB36C85" w14:textId="1BE8F892" w:rsidR="006D39A1" w:rsidRPr="00F42B1D" w:rsidRDefault="006D39A1" w:rsidP="007501B9">
      <w:r w:rsidRPr="00F42B1D">
        <w:t>Changes in cognition were assessed using the Montreal Cognitive Assessment (MoCA) test</w:t>
      </w:r>
      <w:r w:rsidRPr="00F42B1D">
        <w:fldChar w:fldCharType="begin"/>
      </w:r>
      <w:r w:rsidR="00EB6EA4">
        <w:instrText xml:space="preserve"> ADDIN EN.CITE &lt;EndNote&gt;&lt;Cite&gt;&lt;Author&gt;Nasreddine&lt;/Author&gt;&lt;Year&gt;2005&lt;/Year&gt;&lt;RecNum&gt;28&lt;/RecNum&gt;&lt;DisplayText&gt;(45)&lt;/DisplayText&gt;&lt;record&gt;&lt;rec-number&gt;28&lt;/rec-number&gt;&lt;foreign-keys&gt;&lt;key app="EN" db-id="9s5z5ped05vxdnede99vfsxhtzavzdzs2d5r" timestamp="1597381996"&gt;28&lt;/key&gt;&lt;/foreign-keys&gt;&lt;ref-type name="Journal Article"&gt;17&lt;/ref-type&gt;&lt;contributors&gt;&lt;authors&gt;&lt;author&gt;Nasreddine, Z. S.&lt;/author&gt;&lt;author&gt;Phillips, N. A.&lt;/author&gt;&lt;author&gt;Bedirian, V.&lt;/author&gt;&lt;author&gt;Charbonneau, S.&lt;/author&gt;&lt;author&gt;Whitehead, V.&lt;/author&gt;&lt;author&gt;Collin, I.&lt;/author&gt;&lt;author&gt;Cummings, J. L.&lt;/author&gt;&lt;author&gt;Chertkow, H.&lt;/author&gt;&lt;/authors&gt;&lt;/contributors&gt;&lt;auth-address&gt;Center for Clinical Research, Neurology Service, Hopital Charles LeMoyne, Quebec, Canada. ziadn@sympatico.ca&lt;/auth-address&gt;&lt;titles&gt;&lt;title&gt;The Montreal Cognitive Assessment, MoCA: a brief screening tool for mild cognitive impairment&lt;/title&gt;&lt;secondary-title&gt;J Am Geriatr Soc&lt;/secondary-title&gt;&lt;alt-title&gt;Journal of the American Geriatrics Society&lt;/alt-title&gt;&lt;/titles&gt;&lt;periodical&gt;&lt;full-title&gt;J Am Geriatr Soc&lt;/full-title&gt;&lt;/periodical&gt;&lt;alt-periodical&gt;&lt;full-title&gt;Journal of the American Geriatrics Society&lt;/full-title&gt;&lt;/alt-periodical&gt;&lt;pages&gt;695-9&lt;/pages&gt;&lt;volume&gt;53&lt;/volume&gt;&lt;number&gt;4&lt;/number&gt;&lt;edition&gt;2005/04/09&lt;/edition&gt;&lt;keywords&gt;&lt;keyword&gt;Aged&lt;/keyword&gt;&lt;keyword&gt;Alzheimer Disease/ diagnosis&lt;/keyword&gt;&lt;keyword&gt;Case-Control Studies&lt;/keyword&gt;&lt;keyword&gt;Cognition Disorders/ diagnosis&lt;/keyword&gt;&lt;keyword&gt;Female&lt;/keyword&gt;&lt;keyword&gt;Humans&lt;/keyword&gt;&lt;keyword&gt;Male&lt;/keyword&gt;&lt;keyword&gt;Neuropsychological Tests&lt;/keyword&gt;&lt;keyword&gt;Psychometrics&lt;/keyword&gt;&lt;keyword&gt;Quebec&lt;/keyword&gt;&lt;keyword&gt;Reproducibility of Results&lt;/keyword&gt;&lt;keyword&gt;Sensitivity and Specificity&lt;/keyword&gt;&lt;/keywords&gt;&lt;dates&gt;&lt;year&gt;2005&lt;/year&gt;&lt;pub-dates&gt;&lt;date&gt;Apr&lt;/date&gt;&lt;/pub-dates&gt;&lt;/dates&gt;&lt;isbn&gt;0002-8614 (Print)&amp;#xD;0002-8614 (Linking)&lt;/isbn&gt;&lt;accession-num&gt;15817019&lt;/accession-num&gt;&lt;urls&gt;&lt;/urls&gt;&lt;electronic-resource-num&gt;10.1111/j.1532-5415.2005.53221.x&lt;/electronic-resource-num&gt;&lt;remote-database-provider&gt;NLM&lt;/remote-database-provider&gt;&lt;language&gt;Eng&lt;/language&gt;&lt;/record&gt;&lt;/Cite&gt;&lt;/EndNote&gt;</w:instrText>
      </w:r>
      <w:r w:rsidRPr="00F42B1D">
        <w:fldChar w:fldCharType="separate"/>
      </w:r>
      <w:r w:rsidR="00EB6EA4">
        <w:rPr>
          <w:noProof/>
        </w:rPr>
        <w:t>(</w:t>
      </w:r>
      <w:hyperlink w:anchor="_ENREF_45" w:tooltip="Nasreddine, 2005 #28" w:history="1">
        <w:r w:rsidR="00EB6EA4">
          <w:rPr>
            <w:noProof/>
          </w:rPr>
          <w:t>45</w:t>
        </w:r>
      </w:hyperlink>
      <w:r w:rsidR="00EB6EA4">
        <w:rPr>
          <w:noProof/>
        </w:rPr>
        <w:t>)</w:t>
      </w:r>
      <w:r w:rsidRPr="00F42B1D">
        <w:fldChar w:fldCharType="end"/>
      </w:r>
      <w:r w:rsidR="007501B9">
        <w:t xml:space="preserve">. </w:t>
      </w:r>
      <w:r w:rsidRPr="00F42B1D">
        <w:t>This is the same tool that was used in the pharmacist intervention, and which is validated for screening in mild cognitive impairment.</w:t>
      </w:r>
      <w:r w:rsidRPr="00F42B1D">
        <w:fldChar w:fldCharType="begin"/>
      </w:r>
      <w:r w:rsidR="00EB6EA4">
        <w:instrText xml:space="preserve"> ADDIN EN.CITE &lt;EndNote&gt;&lt;Cite&gt;&lt;Author&gt;Ahmed&lt;/Author&gt;&lt;Year&gt;2012&lt;/Year&gt;&lt;RecNum&gt;32&lt;/RecNum&gt;&lt;DisplayText&gt;(59)&lt;/DisplayText&gt;&lt;record&gt;&lt;rec-number&gt;32&lt;/rec-number&gt;&lt;foreign-keys&gt;&lt;key app="EN" db-id="9s5z5ped05vxdnede99vfsxhtzavzdzs2d5r" timestamp="1597381997"&gt;32&lt;/key&gt;&lt;/foreign-keys&gt;&lt;ref-type name="Journal Article"&gt;17&lt;/ref-type&gt;&lt;contributors&gt;&lt;authors&gt;&lt;author&gt;Ahmed, S.&lt;/author&gt;&lt;author&gt;de Jager, C.&lt;/author&gt;&lt;author&gt;Wilcock, G.&lt;/author&gt;&lt;/authors&gt;&lt;/contributors&gt;&lt;auth-address&gt;Oxford Project to Investigate Memory and Ageing (OPTIMA), Nuffield Department of Medicine, Anatomy and Genetics, University of Oxford, Oxford, UK. s.ahmed.04@cantabgold.net&lt;/auth-address&gt;&lt;titles&gt;&lt;title&gt;A comparison of screening tools for the assessment of mild cognitive impairment: preliminary findings&lt;/title&gt;&lt;secondary-title&gt;Neurocase&lt;/secondary-title&gt;&lt;alt-title&gt;Neurocase&lt;/alt-title&gt;&lt;/titles&gt;&lt;pages&gt;336-51&lt;/pages&gt;&lt;volume&gt;18&lt;/volume&gt;&lt;number&gt;4&lt;/number&gt;&lt;keywords&gt;&lt;keyword&gt;Aged&lt;/keyword&gt;&lt;keyword&gt;Aged, 80 and over&lt;/keyword&gt;&lt;keyword&gt;Area Under Curve&lt;/keyword&gt;&lt;keyword&gt;Cohort Studies&lt;/keyword&gt;&lt;keyword&gt;Educational Status&lt;/keyword&gt;&lt;keyword&gt;Female&lt;/keyword&gt;&lt;keyword&gt;Humans&lt;/keyword&gt;&lt;keyword&gt;Male&lt;/keyword&gt;&lt;keyword&gt;Memory&lt;/keyword&gt;&lt;keyword&gt;Mental Recall&lt;/keyword&gt;&lt;keyword&gt;Mild Cognitive Impairment/*diagnosis/*psychology&lt;/keyword&gt;&lt;keyword&gt;*Neuropsychological Tests&lt;/keyword&gt;&lt;keyword&gt;Pilot Projects&lt;/keyword&gt;&lt;keyword&gt;ROC Curve&lt;/keyword&gt;&lt;keyword&gt;Reproducibility of Results&lt;/keyword&gt;&lt;/keywords&gt;&lt;dates&gt;&lt;year&gt;2012&lt;/year&gt;&lt;/dates&gt;&lt;isbn&gt;1465-3656 (Electronic)&amp;#xD;1355-4794 (Linking)&lt;/isbn&gt;&lt;accession-num&gt;22044211&lt;/accession-num&gt;&lt;urls&gt;&lt;related-urls&gt;&lt;url&gt;http://www.ncbi.nlm.nih.gov/pubmed/22044211&lt;/url&gt;&lt;/related-urls&gt;&lt;/urls&gt;&lt;electronic-resource-num&gt;10.1080/13554794.2011.608365&lt;/electronic-resource-num&gt;&lt;/record&gt;&lt;/Cite&gt;&lt;/EndNote&gt;</w:instrText>
      </w:r>
      <w:r w:rsidRPr="00F42B1D">
        <w:fldChar w:fldCharType="separate"/>
      </w:r>
      <w:r w:rsidR="00EB6EA4">
        <w:rPr>
          <w:noProof/>
        </w:rPr>
        <w:t>(</w:t>
      </w:r>
      <w:hyperlink w:anchor="_ENREF_59" w:tooltip="Ahmed, 2012 #32" w:history="1">
        <w:r w:rsidR="00EB6EA4">
          <w:rPr>
            <w:noProof/>
          </w:rPr>
          <w:t>59</w:t>
        </w:r>
      </w:hyperlink>
      <w:r w:rsidR="00EB6EA4">
        <w:rPr>
          <w:noProof/>
        </w:rPr>
        <w:t>)</w:t>
      </w:r>
      <w:r w:rsidRPr="00F42B1D">
        <w:fldChar w:fldCharType="end"/>
      </w:r>
      <w:r w:rsidRPr="00F42B1D" w:rsidDel="005F7E9B">
        <w:t xml:space="preserve"> </w:t>
      </w:r>
      <w:r w:rsidR="003E7D5C" w:rsidRPr="00F42B1D">
        <w:t xml:space="preserve"> All participants were able to complete the MoCA at enrolment, if during enrolment, participants cognition had declined to such an extent that they were not able to complete the MoCA, a score </w:t>
      </w:r>
      <w:r w:rsidR="009902AC" w:rsidRPr="00F42B1D">
        <w:t xml:space="preserve">of 4 </w:t>
      </w:r>
      <w:r w:rsidR="00EF6E9B" w:rsidRPr="00F42B1D">
        <w:t xml:space="preserve">was </w:t>
      </w:r>
      <w:r w:rsidR="009902AC" w:rsidRPr="00F42B1D">
        <w:t xml:space="preserve">applied which corresponds to </w:t>
      </w:r>
      <w:r w:rsidR="00E069BD" w:rsidRPr="00F42B1D">
        <w:t xml:space="preserve">commencement of </w:t>
      </w:r>
      <w:r w:rsidR="009902AC" w:rsidRPr="00F42B1D">
        <w:t>severe cognitive impairment on the MoCA scale (equivalent to 16/21 on PAS).</w:t>
      </w:r>
    </w:p>
    <w:p w14:paraId="4A570D5F" w14:textId="77777777" w:rsidR="006D39A1" w:rsidRPr="00F42B1D" w:rsidRDefault="006D39A1" w:rsidP="008F1E88">
      <w:pPr>
        <w:pStyle w:val="Heading5"/>
      </w:pPr>
      <w:r w:rsidRPr="00F42B1D">
        <w:lastRenderedPageBreak/>
        <w:t>ii) Change in 24-hour movement behaviour</w:t>
      </w:r>
    </w:p>
    <w:p w14:paraId="08A8D44D" w14:textId="689188C2" w:rsidR="006D39A1" w:rsidRPr="00F42B1D" w:rsidRDefault="006D39A1" w:rsidP="007501B9">
      <w:r w:rsidRPr="00F42B1D">
        <w:t xml:space="preserve">Change in 24-hour movement behaviour was assessed using the </w:t>
      </w:r>
      <w:proofErr w:type="spellStart"/>
      <w:r w:rsidRPr="00F42B1D">
        <w:t>GENEActiv</w:t>
      </w:r>
      <w:proofErr w:type="spellEnd"/>
      <w:r w:rsidRPr="00F42B1D">
        <w:t xml:space="preserve"> accelerometer, a research-grade activity tracker that has been validate</w:t>
      </w:r>
      <w:r w:rsidR="00531A90" w:rsidRPr="00F42B1D">
        <w:t xml:space="preserve">d in adults </w:t>
      </w:r>
      <w:r w:rsidRPr="00F42B1D">
        <w:t>for physical activity</w:t>
      </w:r>
      <w:r w:rsidRPr="00F42B1D">
        <w:fldChar w:fldCharType="begin"/>
      </w:r>
      <w:r w:rsidR="00EB6EA4">
        <w:instrText xml:space="preserve"> ADDIN EN.CITE &lt;EndNote&gt;&lt;Cite&gt;&lt;Author&gt;Esliger&lt;/Author&gt;&lt;Year&gt;2011&lt;/Year&gt;&lt;RecNum&gt;33&lt;/RecNum&gt;&lt;DisplayText&gt;(60)&lt;/DisplayText&gt;&lt;record&gt;&lt;rec-number&gt;33&lt;/rec-number&gt;&lt;foreign-keys&gt;&lt;key app="EN" db-id="9s5z5ped05vxdnede99vfsxhtzavzdzs2d5r" timestamp="1597381997"&gt;33&lt;/key&gt;&lt;/foreign-keys&gt;&lt;ref-type name="Journal Article"&gt;17&lt;/ref-type&gt;&lt;contributors&gt;&lt;authors&gt;&lt;author&gt;Esliger, D. W.&lt;/author&gt;&lt;author&gt;Rowlands, A. V.&lt;/author&gt;&lt;author&gt;Hurst, T. L.&lt;/author&gt;&lt;author&gt;Catt, M.&lt;/author&gt;&lt;author&gt;Murray, P.&lt;/author&gt;&lt;author&gt;Eston, R. G.&lt;/author&gt;&lt;/authors&gt;&lt;/contributors&gt;&lt;auth-address&gt;School of Sport and Health Sciences, St Luke&amp;apos;s Campus, University of Exeter, Exeter, England, United Kingdom. dale.esliger@usask.ca&lt;/auth-address&gt;&lt;titles&gt;&lt;title&gt;Validation of the GENEA Accelerometer&lt;/title&gt;&lt;secondary-title&gt;Med Sci Sports Exerc&lt;/secondary-title&gt;&lt;alt-title&gt;Medicine and science in sports and exercise&lt;/alt-title&gt;&lt;/titles&gt;&lt;pages&gt;1085-93&lt;/pages&gt;&lt;volume&gt;43&lt;/volume&gt;&lt;number&gt;6&lt;/number&gt;&lt;keywords&gt;&lt;keyword&gt;*Acceleration&lt;/keyword&gt;&lt;keyword&gt;Adult&lt;/keyword&gt;&lt;keyword&gt;Aged&lt;/keyword&gt;&lt;keyword&gt;Female&lt;/keyword&gt;&lt;keyword&gt;Humans&lt;/keyword&gt;&lt;keyword&gt;Male&lt;/keyword&gt;&lt;keyword&gt;Middle Aged&lt;/keyword&gt;&lt;keyword&gt;Monitoring, Ambulatory/*instrumentation&lt;/keyword&gt;&lt;keyword&gt;Motor Activity/*physiology&lt;/keyword&gt;&lt;keyword&gt;ROC Curve&lt;/keyword&gt;&lt;keyword&gt;Reproducibility of Results&lt;/keyword&gt;&lt;keyword&gt;Software&lt;/keyword&gt;&lt;/keywords&gt;&lt;dates&gt;&lt;year&gt;2011&lt;/year&gt;&lt;pub-dates&gt;&lt;date&gt;Jun&lt;/date&gt;&lt;/pub-dates&gt;&lt;/dates&gt;&lt;isbn&gt;1530-0315 (Electronic)&amp;#xD;0195-9131 (Linking)&lt;/isbn&gt;&lt;accession-num&gt;21088628&lt;/accession-num&gt;&lt;urls&gt;&lt;related-urls&gt;&lt;url&gt;http://www.ncbi.nlm.nih.gov/pubmed/21088628&lt;/url&gt;&lt;/related-urls&gt;&lt;/urls&gt;&lt;electronic-resource-num&gt;10.1249/MSS.0b013e31820513be&lt;/electronic-resource-num&gt;&lt;/record&gt;&lt;/Cite&gt;&lt;/EndNote&gt;</w:instrText>
      </w:r>
      <w:r w:rsidRPr="00F42B1D">
        <w:fldChar w:fldCharType="separate"/>
      </w:r>
      <w:r w:rsidR="00EB6EA4">
        <w:rPr>
          <w:noProof/>
        </w:rPr>
        <w:t>(</w:t>
      </w:r>
      <w:hyperlink w:anchor="_ENREF_60" w:tooltip="Esliger, 2011 #33" w:history="1">
        <w:r w:rsidR="00EB6EA4">
          <w:rPr>
            <w:noProof/>
          </w:rPr>
          <w:t>60</w:t>
        </w:r>
      </w:hyperlink>
      <w:r w:rsidR="00EB6EA4">
        <w:rPr>
          <w:noProof/>
        </w:rPr>
        <w:t>)</w:t>
      </w:r>
      <w:r w:rsidRPr="00F42B1D">
        <w:fldChar w:fldCharType="end"/>
      </w:r>
      <w:r w:rsidRPr="00F42B1D">
        <w:t xml:space="preserve"> and for sedentary behaviour.</w:t>
      </w:r>
      <w:r w:rsidRPr="00F42B1D">
        <w:fldChar w:fldCharType="begin"/>
      </w:r>
      <w:r w:rsidR="00EB6EA4">
        <w:instrText xml:space="preserve"> ADDIN EN.CITE &lt;EndNote&gt;&lt;Cite&gt;&lt;Author&gt;Pavey&lt;/Author&gt;&lt;Year&gt;2016&lt;/Year&gt;&lt;RecNum&gt;34&lt;/RecNum&gt;&lt;DisplayText&gt;(61)&lt;/DisplayText&gt;&lt;record&gt;&lt;rec-number&gt;34&lt;/rec-number&gt;&lt;foreign-keys&gt;&lt;key app="EN" db-id="9s5z5ped05vxdnede99vfsxhtzavzdzs2d5r" timestamp="1597381998"&gt;34&lt;/key&gt;&lt;/foreign-keys&gt;&lt;ref-type name="Journal Article"&gt;17&lt;/ref-type&gt;&lt;contributors&gt;&lt;authors&gt;&lt;author&gt;Pavey, T. G.&lt;/author&gt;&lt;author&gt;Gomersall, S. R.&lt;/author&gt;&lt;author&gt;Clark, B. K.&lt;/author&gt;&lt;author&gt;Brown, W. J.&lt;/author&gt;&lt;/authors&gt;&lt;/contributors&gt;&lt;auth-address&gt;Centre for Research on Exercise, Physical Activity and Health (CRExPAH), School of Human Movement Studies, The University of Queensland, Brisbane, Australia. Electronic address: t.pavey@uq.edu.au.&amp;#xD;Centre for Research on Exercise, Physical Activity and Health (CRExPAH), School of Human Movement Studies, The University of Queensland, Brisbane, Australia.&lt;/auth-address&gt;&lt;titles&gt;&lt;title&gt;The validity of the GENEActiv wrist-worn accelerometer for measuring adult sedentary time in free living&lt;/title&gt;&lt;secondary-title&gt;J Sci Med Sport&lt;/secondary-title&gt;&lt;alt-title&gt;Journal of science and medicine in sport&lt;/alt-title&gt;&lt;/titles&gt;&lt;pages&gt;395-9&lt;/pages&gt;&lt;volume&gt;19&lt;/volume&gt;&lt;number&gt;5&lt;/number&gt;&lt;dates&gt;&lt;year&gt;2016&lt;/year&gt;&lt;pub-dates&gt;&lt;date&gt;May&lt;/date&gt;&lt;/pub-dates&gt;&lt;/dates&gt;&lt;isbn&gt;1878-1861 (Electronic)&amp;#xD;1878-1861 (Linking)&lt;/isbn&gt;&lt;accession-num&gt;25956687&lt;/accession-num&gt;&lt;urls&gt;&lt;related-urls&gt;&lt;url&gt;http://www.ncbi.nlm.nih.gov/pubmed/25956687&lt;/url&gt;&lt;/related-urls&gt;&lt;/urls&gt;&lt;electronic-resource-num&gt;10.1016/j.jsams.2015.04.007&lt;/electronic-resource-num&gt;&lt;/record&gt;&lt;/Cite&gt;&lt;/EndNote&gt;</w:instrText>
      </w:r>
      <w:r w:rsidRPr="00F42B1D">
        <w:fldChar w:fldCharType="separate"/>
      </w:r>
      <w:r w:rsidR="00EB6EA4">
        <w:rPr>
          <w:noProof/>
        </w:rPr>
        <w:t>(</w:t>
      </w:r>
      <w:hyperlink w:anchor="_ENREF_61" w:tooltip="Pavey, 2016 #34" w:history="1">
        <w:r w:rsidR="00EB6EA4">
          <w:rPr>
            <w:noProof/>
          </w:rPr>
          <w:t>61</w:t>
        </w:r>
      </w:hyperlink>
      <w:r w:rsidR="00EB6EA4">
        <w:rPr>
          <w:noProof/>
        </w:rPr>
        <w:t>)</w:t>
      </w:r>
      <w:r w:rsidRPr="00F42B1D">
        <w:fldChar w:fldCharType="end"/>
      </w:r>
      <w:r w:rsidRPr="00F42B1D">
        <w:t xml:space="preserve"> </w:t>
      </w:r>
      <w:r w:rsidR="00531A90" w:rsidRPr="00F42B1D">
        <w:t xml:space="preserve"> </w:t>
      </w:r>
      <w:r w:rsidRPr="00F42B1D">
        <w:t xml:space="preserve">The </w:t>
      </w:r>
      <w:proofErr w:type="spellStart"/>
      <w:r w:rsidRPr="00F42B1D">
        <w:t>GENEActiv</w:t>
      </w:r>
      <w:proofErr w:type="spellEnd"/>
      <w:r w:rsidRPr="00F42B1D">
        <w:t xml:space="preserve"> was initialised to collect unfiltered, triaxial acceleration data at a sampling rate of 80Hz</w:t>
      </w:r>
      <w:r w:rsidR="007501B9">
        <w:t xml:space="preserve">. </w:t>
      </w:r>
      <w:r w:rsidRPr="00F42B1D">
        <w:t xml:space="preserve">Output data included number of sedentary and active bouts, sleep, and active time using previously established </w:t>
      </w:r>
      <w:r w:rsidR="009A23B0">
        <w:t xml:space="preserve">age appropriate </w:t>
      </w:r>
      <w:r w:rsidRPr="00F42B1D">
        <w:t>cut-points</w:t>
      </w:r>
      <w:r w:rsidR="007501B9">
        <w:t xml:space="preserve">. </w:t>
      </w:r>
      <w:r w:rsidR="009A23B0">
        <w:fldChar w:fldCharType="begin"/>
      </w:r>
      <w:r w:rsidR="00EB6EA4">
        <w:instrText xml:space="preserve"> ADDIN EN.CITE &lt;EndNote&gt;&lt;Cite&gt;&lt;Author&gt;Fraysse&lt;/Author&gt;&lt;Year&gt;2020&lt;/Year&gt;&lt;RecNum&gt;83&lt;/RecNum&gt;&lt;DisplayText&gt;(62)&lt;/DisplayText&gt;&lt;record&gt;&lt;rec-number&gt;83&lt;/rec-number&gt;&lt;foreign-keys&gt;&lt;key app="EN" db-id="9s5z5ped05vxdnede99vfsxhtzavzdzs2d5r" timestamp="1616712651"&gt;83&lt;/key&gt;&lt;/foreign-keys&gt;&lt;ref-type name="Journal Article"&gt;17&lt;/ref-type&gt;&lt;contributors&gt;&lt;authors&gt;&lt;author&gt;Fraysse, François&lt;/author&gt;&lt;author&gt;Post, Dannielle&lt;/author&gt;&lt;author&gt;Eston, Roger&lt;/author&gt;&lt;author&gt;Kasai, Daiki&lt;/author&gt;&lt;author&gt;Rowlands, Alex V&lt;/author&gt;&lt;author&gt;Parfitt, Gaynor&lt;/author&gt;&lt;/authors&gt;&lt;/contributors&gt;&lt;titles&gt;&lt;title&gt;Physical activity intensity cut-points for wrist-worn GENEActiv in older adults&lt;/title&gt;&lt;secondary-title&gt;Frontiers in Sports and Active Living&lt;/secondary-title&gt;&lt;/titles&gt;&lt;periodical&gt;&lt;full-title&gt;Frontiers in Sports and Active Living&lt;/full-title&gt;&lt;/periodical&gt;&lt;volume&gt;2&lt;/volume&gt;&lt;dates&gt;&lt;year&gt;2020&lt;/year&gt;&lt;/dates&gt;&lt;urls&gt;&lt;/urls&gt;&lt;/record&gt;&lt;/Cite&gt;&lt;/EndNote&gt;</w:instrText>
      </w:r>
      <w:r w:rsidR="009A23B0">
        <w:fldChar w:fldCharType="separate"/>
      </w:r>
      <w:r w:rsidR="00EB6EA4">
        <w:rPr>
          <w:noProof/>
        </w:rPr>
        <w:t>(</w:t>
      </w:r>
      <w:hyperlink w:anchor="_ENREF_62" w:tooltip="Fraysse, 2020 #83" w:history="1">
        <w:r w:rsidR="00EB6EA4">
          <w:rPr>
            <w:noProof/>
          </w:rPr>
          <w:t>62</w:t>
        </w:r>
      </w:hyperlink>
      <w:r w:rsidR="00EB6EA4">
        <w:rPr>
          <w:noProof/>
        </w:rPr>
        <w:t>)</w:t>
      </w:r>
      <w:r w:rsidR="009A23B0">
        <w:fldChar w:fldCharType="end"/>
      </w:r>
      <w:r w:rsidR="00531A90" w:rsidRPr="00F42B1D">
        <w:t xml:space="preserve"> </w:t>
      </w:r>
      <w:r w:rsidRPr="00F42B1D">
        <w:t xml:space="preserve">Participants in both the intervention and control group wore the </w:t>
      </w:r>
      <w:proofErr w:type="spellStart"/>
      <w:r w:rsidRPr="00F42B1D">
        <w:t>GENEActiv</w:t>
      </w:r>
      <w:proofErr w:type="spellEnd"/>
      <w:r w:rsidRPr="00F42B1D">
        <w:t xml:space="preserve"> on the wrist for a seven-day period</w:t>
      </w:r>
      <w:r w:rsidR="00EF6E9B">
        <w:t xml:space="preserve"> at each data collection point</w:t>
      </w:r>
      <w:r w:rsidRPr="00F42B1D">
        <w:t>.</w:t>
      </w:r>
    </w:p>
    <w:p w14:paraId="4FE538D5" w14:textId="4A1108D2" w:rsidR="006D39A1" w:rsidRPr="00F42B1D" w:rsidRDefault="006D39A1" w:rsidP="008F1E88">
      <w:pPr>
        <w:pStyle w:val="Heading5"/>
      </w:pPr>
      <w:r w:rsidRPr="00F42B1D">
        <w:t>iii) Change in grip strength</w:t>
      </w:r>
    </w:p>
    <w:p w14:paraId="27C21953" w14:textId="4234B3B6" w:rsidR="006D39A1" w:rsidRPr="00F42B1D" w:rsidRDefault="006D39A1" w:rsidP="007501B9">
      <w:r w:rsidRPr="00F42B1D">
        <w:t>Grip strength was measured using a handheld dynamometer (Jamar, Illinois, USA) using the dominant hand</w:t>
      </w:r>
      <w:r w:rsidR="007501B9">
        <w:t xml:space="preserve">. </w:t>
      </w:r>
      <w:r w:rsidRPr="00F42B1D">
        <w:t>The best measurement of three scores was used</w:t>
      </w:r>
      <w:r w:rsidR="007501B9">
        <w:t xml:space="preserve">. </w:t>
      </w:r>
      <w:r w:rsidRPr="00F42B1D">
        <w:t xml:space="preserve">Cut off points for grip strength that are considered reflective of </w:t>
      </w:r>
      <w:proofErr w:type="spellStart"/>
      <w:r w:rsidRPr="00F42B1D">
        <w:t>sarcopaenia</w:t>
      </w:r>
      <w:proofErr w:type="spellEnd"/>
      <w:r w:rsidRPr="00F42B1D">
        <w:t xml:space="preserve"> are 27 kg for men; 16 kg for women </w:t>
      </w:r>
      <w:r w:rsidRPr="00F42B1D">
        <w:fldChar w:fldCharType="begin"/>
      </w:r>
      <w:r w:rsidR="00EB6EA4">
        <w:instrText xml:space="preserve"> ADDIN EN.CITE &lt;EndNote&gt;&lt;Cite&gt;&lt;Author&gt;Cruz-Jentoft&lt;/Author&gt;&lt;Year&gt;2019&lt;/Year&gt;&lt;RecNum&gt;35&lt;/RecNum&gt;&lt;DisplayText&gt;(63)&lt;/DisplayText&gt;&lt;record&gt;&lt;rec-number&gt;35&lt;/rec-number&gt;&lt;foreign-keys&gt;&lt;key app="EN" db-id="9s5z5ped05vxdnede99vfsxhtzavzdzs2d5r" timestamp="1597381998"&gt;35&lt;/key&gt;&lt;/foreign-keys&gt;&lt;ref-type name="Journal Article"&gt;17&lt;/ref-type&gt;&lt;contributors&gt;&lt;authors&gt;&lt;author&gt;Cruz-Jentoft, Alfonso J.&lt;/author&gt;&lt;author&gt;Bahat, Gülistan&lt;/author&gt;&lt;author&gt;Bauer, Jürgen&lt;/author&gt;&lt;author&gt;Boirie, Yves&lt;/author&gt;&lt;author&gt;Bruyère, Olivier&lt;/author&gt;&lt;author&gt;Cederholm, Tommy&lt;/author&gt;&lt;author&gt;Cooper, Cyrus&lt;/author&gt;&lt;author&gt;Landi, Francesco&lt;/author&gt;&lt;author&gt;Rolland, Yves&lt;/author&gt;&lt;author&gt;Sayer, Avan Aihie&lt;/author&gt;&lt;author&gt;Schneider, Stéphane M.&lt;/author&gt;&lt;author&gt;Sieber, Cornel C.&lt;/author&gt;&lt;author&gt;Topinkova, Eva&lt;/author&gt;&lt;author&gt;Vandewoude, Maurits&lt;/author&gt;&lt;author&gt;Visser, Marjolein&lt;/author&gt;&lt;author&gt;Zamboni, Mauro&lt;/author&gt;&lt;author&gt;Writing Group for the European Working Group on Sarcopenia in Older, People&lt;/author&gt;&lt;author&gt;the Extended Group for, Ewgsop&lt;/author&gt;&lt;/authors&gt;&lt;/contributors&gt;&lt;titles&gt;&lt;title&gt;Sarcopenia: revised European consensus on definition and diagnosis&lt;/title&gt;&lt;secondary-title&gt;Age and Ageing&lt;/secondary-title&gt;&lt;/titles&gt;&lt;periodical&gt;&lt;full-title&gt;Age and ageing&lt;/full-title&gt;&lt;/periodical&gt;&lt;pages&gt;16-31&lt;/pages&gt;&lt;volume&gt;48&lt;/volume&gt;&lt;number&gt;1&lt;/number&gt;&lt;dates&gt;&lt;year&gt;2019&lt;/year&gt;&lt;/dates&gt;&lt;isbn&gt;0002-0729&lt;/isbn&gt;&lt;urls&gt;&lt;related-urls&gt;&lt;url&gt;http://dx.doi.org/10.1093/ageing/afy169&lt;/url&gt;&lt;/related-urls&gt;&lt;/urls&gt;&lt;electronic-resource-num&gt;10.1093/ageing/afy169&lt;/electronic-resource-num&gt;&lt;/record&gt;&lt;/Cite&gt;&lt;/EndNote&gt;</w:instrText>
      </w:r>
      <w:r w:rsidRPr="00F42B1D">
        <w:fldChar w:fldCharType="separate"/>
      </w:r>
      <w:r w:rsidR="00EB6EA4">
        <w:rPr>
          <w:noProof/>
        </w:rPr>
        <w:t>(</w:t>
      </w:r>
      <w:hyperlink w:anchor="_ENREF_63" w:tooltip="Cruz-Jentoft, 2019 #35" w:history="1">
        <w:r w:rsidR="00EB6EA4">
          <w:rPr>
            <w:noProof/>
          </w:rPr>
          <w:t>63</w:t>
        </w:r>
      </w:hyperlink>
      <w:r w:rsidR="00EB6EA4">
        <w:rPr>
          <w:noProof/>
        </w:rPr>
        <w:t>)</w:t>
      </w:r>
      <w:r w:rsidRPr="00F42B1D">
        <w:fldChar w:fldCharType="end"/>
      </w:r>
      <w:r w:rsidR="007501B9">
        <w:t xml:space="preserve">. </w:t>
      </w:r>
      <w:r w:rsidRPr="00F42B1D">
        <w:t xml:space="preserve">Measures categorised as ‘weak’ based on thresholds for </w:t>
      </w:r>
      <w:r w:rsidR="00EF6E9B">
        <w:t>men</w:t>
      </w:r>
      <w:r w:rsidRPr="00F42B1D">
        <w:t xml:space="preserve"> not in residential </w:t>
      </w:r>
      <w:r w:rsidR="00812C48">
        <w:t>aged care</w:t>
      </w:r>
      <w:r w:rsidRPr="00F42B1D">
        <w:t xml:space="preserve"> between 70 -99 years are  &lt;21.3kg and &lt;14.7 kg for women of the same age not in residential </w:t>
      </w:r>
      <w:r w:rsidR="00812C48">
        <w:t>aged care</w:t>
      </w:r>
      <w:r w:rsidRPr="00F42B1D">
        <w:t>.</w:t>
      </w:r>
      <w:r w:rsidRPr="00F42B1D">
        <w:fldChar w:fldCharType="begin"/>
      </w:r>
      <w:r w:rsidR="00EB6EA4">
        <w:instrText xml:space="preserve"> ADDIN EN.CITE &lt;EndNote&gt;&lt;Cite&gt;&lt;Author&gt;Roush&lt;/Author&gt;&lt;Year&gt;2017&lt;/Year&gt;&lt;RecNum&gt;44&lt;/RecNum&gt;&lt;DisplayText&gt;(64)&lt;/DisplayText&gt;&lt;record&gt;&lt;rec-number&gt;44&lt;/rec-number&gt;&lt;foreign-keys&gt;&lt;key app="EN" db-id="9s5z5ped05vxdnede99vfsxhtzavzdzs2d5r" timestamp="1597382577"&gt;44&lt;/key&gt;&lt;/foreign-keys&gt;&lt;ref-type name="Journal Article"&gt;17&lt;/ref-type&gt;&lt;contributors&gt;&lt;authors&gt;&lt;author&gt;Roush, James R&lt;/author&gt;&lt;author&gt;Gombold, Kaylee L&lt;/author&gt;&lt;author&gt;Bay, R Curtis&lt;/author&gt;&lt;/authors&gt;&lt;/contributors&gt;&lt;titles&gt;&lt;title&gt;Normative grip strength values in males and females, ages 50 to 89 years old&lt;/title&gt;&lt;secondary-title&gt;Internet Journal of Allied Health Sciences and Practice&lt;/secondary-title&gt;&lt;/titles&gt;&lt;pages&gt;7&lt;/pages&gt;&lt;volume&gt;16&lt;/volume&gt;&lt;number&gt;1&lt;/number&gt;&lt;dates&gt;&lt;year&gt;2017&lt;/year&gt;&lt;/dates&gt;&lt;isbn&gt;1540-580X&lt;/isbn&gt;&lt;urls&gt;&lt;/urls&gt;&lt;/record&gt;&lt;/Cite&gt;&lt;/EndNote&gt;</w:instrText>
      </w:r>
      <w:r w:rsidRPr="00F42B1D">
        <w:fldChar w:fldCharType="separate"/>
      </w:r>
      <w:r w:rsidR="00EB6EA4">
        <w:rPr>
          <w:noProof/>
        </w:rPr>
        <w:t>(</w:t>
      </w:r>
      <w:hyperlink w:anchor="_ENREF_64" w:tooltip="Roush, 2017 #44" w:history="1">
        <w:r w:rsidR="00EB6EA4">
          <w:rPr>
            <w:noProof/>
          </w:rPr>
          <w:t>64</w:t>
        </w:r>
      </w:hyperlink>
      <w:r w:rsidR="00EB6EA4">
        <w:rPr>
          <w:noProof/>
        </w:rPr>
        <w:t>)</w:t>
      </w:r>
      <w:r w:rsidRPr="00F42B1D">
        <w:fldChar w:fldCharType="end"/>
      </w:r>
    </w:p>
    <w:p w14:paraId="5C5245BD" w14:textId="77777777" w:rsidR="006D39A1" w:rsidRPr="00F42B1D" w:rsidRDefault="006D39A1" w:rsidP="008F1E88">
      <w:pPr>
        <w:pStyle w:val="Heading5"/>
      </w:pPr>
      <w:r w:rsidRPr="00F42B1D">
        <w:t>iv) Change in weight</w:t>
      </w:r>
    </w:p>
    <w:p w14:paraId="5B4A5387" w14:textId="77777777" w:rsidR="006D39A1" w:rsidRPr="00F42B1D" w:rsidRDefault="006D39A1" w:rsidP="007501B9">
      <w:r w:rsidRPr="00F42B1D">
        <w:t>Data on the weight of participants were extracted from the resident serial weight chart, which forms part of the Resident Care Assessment Record.</w:t>
      </w:r>
    </w:p>
    <w:p w14:paraId="4D734326" w14:textId="77777777" w:rsidR="006D39A1" w:rsidRPr="00F42B1D" w:rsidRDefault="006D39A1" w:rsidP="008F1E88">
      <w:pPr>
        <w:pStyle w:val="Heading5"/>
      </w:pPr>
      <w:r w:rsidRPr="00F42B1D">
        <w:t xml:space="preserve">v) Percentage robust, pre-frail, and frail </w:t>
      </w:r>
    </w:p>
    <w:p w14:paraId="59E3F23A" w14:textId="61BB29E3" w:rsidR="006D39A1" w:rsidRPr="00F42B1D" w:rsidRDefault="006D39A1" w:rsidP="007501B9">
      <w:r w:rsidRPr="00F42B1D">
        <w:t>The proportion of participants who were frail, pre-frail or robust was measured using the frailty phenotype.</w:t>
      </w:r>
      <w:r w:rsidRPr="00F42B1D">
        <w:fldChar w:fldCharType="begin"/>
      </w:r>
      <w:r w:rsidR="00EB6EA4">
        <w:instrText xml:space="preserve"> ADDIN EN.CITE &lt;EndNote&gt;&lt;Cite&gt;&lt;Author&gt;Villafane&lt;/Author&gt;&lt;Year&gt;2014&lt;/Year&gt;&lt;RecNum&gt;36&lt;/RecNum&gt;&lt;DisplayText&gt;(65)&lt;/DisplayText&gt;&lt;record&gt;&lt;rec-number&gt;36&lt;/rec-number&gt;&lt;foreign-keys&gt;&lt;key app="EN" db-id="9s5z5ped05vxdnede99vfsxhtzavzdzs2d5r" timestamp="1597381998"&gt;36&lt;/key&gt;&lt;/foreign-keys&gt;&lt;ref-type name="Journal Article"&gt;17&lt;/ref-type&gt;&lt;contributors&gt;&lt;authors&gt;&lt;author&gt;Villafane, J. H.&lt;/author&gt;&lt;author&gt;Valdes, K.&lt;/author&gt;&lt;author&gt;Bertozzi, L.&lt;/author&gt;&lt;author&gt;Negrini, S.&lt;/author&gt;&lt;/authors&gt;&lt;/contributors&gt;&lt;auth-address&gt;IRCCS Don Gnocchi Foundation, Milan, Italy.&amp;#xD;Hand Works Therapy, Sarasota, FL, USA.&amp;#xD;School of Physical Therapy, Alma Mater Studiorum, University of Bologna, Bologna, Italy.&amp;#xD;Department of Clinical and Experimental Sciences, University of Brescia, Brescia, Italy.&lt;/auth-address&gt;&lt;titles&gt;&lt;title&gt;Minimal Clinically Important Difference of Grip and Pinch Strength in Women With Thumb Carpometacarpal Osteoarthritis When Compared to Healthy Subjects&lt;/title&gt;&lt;secondary-title&gt;Rehabil Nurs&lt;/secondary-title&gt;&lt;alt-title&gt;Rehabilitation nursing : the official journal of the Association of Rehabilitation Nurses&lt;/alt-title&gt;&lt;/titles&gt;&lt;edition&gt;2015/01/06&lt;/edition&gt;&lt;dates&gt;&lt;year&gt;2014&lt;/year&gt;&lt;pub-dates&gt;&lt;date&gt;Dec 31&lt;/date&gt;&lt;/pub-dates&gt;&lt;/dates&gt;&lt;isbn&gt;2048-7940 (Electronic)&amp;#xD;0278-4807 (Linking)&lt;/isbn&gt;&lt;accession-num&gt;25557054&lt;/accession-num&gt;&lt;urls&gt;&lt;/urls&gt;&lt;electronic-resource-num&gt;10.1002/rnj.196&lt;/electronic-resource-num&gt;&lt;remote-database-provider&gt;NLM&lt;/remote-database-provider&gt;&lt;language&gt;Eng&lt;/language&gt;&lt;/record&gt;&lt;/Cite&gt;&lt;/EndNote&gt;</w:instrText>
      </w:r>
      <w:r w:rsidRPr="00F42B1D">
        <w:fldChar w:fldCharType="separate"/>
      </w:r>
      <w:r w:rsidR="00EB6EA4">
        <w:rPr>
          <w:noProof/>
        </w:rPr>
        <w:t>(</w:t>
      </w:r>
      <w:hyperlink w:anchor="_ENREF_65" w:tooltip="Villafane, 2014 #36" w:history="1">
        <w:r w:rsidR="00EB6EA4">
          <w:rPr>
            <w:noProof/>
          </w:rPr>
          <w:t>65</w:t>
        </w:r>
      </w:hyperlink>
      <w:r w:rsidR="00EB6EA4">
        <w:rPr>
          <w:noProof/>
        </w:rPr>
        <w:t>)</w:t>
      </w:r>
      <w:r w:rsidRPr="00F42B1D">
        <w:fldChar w:fldCharType="end"/>
      </w:r>
      <w:r w:rsidRPr="00F42B1D">
        <w:t xml:space="preserve"> </w:t>
      </w:r>
      <w:r w:rsidR="00531A90" w:rsidRPr="00F42B1D">
        <w:t xml:space="preserve"> </w:t>
      </w:r>
      <w:r w:rsidRPr="00F42B1D">
        <w:t>The frailty phenotype comprises five criteria: unintentional weight loss, low grip strength, self-rated exhaustion, low walking time and low physical activity</w:t>
      </w:r>
      <w:r w:rsidR="007501B9">
        <w:t xml:space="preserve">. </w:t>
      </w:r>
      <w:r w:rsidRPr="00F42B1D">
        <w:t xml:space="preserve">In the frailty phenotype, individuals </w:t>
      </w:r>
      <w:r w:rsidR="00EF6E9B">
        <w:t>were</w:t>
      </w:r>
      <w:r w:rsidRPr="00F42B1D">
        <w:t xml:space="preserve"> classified as frail if they meet three or more of the five criteria, and pre-fail if they have one or two attributes. Individuals who meet none of the cri</w:t>
      </w:r>
      <w:r w:rsidR="00531A90" w:rsidRPr="00F42B1D">
        <w:t>teria are classified as robust</w:t>
      </w:r>
      <w:r w:rsidR="007501B9">
        <w:t xml:space="preserve">. </w:t>
      </w:r>
      <w:r w:rsidR="00EF6E9B">
        <w:t>D</w:t>
      </w:r>
      <w:r w:rsidR="00575F22" w:rsidRPr="00F42B1D">
        <w:t xml:space="preserve">ue to </w:t>
      </w:r>
      <w:r w:rsidR="009A23B0">
        <w:t xml:space="preserve">access </w:t>
      </w:r>
      <w:r w:rsidR="00575F22" w:rsidRPr="00F42B1D">
        <w:t>limitations with data collection at 12 Months, frailty phenotype was not reported in the final analysis.</w:t>
      </w:r>
    </w:p>
    <w:p w14:paraId="18D08AB7" w14:textId="77777777" w:rsidR="006D39A1" w:rsidRPr="00F42B1D" w:rsidRDefault="006D39A1" w:rsidP="008F1E88">
      <w:pPr>
        <w:pStyle w:val="Heading5"/>
      </w:pPr>
      <w:r w:rsidRPr="00F42B1D">
        <w:t>vi) Rate of adverse medicine events</w:t>
      </w:r>
      <w:r w:rsidR="0031484E" w:rsidRPr="00F42B1D">
        <w:t>.</w:t>
      </w:r>
    </w:p>
    <w:p w14:paraId="13665AB0" w14:textId="4B73301E" w:rsidR="006D39A1" w:rsidRPr="00F42B1D" w:rsidRDefault="006D39A1" w:rsidP="007501B9">
      <w:r w:rsidRPr="00F42B1D">
        <w:t xml:space="preserve">The rate of adverse medicine events was measured as a composite outcome of </w:t>
      </w:r>
      <w:r w:rsidR="00EF6E9B">
        <w:t>adverse medicine events judge</w:t>
      </w:r>
      <w:r w:rsidR="00F22EAA">
        <w:t>d</w:t>
      </w:r>
      <w:r w:rsidR="00EF6E9B">
        <w:t xml:space="preserve"> by a clinical panel to be p</w:t>
      </w:r>
      <w:r w:rsidR="00F22EAA">
        <w:t xml:space="preserve">ossibly, </w:t>
      </w:r>
      <w:proofErr w:type="gramStart"/>
      <w:r w:rsidR="00F22EAA">
        <w:t>probably</w:t>
      </w:r>
      <w:proofErr w:type="gramEnd"/>
      <w:r w:rsidR="00F22EAA">
        <w:t xml:space="preserve"> or definitely</w:t>
      </w:r>
      <w:r w:rsidRPr="00F42B1D">
        <w:t xml:space="preserve"> </w:t>
      </w:r>
      <w:r w:rsidR="00EF6E9B">
        <w:t>medicine induced</w:t>
      </w:r>
      <w:r w:rsidR="007501B9">
        <w:t xml:space="preserve">. </w:t>
      </w:r>
      <w:r w:rsidR="00EF6E9B">
        <w:t xml:space="preserve">Adverse events were extracted from the care record and include events such as </w:t>
      </w:r>
      <w:r w:rsidRPr="00F42B1D">
        <w:t xml:space="preserve">falls (non-injurious and injurious including fractures), </w:t>
      </w:r>
      <w:r w:rsidR="00920415" w:rsidRPr="00F42B1D">
        <w:t xml:space="preserve">bleeding and bruising, </w:t>
      </w:r>
      <w:r w:rsidRPr="00F42B1D">
        <w:t>delirium,</w:t>
      </w:r>
      <w:r w:rsidR="00920415" w:rsidRPr="00F42B1D">
        <w:t xml:space="preserve"> confusion, dizziness,</w:t>
      </w:r>
      <w:r w:rsidRPr="00F42B1D">
        <w:t xml:space="preserve"> faecal impaction</w:t>
      </w:r>
      <w:r w:rsidR="007501B9">
        <w:t xml:space="preserve">. </w:t>
      </w:r>
      <w:r w:rsidR="00EF6E9B">
        <w:t xml:space="preserve">An independent clinical panel subsequently judged </w:t>
      </w:r>
      <w:r w:rsidR="00EF6E9B">
        <w:lastRenderedPageBreak/>
        <w:t>the events to be medicine related or not</w:t>
      </w:r>
      <w:r w:rsidR="007501B9">
        <w:t xml:space="preserve">. </w:t>
      </w:r>
      <w:r w:rsidRPr="00F42B1D">
        <w:t xml:space="preserve">The number of adverse medicine events per 100 </w:t>
      </w:r>
      <w:r w:rsidR="00D11D97" w:rsidRPr="00F42B1D">
        <w:t>resident</w:t>
      </w:r>
      <w:r w:rsidRPr="00F42B1D">
        <w:t xml:space="preserve"> months is reported.</w:t>
      </w:r>
    </w:p>
    <w:p w14:paraId="58B1BAFF" w14:textId="77777777" w:rsidR="006D39A1" w:rsidRPr="00F42B1D" w:rsidRDefault="006D39A1" w:rsidP="008F1E88">
      <w:pPr>
        <w:pStyle w:val="Heading5"/>
      </w:pPr>
      <w:r w:rsidRPr="00F42B1D">
        <w:t xml:space="preserve">vii) Change in </w:t>
      </w:r>
      <w:proofErr w:type="gramStart"/>
      <w:r w:rsidRPr="00F42B1D">
        <w:t>health related</w:t>
      </w:r>
      <w:proofErr w:type="gramEnd"/>
      <w:r w:rsidRPr="00F42B1D">
        <w:t xml:space="preserve"> quality of life</w:t>
      </w:r>
      <w:r w:rsidR="0031484E" w:rsidRPr="00F42B1D">
        <w:t>.</w:t>
      </w:r>
    </w:p>
    <w:p w14:paraId="355FB728" w14:textId="1D3B5741" w:rsidR="006D39A1" w:rsidRPr="00F42B1D" w:rsidRDefault="006D39A1" w:rsidP="007501B9">
      <w:r w:rsidRPr="00F42B1D">
        <w:t>Health related quality of life was assessed using the EQ-5D</w:t>
      </w:r>
      <w:r w:rsidR="007501B9">
        <w:t xml:space="preserve">. </w:t>
      </w:r>
      <w:r w:rsidRPr="00F42B1D">
        <w:t>The EQ-5D is a simple generic health related quality of life measure which provides utility weights enabling cost-effectiveness analysis.</w:t>
      </w:r>
      <w:r w:rsidRPr="00F42B1D">
        <w:fldChar w:fldCharType="begin"/>
      </w:r>
      <w:r w:rsidR="00EB6EA4">
        <w:instrText xml:space="preserve"> ADDIN EN.CITE &lt;EndNote&gt;&lt;Cite&gt;&lt;Author&gt;Rabin&lt;/Author&gt;&lt;Year&gt;2001&lt;/Year&gt;&lt;RecNum&gt;37&lt;/RecNum&gt;&lt;DisplayText&gt;(66)&lt;/DisplayText&gt;&lt;record&gt;&lt;rec-number&gt;37&lt;/rec-number&gt;&lt;foreign-keys&gt;&lt;key app="EN" db-id="9s5z5ped05vxdnede99vfsxhtzavzdzs2d5r" timestamp="1597381999"&gt;37&lt;/key&gt;&lt;/foreign-keys&gt;&lt;ref-type name="Journal Article"&gt;17&lt;/ref-type&gt;&lt;contributors&gt;&lt;authors&gt;&lt;author&gt;Rabin, R.&lt;/author&gt;&lt;author&gt;de Charro, F.&lt;/author&gt;&lt;/authors&gt;&lt;/contributors&gt;&lt;auth-address&gt;Erasmus University Rotterdam, Centre for Health Policy and Law, The Netherlands.&lt;/auth-address&gt;&lt;titles&gt;&lt;title&gt;EQ-5D: a measure of health status from the EuroQol Group&lt;/title&gt;&lt;secondary-title&gt;Ann Med&lt;/secondary-title&gt;&lt;alt-title&gt;Annals of medicine&lt;/alt-title&gt;&lt;/titles&gt;&lt;pages&gt;337-43&lt;/pages&gt;&lt;volume&gt;33&lt;/volume&gt;&lt;number&gt;5&lt;/number&gt;&lt;edition&gt;2001/08/09&lt;/edition&gt;&lt;keywords&gt;&lt;keyword&gt;Europe&lt;/keyword&gt;&lt;keyword&gt;Global Health&lt;/keyword&gt;&lt;keyword&gt;Health Status&lt;/keyword&gt;&lt;keyword&gt;Humans&lt;/keyword&gt;&lt;keyword&gt;Quality of Life&lt;/keyword&gt;&lt;keyword&gt;Reference Standards&lt;/keyword&gt;&lt;keyword&gt;Surveys and Questionnaires&lt;/keyword&gt;&lt;keyword&gt;Translations&lt;/keyword&gt;&lt;/keywords&gt;&lt;dates&gt;&lt;year&gt;2001&lt;/year&gt;&lt;pub-dates&gt;&lt;date&gt;Jul&lt;/date&gt;&lt;/pub-dates&gt;&lt;/dates&gt;&lt;isbn&gt;0785-3890 (Print)&amp;#xD;0785-3890 (Linking)&lt;/isbn&gt;&lt;accession-num&gt;11491192&lt;/accession-num&gt;&lt;urls&gt;&lt;/urls&gt;&lt;remote-database-provider&gt;NLM&lt;/remote-database-provider&gt;&lt;language&gt;Eng&lt;/language&gt;&lt;/record&gt;&lt;/Cite&gt;&lt;/EndNote&gt;</w:instrText>
      </w:r>
      <w:r w:rsidRPr="00F42B1D">
        <w:fldChar w:fldCharType="separate"/>
      </w:r>
      <w:r w:rsidR="00EB6EA4">
        <w:rPr>
          <w:noProof/>
        </w:rPr>
        <w:t>(</w:t>
      </w:r>
      <w:hyperlink w:anchor="_ENREF_66" w:tooltip="Rabin, 2001 #37" w:history="1">
        <w:r w:rsidR="00EB6EA4">
          <w:rPr>
            <w:noProof/>
          </w:rPr>
          <w:t>66</w:t>
        </w:r>
      </w:hyperlink>
      <w:r w:rsidR="00EB6EA4">
        <w:rPr>
          <w:noProof/>
        </w:rPr>
        <w:t>)</w:t>
      </w:r>
      <w:r w:rsidRPr="00F42B1D">
        <w:fldChar w:fldCharType="end"/>
      </w:r>
      <w:r w:rsidRPr="00F42B1D">
        <w:t xml:space="preserve"> </w:t>
      </w:r>
      <w:r w:rsidR="00531A90" w:rsidRPr="00F42B1D">
        <w:t xml:space="preserve"> </w:t>
      </w:r>
      <w:r w:rsidRPr="00F42B1D">
        <w:t>The questionnaire contains five dimensions (mobility, self-care, usual activities, pain or discomfort, anxiety or depression) and a visual analogue scale (range 0 to 100) rep</w:t>
      </w:r>
      <w:r w:rsidR="0031484E" w:rsidRPr="00F42B1D">
        <w:t>resenting current health state.</w:t>
      </w:r>
    </w:p>
    <w:p w14:paraId="3402504D" w14:textId="729844EF" w:rsidR="006D39A1" w:rsidRPr="00F42B1D" w:rsidRDefault="006D39A1" w:rsidP="007501B9">
      <w:r w:rsidRPr="00F42B1D">
        <w:t xml:space="preserve">The EQ-5D-5L defines a total of 3125 health states, which are converted into a single index using the Index Value Calculator developed by the </w:t>
      </w:r>
      <w:proofErr w:type="spellStart"/>
      <w:r w:rsidRPr="00F42B1D">
        <w:t>EuroQol</w:t>
      </w:r>
      <w:proofErr w:type="spellEnd"/>
      <w:r w:rsidRPr="00F42B1D">
        <w:t xml:space="preserve"> Group.</w:t>
      </w:r>
      <w:r w:rsidRPr="00F42B1D">
        <w:fldChar w:fldCharType="begin"/>
      </w:r>
      <w:r w:rsidR="00EB6EA4">
        <w:instrText xml:space="preserve"> ADDIN EN.CITE &lt;EndNote&gt;&lt;Cite&gt;&lt;Author&gt;Van Hout&lt;/Author&gt;&lt;Year&gt;2012&lt;/Year&gt;&lt;RecNum&gt;69&lt;/RecNum&gt;&lt;DisplayText&gt;(67)&lt;/DisplayText&gt;&lt;record&gt;&lt;rec-number&gt;69&lt;/rec-number&gt;&lt;foreign-keys&gt;&lt;key app="EN" db-id="9s5z5ped05vxdnede99vfsxhtzavzdzs2d5r" timestamp="1615942982"&gt;69&lt;/key&gt;&lt;/foreign-keys&gt;&lt;ref-type name="Journal Article"&gt;17&lt;/ref-type&gt;&lt;contributors&gt;&lt;authors&gt;&lt;author&gt;Van Hout, Ben&lt;/author&gt;&lt;author&gt;Janssen, MF&lt;/author&gt;&lt;author&gt;Feng, You-Shan&lt;/author&gt;&lt;author&gt;Kohlmann, Thomas&lt;/author&gt;&lt;author&gt;Busschbach, Jan&lt;/author&gt;&lt;author&gt;Golicki, Dominik&lt;/author&gt;&lt;author&gt;Lloyd, Andrew&lt;/author&gt;&lt;author&gt;Scalone, Luciana&lt;/author&gt;&lt;author&gt;Kind, Paul&lt;/author&gt;&lt;author&gt;Pickard, A Simon&lt;/author&gt;&lt;/authors&gt;&lt;/contributors&gt;&lt;titles&gt;&lt;title&gt;Interim scoring for the EQ-5D-5L: mapping the EQ-5D-5L to EQ-5D-3L value sets&lt;/title&gt;&lt;secondary-title&gt;Value in health&lt;/secondary-title&gt;&lt;/titles&gt;&lt;periodical&gt;&lt;full-title&gt;Value in Health&lt;/full-title&gt;&lt;/periodical&gt;&lt;pages&gt;708-715&lt;/pages&gt;&lt;volume&gt;15&lt;/volume&gt;&lt;number&gt;5&lt;/number&gt;&lt;dates&gt;&lt;year&gt;2012&lt;/year&gt;&lt;/dates&gt;&lt;isbn&gt;1098-3015&lt;/isbn&gt;&lt;urls&gt;&lt;/urls&gt;&lt;/record&gt;&lt;/Cite&gt;&lt;Cite&gt;&lt;Author&gt;Van Hout&lt;/Author&gt;&lt;Year&gt;2012&lt;/Year&gt;&lt;RecNum&gt;69&lt;/RecNum&gt;&lt;record&gt;&lt;rec-number&gt;69&lt;/rec-number&gt;&lt;foreign-keys&gt;&lt;key app="EN" db-id="9s5z5ped05vxdnede99vfsxhtzavzdzs2d5r" timestamp="1615942982"&gt;69&lt;/key&gt;&lt;/foreign-keys&gt;&lt;ref-type name="Journal Article"&gt;17&lt;/ref-type&gt;&lt;contributors&gt;&lt;authors&gt;&lt;author&gt;Van Hout, Ben&lt;/author&gt;&lt;author&gt;Janssen, MF&lt;/author&gt;&lt;author&gt;Feng, You-Shan&lt;/author&gt;&lt;author&gt;Kohlmann, Thomas&lt;/author&gt;&lt;author&gt;Busschbach, Jan&lt;/author&gt;&lt;author&gt;Golicki, Dominik&lt;/author&gt;&lt;author&gt;Lloyd, Andrew&lt;/author&gt;&lt;author&gt;Scalone, Luciana&lt;/author&gt;&lt;author&gt;Kind, Paul&lt;/author&gt;&lt;author&gt;Pickard, A Simon&lt;/author&gt;&lt;/authors&gt;&lt;/contributors&gt;&lt;titles&gt;&lt;title&gt;Interim scoring for the EQ-5D-5L: mapping the EQ-5D-5L to EQ-5D-3L value sets&lt;/title&gt;&lt;secondary-title&gt;Value in health&lt;/secondary-title&gt;&lt;/titles&gt;&lt;periodical&gt;&lt;full-title&gt;Value in Health&lt;/full-title&gt;&lt;/periodical&gt;&lt;pages&gt;708-715&lt;/pages&gt;&lt;volume&gt;15&lt;/volume&gt;&lt;number&gt;5&lt;/number&gt;&lt;dates&gt;&lt;year&gt;2012&lt;/year&gt;&lt;/dates&gt;&lt;isbn&gt;1098-3015&lt;/isbn&gt;&lt;urls&gt;&lt;/urls&gt;&lt;/record&gt;&lt;/Cite&gt;&lt;/EndNote&gt;</w:instrText>
      </w:r>
      <w:r w:rsidRPr="00F42B1D">
        <w:fldChar w:fldCharType="separate"/>
      </w:r>
      <w:r w:rsidR="00EB6EA4">
        <w:rPr>
          <w:noProof/>
        </w:rPr>
        <w:t>(</w:t>
      </w:r>
      <w:hyperlink w:anchor="_ENREF_67" w:tooltip="Van Hout, 2012 #69" w:history="1">
        <w:r w:rsidR="00EB6EA4">
          <w:rPr>
            <w:noProof/>
          </w:rPr>
          <w:t>67</w:t>
        </w:r>
      </w:hyperlink>
      <w:r w:rsidR="00EB6EA4">
        <w:rPr>
          <w:noProof/>
        </w:rPr>
        <w:t>)</w:t>
      </w:r>
      <w:r w:rsidRPr="00F42B1D">
        <w:fldChar w:fldCharType="end"/>
      </w:r>
      <w:r w:rsidRPr="00F42B1D">
        <w:t xml:space="preserve"> </w:t>
      </w:r>
      <w:r w:rsidR="00531A90" w:rsidRPr="00F42B1D">
        <w:t xml:space="preserve"> </w:t>
      </w:r>
      <w:r w:rsidRPr="00F42B1D">
        <w:t>Reference data for the Australian population have not been generated, thus, the interim scoring for EQ-5D-5L from the cross-walk value set of the United Kingdom is the recommended comparator and was used for this analysis.</w:t>
      </w:r>
      <w:r w:rsidR="00FF4718" w:rsidRPr="00F42B1D" w:rsidDel="00FF4718">
        <w:t xml:space="preserve"> </w:t>
      </w:r>
      <w:r w:rsidR="00FF4718">
        <w:fldChar w:fldCharType="begin"/>
      </w:r>
      <w:r w:rsidR="00EB6EA4">
        <w:instrText xml:space="preserve"> ADDIN EN.CITE &lt;EndNote&gt;&lt;Cite&gt;&lt;Author&gt;Van Hout&lt;/Author&gt;&lt;Year&gt;2012&lt;/Year&gt;&lt;RecNum&gt;69&lt;/RecNum&gt;&lt;DisplayText&gt;(67)&lt;/DisplayText&gt;&lt;record&gt;&lt;rec-number&gt;69&lt;/rec-number&gt;&lt;foreign-keys&gt;&lt;key app="EN" db-id="9s5z5ped05vxdnede99vfsxhtzavzdzs2d5r" timestamp="1615942982"&gt;69&lt;/key&gt;&lt;/foreign-keys&gt;&lt;ref-type name="Journal Article"&gt;17&lt;/ref-type&gt;&lt;contributors&gt;&lt;authors&gt;&lt;author&gt;Van Hout, Ben&lt;/author&gt;&lt;author&gt;Janssen, MF&lt;/author&gt;&lt;author&gt;Feng, You-Shan&lt;/author&gt;&lt;author&gt;Kohlmann, Thomas&lt;/author&gt;&lt;author&gt;Busschbach, Jan&lt;/author&gt;&lt;author&gt;Golicki, Dominik&lt;/author&gt;&lt;author&gt;Lloyd, Andrew&lt;/author&gt;&lt;author&gt;Scalone, Luciana&lt;/author&gt;&lt;author&gt;Kind, Paul&lt;/author&gt;&lt;author&gt;Pickard, A Simon&lt;/author&gt;&lt;/authors&gt;&lt;/contributors&gt;&lt;titles&gt;&lt;title&gt;Interim scoring for the EQ-5D-5L: mapping the EQ-5D-5L to EQ-5D-3L value sets&lt;/title&gt;&lt;secondary-title&gt;Value in health&lt;/secondary-title&gt;&lt;/titles&gt;&lt;periodical&gt;&lt;full-title&gt;Value in Health&lt;/full-title&gt;&lt;/periodical&gt;&lt;pages&gt;708-715&lt;/pages&gt;&lt;volume&gt;15&lt;/volume&gt;&lt;number&gt;5&lt;/number&gt;&lt;dates&gt;&lt;year&gt;2012&lt;/year&gt;&lt;/dates&gt;&lt;isbn&gt;1098-3015&lt;/isbn&gt;&lt;urls&gt;&lt;/urls&gt;&lt;/record&gt;&lt;/Cite&gt;&lt;/EndNote&gt;</w:instrText>
      </w:r>
      <w:r w:rsidR="00FF4718">
        <w:fldChar w:fldCharType="separate"/>
      </w:r>
      <w:r w:rsidR="00EB6EA4">
        <w:rPr>
          <w:noProof/>
        </w:rPr>
        <w:t>(</w:t>
      </w:r>
      <w:hyperlink w:anchor="_ENREF_67" w:tooltip="Van Hout, 2012 #69" w:history="1">
        <w:r w:rsidR="00EB6EA4">
          <w:rPr>
            <w:noProof/>
          </w:rPr>
          <w:t>67</w:t>
        </w:r>
      </w:hyperlink>
      <w:r w:rsidR="00EB6EA4">
        <w:rPr>
          <w:noProof/>
        </w:rPr>
        <w:t>)</w:t>
      </w:r>
      <w:r w:rsidR="00FF4718">
        <w:fldChar w:fldCharType="end"/>
      </w:r>
    </w:p>
    <w:p w14:paraId="57CF5A7C" w14:textId="77777777" w:rsidR="006D39A1" w:rsidRPr="00F42B1D" w:rsidRDefault="006D39A1" w:rsidP="008F1E88">
      <w:pPr>
        <w:pStyle w:val="Heading5"/>
      </w:pPr>
      <w:r w:rsidRPr="00F42B1D">
        <w:t>viii) Change in health resource use, including costs and net costs/savings associated with the intervention</w:t>
      </w:r>
      <w:r w:rsidR="0031484E" w:rsidRPr="00F42B1D">
        <w:t>.</w:t>
      </w:r>
    </w:p>
    <w:p w14:paraId="48CF2FF2" w14:textId="756831E0" w:rsidR="006D39A1" w:rsidRPr="00F42B1D" w:rsidRDefault="006D39A1" w:rsidP="007501B9">
      <w:r w:rsidRPr="00F42B1D">
        <w:t>Data were collected on intervention-associated resource use, including pharmacist, doctor, nursing and care staff time, changes in medication and non-medication management and resource use associated with any adverse events</w:t>
      </w:r>
      <w:r w:rsidR="007501B9">
        <w:t xml:space="preserve">. </w:t>
      </w:r>
      <w:r w:rsidR="00DE7A29">
        <w:t>D</w:t>
      </w:r>
      <w:r w:rsidRPr="00F42B1D">
        <w:t>ata were obtained on health resource use based on administrative billing data for Pharmaceutical Benefits Sch</w:t>
      </w:r>
      <w:r w:rsidR="007D621B">
        <w:t>e</w:t>
      </w:r>
      <w:r w:rsidR="00F462B9">
        <w:t>me</w:t>
      </w:r>
      <w:r w:rsidRPr="00F42B1D">
        <w:t xml:space="preserve">, Medicare Benefits </w:t>
      </w:r>
      <w:proofErr w:type="gramStart"/>
      <w:r w:rsidRPr="00F42B1D">
        <w:t>Sche</w:t>
      </w:r>
      <w:r w:rsidR="007D621B">
        <w:t>dule</w:t>
      </w:r>
      <w:proofErr w:type="gramEnd"/>
      <w:r w:rsidRPr="00F42B1D">
        <w:t xml:space="preserve"> and public hospital services</w:t>
      </w:r>
      <w:r w:rsidR="007501B9">
        <w:t xml:space="preserve">. </w:t>
      </w:r>
      <w:r w:rsidRPr="00F42B1D">
        <w:t xml:space="preserve">The </w:t>
      </w:r>
      <w:r w:rsidR="00812C48">
        <w:t>Aged care</w:t>
      </w:r>
      <w:r w:rsidRPr="00F42B1D">
        <w:t xml:space="preserve"> Funding Instrument was </w:t>
      </w:r>
      <w:r w:rsidR="0031484E" w:rsidRPr="00F42B1D">
        <w:t xml:space="preserve">used to inform </w:t>
      </w:r>
      <w:r w:rsidR="00812C48">
        <w:t>aged care</w:t>
      </w:r>
      <w:r w:rsidR="0031484E" w:rsidRPr="00F42B1D">
        <w:t xml:space="preserve"> costs.</w:t>
      </w:r>
    </w:p>
    <w:p w14:paraId="79631A20" w14:textId="77777777" w:rsidR="006D39A1" w:rsidRPr="00F42B1D" w:rsidRDefault="006D39A1" w:rsidP="00F22EAA">
      <w:pPr>
        <w:pStyle w:val="Heading4"/>
        <w:spacing w:line="276" w:lineRule="auto"/>
      </w:pPr>
      <w:r w:rsidRPr="00F42B1D">
        <w:t>Follow up</w:t>
      </w:r>
    </w:p>
    <w:p w14:paraId="69EE30CA" w14:textId="77777777" w:rsidR="006D39A1" w:rsidRPr="00F42B1D" w:rsidRDefault="006D39A1" w:rsidP="007501B9">
      <w:r w:rsidRPr="00F42B1D">
        <w:t>All participants undertook follow-up assessments at six and twelve months.</w:t>
      </w:r>
      <w:bookmarkStart w:id="143" w:name="_Toc514157676"/>
    </w:p>
    <w:p w14:paraId="71D29643" w14:textId="77777777" w:rsidR="006D39A1" w:rsidRPr="00F42B1D" w:rsidRDefault="006D39A1" w:rsidP="00F22EAA">
      <w:pPr>
        <w:pStyle w:val="Heading4"/>
        <w:spacing w:line="276" w:lineRule="auto"/>
      </w:pPr>
      <w:r w:rsidRPr="00F42B1D">
        <w:t>Stakeholder satisfaction</w:t>
      </w:r>
    </w:p>
    <w:p w14:paraId="36DB8339" w14:textId="0BB7E64F" w:rsidR="006D39A1" w:rsidRPr="00F42B1D" w:rsidRDefault="006D39A1" w:rsidP="007501B9">
      <w:r w:rsidRPr="00F42B1D">
        <w:t xml:space="preserve">Stakeholder interviews or focus groups with 7 trial participants, 4 residential </w:t>
      </w:r>
      <w:r w:rsidR="00812C48">
        <w:t>aged care</w:t>
      </w:r>
      <w:r w:rsidRPr="00F42B1D">
        <w:t xml:space="preserve"> staff, 4 general practitioners and 6 pharmacists were undertaken to determine participant satisfaction with the service, barriers and enablers to participation and potential for application of the service more widely</w:t>
      </w:r>
      <w:r w:rsidR="007501B9">
        <w:t xml:space="preserve">. </w:t>
      </w:r>
      <w:r w:rsidRPr="00F42B1D">
        <w:t>In addition, all pharmacists were provided with a survey to evaluate</w:t>
      </w:r>
      <w:r w:rsidR="0031484E" w:rsidRPr="00F42B1D">
        <w:t xml:space="preserve"> the training </w:t>
      </w:r>
      <w:r w:rsidR="003E7D5C" w:rsidRPr="00F42B1D">
        <w:t>for the</w:t>
      </w:r>
      <w:r w:rsidR="0031484E" w:rsidRPr="00F42B1D">
        <w:t xml:space="preserve"> intervention</w:t>
      </w:r>
      <w:r w:rsidR="00531A90" w:rsidRPr="00F42B1D">
        <w:t>, and 56% responded</w:t>
      </w:r>
      <w:r w:rsidR="0031484E" w:rsidRPr="00F42B1D">
        <w:t>.</w:t>
      </w:r>
    </w:p>
    <w:p w14:paraId="1E45F75A" w14:textId="77777777" w:rsidR="006D39A1" w:rsidRPr="00426FDD" w:rsidRDefault="006D39A1" w:rsidP="00F22EAA">
      <w:pPr>
        <w:pStyle w:val="Heading4"/>
        <w:spacing w:line="276" w:lineRule="auto"/>
      </w:pPr>
      <w:r w:rsidRPr="00426FDD">
        <w:t>Consent to link data</w:t>
      </w:r>
      <w:bookmarkEnd w:id="143"/>
    </w:p>
    <w:p w14:paraId="7D2F02C5" w14:textId="2CB644F9" w:rsidR="006D39A1" w:rsidRPr="00F42B1D" w:rsidRDefault="006D39A1" w:rsidP="007501B9">
      <w:r w:rsidRPr="00F42B1D">
        <w:t xml:space="preserve">Written consent was obtained from residents to </w:t>
      </w:r>
      <w:r w:rsidR="00F22EAA">
        <w:t xml:space="preserve">access their Medicare </w:t>
      </w:r>
      <w:r w:rsidRPr="00F42B1D">
        <w:t xml:space="preserve">Benefits </w:t>
      </w:r>
      <w:r w:rsidR="00DE7A29">
        <w:t>Sc</w:t>
      </w:r>
      <w:r w:rsidR="007D621B">
        <w:t xml:space="preserve">hedule </w:t>
      </w:r>
      <w:r w:rsidRPr="00F42B1D">
        <w:t>(MBS)</w:t>
      </w:r>
      <w:r w:rsidR="00DE7A29">
        <w:t xml:space="preserve"> and</w:t>
      </w:r>
      <w:r w:rsidRPr="00F42B1D">
        <w:t xml:space="preserve"> Pharmaceutical Benefits S</w:t>
      </w:r>
      <w:r w:rsidR="007D621B">
        <w:t>che</w:t>
      </w:r>
      <w:r w:rsidR="00F462B9">
        <w:t xml:space="preserve">me </w:t>
      </w:r>
      <w:r w:rsidRPr="00F42B1D">
        <w:t xml:space="preserve">(PBS) </w:t>
      </w:r>
      <w:r w:rsidR="00DE7A29">
        <w:t>data from Services Australia</w:t>
      </w:r>
      <w:r w:rsidR="007501B9">
        <w:t xml:space="preserve">. </w:t>
      </w:r>
      <w:r w:rsidR="00DE7A29">
        <w:t>C</w:t>
      </w:r>
      <w:r w:rsidRPr="00F42B1D">
        <w:t xml:space="preserve">onsent </w:t>
      </w:r>
      <w:r w:rsidRPr="00F42B1D">
        <w:lastRenderedPageBreak/>
        <w:t xml:space="preserve">was obtained or </w:t>
      </w:r>
      <w:r w:rsidR="00531A90" w:rsidRPr="00F42B1D">
        <w:t xml:space="preserve">a </w:t>
      </w:r>
      <w:r w:rsidRPr="00F42B1D">
        <w:t xml:space="preserve">waiver for consent was approved to obtain state hospital data through the respective </w:t>
      </w:r>
      <w:r w:rsidR="00A123FF">
        <w:t xml:space="preserve">state health </w:t>
      </w:r>
      <w:r w:rsidRPr="00F42B1D">
        <w:t>data custodians.</w:t>
      </w:r>
    </w:p>
    <w:p w14:paraId="0F8A3FEC" w14:textId="5CCCA4C6" w:rsidR="006D39A1" w:rsidRPr="00426FDD" w:rsidRDefault="006D39A1" w:rsidP="00F22EAA">
      <w:pPr>
        <w:pStyle w:val="Heading4"/>
        <w:spacing w:line="276" w:lineRule="auto"/>
      </w:pPr>
      <w:r w:rsidRPr="00426FDD">
        <w:t>Data collection</w:t>
      </w:r>
      <w:bookmarkEnd w:id="138"/>
      <w:r w:rsidRPr="00426FDD">
        <w:t xml:space="preserve"> and storage</w:t>
      </w:r>
    </w:p>
    <w:p w14:paraId="45C2FA0E" w14:textId="02393650" w:rsidR="006D39A1" w:rsidRPr="00F42B1D" w:rsidRDefault="009902AC" w:rsidP="007501B9">
      <w:r w:rsidRPr="00F42B1D">
        <w:t xml:space="preserve">Table </w:t>
      </w:r>
      <w:r w:rsidR="003E7D5C" w:rsidRPr="00F42B1D">
        <w:t>B-</w:t>
      </w:r>
      <w:r w:rsidR="008B7D3E">
        <w:t>2</w:t>
      </w:r>
      <w:r w:rsidR="006D39A1" w:rsidRPr="00F42B1D">
        <w:t xml:space="preserve"> outlines the data that were collected throughout the trial period</w:t>
      </w:r>
      <w:r w:rsidR="007501B9">
        <w:t xml:space="preserve">. </w:t>
      </w:r>
      <w:r w:rsidR="006D39A1" w:rsidRPr="00F42B1D">
        <w:t xml:space="preserve">Research assistants at the </w:t>
      </w:r>
      <w:r w:rsidR="00812C48">
        <w:t>aged care</w:t>
      </w:r>
      <w:r w:rsidR="006D39A1" w:rsidRPr="00F42B1D">
        <w:t xml:space="preserve"> facilities or independent to the facilities were responsible for collecting data for all participants at baseline, six </w:t>
      </w:r>
      <w:proofErr w:type="gramStart"/>
      <w:r w:rsidR="006D39A1" w:rsidRPr="00F42B1D">
        <w:t>months</w:t>
      </w:r>
      <w:proofErr w:type="gramEnd"/>
      <w:r w:rsidR="006D39A1" w:rsidRPr="00F42B1D">
        <w:t xml:space="preserve"> and twelve months</w:t>
      </w:r>
      <w:r w:rsidR="007501B9">
        <w:t xml:space="preserve">. </w:t>
      </w:r>
      <w:r w:rsidR="006D39A1" w:rsidRPr="00F42B1D">
        <w:t>Data were entered into a custom-built web-based data</w:t>
      </w:r>
      <w:r w:rsidR="009A23B0">
        <w:t xml:space="preserve"> management information system.</w:t>
      </w:r>
    </w:p>
    <w:p w14:paraId="63FFC333" w14:textId="6569FA21" w:rsidR="006D39A1" w:rsidRPr="00F42B1D" w:rsidRDefault="006D39A1" w:rsidP="007501B9">
      <w:r w:rsidRPr="00F42B1D">
        <w:t>The research assistants received training on the protocol and procedures, administration of trial measures and completion of the electronic case report forms</w:t>
      </w:r>
      <w:r w:rsidR="007501B9">
        <w:t xml:space="preserve">. </w:t>
      </w:r>
      <w:r w:rsidRPr="00F42B1D">
        <w:t>Standard operating procedure manuals were supplied for the research assistants to ensure consistency in trial operation.</w:t>
      </w:r>
    </w:p>
    <w:p w14:paraId="4AA94D91" w14:textId="581F1EFD" w:rsidR="006D39A1" w:rsidRPr="00C5693F" w:rsidRDefault="006D39A1" w:rsidP="007501B9">
      <w:r w:rsidRPr="00F42B1D">
        <w:t xml:space="preserve">The pharmacists were responsible for collecting data on medicine changes, medicine-induced </w:t>
      </w:r>
      <w:proofErr w:type="gramStart"/>
      <w:r w:rsidRPr="00F42B1D">
        <w:t>deterioration</w:t>
      </w:r>
      <w:proofErr w:type="gramEnd"/>
      <w:r w:rsidRPr="00F42B1D">
        <w:t xml:space="preserve"> and adverse events during the sessional pharmacist visits</w:t>
      </w:r>
      <w:r w:rsidR="007501B9">
        <w:t xml:space="preserve">. </w:t>
      </w:r>
      <w:r w:rsidRPr="00F42B1D">
        <w:t>Data are stored in secure settings at the Quality Use of Medicines and Pharmacy Research Centre, University of South Australia</w:t>
      </w:r>
      <w:r w:rsidR="007501B9">
        <w:t xml:space="preserve">. </w:t>
      </w:r>
      <w:r w:rsidRPr="00F42B1D">
        <w:t>All trial data are stored securely in a de-identified format.</w:t>
      </w:r>
    </w:p>
    <w:tbl>
      <w:tblPr>
        <w:tblStyle w:val="ListTable3"/>
        <w:tblW w:w="0" w:type="auto"/>
        <w:tblLook w:val="04A0" w:firstRow="1" w:lastRow="0" w:firstColumn="1" w:lastColumn="0" w:noHBand="0" w:noVBand="1"/>
        <w:tblCaption w:val="Table B-1. Assessment and pharmacist schedule"/>
        <w:tblDescription w:val="Table describes the tasks (or assessments) that need to be performed during the ReMInDAR trial and indicates when in the timeline they should be done."/>
      </w:tblPr>
      <w:tblGrid>
        <w:gridCol w:w="3940"/>
        <w:gridCol w:w="1726"/>
        <w:gridCol w:w="1717"/>
        <w:gridCol w:w="1633"/>
      </w:tblGrid>
      <w:tr w:rsidR="006D39A1" w:rsidRPr="008F1E88" w14:paraId="7A9307E6" w14:textId="77777777" w:rsidTr="008F1E8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auto"/>
          </w:tcPr>
          <w:p w14:paraId="5C118FD6" w14:textId="77777777" w:rsidR="006D39A1" w:rsidRPr="008F1E88" w:rsidRDefault="006D39A1" w:rsidP="008F1E88">
            <w:pPr>
              <w:pStyle w:val="TableHeader"/>
              <w:rPr>
                <w:b/>
              </w:rPr>
            </w:pPr>
            <w:bookmarkStart w:id="144" w:name="Title_1"/>
            <w:bookmarkEnd w:id="144"/>
            <w:r w:rsidRPr="008F1E88">
              <w:rPr>
                <w:b/>
              </w:rPr>
              <w:t xml:space="preserve">Task </w:t>
            </w:r>
          </w:p>
        </w:tc>
        <w:tc>
          <w:tcPr>
            <w:tcW w:w="0" w:type="auto"/>
          </w:tcPr>
          <w:p w14:paraId="28C7EE9E" w14:textId="77777777" w:rsidR="006D39A1" w:rsidRPr="008F1E88" w:rsidRDefault="006D39A1" w:rsidP="008F1E88">
            <w:pPr>
              <w:pStyle w:val="TableHeader"/>
              <w:cnfStyle w:val="100000000000" w:firstRow="1" w:lastRow="0" w:firstColumn="0" w:lastColumn="0" w:oddVBand="0" w:evenVBand="0" w:oddHBand="0" w:evenHBand="0" w:firstRowFirstColumn="0" w:firstRowLastColumn="0" w:lastRowFirstColumn="0" w:lastRowLastColumn="0"/>
              <w:rPr>
                <w:b/>
              </w:rPr>
            </w:pPr>
            <w:r w:rsidRPr="008F1E88">
              <w:rPr>
                <w:b/>
              </w:rPr>
              <w:t>Screening &amp; baseline</w:t>
            </w:r>
          </w:p>
        </w:tc>
        <w:tc>
          <w:tcPr>
            <w:tcW w:w="0" w:type="auto"/>
          </w:tcPr>
          <w:p w14:paraId="1919F021" w14:textId="2AFEBCFB" w:rsidR="006D39A1" w:rsidRPr="008F1E88" w:rsidRDefault="006D39A1" w:rsidP="008F1E88">
            <w:pPr>
              <w:pStyle w:val="TableHeader"/>
              <w:cnfStyle w:val="100000000000" w:firstRow="1" w:lastRow="0" w:firstColumn="0" w:lastColumn="0" w:oddVBand="0" w:evenVBand="0" w:oddHBand="0" w:evenHBand="0" w:firstRowFirstColumn="0" w:firstRowLastColumn="0" w:lastRowFirstColumn="0" w:lastRowLastColumn="0"/>
              <w:rPr>
                <w:b/>
              </w:rPr>
            </w:pPr>
            <w:r w:rsidRPr="008F1E88">
              <w:rPr>
                <w:b/>
              </w:rPr>
              <w:t>Pharmacist service</w:t>
            </w:r>
          </w:p>
        </w:tc>
        <w:tc>
          <w:tcPr>
            <w:tcW w:w="0" w:type="auto"/>
          </w:tcPr>
          <w:p w14:paraId="131DD578" w14:textId="77777777" w:rsidR="006D39A1" w:rsidRPr="008F1E88" w:rsidRDefault="006D39A1" w:rsidP="008F1E88">
            <w:pPr>
              <w:pStyle w:val="TableHeader"/>
              <w:cnfStyle w:val="100000000000" w:firstRow="1" w:lastRow="0" w:firstColumn="0" w:lastColumn="0" w:oddVBand="0" w:evenVBand="0" w:oddHBand="0" w:evenHBand="0" w:firstRowFirstColumn="0" w:firstRowLastColumn="0" w:lastRowFirstColumn="0" w:lastRowLastColumn="0"/>
              <w:rPr>
                <w:b/>
              </w:rPr>
            </w:pPr>
            <w:r w:rsidRPr="008F1E88">
              <w:rPr>
                <w:b/>
              </w:rPr>
              <w:t>Outcome measures</w:t>
            </w:r>
          </w:p>
        </w:tc>
      </w:tr>
      <w:tr w:rsidR="006D39A1" w:rsidRPr="00DE7A29" w14:paraId="73934AF5" w14:textId="77777777" w:rsidTr="008F1E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A3024E" w14:textId="77777777" w:rsidR="006D39A1" w:rsidRPr="008F1E88" w:rsidRDefault="006D39A1" w:rsidP="008F1E88">
            <w:pPr>
              <w:pStyle w:val="Tabletext1"/>
              <w:rPr>
                <w:b w:val="0"/>
                <w:bCs w:val="0"/>
                <w:lang w:eastAsia="nl-NL"/>
              </w:rPr>
            </w:pPr>
            <w:r w:rsidRPr="008F1E88">
              <w:rPr>
                <w:b w:val="0"/>
                <w:bCs w:val="0"/>
                <w:lang w:eastAsia="nl-NL"/>
              </w:rPr>
              <w:t>Timeline (month)</w:t>
            </w:r>
          </w:p>
        </w:tc>
        <w:tc>
          <w:tcPr>
            <w:tcW w:w="0" w:type="auto"/>
          </w:tcPr>
          <w:p w14:paraId="099C5F01" w14:textId="77777777" w:rsidR="006D39A1" w:rsidRPr="00DE7A29" w:rsidRDefault="006D39A1" w:rsidP="008F1E88">
            <w:pPr>
              <w:pStyle w:val="Tabletext1"/>
              <w:cnfStyle w:val="000000100000" w:firstRow="0" w:lastRow="0" w:firstColumn="0" w:lastColumn="0" w:oddVBand="0" w:evenVBand="0" w:oddHBand="1" w:evenHBand="0" w:firstRowFirstColumn="0" w:firstRowLastColumn="0" w:lastRowFirstColumn="0" w:lastRowLastColumn="0"/>
              <w:rPr>
                <w:bCs/>
                <w:lang w:eastAsia="nl-NL"/>
              </w:rPr>
            </w:pPr>
            <w:r w:rsidRPr="00DE7A29">
              <w:rPr>
                <w:lang w:eastAsia="nl-NL"/>
              </w:rPr>
              <w:t>At trial entry</w:t>
            </w:r>
          </w:p>
        </w:tc>
        <w:tc>
          <w:tcPr>
            <w:tcW w:w="0" w:type="auto"/>
          </w:tcPr>
          <w:p w14:paraId="4EF555CC" w14:textId="77777777" w:rsidR="006D39A1" w:rsidRPr="00DE7A29" w:rsidRDefault="006D39A1" w:rsidP="008F1E88">
            <w:pPr>
              <w:pStyle w:val="Tabletext1"/>
              <w:cnfStyle w:val="000000100000" w:firstRow="0" w:lastRow="0" w:firstColumn="0" w:lastColumn="0" w:oddVBand="0" w:evenVBand="0" w:oddHBand="1" w:evenHBand="0" w:firstRowFirstColumn="0" w:firstRowLastColumn="0" w:lastRowFirstColumn="0" w:lastRowLastColumn="0"/>
              <w:rPr>
                <w:lang w:eastAsia="nl-NL"/>
              </w:rPr>
            </w:pPr>
            <w:r w:rsidRPr="00DE7A29">
              <w:rPr>
                <w:lang w:eastAsia="nl-NL"/>
              </w:rPr>
              <w:t>Every 8 weeks</w:t>
            </w:r>
          </w:p>
        </w:tc>
        <w:tc>
          <w:tcPr>
            <w:tcW w:w="0" w:type="auto"/>
          </w:tcPr>
          <w:p w14:paraId="34E941EF" w14:textId="77777777" w:rsidR="006D39A1" w:rsidRPr="00DE7A29" w:rsidRDefault="006D39A1" w:rsidP="008F1E88">
            <w:pPr>
              <w:pStyle w:val="Tabletext1"/>
              <w:cnfStyle w:val="000000100000" w:firstRow="0" w:lastRow="0" w:firstColumn="0" w:lastColumn="0" w:oddVBand="0" w:evenVBand="0" w:oddHBand="1" w:evenHBand="0" w:firstRowFirstColumn="0" w:firstRowLastColumn="0" w:lastRowFirstColumn="0" w:lastRowLastColumn="0"/>
              <w:rPr>
                <w:lang w:eastAsia="nl-NL"/>
              </w:rPr>
            </w:pPr>
            <w:r w:rsidRPr="00DE7A29">
              <w:rPr>
                <w:lang w:eastAsia="nl-NL"/>
              </w:rPr>
              <w:t>6 &amp; 12 months</w:t>
            </w:r>
          </w:p>
        </w:tc>
      </w:tr>
      <w:tr w:rsidR="006D39A1" w:rsidRPr="00DE7A29" w14:paraId="4B54AF91" w14:textId="77777777" w:rsidTr="008F1E88">
        <w:tc>
          <w:tcPr>
            <w:cnfStyle w:val="001000000000" w:firstRow="0" w:lastRow="0" w:firstColumn="1" w:lastColumn="0" w:oddVBand="0" w:evenVBand="0" w:oddHBand="0" w:evenHBand="0" w:firstRowFirstColumn="0" w:firstRowLastColumn="0" w:lastRowFirstColumn="0" w:lastRowLastColumn="0"/>
            <w:tcW w:w="0" w:type="auto"/>
          </w:tcPr>
          <w:p w14:paraId="74AF90BD" w14:textId="77777777" w:rsidR="006D39A1" w:rsidRPr="008F1E88" w:rsidRDefault="006D39A1" w:rsidP="008F1E88">
            <w:pPr>
              <w:pStyle w:val="Tabletext1"/>
              <w:rPr>
                <w:b w:val="0"/>
                <w:bCs w:val="0"/>
                <w:vertAlign w:val="superscript"/>
                <w:lang w:eastAsia="nl-NL"/>
              </w:rPr>
            </w:pPr>
            <w:r w:rsidRPr="008F1E88">
              <w:rPr>
                <w:b w:val="0"/>
                <w:bCs w:val="0"/>
                <w:lang w:eastAsia="nl-NL"/>
              </w:rPr>
              <w:t>Assess eligibility to enter trial</w:t>
            </w:r>
          </w:p>
        </w:tc>
        <w:tc>
          <w:tcPr>
            <w:tcW w:w="0" w:type="auto"/>
          </w:tcPr>
          <w:p w14:paraId="0E5086B1" w14:textId="77777777" w:rsidR="006D39A1" w:rsidRPr="00DE7A29" w:rsidRDefault="006D39A1" w:rsidP="008F1E88">
            <w:pPr>
              <w:pStyle w:val="Tabletext1"/>
              <w:cnfStyle w:val="000000000000" w:firstRow="0" w:lastRow="0" w:firstColumn="0" w:lastColumn="0" w:oddVBand="0" w:evenVBand="0" w:oddHBand="0" w:evenHBand="0" w:firstRowFirstColumn="0" w:firstRowLastColumn="0" w:lastRowFirstColumn="0" w:lastRowLastColumn="0"/>
              <w:rPr>
                <w:lang w:eastAsia="nl-NL"/>
              </w:rPr>
            </w:pPr>
            <w:r w:rsidRPr="00DE7A29">
              <w:rPr>
                <w:lang w:eastAsia="nl-NL"/>
              </w:rPr>
              <w:t>x</w:t>
            </w:r>
          </w:p>
        </w:tc>
        <w:tc>
          <w:tcPr>
            <w:tcW w:w="0" w:type="auto"/>
          </w:tcPr>
          <w:p w14:paraId="424BFAA9" w14:textId="77777777" w:rsidR="006D39A1" w:rsidRPr="00DE7A29" w:rsidRDefault="006D39A1" w:rsidP="008F1E88">
            <w:pPr>
              <w:pStyle w:val="Tabletext1"/>
              <w:cnfStyle w:val="000000000000" w:firstRow="0" w:lastRow="0" w:firstColumn="0" w:lastColumn="0" w:oddVBand="0" w:evenVBand="0" w:oddHBand="0" w:evenHBand="0" w:firstRowFirstColumn="0" w:firstRowLastColumn="0" w:lastRowFirstColumn="0" w:lastRowLastColumn="0"/>
              <w:rPr>
                <w:rFonts w:ascii="Arial Narrow" w:hAnsi="Arial Narrow"/>
                <w:lang w:eastAsia="nl-NL"/>
              </w:rPr>
            </w:pPr>
          </w:p>
        </w:tc>
        <w:tc>
          <w:tcPr>
            <w:tcW w:w="0" w:type="auto"/>
          </w:tcPr>
          <w:p w14:paraId="77DBEE5F" w14:textId="77777777" w:rsidR="006D39A1" w:rsidRPr="00DE7A29" w:rsidRDefault="006D39A1" w:rsidP="008F1E88">
            <w:pPr>
              <w:pStyle w:val="Tabletext1"/>
              <w:cnfStyle w:val="000000000000" w:firstRow="0" w:lastRow="0" w:firstColumn="0" w:lastColumn="0" w:oddVBand="0" w:evenVBand="0" w:oddHBand="0" w:evenHBand="0" w:firstRowFirstColumn="0" w:firstRowLastColumn="0" w:lastRowFirstColumn="0" w:lastRowLastColumn="0"/>
              <w:rPr>
                <w:rFonts w:ascii="Arial Narrow" w:hAnsi="Arial Narrow"/>
                <w:lang w:eastAsia="nl-NL"/>
              </w:rPr>
            </w:pPr>
          </w:p>
        </w:tc>
      </w:tr>
      <w:tr w:rsidR="006D39A1" w:rsidRPr="00DE7A29" w14:paraId="633FA9B8" w14:textId="77777777" w:rsidTr="008F1E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E02DAA" w14:textId="77777777" w:rsidR="006D39A1" w:rsidRPr="008F1E88" w:rsidRDefault="006D39A1" w:rsidP="008F1E88">
            <w:pPr>
              <w:pStyle w:val="Tabletext1"/>
              <w:rPr>
                <w:b w:val="0"/>
                <w:bCs w:val="0"/>
                <w:lang w:eastAsia="nl-NL"/>
              </w:rPr>
            </w:pPr>
            <w:r w:rsidRPr="008F1E88">
              <w:rPr>
                <w:b w:val="0"/>
                <w:bCs w:val="0"/>
                <w:lang w:eastAsia="nl-NL"/>
              </w:rPr>
              <w:t>Demographics, medical history, Resident Care Assessment Record</w:t>
            </w:r>
          </w:p>
        </w:tc>
        <w:tc>
          <w:tcPr>
            <w:tcW w:w="0" w:type="auto"/>
          </w:tcPr>
          <w:p w14:paraId="55447A05" w14:textId="77777777" w:rsidR="006D39A1" w:rsidRPr="00DE7A29" w:rsidRDefault="006D39A1" w:rsidP="008F1E88">
            <w:pPr>
              <w:pStyle w:val="Tabletext1"/>
              <w:cnfStyle w:val="000000100000" w:firstRow="0" w:lastRow="0" w:firstColumn="0" w:lastColumn="0" w:oddVBand="0" w:evenVBand="0" w:oddHBand="1" w:evenHBand="0" w:firstRowFirstColumn="0" w:firstRowLastColumn="0" w:lastRowFirstColumn="0" w:lastRowLastColumn="0"/>
              <w:rPr>
                <w:lang w:eastAsia="nl-NL"/>
              </w:rPr>
            </w:pPr>
            <w:r w:rsidRPr="00DE7A29">
              <w:rPr>
                <w:lang w:eastAsia="nl-NL"/>
              </w:rPr>
              <w:t>x</w:t>
            </w:r>
          </w:p>
        </w:tc>
        <w:tc>
          <w:tcPr>
            <w:tcW w:w="0" w:type="auto"/>
          </w:tcPr>
          <w:p w14:paraId="3F09F28D" w14:textId="77777777" w:rsidR="006D39A1" w:rsidRPr="00DE7A29" w:rsidRDefault="006D39A1" w:rsidP="008F1E88">
            <w:pPr>
              <w:pStyle w:val="Tabletext1"/>
              <w:cnfStyle w:val="000000100000" w:firstRow="0" w:lastRow="0" w:firstColumn="0" w:lastColumn="0" w:oddVBand="0" w:evenVBand="0" w:oddHBand="1" w:evenHBand="0" w:firstRowFirstColumn="0" w:firstRowLastColumn="0" w:lastRowFirstColumn="0" w:lastRowLastColumn="0"/>
              <w:rPr>
                <w:rFonts w:ascii="Arial Narrow" w:hAnsi="Arial Narrow"/>
                <w:lang w:eastAsia="nl-NL"/>
              </w:rPr>
            </w:pPr>
          </w:p>
        </w:tc>
        <w:tc>
          <w:tcPr>
            <w:tcW w:w="0" w:type="auto"/>
          </w:tcPr>
          <w:p w14:paraId="7BAAD1CD" w14:textId="77777777" w:rsidR="006D39A1" w:rsidRPr="00DE7A29" w:rsidRDefault="006D39A1" w:rsidP="008F1E88">
            <w:pPr>
              <w:pStyle w:val="Tabletext1"/>
              <w:cnfStyle w:val="000000100000" w:firstRow="0" w:lastRow="0" w:firstColumn="0" w:lastColumn="0" w:oddVBand="0" w:evenVBand="0" w:oddHBand="1" w:evenHBand="0" w:firstRowFirstColumn="0" w:firstRowLastColumn="0" w:lastRowFirstColumn="0" w:lastRowLastColumn="0"/>
              <w:rPr>
                <w:rFonts w:ascii="Arial Narrow" w:hAnsi="Arial Narrow"/>
                <w:lang w:eastAsia="nl-NL"/>
              </w:rPr>
            </w:pPr>
          </w:p>
        </w:tc>
      </w:tr>
      <w:tr w:rsidR="006D39A1" w:rsidRPr="00DE7A29" w14:paraId="51BC641E" w14:textId="77777777" w:rsidTr="008F1E88">
        <w:tc>
          <w:tcPr>
            <w:cnfStyle w:val="001000000000" w:firstRow="0" w:lastRow="0" w:firstColumn="1" w:lastColumn="0" w:oddVBand="0" w:evenVBand="0" w:oddHBand="0" w:evenHBand="0" w:firstRowFirstColumn="0" w:firstRowLastColumn="0" w:lastRowFirstColumn="0" w:lastRowLastColumn="0"/>
            <w:tcW w:w="0" w:type="auto"/>
          </w:tcPr>
          <w:p w14:paraId="1C5EE89D" w14:textId="77777777" w:rsidR="006D39A1" w:rsidRPr="008F1E88" w:rsidRDefault="006D39A1" w:rsidP="008F1E88">
            <w:pPr>
              <w:pStyle w:val="Tabletext1"/>
              <w:rPr>
                <w:b w:val="0"/>
                <w:bCs w:val="0"/>
                <w:vertAlign w:val="superscript"/>
                <w:lang w:eastAsia="nl-NL"/>
              </w:rPr>
            </w:pPr>
            <w:r w:rsidRPr="008F1E88">
              <w:rPr>
                <w:b w:val="0"/>
                <w:bCs w:val="0"/>
                <w:lang w:eastAsia="nl-NL"/>
              </w:rPr>
              <w:t>Randomisation</w:t>
            </w:r>
          </w:p>
        </w:tc>
        <w:tc>
          <w:tcPr>
            <w:tcW w:w="0" w:type="auto"/>
          </w:tcPr>
          <w:p w14:paraId="000E90AD" w14:textId="77777777" w:rsidR="006D39A1" w:rsidRPr="00DE7A29" w:rsidRDefault="006D39A1" w:rsidP="008F1E88">
            <w:pPr>
              <w:pStyle w:val="Tabletext1"/>
              <w:cnfStyle w:val="000000000000" w:firstRow="0" w:lastRow="0" w:firstColumn="0" w:lastColumn="0" w:oddVBand="0" w:evenVBand="0" w:oddHBand="0" w:evenHBand="0" w:firstRowFirstColumn="0" w:firstRowLastColumn="0" w:lastRowFirstColumn="0" w:lastRowLastColumn="0"/>
              <w:rPr>
                <w:lang w:eastAsia="nl-NL"/>
              </w:rPr>
            </w:pPr>
            <w:r w:rsidRPr="00DE7A29">
              <w:rPr>
                <w:lang w:eastAsia="nl-NL"/>
              </w:rPr>
              <w:t>x</w:t>
            </w:r>
          </w:p>
        </w:tc>
        <w:tc>
          <w:tcPr>
            <w:tcW w:w="0" w:type="auto"/>
          </w:tcPr>
          <w:p w14:paraId="49D0F4D2" w14:textId="77777777" w:rsidR="006D39A1" w:rsidRPr="00DE7A29" w:rsidRDefault="006D39A1" w:rsidP="008F1E88">
            <w:pPr>
              <w:pStyle w:val="Tabletext1"/>
              <w:cnfStyle w:val="000000000000" w:firstRow="0" w:lastRow="0" w:firstColumn="0" w:lastColumn="0" w:oddVBand="0" w:evenVBand="0" w:oddHBand="0" w:evenHBand="0" w:firstRowFirstColumn="0" w:firstRowLastColumn="0" w:lastRowFirstColumn="0" w:lastRowLastColumn="0"/>
              <w:rPr>
                <w:rFonts w:ascii="Arial Narrow" w:hAnsi="Arial Narrow"/>
                <w:lang w:eastAsia="nl-NL"/>
              </w:rPr>
            </w:pPr>
          </w:p>
        </w:tc>
        <w:tc>
          <w:tcPr>
            <w:tcW w:w="0" w:type="auto"/>
          </w:tcPr>
          <w:p w14:paraId="704CEA10" w14:textId="77777777" w:rsidR="006D39A1" w:rsidRPr="00DE7A29" w:rsidRDefault="006D39A1" w:rsidP="008F1E88">
            <w:pPr>
              <w:pStyle w:val="Tabletext1"/>
              <w:cnfStyle w:val="000000000000" w:firstRow="0" w:lastRow="0" w:firstColumn="0" w:lastColumn="0" w:oddVBand="0" w:evenVBand="0" w:oddHBand="0" w:evenHBand="0" w:firstRowFirstColumn="0" w:firstRowLastColumn="0" w:lastRowFirstColumn="0" w:lastRowLastColumn="0"/>
              <w:rPr>
                <w:rFonts w:ascii="Arial Narrow" w:hAnsi="Arial Narrow"/>
                <w:lang w:eastAsia="nl-NL"/>
              </w:rPr>
            </w:pPr>
          </w:p>
        </w:tc>
      </w:tr>
      <w:tr w:rsidR="006D39A1" w:rsidRPr="00DE7A29" w14:paraId="6DBE70F0" w14:textId="77777777" w:rsidTr="008F1E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59B9ED" w14:textId="77777777" w:rsidR="006D39A1" w:rsidRPr="008F1E88" w:rsidRDefault="006D39A1" w:rsidP="008F1E88">
            <w:pPr>
              <w:pStyle w:val="Tabletext1"/>
              <w:rPr>
                <w:b w:val="0"/>
                <w:bCs w:val="0"/>
                <w:lang w:eastAsia="nl-NL"/>
              </w:rPr>
            </w:pPr>
            <w:r w:rsidRPr="008F1E88">
              <w:rPr>
                <w:b w:val="0"/>
                <w:bCs w:val="0"/>
                <w:lang w:eastAsia="nl-NL"/>
              </w:rPr>
              <w:t>Frailty index</w:t>
            </w:r>
          </w:p>
        </w:tc>
        <w:tc>
          <w:tcPr>
            <w:tcW w:w="0" w:type="auto"/>
          </w:tcPr>
          <w:p w14:paraId="643E8992" w14:textId="77777777" w:rsidR="006D39A1" w:rsidRPr="00DE7A29" w:rsidRDefault="006D39A1" w:rsidP="008F1E88">
            <w:pPr>
              <w:pStyle w:val="Tabletext1"/>
              <w:cnfStyle w:val="000000100000" w:firstRow="0" w:lastRow="0" w:firstColumn="0" w:lastColumn="0" w:oddVBand="0" w:evenVBand="0" w:oddHBand="1" w:evenHBand="0" w:firstRowFirstColumn="0" w:firstRowLastColumn="0" w:lastRowFirstColumn="0" w:lastRowLastColumn="0"/>
              <w:rPr>
                <w:lang w:eastAsia="nl-NL"/>
              </w:rPr>
            </w:pPr>
            <w:r w:rsidRPr="00DE7A29">
              <w:rPr>
                <w:lang w:eastAsia="nl-NL"/>
              </w:rPr>
              <w:t>x</w:t>
            </w:r>
          </w:p>
        </w:tc>
        <w:tc>
          <w:tcPr>
            <w:tcW w:w="0" w:type="auto"/>
          </w:tcPr>
          <w:p w14:paraId="4E308306" w14:textId="77777777" w:rsidR="006D39A1" w:rsidRPr="00DE7A29" w:rsidRDefault="006D39A1" w:rsidP="008F1E88">
            <w:pPr>
              <w:pStyle w:val="Tabletext1"/>
              <w:cnfStyle w:val="000000100000" w:firstRow="0" w:lastRow="0" w:firstColumn="0" w:lastColumn="0" w:oddVBand="0" w:evenVBand="0" w:oddHBand="1" w:evenHBand="0" w:firstRowFirstColumn="0" w:firstRowLastColumn="0" w:lastRowFirstColumn="0" w:lastRowLastColumn="0"/>
              <w:rPr>
                <w:rFonts w:ascii="Arial Narrow" w:hAnsi="Arial Narrow"/>
                <w:lang w:eastAsia="nl-NL"/>
              </w:rPr>
            </w:pPr>
          </w:p>
        </w:tc>
        <w:tc>
          <w:tcPr>
            <w:tcW w:w="0" w:type="auto"/>
          </w:tcPr>
          <w:p w14:paraId="361F66FB" w14:textId="77777777" w:rsidR="006D39A1" w:rsidRPr="00DE7A29" w:rsidRDefault="006D39A1" w:rsidP="008F1E88">
            <w:pPr>
              <w:pStyle w:val="Tabletext1"/>
              <w:cnfStyle w:val="000000100000" w:firstRow="0" w:lastRow="0" w:firstColumn="0" w:lastColumn="0" w:oddVBand="0" w:evenVBand="0" w:oddHBand="1" w:evenHBand="0" w:firstRowFirstColumn="0" w:firstRowLastColumn="0" w:lastRowFirstColumn="0" w:lastRowLastColumn="0"/>
              <w:rPr>
                <w:lang w:eastAsia="nl-NL"/>
              </w:rPr>
            </w:pPr>
            <w:r w:rsidRPr="00DE7A29">
              <w:rPr>
                <w:lang w:eastAsia="nl-NL"/>
              </w:rPr>
              <w:t>x</w:t>
            </w:r>
          </w:p>
        </w:tc>
      </w:tr>
      <w:tr w:rsidR="006D39A1" w:rsidRPr="00DE7A29" w14:paraId="0C0C190B" w14:textId="77777777" w:rsidTr="008F1E88">
        <w:tc>
          <w:tcPr>
            <w:cnfStyle w:val="001000000000" w:firstRow="0" w:lastRow="0" w:firstColumn="1" w:lastColumn="0" w:oddVBand="0" w:evenVBand="0" w:oddHBand="0" w:evenHBand="0" w:firstRowFirstColumn="0" w:firstRowLastColumn="0" w:lastRowFirstColumn="0" w:lastRowLastColumn="0"/>
            <w:tcW w:w="0" w:type="auto"/>
          </w:tcPr>
          <w:p w14:paraId="3DFFAB83" w14:textId="77777777" w:rsidR="006D39A1" w:rsidRPr="008F1E88" w:rsidRDefault="006D39A1" w:rsidP="008F1E88">
            <w:pPr>
              <w:pStyle w:val="Tabletext1"/>
              <w:rPr>
                <w:b w:val="0"/>
                <w:bCs w:val="0"/>
                <w:lang w:eastAsia="nl-NL"/>
              </w:rPr>
            </w:pPr>
            <w:r w:rsidRPr="008F1E88">
              <w:rPr>
                <w:b w:val="0"/>
                <w:bCs w:val="0"/>
                <w:lang w:eastAsia="nl-NL"/>
              </w:rPr>
              <w:t>EQ-5D</w:t>
            </w:r>
          </w:p>
        </w:tc>
        <w:tc>
          <w:tcPr>
            <w:tcW w:w="0" w:type="auto"/>
          </w:tcPr>
          <w:p w14:paraId="1463920A" w14:textId="77777777" w:rsidR="006D39A1" w:rsidRPr="00DE7A29" w:rsidRDefault="006D39A1" w:rsidP="008F1E88">
            <w:pPr>
              <w:pStyle w:val="Tabletext1"/>
              <w:cnfStyle w:val="000000000000" w:firstRow="0" w:lastRow="0" w:firstColumn="0" w:lastColumn="0" w:oddVBand="0" w:evenVBand="0" w:oddHBand="0" w:evenHBand="0" w:firstRowFirstColumn="0" w:firstRowLastColumn="0" w:lastRowFirstColumn="0" w:lastRowLastColumn="0"/>
              <w:rPr>
                <w:lang w:eastAsia="nl-NL"/>
              </w:rPr>
            </w:pPr>
            <w:r w:rsidRPr="00DE7A29">
              <w:rPr>
                <w:lang w:eastAsia="nl-NL"/>
              </w:rPr>
              <w:t>x</w:t>
            </w:r>
          </w:p>
        </w:tc>
        <w:tc>
          <w:tcPr>
            <w:tcW w:w="0" w:type="auto"/>
          </w:tcPr>
          <w:p w14:paraId="4AE64E1E" w14:textId="77777777" w:rsidR="006D39A1" w:rsidRPr="00DE7A29" w:rsidRDefault="006D39A1" w:rsidP="008F1E88">
            <w:pPr>
              <w:pStyle w:val="Tabletext1"/>
              <w:cnfStyle w:val="000000000000" w:firstRow="0" w:lastRow="0" w:firstColumn="0" w:lastColumn="0" w:oddVBand="0" w:evenVBand="0" w:oddHBand="0" w:evenHBand="0" w:firstRowFirstColumn="0" w:firstRowLastColumn="0" w:lastRowFirstColumn="0" w:lastRowLastColumn="0"/>
              <w:rPr>
                <w:rFonts w:ascii="Arial Narrow" w:hAnsi="Arial Narrow"/>
                <w:lang w:eastAsia="nl-NL"/>
              </w:rPr>
            </w:pPr>
          </w:p>
        </w:tc>
        <w:tc>
          <w:tcPr>
            <w:tcW w:w="0" w:type="auto"/>
          </w:tcPr>
          <w:p w14:paraId="004FAF7E" w14:textId="77777777" w:rsidR="006D39A1" w:rsidRPr="00DE7A29" w:rsidRDefault="006D39A1" w:rsidP="008F1E88">
            <w:pPr>
              <w:pStyle w:val="Tabletext1"/>
              <w:cnfStyle w:val="000000000000" w:firstRow="0" w:lastRow="0" w:firstColumn="0" w:lastColumn="0" w:oddVBand="0" w:evenVBand="0" w:oddHBand="0" w:evenHBand="0" w:firstRowFirstColumn="0" w:firstRowLastColumn="0" w:lastRowFirstColumn="0" w:lastRowLastColumn="0"/>
              <w:rPr>
                <w:lang w:eastAsia="nl-NL"/>
              </w:rPr>
            </w:pPr>
            <w:r w:rsidRPr="00DE7A29">
              <w:rPr>
                <w:lang w:eastAsia="nl-NL"/>
              </w:rPr>
              <w:t>x</w:t>
            </w:r>
          </w:p>
        </w:tc>
      </w:tr>
      <w:tr w:rsidR="006D39A1" w:rsidRPr="00DE7A29" w14:paraId="240D5F72" w14:textId="77777777" w:rsidTr="008F1E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296B2D" w14:textId="77777777" w:rsidR="006D39A1" w:rsidRPr="008F1E88" w:rsidRDefault="006D39A1" w:rsidP="008F1E88">
            <w:pPr>
              <w:pStyle w:val="Tabletext1"/>
              <w:rPr>
                <w:b w:val="0"/>
                <w:bCs w:val="0"/>
                <w:lang w:eastAsia="nl-NL"/>
              </w:rPr>
            </w:pPr>
            <w:r w:rsidRPr="008F1E88">
              <w:rPr>
                <w:b w:val="0"/>
                <w:bCs w:val="0"/>
                <w:lang w:eastAsia="nl-NL"/>
              </w:rPr>
              <w:t>Health resource use</w:t>
            </w:r>
          </w:p>
        </w:tc>
        <w:tc>
          <w:tcPr>
            <w:tcW w:w="0" w:type="auto"/>
          </w:tcPr>
          <w:p w14:paraId="1B017DB3" w14:textId="77777777" w:rsidR="006D39A1" w:rsidRPr="00DE7A29" w:rsidRDefault="006D39A1" w:rsidP="008F1E88">
            <w:pPr>
              <w:pStyle w:val="Tabletext1"/>
              <w:cnfStyle w:val="000000100000" w:firstRow="0" w:lastRow="0" w:firstColumn="0" w:lastColumn="0" w:oddVBand="0" w:evenVBand="0" w:oddHBand="1" w:evenHBand="0" w:firstRowFirstColumn="0" w:firstRowLastColumn="0" w:lastRowFirstColumn="0" w:lastRowLastColumn="0"/>
              <w:rPr>
                <w:lang w:eastAsia="nl-NL"/>
              </w:rPr>
            </w:pPr>
            <w:r w:rsidRPr="00DE7A29">
              <w:rPr>
                <w:lang w:eastAsia="nl-NL"/>
              </w:rPr>
              <w:t>x</w:t>
            </w:r>
          </w:p>
        </w:tc>
        <w:tc>
          <w:tcPr>
            <w:tcW w:w="0" w:type="auto"/>
          </w:tcPr>
          <w:p w14:paraId="233FF6D9" w14:textId="77777777" w:rsidR="006D39A1" w:rsidRPr="00DE7A29" w:rsidRDefault="006D39A1" w:rsidP="008F1E88">
            <w:pPr>
              <w:pStyle w:val="Tabletext1"/>
              <w:cnfStyle w:val="000000100000" w:firstRow="0" w:lastRow="0" w:firstColumn="0" w:lastColumn="0" w:oddVBand="0" w:evenVBand="0" w:oddHBand="1" w:evenHBand="0" w:firstRowFirstColumn="0" w:firstRowLastColumn="0" w:lastRowFirstColumn="0" w:lastRowLastColumn="0"/>
              <w:rPr>
                <w:rFonts w:ascii="Arial Narrow" w:hAnsi="Arial Narrow"/>
                <w:lang w:eastAsia="nl-NL"/>
              </w:rPr>
            </w:pPr>
          </w:p>
        </w:tc>
        <w:tc>
          <w:tcPr>
            <w:tcW w:w="0" w:type="auto"/>
          </w:tcPr>
          <w:p w14:paraId="67EDACDC" w14:textId="77777777" w:rsidR="006D39A1" w:rsidRPr="00DE7A29" w:rsidRDefault="006D39A1" w:rsidP="008F1E88">
            <w:pPr>
              <w:pStyle w:val="Tabletext1"/>
              <w:cnfStyle w:val="000000100000" w:firstRow="0" w:lastRow="0" w:firstColumn="0" w:lastColumn="0" w:oddVBand="0" w:evenVBand="0" w:oddHBand="1" w:evenHBand="0" w:firstRowFirstColumn="0" w:firstRowLastColumn="0" w:lastRowFirstColumn="0" w:lastRowLastColumn="0"/>
              <w:rPr>
                <w:lang w:eastAsia="nl-NL"/>
              </w:rPr>
            </w:pPr>
            <w:r w:rsidRPr="00DE7A29">
              <w:rPr>
                <w:lang w:eastAsia="nl-NL"/>
              </w:rPr>
              <w:t>x</w:t>
            </w:r>
          </w:p>
        </w:tc>
      </w:tr>
      <w:tr w:rsidR="006D39A1" w:rsidRPr="00DE7A29" w14:paraId="1E97D474" w14:textId="77777777" w:rsidTr="008F1E88">
        <w:tc>
          <w:tcPr>
            <w:cnfStyle w:val="001000000000" w:firstRow="0" w:lastRow="0" w:firstColumn="1" w:lastColumn="0" w:oddVBand="0" w:evenVBand="0" w:oddHBand="0" w:evenHBand="0" w:firstRowFirstColumn="0" w:firstRowLastColumn="0" w:lastRowFirstColumn="0" w:lastRowLastColumn="0"/>
            <w:tcW w:w="0" w:type="auto"/>
          </w:tcPr>
          <w:p w14:paraId="301364FE" w14:textId="77777777" w:rsidR="006D39A1" w:rsidRPr="008F1E88" w:rsidRDefault="006D39A1" w:rsidP="008F1E88">
            <w:pPr>
              <w:pStyle w:val="Tabletext1"/>
              <w:rPr>
                <w:b w:val="0"/>
                <w:bCs w:val="0"/>
                <w:lang w:eastAsia="nl-NL"/>
              </w:rPr>
            </w:pPr>
            <w:r w:rsidRPr="008F1E88">
              <w:rPr>
                <w:b w:val="0"/>
                <w:bCs w:val="0"/>
                <w:lang w:eastAsia="nl-NL"/>
              </w:rPr>
              <w:t xml:space="preserve">Activity tracker - </w:t>
            </w:r>
            <w:proofErr w:type="spellStart"/>
            <w:r w:rsidRPr="008F1E88">
              <w:rPr>
                <w:b w:val="0"/>
                <w:bCs w:val="0"/>
                <w:lang w:eastAsia="nl-NL"/>
              </w:rPr>
              <w:t>GENEActiv</w:t>
            </w:r>
            <w:proofErr w:type="spellEnd"/>
          </w:p>
        </w:tc>
        <w:tc>
          <w:tcPr>
            <w:tcW w:w="0" w:type="auto"/>
          </w:tcPr>
          <w:p w14:paraId="7316302C" w14:textId="77777777" w:rsidR="006D39A1" w:rsidRPr="00DE7A29" w:rsidRDefault="006D39A1" w:rsidP="008F1E88">
            <w:pPr>
              <w:pStyle w:val="Tabletext1"/>
              <w:cnfStyle w:val="000000000000" w:firstRow="0" w:lastRow="0" w:firstColumn="0" w:lastColumn="0" w:oddVBand="0" w:evenVBand="0" w:oddHBand="0" w:evenHBand="0" w:firstRowFirstColumn="0" w:firstRowLastColumn="0" w:lastRowFirstColumn="0" w:lastRowLastColumn="0"/>
              <w:rPr>
                <w:lang w:eastAsia="nl-NL"/>
              </w:rPr>
            </w:pPr>
            <w:r w:rsidRPr="00DE7A29">
              <w:rPr>
                <w:lang w:eastAsia="nl-NL"/>
              </w:rPr>
              <w:t>x</w:t>
            </w:r>
          </w:p>
        </w:tc>
        <w:tc>
          <w:tcPr>
            <w:tcW w:w="0" w:type="auto"/>
          </w:tcPr>
          <w:p w14:paraId="35430843" w14:textId="77777777" w:rsidR="006D39A1" w:rsidRPr="00DE7A29" w:rsidRDefault="006D39A1" w:rsidP="008F1E88">
            <w:pPr>
              <w:pStyle w:val="Tabletext1"/>
              <w:cnfStyle w:val="000000000000" w:firstRow="0" w:lastRow="0" w:firstColumn="0" w:lastColumn="0" w:oddVBand="0" w:evenVBand="0" w:oddHBand="0" w:evenHBand="0" w:firstRowFirstColumn="0" w:firstRowLastColumn="0" w:lastRowFirstColumn="0" w:lastRowLastColumn="0"/>
              <w:rPr>
                <w:rFonts w:ascii="Arial Narrow" w:hAnsi="Arial Narrow"/>
                <w:lang w:eastAsia="nl-NL"/>
              </w:rPr>
            </w:pPr>
          </w:p>
        </w:tc>
        <w:tc>
          <w:tcPr>
            <w:tcW w:w="0" w:type="auto"/>
          </w:tcPr>
          <w:p w14:paraId="67A0CAFA" w14:textId="77777777" w:rsidR="006D39A1" w:rsidRPr="00DE7A29" w:rsidRDefault="006D39A1" w:rsidP="008F1E88">
            <w:pPr>
              <w:pStyle w:val="Tabletext1"/>
              <w:cnfStyle w:val="000000000000" w:firstRow="0" w:lastRow="0" w:firstColumn="0" w:lastColumn="0" w:oddVBand="0" w:evenVBand="0" w:oddHBand="0" w:evenHBand="0" w:firstRowFirstColumn="0" w:firstRowLastColumn="0" w:lastRowFirstColumn="0" w:lastRowLastColumn="0"/>
              <w:rPr>
                <w:lang w:eastAsia="nl-NL"/>
              </w:rPr>
            </w:pPr>
            <w:r w:rsidRPr="00DE7A29">
              <w:rPr>
                <w:lang w:eastAsia="nl-NL"/>
              </w:rPr>
              <w:t>x</w:t>
            </w:r>
          </w:p>
        </w:tc>
      </w:tr>
      <w:tr w:rsidR="006D39A1" w:rsidRPr="00DE7A29" w14:paraId="7B06566A" w14:textId="77777777" w:rsidTr="008F1E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1BE34BE" w14:textId="77777777" w:rsidR="006D39A1" w:rsidRPr="008F1E88" w:rsidRDefault="006D39A1" w:rsidP="008F1E88">
            <w:pPr>
              <w:pStyle w:val="Tabletext1"/>
              <w:rPr>
                <w:b w:val="0"/>
                <w:bCs w:val="0"/>
                <w:vertAlign w:val="superscript"/>
                <w:lang w:eastAsia="nl-NL"/>
              </w:rPr>
            </w:pPr>
            <w:r w:rsidRPr="008F1E88">
              <w:rPr>
                <w:b w:val="0"/>
                <w:bCs w:val="0"/>
                <w:lang w:eastAsia="nl-NL"/>
              </w:rPr>
              <w:t>Weight</w:t>
            </w:r>
          </w:p>
        </w:tc>
        <w:tc>
          <w:tcPr>
            <w:tcW w:w="0" w:type="auto"/>
          </w:tcPr>
          <w:p w14:paraId="38FA2541" w14:textId="77777777" w:rsidR="006D39A1" w:rsidRPr="00DE7A29" w:rsidRDefault="006D39A1" w:rsidP="008F1E88">
            <w:pPr>
              <w:pStyle w:val="Tabletext1"/>
              <w:cnfStyle w:val="000000100000" w:firstRow="0" w:lastRow="0" w:firstColumn="0" w:lastColumn="0" w:oddVBand="0" w:evenVBand="0" w:oddHBand="1" w:evenHBand="0" w:firstRowFirstColumn="0" w:firstRowLastColumn="0" w:lastRowFirstColumn="0" w:lastRowLastColumn="0"/>
              <w:rPr>
                <w:lang w:eastAsia="nl-NL"/>
              </w:rPr>
            </w:pPr>
            <w:r w:rsidRPr="00DE7A29">
              <w:rPr>
                <w:lang w:eastAsia="nl-NL"/>
              </w:rPr>
              <w:t>x</w:t>
            </w:r>
          </w:p>
        </w:tc>
        <w:tc>
          <w:tcPr>
            <w:tcW w:w="0" w:type="auto"/>
          </w:tcPr>
          <w:p w14:paraId="6F740C59" w14:textId="77777777" w:rsidR="006D39A1" w:rsidRPr="00DE7A29" w:rsidRDefault="006D39A1" w:rsidP="008F1E88">
            <w:pPr>
              <w:pStyle w:val="Tabletext1"/>
              <w:cnfStyle w:val="000000100000" w:firstRow="0" w:lastRow="0" w:firstColumn="0" w:lastColumn="0" w:oddVBand="0" w:evenVBand="0" w:oddHBand="1" w:evenHBand="0" w:firstRowFirstColumn="0" w:firstRowLastColumn="0" w:lastRowFirstColumn="0" w:lastRowLastColumn="0"/>
              <w:rPr>
                <w:lang w:eastAsia="nl-NL"/>
              </w:rPr>
            </w:pPr>
            <w:r w:rsidRPr="00DE7A29">
              <w:rPr>
                <w:lang w:eastAsia="nl-NL"/>
              </w:rPr>
              <w:t>x</w:t>
            </w:r>
          </w:p>
        </w:tc>
        <w:tc>
          <w:tcPr>
            <w:tcW w:w="0" w:type="auto"/>
          </w:tcPr>
          <w:p w14:paraId="520A9516" w14:textId="77777777" w:rsidR="006D39A1" w:rsidRPr="00DE7A29" w:rsidRDefault="006D39A1" w:rsidP="008F1E88">
            <w:pPr>
              <w:pStyle w:val="Tabletext1"/>
              <w:cnfStyle w:val="000000100000" w:firstRow="0" w:lastRow="0" w:firstColumn="0" w:lastColumn="0" w:oddVBand="0" w:evenVBand="0" w:oddHBand="1" w:evenHBand="0" w:firstRowFirstColumn="0" w:firstRowLastColumn="0" w:lastRowFirstColumn="0" w:lastRowLastColumn="0"/>
              <w:rPr>
                <w:lang w:eastAsia="nl-NL"/>
              </w:rPr>
            </w:pPr>
            <w:r w:rsidRPr="00DE7A29">
              <w:rPr>
                <w:lang w:eastAsia="nl-NL"/>
              </w:rPr>
              <w:t>x</w:t>
            </w:r>
          </w:p>
        </w:tc>
      </w:tr>
      <w:tr w:rsidR="006D39A1" w:rsidRPr="00DE7A29" w14:paraId="71A4F123" w14:textId="77777777" w:rsidTr="008F1E88">
        <w:tc>
          <w:tcPr>
            <w:cnfStyle w:val="001000000000" w:firstRow="0" w:lastRow="0" w:firstColumn="1" w:lastColumn="0" w:oddVBand="0" w:evenVBand="0" w:oddHBand="0" w:evenHBand="0" w:firstRowFirstColumn="0" w:firstRowLastColumn="0" w:lastRowFirstColumn="0" w:lastRowLastColumn="0"/>
            <w:tcW w:w="0" w:type="auto"/>
          </w:tcPr>
          <w:p w14:paraId="3D2E1027" w14:textId="77777777" w:rsidR="006D39A1" w:rsidRPr="008F1E88" w:rsidRDefault="006D39A1" w:rsidP="008F1E88">
            <w:pPr>
              <w:pStyle w:val="Tabletext1"/>
              <w:rPr>
                <w:b w:val="0"/>
                <w:bCs w:val="0"/>
                <w:lang w:eastAsia="nl-NL"/>
              </w:rPr>
            </w:pPr>
            <w:r w:rsidRPr="008F1E88">
              <w:rPr>
                <w:b w:val="0"/>
                <w:bCs w:val="0"/>
                <w:lang w:eastAsia="nl-NL"/>
              </w:rPr>
              <w:t>MoCA</w:t>
            </w:r>
          </w:p>
        </w:tc>
        <w:tc>
          <w:tcPr>
            <w:tcW w:w="0" w:type="auto"/>
          </w:tcPr>
          <w:p w14:paraId="2B2E7486" w14:textId="77777777" w:rsidR="006D39A1" w:rsidRPr="00DE7A29" w:rsidRDefault="006D39A1" w:rsidP="008F1E88">
            <w:pPr>
              <w:pStyle w:val="Tabletext1"/>
              <w:cnfStyle w:val="000000000000" w:firstRow="0" w:lastRow="0" w:firstColumn="0" w:lastColumn="0" w:oddVBand="0" w:evenVBand="0" w:oddHBand="0" w:evenHBand="0" w:firstRowFirstColumn="0" w:firstRowLastColumn="0" w:lastRowFirstColumn="0" w:lastRowLastColumn="0"/>
              <w:rPr>
                <w:lang w:eastAsia="nl-NL"/>
              </w:rPr>
            </w:pPr>
            <w:r w:rsidRPr="00DE7A29">
              <w:rPr>
                <w:lang w:eastAsia="nl-NL"/>
              </w:rPr>
              <w:t>x</w:t>
            </w:r>
          </w:p>
        </w:tc>
        <w:tc>
          <w:tcPr>
            <w:tcW w:w="0" w:type="auto"/>
          </w:tcPr>
          <w:p w14:paraId="3038EFAE" w14:textId="77777777" w:rsidR="006D39A1" w:rsidRPr="00DE7A29" w:rsidRDefault="006D39A1" w:rsidP="008F1E88">
            <w:pPr>
              <w:pStyle w:val="Tabletext1"/>
              <w:cnfStyle w:val="000000000000" w:firstRow="0" w:lastRow="0" w:firstColumn="0" w:lastColumn="0" w:oddVBand="0" w:evenVBand="0" w:oddHBand="0" w:evenHBand="0" w:firstRowFirstColumn="0" w:firstRowLastColumn="0" w:lastRowFirstColumn="0" w:lastRowLastColumn="0"/>
              <w:rPr>
                <w:lang w:eastAsia="nl-NL"/>
              </w:rPr>
            </w:pPr>
            <w:r w:rsidRPr="00DE7A29">
              <w:rPr>
                <w:lang w:eastAsia="nl-NL"/>
              </w:rPr>
              <w:t>x</w:t>
            </w:r>
          </w:p>
        </w:tc>
        <w:tc>
          <w:tcPr>
            <w:tcW w:w="0" w:type="auto"/>
          </w:tcPr>
          <w:p w14:paraId="134FA621" w14:textId="77777777" w:rsidR="006D39A1" w:rsidRPr="00DE7A29" w:rsidRDefault="006D39A1" w:rsidP="008F1E88">
            <w:pPr>
              <w:pStyle w:val="Tabletext1"/>
              <w:cnfStyle w:val="000000000000" w:firstRow="0" w:lastRow="0" w:firstColumn="0" w:lastColumn="0" w:oddVBand="0" w:evenVBand="0" w:oddHBand="0" w:evenHBand="0" w:firstRowFirstColumn="0" w:firstRowLastColumn="0" w:lastRowFirstColumn="0" w:lastRowLastColumn="0"/>
              <w:rPr>
                <w:lang w:eastAsia="nl-NL"/>
              </w:rPr>
            </w:pPr>
            <w:r w:rsidRPr="00DE7A29">
              <w:rPr>
                <w:lang w:eastAsia="nl-NL"/>
              </w:rPr>
              <w:t>x</w:t>
            </w:r>
          </w:p>
        </w:tc>
      </w:tr>
      <w:tr w:rsidR="006D39A1" w:rsidRPr="00DE7A29" w14:paraId="26AEB405" w14:textId="77777777" w:rsidTr="008F1E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FC3D1E9" w14:textId="77777777" w:rsidR="006D39A1" w:rsidRPr="008F1E88" w:rsidRDefault="006D39A1" w:rsidP="008F1E88">
            <w:pPr>
              <w:pStyle w:val="Tabletext1"/>
              <w:rPr>
                <w:b w:val="0"/>
                <w:bCs w:val="0"/>
                <w:vertAlign w:val="superscript"/>
                <w:lang w:eastAsia="nl-NL"/>
              </w:rPr>
            </w:pPr>
            <w:r w:rsidRPr="008F1E88">
              <w:rPr>
                <w:b w:val="0"/>
                <w:bCs w:val="0"/>
                <w:lang w:eastAsia="nl-NL"/>
              </w:rPr>
              <w:t>Dynamometer</w:t>
            </w:r>
          </w:p>
        </w:tc>
        <w:tc>
          <w:tcPr>
            <w:tcW w:w="0" w:type="auto"/>
          </w:tcPr>
          <w:p w14:paraId="7658BDC5" w14:textId="77777777" w:rsidR="006D39A1" w:rsidRPr="00DE7A29" w:rsidRDefault="006D39A1" w:rsidP="008F1E88">
            <w:pPr>
              <w:pStyle w:val="Tabletext1"/>
              <w:cnfStyle w:val="000000100000" w:firstRow="0" w:lastRow="0" w:firstColumn="0" w:lastColumn="0" w:oddVBand="0" w:evenVBand="0" w:oddHBand="1" w:evenHBand="0" w:firstRowFirstColumn="0" w:firstRowLastColumn="0" w:lastRowFirstColumn="0" w:lastRowLastColumn="0"/>
              <w:rPr>
                <w:lang w:eastAsia="nl-NL"/>
              </w:rPr>
            </w:pPr>
            <w:r w:rsidRPr="00DE7A29">
              <w:rPr>
                <w:lang w:eastAsia="nl-NL"/>
              </w:rPr>
              <w:t>x</w:t>
            </w:r>
          </w:p>
        </w:tc>
        <w:tc>
          <w:tcPr>
            <w:tcW w:w="0" w:type="auto"/>
          </w:tcPr>
          <w:p w14:paraId="45751E82" w14:textId="77777777" w:rsidR="006D39A1" w:rsidRPr="00DE7A29" w:rsidRDefault="006D39A1" w:rsidP="008F1E88">
            <w:pPr>
              <w:pStyle w:val="Tabletext1"/>
              <w:cnfStyle w:val="000000100000" w:firstRow="0" w:lastRow="0" w:firstColumn="0" w:lastColumn="0" w:oddVBand="0" w:evenVBand="0" w:oddHBand="1" w:evenHBand="0" w:firstRowFirstColumn="0" w:firstRowLastColumn="0" w:lastRowFirstColumn="0" w:lastRowLastColumn="0"/>
              <w:rPr>
                <w:lang w:eastAsia="nl-NL"/>
              </w:rPr>
            </w:pPr>
            <w:r w:rsidRPr="00DE7A29">
              <w:rPr>
                <w:lang w:eastAsia="nl-NL"/>
              </w:rPr>
              <w:t>x</w:t>
            </w:r>
          </w:p>
        </w:tc>
        <w:tc>
          <w:tcPr>
            <w:tcW w:w="0" w:type="auto"/>
          </w:tcPr>
          <w:p w14:paraId="39204974" w14:textId="77777777" w:rsidR="006D39A1" w:rsidRPr="00DE7A29" w:rsidRDefault="006D39A1" w:rsidP="008F1E88">
            <w:pPr>
              <w:pStyle w:val="Tabletext1"/>
              <w:cnfStyle w:val="000000100000" w:firstRow="0" w:lastRow="0" w:firstColumn="0" w:lastColumn="0" w:oddVBand="0" w:evenVBand="0" w:oddHBand="1" w:evenHBand="0" w:firstRowFirstColumn="0" w:firstRowLastColumn="0" w:lastRowFirstColumn="0" w:lastRowLastColumn="0"/>
              <w:rPr>
                <w:lang w:eastAsia="nl-NL"/>
              </w:rPr>
            </w:pPr>
            <w:r w:rsidRPr="00DE7A29">
              <w:rPr>
                <w:lang w:eastAsia="nl-NL"/>
              </w:rPr>
              <w:t>x</w:t>
            </w:r>
          </w:p>
        </w:tc>
      </w:tr>
      <w:tr w:rsidR="006D39A1" w:rsidRPr="00DE7A29" w14:paraId="7B5BBA8F" w14:textId="77777777" w:rsidTr="008F1E88">
        <w:tc>
          <w:tcPr>
            <w:cnfStyle w:val="001000000000" w:firstRow="0" w:lastRow="0" w:firstColumn="1" w:lastColumn="0" w:oddVBand="0" w:evenVBand="0" w:oddHBand="0" w:evenHBand="0" w:firstRowFirstColumn="0" w:firstRowLastColumn="0" w:lastRowFirstColumn="0" w:lastRowLastColumn="0"/>
            <w:tcW w:w="0" w:type="auto"/>
          </w:tcPr>
          <w:p w14:paraId="173CE53B" w14:textId="77777777" w:rsidR="006D39A1" w:rsidRPr="008F1E88" w:rsidRDefault="006D39A1" w:rsidP="008F1E88">
            <w:pPr>
              <w:pStyle w:val="Tabletext1"/>
              <w:rPr>
                <w:b w:val="0"/>
                <w:bCs w:val="0"/>
                <w:lang w:eastAsia="nl-NL"/>
              </w:rPr>
            </w:pPr>
            <w:r w:rsidRPr="008F1E88">
              <w:rPr>
                <w:b w:val="0"/>
                <w:bCs w:val="0"/>
                <w:lang w:eastAsia="nl-NL"/>
              </w:rPr>
              <w:t xml:space="preserve">Activity tracker – </w:t>
            </w:r>
            <w:proofErr w:type="spellStart"/>
            <w:r w:rsidRPr="008F1E88">
              <w:rPr>
                <w:b w:val="0"/>
                <w:bCs w:val="0"/>
                <w:lang w:eastAsia="nl-NL"/>
              </w:rPr>
              <w:t>Activinsights</w:t>
            </w:r>
            <w:proofErr w:type="spellEnd"/>
            <w:r w:rsidRPr="008F1E88">
              <w:rPr>
                <w:b w:val="0"/>
                <w:bCs w:val="0"/>
                <w:lang w:eastAsia="nl-NL"/>
              </w:rPr>
              <w:t xml:space="preserve"> (intervention group only)</w:t>
            </w:r>
          </w:p>
        </w:tc>
        <w:tc>
          <w:tcPr>
            <w:tcW w:w="0" w:type="auto"/>
          </w:tcPr>
          <w:p w14:paraId="1632D1DE" w14:textId="77777777" w:rsidR="006D39A1" w:rsidRPr="00DE7A29" w:rsidRDefault="006D39A1" w:rsidP="008F1E88">
            <w:pPr>
              <w:pStyle w:val="Tabletext1"/>
              <w:cnfStyle w:val="000000000000" w:firstRow="0" w:lastRow="0" w:firstColumn="0" w:lastColumn="0" w:oddVBand="0" w:evenVBand="0" w:oddHBand="0" w:evenHBand="0" w:firstRowFirstColumn="0" w:firstRowLastColumn="0" w:lastRowFirstColumn="0" w:lastRowLastColumn="0"/>
              <w:rPr>
                <w:lang w:eastAsia="nl-NL"/>
              </w:rPr>
            </w:pPr>
            <w:r w:rsidRPr="00DE7A29">
              <w:rPr>
                <w:lang w:eastAsia="nl-NL"/>
              </w:rPr>
              <w:t>x</w:t>
            </w:r>
          </w:p>
        </w:tc>
        <w:tc>
          <w:tcPr>
            <w:tcW w:w="0" w:type="auto"/>
          </w:tcPr>
          <w:p w14:paraId="36A9E56D" w14:textId="77777777" w:rsidR="006D39A1" w:rsidRPr="00DE7A29" w:rsidRDefault="006D39A1" w:rsidP="008F1E88">
            <w:pPr>
              <w:pStyle w:val="Tabletext1"/>
              <w:cnfStyle w:val="000000000000" w:firstRow="0" w:lastRow="0" w:firstColumn="0" w:lastColumn="0" w:oddVBand="0" w:evenVBand="0" w:oddHBand="0" w:evenHBand="0" w:firstRowFirstColumn="0" w:firstRowLastColumn="0" w:lastRowFirstColumn="0" w:lastRowLastColumn="0"/>
              <w:rPr>
                <w:lang w:eastAsia="nl-NL"/>
              </w:rPr>
            </w:pPr>
            <w:r w:rsidRPr="00DE7A29">
              <w:rPr>
                <w:lang w:eastAsia="nl-NL"/>
              </w:rPr>
              <w:t>x</w:t>
            </w:r>
          </w:p>
        </w:tc>
        <w:tc>
          <w:tcPr>
            <w:tcW w:w="0" w:type="auto"/>
          </w:tcPr>
          <w:p w14:paraId="2ED34DC8" w14:textId="77777777" w:rsidR="006D39A1" w:rsidRPr="00DE7A29" w:rsidRDefault="006D39A1" w:rsidP="008F1E88">
            <w:pPr>
              <w:pStyle w:val="Tabletext1"/>
              <w:cnfStyle w:val="000000000000" w:firstRow="0" w:lastRow="0" w:firstColumn="0" w:lastColumn="0" w:oddVBand="0" w:evenVBand="0" w:oddHBand="0" w:evenHBand="0" w:firstRowFirstColumn="0" w:firstRowLastColumn="0" w:lastRowFirstColumn="0" w:lastRowLastColumn="0"/>
              <w:rPr>
                <w:lang w:eastAsia="nl-NL"/>
              </w:rPr>
            </w:pPr>
            <w:r w:rsidRPr="00DE7A29">
              <w:rPr>
                <w:lang w:eastAsia="nl-NL"/>
              </w:rPr>
              <w:t>x</w:t>
            </w:r>
          </w:p>
        </w:tc>
      </w:tr>
      <w:tr w:rsidR="006D39A1" w:rsidRPr="00DE7A29" w14:paraId="1FD38CBA" w14:textId="77777777" w:rsidTr="008F1E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10F60A" w14:textId="77777777" w:rsidR="006D39A1" w:rsidRPr="008F1E88" w:rsidRDefault="006D39A1" w:rsidP="008F1E88">
            <w:pPr>
              <w:pStyle w:val="Tabletext1"/>
              <w:rPr>
                <w:b w:val="0"/>
                <w:bCs w:val="0"/>
                <w:vertAlign w:val="superscript"/>
                <w:lang w:eastAsia="nl-NL"/>
              </w:rPr>
            </w:pPr>
            <w:r w:rsidRPr="008F1E88">
              <w:rPr>
                <w:b w:val="0"/>
                <w:bCs w:val="0"/>
                <w:lang w:eastAsia="nl-NL"/>
              </w:rPr>
              <w:t>Identification of medication change</w:t>
            </w:r>
          </w:p>
        </w:tc>
        <w:tc>
          <w:tcPr>
            <w:tcW w:w="0" w:type="auto"/>
          </w:tcPr>
          <w:p w14:paraId="6ABB9B4C" w14:textId="77777777" w:rsidR="006D39A1" w:rsidRPr="00DE7A29" w:rsidRDefault="006D39A1" w:rsidP="008F1E88">
            <w:pPr>
              <w:pStyle w:val="Tabletext1"/>
              <w:cnfStyle w:val="000000100000" w:firstRow="0" w:lastRow="0" w:firstColumn="0" w:lastColumn="0" w:oddVBand="0" w:evenVBand="0" w:oddHBand="1" w:evenHBand="0" w:firstRowFirstColumn="0" w:firstRowLastColumn="0" w:lastRowFirstColumn="0" w:lastRowLastColumn="0"/>
              <w:rPr>
                <w:rFonts w:ascii="Arial Narrow" w:hAnsi="Arial Narrow"/>
                <w:lang w:eastAsia="nl-NL"/>
              </w:rPr>
            </w:pPr>
          </w:p>
        </w:tc>
        <w:tc>
          <w:tcPr>
            <w:tcW w:w="0" w:type="auto"/>
          </w:tcPr>
          <w:p w14:paraId="3A419F42" w14:textId="77777777" w:rsidR="006D39A1" w:rsidRPr="00DE7A29" w:rsidRDefault="006D39A1" w:rsidP="008F1E88">
            <w:pPr>
              <w:pStyle w:val="Tabletext1"/>
              <w:cnfStyle w:val="000000100000" w:firstRow="0" w:lastRow="0" w:firstColumn="0" w:lastColumn="0" w:oddVBand="0" w:evenVBand="0" w:oddHBand="1" w:evenHBand="0" w:firstRowFirstColumn="0" w:firstRowLastColumn="0" w:lastRowFirstColumn="0" w:lastRowLastColumn="0"/>
              <w:rPr>
                <w:lang w:eastAsia="nl-NL"/>
              </w:rPr>
            </w:pPr>
            <w:r w:rsidRPr="00DE7A29">
              <w:rPr>
                <w:lang w:eastAsia="nl-NL"/>
              </w:rPr>
              <w:t>x</w:t>
            </w:r>
          </w:p>
        </w:tc>
        <w:tc>
          <w:tcPr>
            <w:tcW w:w="0" w:type="auto"/>
          </w:tcPr>
          <w:p w14:paraId="028768FE" w14:textId="77777777" w:rsidR="006D39A1" w:rsidRPr="00DE7A29" w:rsidRDefault="006D39A1" w:rsidP="008F1E88">
            <w:pPr>
              <w:pStyle w:val="Tabletext1"/>
              <w:cnfStyle w:val="000000100000" w:firstRow="0" w:lastRow="0" w:firstColumn="0" w:lastColumn="0" w:oddVBand="0" w:evenVBand="0" w:oddHBand="1" w:evenHBand="0" w:firstRowFirstColumn="0" w:firstRowLastColumn="0" w:lastRowFirstColumn="0" w:lastRowLastColumn="0"/>
              <w:rPr>
                <w:rFonts w:ascii="Arial Narrow" w:hAnsi="Arial Narrow"/>
                <w:lang w:eastAsia="nl-NL"/>
              </w:rPr>
            </w:pPr>
          </w:p>
        </w:tc>
      </w:tr>
      <w:tr w:rsidR="006D39A1" w:rsidRPr="00DE7A29" w14:paraId="0D0AE9CB" w14:textId="77777777" w:rsidTr="008F1E88">
        <w:tc>
          <w:tcPr>
            <w:cnfStyle w:val="001000000000" w:firstRow="0" w:lastRow="0" w:firstColumn="1" w:lastColumn="0" w:oddVBand="0" w:evenVBand="0" w:oddHBand="0" w:evenHBand="0" w:firstRowFirstColumn="0" w:firstRowLastColumn="0" w:lastRowFirstColumn="0" w:lastRowLastColumn="0"/>
            <w:tcW w:w="0" w:type="auto"/>
          </w:tcPr>
          <w:p w14:paraId="11CA74BF" w14:textId="77777777" w:rsidR="006D39A1" w:rsidRPr="008F1E88" w:rsidRDefault="006D39A1" w:rsidP="008F1E88">
            <w:pPr>
              <w:pStyle w:val="Tabletext1"/>
              <w:rPr>
                <w:b w:val="0"/>
                <w:bCs w:val="0"/>
                <w:vertAlign w:val="superscript"/>
                <w:lang w:eastAsia="nl-NL"/>
              </w:rPr>
            </w:pPr>
            <w:r w:rsidRPr="008F1E88">
              <w:rPr>
                <w:b w:val="0"/>
                <w:bCs w:val="0"/>
                <w:lang w:eastAsia="nl-NL"/>
              </w:rPr>
              <w:t>Identification of adverse events</w:t>
            </w:r>
          </w:p>
        </w:tc>
        <w:tc>
          <w:tcPr>
            <w:tcW w:w="0" w:type="auto"/>
          </w:tcPr>
          <w:p w14:paraId="1EED7E35" w14:textId="77777777" w:rsidR="006D39A1" w:rsidRPr="00DE7A29" w:rsidRDefault="006D39A1" w:rsidP="008F1E88">
            <w:pPr>
              <w:pStyle w:val="Tabletext1"/>
              <w:cnfStyle w:val="000000000000" w:firstRow="0" w:lastRow="0" w:firstColumn="0" w:lastColumn="0" w:oddVBand="0" w:evenVBand="0" w:oddHBand="0" w:evenHBand="0" w:firstRowFirstColumn="0" w:firstRowLastColumn="0" w:lastRowFirstColumn="0" w:lastRowLastColumn="0"/>
              <w:rPr>
                <w:rFonts w:ascii="Arial Narrow" w:hAnsi="Arial Narrow"/>
                <w:lang w:eastAsia="nl-NL"/>
              </w:rPr>
            </w:pPr>
          </w:p>
        </w:tc>
        <w:tc>
          <w:tcPr>
            <w:tcW w:w="0" w:type="auto"/>
          </w:tcPr>
          <w:p w14:paraId="180F8149" w14:textId="77777777" w:rsidR="006D39A1" w:rsidRPr="00DE7A29" w:rsidRDefault="006D39A1" w:rsidP="008F1E88">
            <w:pPr>
              <w:pStyle w:val="Tabletext1"/>
              <w:cnfStyle w:val="000000000000" w:firstRow="0" w:lastRow="0" w:firstColumn="0" w:lastColumn="0" w:oddVBand="0" w:evenVBand="0" w:oddHBand="0" w:evenHBand="0" w:firstRowFirstColumn="0" w:firstRowLastColumn="0" w:lastRowFirstColumn="0" w:lastRowLastColumn="0"/>
              <w:rPr>
                <w:lang w:eastAsia="nl-NL"/>
              </w:rPr>
            </w:pPr>
            <w:r w:rsidRPr="00DE7A29">
              <w:rPr>
                <w:lang w:eastAsia="nl-NL"/>
              </w:rPr>
              <w:t>x</w:t>
            </w:r>
          </w:p>
        </w:tc>
        <w:tc>
          <w:tcPr>
            <w:tcW w:w="0" w:type="auto"/>
          </w:tcPr>
          <w:p w14:paraId="25DF92AE" w14:textId="77777777" w:rsidR="006D39A1" w:rsidRPr="00DE7A29" w:rsidRDefault="006D39A1" w:rsidP="008F1E88">
            <w:pPr>
              <w:pStyle w:val="Tabletext1"/>
              <w:cnfStyle w:val="000000000000" w:firstRow="0" w:lastRow="0" w:firstColumn="0" w:lastColumn="0" w:oddVBand="0" w:evenVBand="0" w:oddHBand="0" w:evenHBand="0" w:firstRowFirstColumn="0" w:firstRowLastColumn="0" w:lastRowFirstColumn="0" w:lastRowLastColumn="0"/>
              <w:rPr>
                <w:lang w:eastAsia="nl-NL"/>
              </w:rPr>
            </w:pPr>
            <w:r w:rsidRPr="00DE7A29">
              <w:rPr>
                <w:lang w:eastAsia="nl-NL"/>
              </w:rPr>
              <w:t>x</w:t>
            </w:r>
          </w:p>
        </w:tc>
      </w:tr>
      <w:tr w:rsidR="006D39A1" w:rsidRPr="00DE7A29" w14:paraId="2712011A" w14:textId="77777777" w:rsidTr="008F1E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B7B648" w14:textId="77777777" w:rsidR="006D39A1" w:rsidRPr="008F1E88" w:rsidRDefault="006D39A1" w:rsidP="008F1E88">
            <w:pPr>
              <w:pStyle w:val="Tabletext1"/>
              <w:rPr>
                <w:b w:val="0"/>
                <w:bCs w:val="0"/>
                <w:vertAlign w:val="superscript"/>
                <w:lang w:eastAsia="nl-NL"/>
              </w:rPr>
            </w:pPr>
            <w:r w:rsidRPr="008F1E88">
              <w:rPr>
                <w:b w:val="0"/>
                <w:bCs w:val="0"/>
                <w:lang w:eastAsia="nl-NL"/>
              </w:rPr>
              <w:t>GP report if high risk of deterioration</w:t>
            </w:r>
          </w:p>
        </w:tc>
        <w:tc>
          <w:tcPr>
            <w:tcW w:w="0" w:type="auto"/>
          </w:tcPr>
          <w:p w14:paraId="00D8E870" w14:textId="77777777" w:rsidR="006D39A1" w:rsidRPr="00DE7A29" w:rsidRDefault="006D39A1" w:rsidP="008F1E88">
            <w:pPr>
              <w:pStyle w:val="Tabletext1"/>
              <w:cnfStyle w:val="000000100000" w:firstRow="0" w:lastRow="0" w:firstColumn="0" w:lastColumn="0" w:oddVBand="0" w:evenVBand="0" w:oddHBand="1" w:evenHBand="0" w:firstRowFirstColumn="0" w:firstRowLastColumn="0" w:lastRowFirstColumn="0" w:lastRowLastColumn="0"/>
              <w:rPr>
                <w:rFonts w:ascii="Arial Narrow" w:hAnsi="Arial Narrow"/>
                <w:lang w:eastAsia="nl-NL"/>
              </w:rPr>
            </w:pPr>
          </w:p>
        </w:tc>
        <w:tc>
          <w:tcPr>
            <w:tcW w:w="0" w:type="auto"/>
          </w:tcPr>
          <w:p w14:paraId="1C59C2F8" w14:textId="77777777" w:rsidR="006D39A1" w:rsidRPr="00DE7A29" w:rsidRDefault="006D39A1" w:rsidP="008F1E88">
            <w:pPr>
              <w:pStyle w:val="Tabletext1"/>
              <w:cnfStyle w:val="000000100000" w:firstRow="0" w:lastRow="0" w:firstColumn="0" w:lastColumn="0" w:oddVBand="0" w:evenVBand="0" w:oddHBand="1" w:evenHBand="0" w:firstRowFirstColumn="0" w:firstRowLastColumn="0" w:lastRowFirstColumn="0" w:lastRowLastColumn="0"/>
              <w:rPr>
                <w:lang w:eastAsia="nl-NL"/>
              </w:rPr>
            </w:pPr>
            <w:r w:rsidRPr="00DE7A29">
              <w:rPr>
                <w:lang w:eastAsia="nl-NL"/>
              </w:rPr>
              <w:t xml:space="preserve">x </w:t>
            </w:r>
          </w:p>
        </w:tc>
        <w:tc>
          <w:tcPr>
            <w:tcW w:w="0" w:type="auto"/>
          </w:tcPr>
          <w:p w14:paraId="3A995300" w14:textId="77777777" w:rsidR="006D39A1" w:rsidRPr="00DE7A29" w:rsidRDefault="006D39A1" w:rsidP="008F1E88">
            <w:pPr>
              <w:pStyle w:val="Tabletext1"/>
              <w:cnfStyle w:val="000000100000" w:firstRow="0" w:lastRow="0" w:firstColumn="0" w:lastColumn="0" w:oddVBand="0" w:evenVBand="0" w:oddHBand="1" w:evenHBand="0" w:firstRowFirstColumn="0" w:firstRowLastColumn="0" w:lastRowFirstColumn="0" w:lastRowLastColumn="0"/>
              <w:rPr>
                <w:rFonts w:ascii="Arial Narrow" w:hAnsi="Arial Narrow"/>
                <w:lang w:eastAsia="nl-NL"/>
              </w:rPr>
            </w:pPr>
          </w:p>
        </w:tc>
      </w:tr>
      <w:tr w:rsidR="006D39A1" w:rsidRPr="00DE7A29" w14:paraId="59C35FF2" w14:textId="77777777" w:rsidTr="008F1E88">
        <w:tc>
          <w:tcPr>
            <w:cnfStyle w:val="001000000000" w:firstRow="0" w:lastRow="0" w:firstColumn="1" w:lastColumn="0" w:oddVBand="0" w:evenVBand="0" w:oddHBand="0" w:evenHBand="0" w:firstRowFirstColumn="0" w:firstRowLastColumn="0" w:lastRowFirstColumn="0" w:lastRowLastColumn="0"/>
            <w:tcW w:w="0" w:type="auto"/>
          </w:tcPr>
          <w:p w14:paraId="78C1195C" w14:textId="77777777" w:rsidR="006D39A1" w:rsidRPr="008F1E88" w:rsidRDefault="006D39A1" w:rsidP="008F1E88">
            <w:pPr>
              <w:pStyle w:val="Tabletext1"/>
              <w:rPr>
                <w:b w:val="0"/>
                <w:bCs w:val="0"/>
                <w:vertAlign w:val="superscript"/>
                <w:lang w:eastAsia="nl-NL"/>
              </w:rPr>
            </w:pPr>
            <w:r w:rsidRPr="008F1E88">
              <w:rPr>
                <w:b w:val="0"/>
                <w:bCs w:val="0"/>
                <w:lang w:eastAsia="nl-NL"/>
              </w:rPr>
              <w:t>Reassess participant if medicine-induced deterioration or adverse event has resolved</w:t>
            </w:r>
          </w:p>
        </w:tc>
        <w:tc>
          <w:tcPr>
            <w:tcW w:w="0" w:type="auto"/>
          </w:tcPr>
          <w:p w14:paraId="22F6D33D" w14:textId="77777777" w:rsidR="006D39A1" w:rsidRPr="00DE7A29" w:rsidRDefault="006D39A1" w:rsidP="008F1E88">
            <w:pPr>
              <w:pStyle w:val="Tabletext1"/>
              <w:cnfStyle w:val="000000000000" w:firstRow="0" w:lastRow="0" w:firstColumn="0" w:lastColumn="0" w:oddVBand="0" w:evenVBand="0" w:oddHBand="0" w:evenHBand="0" w:firstRowFirstColumn="0" w:firstRowLastColumn="0" w:lastRowFirstColumn="0" w:lastRowLastColumn="0"/>
              <w:rPr>
                <w:rFonts w:ascii="Arial Narrow" w:hAnsi="Arial Narrow"/>
                <w:lang w:eastAsia="nl-NL"/>
              </w:rPr>
            </w:pPr>
          </w:p>
        </w:tc>
        <w:tc>
          <w:tcPr>
            <w:tcW w:w="0" w:type="auto"/>
          </w:tcPr>
          <w:p w14:paraId="72128587" w14:textId="77777777" w:rsidR="006D39A1" w:rsidRPr="00DE7A29" w:rsidRDefault="006D39A1" w:rsidP="008F1E88">
            <w:pPr>
              <w:pStyle w:val="Tabletext1"/>
              <w:cnfStyle w:val="000000000000" w:firstRow="0" w:lastRow="0" w:firstColumn="0" w:lastColumn="0" w:oddVBand="0" w:evenVBand="0" w:oddHBand="0" w:evenHBand="0" w:firstRowFirstColumn="0" w:firstRowLastColumn="0" w:lastRowFirstColumn="0" w:lastRowLastColumn="0"/>
              <w:rPr>
                <w:lang w:eastAsia="nl-NL"/>
              </w:rPr>
            </w:pPr>
            <w:r w:rsidRPr="00DE7A29">
              <w:rPr>
                <w:lang w:eastAsia="nl-NL"/>
              </w:rPr>
              <w:t>x</w:t>
            </w:r>
          </w:p>
        </w:tc>
        <w:tc>
          <w:tcPr>
            <w:tcW w:w="0" w:type="auto"/>
          </w:tcPr>
          <w:p w14:paraId="4B9978FD" w14:textId="77777777" w:rsidR="006D39A1" w:rsidRPr="00DE7A29" w:rsidRDefault="006D39A1" w:rsidP="008F1E88">
            <w:pPr>
              <w:pStyle w:val="Tabletext1"/>
              <w:cnfStyle w:val="000000000000" w:firstRow="0" w:lastRow="0" w:firstColumn="0" w:lastColumn="0" w:oddVBand="0" w:evenVBand="0" w:oddHBand="0" w:evenHBand="0" w:firstRowFirstColumn="0" w:firstRowLastColumn="0" w:lastRowFirstColumn="0" w:lastRowLastColumn="0"/>
              <w:rPr>
                <w:rFonts w:ascii="Arial Narrow" w:hAnsi="Arial Narrow"/>
                <w:lang w:eastAsia="nl-NL"/>
              </w:rPr>
            </w:pPr>
          </w:p>
        </w:tc>
      </w:tr>
    </w:tbl>
    <w:p w14:paraId="37449F2E" w14:textId="62E833FB" w:rsidR="00345C63" w:rsidRPr="00426FDD" w:rsidRDefault="006D39A1" w:rsidP="00897C5B">
      <w:pPr>
        <w:pStyle w:val="Caption"/>
      </w:pPr>
      <w:r w:rsidRPr="00426FDD">
        <w:t xml:space="preserve">Table </w:t>
      </w:r>
      <w:r w:rsidR="005923BF" w:rsidRPr="00426FDD">
        <w:t>B-</w:t>
      </w:r>
      <w:r w:rsidR="00F22EAA">
        <w:t>2</w:t>
      </w:r>
      <w:r w:rsidRPr="00426FDD">
        <w:t>: Assessment a</w:t>
      </w:r>
      <w:r w:rsidR="00A34316">
        <w:t>nd pharmacist service schedule.</w:t>
      </w:r>
    </w:p>
    <w:p w14:paraId="0E9D91B5" w14:textId="3353249F" w:rsidR="006D39A1" w:rsidRPr="00C05DBF" w:rsidRDefault="006D39A1" w:rsidP="00897C5B">
      <w:pPr>
        <w:pStyle w:val="Caption"/>
      </w:pPr>
      <w:r w:rsidRPr="00A34316">
        <w:lastRenderedPageBreak/>
        <w:t xml:space="preserve">Outcome measures and assessment tools: </w:t>
      </w:r>
      <w:proofErr w:type="spellStart"/>
      <w:r w:rsidRPr="00A34316">
        <w:t>Activinsights</w:t>
      </w:r>
      <w:proofErr w:type="spellEnd"/>
      <w:r w:rsidRPr="00A34316">
        <w:t>: Health professional grade activity tracker</w:t>
      </w:r>
      <w:r w:rsidR="00DE7A29">
        <w:t xml:space="preserve"> (partial collection only)</w:t>
      </w:r>
      <w:r w:rsidRPr="00A34316">
        <w:t xml:space="preserve">; Dynamometer: instrument to measure grip strength;  EQ-5D: 5-item questionnaire and a visual analogue scale to measure quality of life; Frailty index: 39-item multidimensional questionnaire to assess frailty; </w:t>
      </w:r>
      <w:proofErr w:type="spellStart"/>
      <w:r w:rsidRPr="00A34316">
        <w:t>GENEActiv</w:t>
      </w:r>
      <w:proofErr w:type="spellEnd"/>
      <w:r w:rsidRPr="00A34316">
        <w:t>: Research grade activity tracker fitted for one week at baseline, 6- and 12-months; MoCA: Montreal Cognitive Assessment, a 30-point assessment for multiple cognitive domains. X denotes the task was conduc</w:t>
      </w:r>
      <w:r w:rsidR="00C05DBF">
        <w:t>ted during the visit.</w:t>
      </w:r>
    </w:p>
    <w:p w14:paraId="48D249D3" w14:textId="65F0E505" w:rsidR="00024E73" w:rsidRPr="00426FDD" w:rsidRDefault="00024E73" w:rsidP="00024E73">
      <w:pPr>
        <w:pStyle w:val="Heading4"/>
      </w:pPr>
      <w:r w:rsidRPr="00426FDD">
        <w:t xml:space="preserve">Data </w:t>
      </w:r>
      <w:r>
        <w:t>classification</w:t>
      </w:r>
    </w:p>
    <w:p w14:paraId="2191110D" w14:textId="13B8FE8D" w:rsidR="00243643" w:rsidRPr="00F42B1D" w:rsidRDefault="00DE7A29" w:rsidP="007501B9">
      <w:r>
        <w:t>Medication related p</w:t>
      </w:r>
      <w:r w:rsidR="00243643" w:rsidRPr="00F42B1D">
        <w:t xml:space="preserve">roblems </w:t>
      </w:r>
      <w:r>
        <w:t xml:space="preserve">identified by the pharmacists </w:t>
      </w:r>
      <w:r w:rsidR="00243643" w:rsidRPr="00F42B1D">
        <w:t xml:space="preserve">were </w:t>
      </w:r>
      <w:r>
        <w:t>classified</w:t>
      </w:r>
      <w:r w:rsidR="00243643" w:rsidRPr="00F42B1D">
        <w:t xml:space="preserve"> according to eight categories in the Document classification.</w:t>
      </w:r>
      <w:r w:rsidR="00243643" w:rsidRPr="00F42B1D">
        <w:fldChar w:fldCharType="begin"/>
      </w:r>
      <w:r w:rsidR="00EB6EA4">
        <w:instrText xml:space="preserve"> ADDIN EN.CITE &lt;EndNote&gt;&lt;Cite&gt;&lt;Author&gt;Williams&lt;/Author&gt;&lt;Year&gt;2012&lt;/Year&gt;&lt;RecNum&gt;729&lt;/RecNum&gt;&lt;DisplayText&gt;(68)&lt;/DisplayText&gt;&lt;record&gt;&lt;rec-number&gt;729&lt;/rec-number&gt;&lt;foreign-keys&gt;&lt;key app="EN" db-id="d0xp2t25pp9v99eaxt55sx2s9rsxfxa9wfrz" timestamp="1598228206"&gt;729&lt;/key&gt;&lt;/foreign-keys&gt;&lt;ref-type name="Journal Article"&gt;17&lt;/ref-type&gt;&lt;contributors&gt;&lt;authors&gt;&lt;author&gt;Williams, Mackenzie&lt;/author&gt;&lt;author&gt;Peterson, Gregory M&lt;/author&gt;&lt;author&gt;Tenni, Peter C&lt;/author&gt;&lt;author&gt;Bindoff, Ivan K&lt;/author&gt;&lt;author&gt;Stafford, Andrew C&lt;/author&gt;&lt;/authors&gt;&lt;/contributors&gt;&lt;titles&gt;&lt;title&gt;DOCUMENT: a system for classifying drug-related problems in community pharmacy&lt;/title&gt;&lt;secondary-title&gt;International journal of clinical pharmacy&lt;/secondary-title&gt;&lt;/titles&gt;&lt;periodical&gt;&lt;full-title&gt;International journal of clinical pharmacy&lt;/full-title&gt;&lt;/periodical&gt;&lt;pages&gt;43-52&lt;/pages&gt;&lt;volume&gt;34&lt;/volume&gt;&lt;number&gt;1&lt;/number&gt;&lt;dates&gt;&lt;year&gt;2012&lt;/year&gt;&lt;/dates&gt;&lt;isbn&gt;2210-7703&lt;/isbn&gt;&lt;urls&gt;&lt;/urls&gt;&lt;/record&gt;&lt;/Cite&gt;&lt;/EndNote&gt;</w:instrText>
      </w:r>
      <w:r w:rsidR="00243643" w:rsidRPr="00F42B1D">
        <w:fldChar w:fldCharType="separate"/>
      </w:r>
      <w:r w:rsidR="00EB6EA4">
        <w:rPr>
          <w:noProof/>
        </w:rPr>
        <w:t>(</w:t>
      </w:r>
      <w:hyperlink w:anchor="_ENREF_68" w:tooltip="Williams, 2012 #729" w:history="1">
        <w:r w:rsidR="00EB6EA4">
          <w:rPr>
            <w:noProof/>
          </w:rPr>
          <w:t>68</w:t>
        </w:r>
      </w:hyperlink>
      <w:r w:rsidR="00EB6EA4">
        <w:rPr>
          <w:noProof/>
        </w:rPr>
        <w:t>)</w:t>
      </w:r>
      <w:r w:rsidR="00243643" w:rsidRPr="00F42B1D">
        <w:fldChar w:fldCharType="end"/>
      </w:r>
      <w:r w:rsidR="00243643" w:rsidRPr="00F42B1D">
        <w:t xml:space="preserve">  Development of the Document classification system is based on the types of medication related problems identified by Hepler and Strand</w:t>
      </w:r>
      <w:r w:rsidR="00307FDB">
        <w:t xml:space="preserve"> </w:t>
      </w:r>
      <w:r w:rsidR="00243643" w:rsidRPr="00F42B1D">
        <w:fldChar w:fldCharType="begin"/>
      </w:r>
      <w:r w:rsidR="00EB6EA4">
        <w:instrText xml:space="preserve"> ADDIN EN.CITE &lt;EndNote&gt;&lt;Cite&gt;&lt;Author&gt;Hepler&lt;/Author&gt;&lt;Year&gt;1990&lt;/Year&gt;&lt;RecNum&gt;731&lt;/RecNum&gt;&lt;DisplayText&gt;(69)&lt;/DisplayText&gt;&lt;record&gt;&lt;rec-number&gt;731&lt;/rec-number&gt;&lt;foreign-keys&gt;&lt;key app="EN" db-id="d0xp2t25pp9v99eaxt55sx2s9rsxfxa9wfrz" timestamp="1598228533"&gt;731&lt;/key&gt;&lt;/foreign-keys&gt;&lt;ref-type name="Journal Article"&gt;17&lt;/ref-type&gt;&lt;contributors&gt;&lt;authors&gt;&lt;author&gt;Hepler, Charles D&lt;/author&gt;&lt;author&gt;Strand, Linda M&lt;/author&gt;&lt;/authors&gt;&lt;/contributors&gt;&lt;titles&gt;&lt;title&gt;Opportunities and responsibilities in pharmaceutical care&lt;/title&gt;&lt;secondary-title&gt;American journal of hospital pharmacy&lt;/secondary-title&gt;&lt;/titles&gt;&lt;periodical&gt;&lt;full-title&gt;American journal of hospital pharmacy&lt;/full-title&gt;&lt;/periodical&gt;&lt;pages&gt;533-543&lt;/pages&gt;&lt;volume&gt;47&lt;/volume&gt;&lt;number&gt;3&lt;/number&gt;&lt;dates&gt;&lt;year&gt;1990&lt;/year&gt;&lt;/dates&gt;&lt;isbn&gt;1079-2082&lt;/isbn&gt;&lt;urls&gt;&lt;/urls&gt;&lt;/record&gt;&lt;/Cite&gt;&lt;/EndNote&gt;</w:instrText>
      </w:r>
      <w:r w:rsidR="00243643" w:rsidRPr="00F42B1D">
        <w:fldChar w:fldCharType="separate"/>
      </w:r>
      <w:r w:rsidR="00EB6EA4">
        <w:rPr>
          <w:noProof/>
        </w:rPr>
        <w:t>(</w:t>
      </w:r>
      <w:hyperlink w:anchor="_ENREF_69" w:tooltip="Hepler, 1990 #731" w:history="1">
        <w:r w:rsidR="00EB6EA4">
          <w:rPr>
            <w:noProof/>
          </w:rPr>
          <w:t>69</w:t>
        </w:r>
      </w:hyperlink>
      <w:r w:rsidR="00EB6EA4">
        <w:rPr>
          <w:noProof/>
        </w:rPr>
        <w:t>)</w:t>
      </w:r>
      <w:r w:rsidR="00243643" w:rsidRPr="00F42B1D">
        <w:fldChar w:fldCharType="end"/>
      </w:r>
      <w:r w:rsidR="00243643" w:rsidRPr="00F42B1D">
        <w:t xml:space="preserve"> and the Pharmac</w:t>
      </w:r>
      <w:r w:rsidR="00E069BD" w:rsidRPr="00F42B1D">
        <w:t>eutical Care Network Europe</w:t>
      </w:r>
      <w:r w:rsidR="00243643" w:rsidRPr="00F42B1D">
        <w:t xml:space="preserve"> (PCNE)</w:t>
      </w:r>
      <w:r w:rsidR="00307FDB">
        <w:t xml:space="preserve"> </w:t>
      </w:r>
      <w:r w:rsidR="00243643" w:rsidRPr="00F42B1D">
        <w:fldChar w:fldCharType="begin"/>
      </w:r>
      <w:r w:rsidR="00EB6EA4">
        <w:instrText xml:space="preserve"> ADDIN EN.CITE &lt;EndNote&gt;&lt;Cite&gt;&lt;Author&gt;PCNE&lt;/Author&gt;&lt;RecNum&gt;732&lt;/RecNum&gt;&lt;DisplayText&gt;(70)&lt;/DisplayText&gt;&lt;record&gt;&lt;rec-number&gt;732&lt;/rec-number&gt;&lt;foreign-keys&gt;&lt;key app="EN" db-id="d0xp2t25pp9v99eaxt55sx2s9rsxfxa9wfrz" timestamp="1598228589"&gt;732&lt;/key&gt;&lt;/foreign-keys&gt;&lt;ref-type name="Journal Article"&gt;17&lt;/ref-type&gt;&lt;contributors&gt;&lt;authors&gt;&lt;author&gt;PCNE, DRP&lt;/author&gt;&lt;/authors&gt;&lt;/contributors&gt;&lt;titles&gt;&lt;title&gt;Classification System 2006: Available from: http://www. pcne. org/sig/drp/documents/drp&lt;/title&gt;&lt;secondary-title&gt;PCNE% 20classification% 20V5&lt;/secondary-title&gt;&lt;/titles&gt;&lt;periodical&gt;&lt;full-title&gt;PCNE% 20classification% 20V5&lt;/full-title&gt;&lt;/periodical&gt;&lt;volume&gt;1&lt;/volume&gt;&lt;dates&gt;&lt;/dates&gt;&lt;urls&gt;&lt;/urls&gt;&lt;/record&gt;&lt;/Cite&gt;&lt;/EndNote&gt;</w:instrText>
      </w:r>
      <w:r w:rsidR="00243643" w:rsidRPr="00F42B1D">
        <w:fldChar w:fldCharType="separate"/>
      </w:r>
      <w:r w:rsidR="00EB6EA4">
        <w:rPr>
          <w:noProof/>
        </w:rPr>
        <w:t>(</w:t>
      </w:r>
      <w:hyperlink w:anchor="_ENREF_70" w:tooltip="PCNE,  #732" w:history="1">
        <w:r w:rsidR="00EB6EA4">
          <w:rPr>
            <w:noProof/>
          </w:rPr>
          <w:t>70</w:t>
        </w:r>
      </w:hyperlink>
      <w:r w:rsidR="00EB6EA4">
        <w:rPr>
          <w:noProof/>
        </w:rPr>
        <w:t>)</w:t>
      </w:r>
      <w:r w:rsidR="00243643" w:rsidRPr="00F42B1D">
        <w:fldChar w:fldCharType="end"/>
      </w:r>
      <w:r w:rsidR="00243643" w:rsidRPr="00F42B1D">
        <w:t xml:space="preserve"> classification system</w:t>
      </w:r>
      <w:r w:rsidR="007501B9">
        <w:t xml:space="preserve">. </w:t>
      </w:r>
      <w:r w:rsidR="00243643" w:rsidRPr="00F42B1D">
        <w:t>The Document system is a validated classification system to categorise drug-related problems and clinical interventions performed in community pharmacy.</w:t>
      </w:r>
      <w:r w:rsidR="00243643" w:rsidRPr="00F42B1D">
        <w:fldChar w:fldCharType="begin"/>
      </w:r>
      <w:r w:rsidR="00EB6EA4">
        <w:instrText xml:space="preserve"> ADDIN EN.CITE &lt;EndNote&gt;&lt;Cite&gt;&lt;Author&gt;Williams&lt;/Author&gt;&lt;Year&gt;2012&lt;/Year&gt;&lt;RecNum&gt;729&lt;/RecNum&gt;&lt;DisplayText&gt;(68)&lt;/DisplayText&gt;&lt;record&gt;&lt;rec-number&gt;729&lt;/rec-number&gt;&lt;foreign-keys&gt;&lt;key app="EN" db-id="d0xp2t25pp9v99eaxt55sx2s9rsxfxa9wfrz" timestamp="1598228206"&gt;729&lt;/key&gt;&lt;/foreign-keys&gt;&lt;ref-type name="Journal Article"&gt;17&lt;/ref-type&gt;&lt;contributors&gt;&lt;authors&gt;&lt;author&gt;Williams, Mackenzie&lt;/author&gt;&lt;author&gt;Peterson, Gregory M&lt;/author&gt;&lt;author&gt;Tenni, Peter C&lt;/author&gt;&lt;author&gt;Bindoff, Ivan K&lt;/author&gt;&lt;author&gt;Stafford, Andrew C&lt;/author&gt;&lt;/authors&gt;&lt;/contributors&gt;&lt;titles&gt;&lt;title&gt;DOCUMENT: a system for classifying drug-related problems in community pharmacy&lt;/title&gt;&lt;secondary-title&gt;International journal of clinical pharmacy&lt;/secondary-title&gt;&lt;/titles&gt;&lt;periodical&gt;&lt;full-title&gt;International journal of clinical pharmacy&lt;/full-title&gt;&lt;/periodical&gt;&lt;pages&gt;43-52&lt;/pages&gt;&lt;volume&gt;34&lt;/volume&gt;&lt;number&gt;1&lt;/number&gt;&lt;dates&gt;&lt;year&gt;2012&lt;/year&gt;&lt;/dates&gt;&lt;isbn&gt;2210-7703&lt;/isbn&gt;&lt;urls&gt;&lt;/urls&gt;&lt;/record&gt;&lt;/Cite&gt;&lt;/EndNote&gt;</w:instrText>
      </w:r>
      <w:r w:rsidR="00243643" w:rsidRPr="00F42B1D">
        <w:fldChar w:fldCharType="separate"/>
      </w:r>
      <w:r w:rsidR="00EB6EA4">
        <w:rPr>
          <w:noProof/>
        </w:rPr>
        <w:t>(</w:t>
      </w:r>
      <w:hyperlink w:anchor="_ENREF_68" w:tooltip="Williams, 2012 #729" w:history="1">
        <w:r w:rsidR="00EB6EA4">
          <w:rPr>
            <w:noProof/>
          </w:rPr>
          <w:t>68</w:t>
        </w:r>
      </w:hyperlink>
      <w:r w:rsidR="00EB6EA4">
        <w:rPr>
          <w:noProof/>
        </w:rPr>
        <w:t>)</w:t>
      </w:r>
      <w:r w:rsidR="00243643" w:rsidRPr="00F42B1D">
        <w:fldChar w:fldCharType="end"/>
      </w:r>
    </w:p>
    <w:p w14:paraId="61778883" w14:textId="0EAEEB31" w:rsidR="00A10255" w:rsidRPr="00B75218" w:rsidRDefault="00A10255" w:rsidP="007501B9">
      <w:r w:rsidRPr="00F42B1D">
        <w:t>Problems identified by the pharmacists were extracted and classified by two independent researcher pharmacists for a random sample of 108 participants’ records</w:t>
      </w:r>
      <w:r w:rsidR="007501B9">
        <w:t xml:space="preserve">. </w:t>
      </w:r>
      <w:r w:rsidRPr="00F42B1D">
        <w:t>Cohen’s kappa to quantify the level of agreement between identification and classifications was used.</w:t>
      </w:r>
      <w:r w:rsidRPr="00F42B1D">
        <w:fldChar w:fldCharType="begin"/>
      </w:r>
      <w:r w:rsidR="00EB6EA4">
        <w:instrText xml:space="preserve"> ADDIN EN.CITE &lt;EndNote&gt;&lt;Cite&gt;&lt;Author&gt;Cohen&lt;/Author&gt;&lt;Year&gt;1960&lt;/Year&gt;&lt;RecNum&gt;851&lt;/RecNum&gt;&lt;DisplayText&gt;(71)&lt;/DisplayText&gt;&lt;record&gt;&lt;rec-number&gt;851&lt;/rec-number&gt;&lt;foreign-keys&gt;&lt;key app="EN" db-id="5sz9exdt1pxvpreaxpdx9ttg5tz9z55trfrr" timestamp="1596783622"&gt;851&lt;/key&gt;&lt;/foreign-keys&gt;&lt;ref-type name="Journal Article"&gt;17&lt;/ref-type&gt;&lt;contributors&gt;&lt;authors&gt;&lt;author&gt;Cohen, Jacob&lt;/author&gt;&lt;/authors&gt;&lt;/contributors&gt;&lt;titles&gt;&lt;title&gt;A coefficient of agreement for nominal scales&lt;/title&gt;&lt;secondary-title&gt;Educational and psychological measurement&lt;/secondary-title&gt;&lt;/titles&gt;&lt;periodical&gt;&lt;full-title&gt;Educational and psychological measurement&lt;/full-title&gt;&lt;/periodical&gt;&lt;pages&gt;37-46&lt;/pages&gt;&lt;volume&gt;20&lt;/volume&gt;&lt;number&gt;1&lt;/number&gt;&lt;dates&gt;&lt;year&gt;1960&lt;/year&gt;&lt;/dates&gt;&lt;isbn&gt;0013-1644&lt;/isbn&gt;&lt;urls&gt;&lt;/urls&gt;&lt;/record&gt;&lt;/Cite&gt;&lt;/EndNote&gt;</w:instrText>
      </w:r>
      <w:r w:rsidRPr="00F42B1D">
        <w:fldChar w:fldCharType="separate"/>
      </w:r>
      <w:r w:rsidR="00EB6EA4">
        <w:rPr>
          <w:noProof/>
        </w:rPr>
        <w:t>(</w:t>
      </w:r>
      <w:hyperlink w:anchor="_ENREF_71" w:tooltip="Cohen, 1960 #851" w:history="1">
        <w:r w:rsidR="00EB6EA4">
          <w:rPr>
            <w:noProof/>
          </w:rPr>
          <w:t>71</w:t>
        </w:r>
      </w:hyperlink>
      <w:r w:rsidR="00EB6EA4">
        <w:rPr>
          <w:noProof/>
        </w:rPr>
        <w:t>)</w:t>
      </w:r>
      <w:r w:rsidRPr="00F42B1D">
        <w:fldChar w:fldCharType="end"/>
      </w:r>
      <w:r w:rsidRPr="00F42B1D">
        <w:t xml:space="preserve">  The computation of kappa values was performed using the </w:t>
      </w:r>
      <w:proofErr w:type="spellStart"/>
      <w:r w:rsidRPr="00F42B1D">
        <w:t>vcd</w:t>
      </w:r>
      <w:proofErr w:type="spellEnd"/>
      <w:r w:rsidRPr="00F42B1D">
        <w:t xml:space="preserve"> package for open-source R </w:t>
      </w:r>
      <w:r w:rsidRPr="00B75218">
        <w:t>Studio Version 1.2.1335 (R Development Core team, 2009).</w:t>
      </w:r>
      <w:r w:rsidRPr="00B75218">
        <w:fldChar w:fldCharType="begin"/>
      </w:r>
      <w:r w:rsidR="00EB6EA4">
        <w:instrText xml:space="preserve"> ADDIN EN.CITE &lt;EndNote&gt;&lt;Cite&gt;&lt;Author&gt;Friendly&lt;/Author&gt;&lt;Year&gt;2015&lt;/Year&gt;&lt;RecNum&gt;848&lt;/RecNum&gt;&lt;DisplayText&gt;(72)&lt;/DisplayText&gt;&lt;record&gt;&lt;rec-number&gt;848&lt;/rec-number&gt;&lt;foreign-keys&gt;&lt;key app="EN" db-id="5sz9exdt1pxvpreaxpdx9ttg5tz9z55trfrr" timestamp="1596783358"&gt;848&lt;/key&gt;&lt;/foreign-keys&gt;&lt;ref-type name="Book"&gt;6&lt;/ref-type&gt;&lt;contributors&gt;&lt;authors&gt;&lt;author&gt;Friendly, Michael&lt;/author&gt;&lt;author&gt;Meyer, David&lt;/author&gt;&lt;/authors&gt;&lt;/contributors&gt;&lt;titles&gt;&lt;title&gt;Discrete data analysis with R: visualization and modeling techniques for categorical and count data&lt;/title&gt;&lt;/titles&gt;&lt;volume&gt;120&lt;/volume&gt;&lt;dates&gt;&lt;year&gt;2015&lt;/year&gt;&lt;/dates&gt;&lt;publisher&gt;CRC Press&lt;/publisher&gt;&lt;isbn&gt;1498725856&lt;/isbn&gt;&lt;urls&gt;&lt;/urls&gt;&lt;/record&gt;&lt;/Cite&gt;&lt;/EndNote&gt;</w:instrText>
      </w:r>
      <w:r w:rsidRPr="00B75218">
        <w:fldChar w:fldCharType="separate"/>
      </w:r>
      <w:r w:rsidR="00EB6EA4">
        <w:rPr>
          <w:noProof/>
        </w:rPr>
        <w:t>(</w:t>
      </w:r>
      <w:hyperlink w:anchor="_ENREF_72" w:tooltip="Friendly, 2015 #848" w:history="1">
        <w:r w:rsidR="00EB6EA4">
          <w:rPr>
            <w:noProof/>
          </w:rPr>
          <w:t>72</w:t>
        </w:r>
      </w:hyperlink>
      <w:r w:rsidR="00EB6EA4">
        <w:rPr>
          <w:noProof/>
        </w:rPr>
        <w:t>)</w:t>
      </w:r>
      <w:r w:rsidRPr="00B75218">
        <w:fldChar w:fldCharType="end"/>
      </w:r>
    </w:p>
    <w:p w14:paraId="034F3565" w14:textId="228B8EB9" w:rsidR="0001344B" w:rsidRPr="00B75218" w:rsidRDefault="0060370F" w:rsidP="007501B9">
      <w:r w:rsidRPr="00B75218">
        <w:t xml:space="preserve">Adverse events were assessed to determine the extent of medication related harm in </w:t>
      </w:r>
      <w:r w:rsidR="00812C48">
        <w:t>aged care</w:t>
      </w:r>
      <w:r w:rsidRPr="00B75218">
        <w:t xml:space="preserve"> and the preventability of that harm</w:t>
      </w:r>
      <w:r w:rsidR="00CA47CA">
        <w:t xml:space="preserve">. </w:t>
      </w:r>
      <w:r w:rsidR="00307FDB" w:rsidRPr="00307FDB">
        <w:t xml:space="preserve">Adverse events that were collected during the </w:t>
      </w:r>
      <w:proofErr w:type="spellStart"/>
      <w:r w:rsidR="00307FDB" w:rsidRPr="00307FDB">
        <w:t>ReMInDAR</w:t>
      </w:r>
      <w:proofErr w:type="spellEnd"/>
      <w:r w:rsidR="00307FDB" w:rsidRPr="00307FDB">
        <w:t xml:space="preserve"> trial were classified according to an abbreviated set of validated assessment criteria for each </w:t>
      </w:r>
      <w:r w:rsidR="00DE7A29">
        <w:t>event</w:t>
      </w:r>
      <w:r w:rsidR="00CA47CA">
        <w:t xml:space="preserve">. </w:t>
      </w:r>
      <w:r w:rsidR="0001344B" w:rsidRPr="00B75218">
        <w:t xml:space="preserve">The assessments were limited </w:t>
      </w:r>
      <w:r w:rsidR="00DE7A29">
        <w:t>to</w:t>
      </w:r>
      <w:r w:rsidR="0001344B" w:rsidRPr="00B75218">
        <w:t xml:space="preserve"> abbreviated sets of criteria, as not all required data </w:t>
      </w:r>
      <w:r w:rsidR="00B75218" w:rsidRPr="00B75218">
        <w:t xml:space="preserve">were </w:t>
      </w:r>
      <w:r w:rsidR="0001344B" w:rsidRPr="00B75218">
        <w:t xml:space="preserve">available </w:t>
      </w:r>
      <w:r w:rsidR="00307FDB" w:rsidRPr="00B75218">
        <w:t xml:space="preserve">or collected </w:t>
      </w:r>
      <w:r w:rsidR="0001344B" w:rsidRPr="00B75218">
        <w:t>for the residents.</w:t>
      </w:r>
    </w:p>
    <w:p w14:paraId="02C4D859" w14:textId="6B85FA86" w:rsidR="0001344B" w:rsidRDefault="0001344B" w:rsidP="007501B9">
      <w:r w:rsidRPr="00B75218">
        <w:t>Adverse events were independently coded by two researcher pharmacists using an abbreviated Naranjo assessment criteria to classify them for causality as an adverse medicine event</w:t>
      </w:r>
      <w:r w:rsidR="00B75218">
        <w:t>.</w:t>
      </w:r>
      <w:r w:rsidRPr="00B75218">
        <w:t xml:space="preserve"> </w:t>
      </w:r>
      <w:r w:rsidR="00B92CA8">
        <w:fldChar w:fldCharType="begin"/>
      </w:r>
      <w:r w:rsidR="00EB6EA4">
        <w:instrText xml:space="preserve"> ADDIN EN.CITE &lt;EndNote&gt;&lt;Cite&gt;&lt;Author&gt;Naranjo&lt;/Author&gt;&lt;Year&gt;1981&lt;/Year&gt;&lt;RecNum&gt;56&lt;/RecNum&gt;&lt;DisplayText&gt;(73)&lt;/DisplayText&gt;&lt;record&gt;&lt;rec-number&gt;56&lt;/rec-number&gt;&lt;foreign-keys&gt;&lt;key app="EN" db-id="9s5z5ped05vxdnede99vfsxhtzavzdzs2d5r" timestamp="1614135898"&gt;56&lt;/key&gt;&lt;/foreign-keys&gt;&lt;ref-type name="Journal Article"&gt;17&lt;/ref-type&gt;&lt;contributors&gt;&lt;authors&gt;&lt;author&gt;Naranjo, Cláudio A&lt;/author&gt;&lt;author&gt;Busto, Usoa&lt;/author&gt;&lt;author&gt;Sellers, Edward M&lt;/author&gt;&lt;author&gt;Sandor, P&lt;/author&gt;&lt;author&gt;Ruiz, I&lt;/author&gt;&lt;author&gt;Roberts, EA&lt;/author&gt;&lt;author&gt;Janecek, E&lt;/author&gt;&lt;author&gt;Domecq, C&lt;/author&gt;&lt;author&gt;Greenblatt, DJ&lt;/author&gt;&lt;/authors&gt;&lt;/contributors&gt;&lt;titles&gt;&lt;title&gt;A method for estimating the probability of adverse drug reactions&lt;/title&gt;&lt;secondary-title&gt;Clinical Pharmacology &amp;amp; Therapeutics&lt;/secondary-title&gt;&lt;/titles&gt;&lt;periodical&gt;&lt;full-title&gt;Clinical Pharmacology &amp;amp; Therapeutics&lt;/full-title&gt;&lt;/periodical&gt;&lt;pages&gt;239-245&lt;/pages&gt;&lt;volume&gt;30&lt;/volume&gt;&lt;number&gt;2&lt;/number&gt;&lt;dates&gt;&lt;year&gt;1981&lt;/year&gt;&lt;/dates&gt;&lt;isbn&gt;0009-9236&lt;/isbn&gt;&lt;urls&gt;&lt;/urls&gt;&lt;/record&gt;&lt;/Cite&gt;&lt;/EndNote&gt;</w:instrText>
      </w:r>
      <w:r w:rsidR="00B92CA8">
        <w:fldChar w:fldCharType="separate"/>
      </w:r>
      <w:r w:rsidR="00EB6EA4">
        <w:rPr>
          <w:noProof/>
        </w:rPr>
        <w:t>(</w:t>
      </w:r>
      <w:hyperlink w:anchor="_ENREF_73" w:tooltip="Naranjo, 1981 #56" w:history="1">
        <w:r w:rsidR="00EB6EA4">
          <w:rPr>
            <w:noProof/>
          </w:rPr>
          <w:t>73</w:t>
        </w:r>
      </w:hyperlink>
      <w:r w:rsidR="00EB6EA4">
        <w:rPr>
          <w:noProof/>
        </w:rPr>
        <w:t>)</w:t>
      </w:r>
      <w:r w:rsidR="00B92CA8">
        <w:fldChar w:fldCharType="end"/>
      </w:r>
      <w:r w:rsidRPr="00B75218">
        <w:t xml:space="preserve"> </w:t>
      </w:r>
      <w:r w:rsidR="00B75218" w:rsidRPr="00B75218">
        <w:t xml:space="preserve"> </w:t>
      </w:r>
      <w:r w:rsidRPr="00B75218">
        <w:t xml:space="preserve">If an agreement on positive causality was determined then the adverse event was </w:t>
      </w:r>
      <w:r w:rsidR="00DE7A29">
        <w:t>considered a potential adverse medicine event</w:t>
      </w:r>
      <w:r w:rsidR="00514C17" w:rsidRPr="00B75218">
        <w:t xml:space="preserve"> and referred</w:t>
      </w:r>
      <w:r w:rsidRPr="00B75218">
        <w:t xml:space="preserve"> to a multi-disciplinary panel of three clinicians for further review</w:t>
      </w:r>
      <w:r w:rsidR="007501B9">
        <w:t xml:space="preserve">. </w:t>
      </w:r>
      <w:r w:rsidRPr="00B75218">
        <w:t>Where there was disagreement on causality, the adverse event was assessed by a</w:t>
      </w:r>
      <w:r w:rsidR="00DE7A29">
        <w:t xml:space="preserve"> third</w:t>
      </w:r>
      <w:r w:rsidRPr="00B75218">
        <w:t xml:space="preserve"> pharmacist</w:t>
      </w:r>
      <w:r w:rsidR="00DE7A29">
        <w:t xml:space="preserve"> with the majority decision deciding allocation</w:t>
      </w:r>
      <w:r w:rsidR="007501B9">
        <w:t xml:space="preserve">. </w:t>
      </w:r>
      <w:r w:rsidR="005344D7">
        <w:t xml:space="preserve">The </w:t>
      </w:r>
      <w:r w:rsidR="00B75218" w:rsidRPr="00B75218">
        <w:t xml:space="preserve">clinical </w:t>
      </w:r>
      <w:r w:rsidRPr="00B75218">
        <w:t xml:space="preserve">panel made a final determination of the causality of all </w:t>
      </w:r>
      <w:r w:rsidR="00DE7A29">
        <w:t xml:space="preserve">potential </w:t>
      </w:r>
      <w:r w:rsidRPr="00B75218">
        <w:t>adverse events</w:t>
      </w:r>
      <w:r w:rsidR="007501B9">
        <w:t xml:space="preserve">. </w:t>
      </w:r>
      <w:r w:rsidRPr="00B75218">
        <w:t xml:space="preserve">Where </w:t>
      </w:r>
      <w:r w:rsidR="00B75218" w:rsidRPr="00B75218">
        <w:t xml:space="preserve">likelihood of </w:t>
      </w:r>
      <w:r w:rsidRPr="00B75218">
        <w:t xml:space="preserve">causality was </w:t>
      </w:r>
      <w:r w:rsidRPr="00DE7A29">
        <w:t xml:space="preserve">determined to be </w:t>
      </w:r>
      <w:r w:rsidR="002B7112" w:rsidRPr="00DE7A29">
        <w:t>‘</w:t>
      </w:r>
      <w:r w:rsidRPr="00DE7A29">
        <w:t>possible</w:t>
      </w:r>
      <w:r w:rsidR="002B7112" w:rsidRPr="00DE7A29">
        <w:t>’</w:t>
      </w:r>
      <w:r w:rsidRPr="00DE7A29">
        <w:t xml:space="preserve"> or greater that the adverse event was </w:t>
      </w:r>
      <w:r w:rsidR="00DE7A29" w:rsidRPr="00DE7A29">
        <w:t xml:space="preserve">classified as </w:t>
      </w:r>
      <w:r w:rsidRPr="00DE7A29">
        <w:t>medicine induced</w:t>
      </w:r>
      <w:r w:rsidR="00DE7A29" w:rsidRPr="00DE7A29">
        <w:t>. The</w:t>
      </w:r>
      <w:r w:rsidRPr="00DE7A29">
        <w:t xml:space="preserve"> </w:t>
      </w:r>
      <w:r w:rsidR="00B75218" w:rsidRPr="00DE7A29">
        <w:t xml:space="preserve">clinical </w:t>
      </w:r>
      <w:r w:rsidRPr="00DE7A29">
        <w:t xml:space="preserve">panel assessed the event for its preventability (using </w:t>
      </w:r>
      <w:r w:rsidR="002B7112" w:rsidRPr="00DE7A29">
        <w:t xml:space="preserve">an abbreviated set of abbreviated </w:t>
      </w:r>
      <w:proofErr w:type="spellStart"/>
      <w:r w:rsidR="002B7112" w:rsidRPr="00DE7A29">
        <w:t>Schumock</w:t>
      </w:r>
      <w:proofErr w:type="spellEnd"/>
      <w:r w:rsidR="002B7112" w:rsidRPr="00DE7A29">
        <w:t>-Thornton criteria</w:t>
      </w:r>
      <w:r w:rsidR="005344D7" w:rsidRPr="00DE7A29">
        <w:t xml:space="preserve"> </w:t>
      </w:r>
      <w:r w:rsidR="005344D7" w:rsidRPr="00DE7A29">
        <w:fldChar w:fldCharType="begin"/>
      </w:r>
      <w:r w:rsidR="00EB6EA4">
        <w:instrText xml:space="preserve"> ADDIN EN.CITE &lt;EndNote&gt;&lt;Cite&gt;&lt;Author&gt;Schumock&lt;/Author&gt;&lt;Year&gt;1992&lt;/Year&gt;&lt;RecNum&gt;58&lt;/RecNum&gt;&lt;DisplayText&gt;(74)&lt;/DisplayText&gt;&lt;record&gt;&lt;rec-number&gt;58&lt;/rec-number&gt;&lt;foreign-keys&gt;&lt;key app="EN" db-id="9s5z5ped05vxdnede99vfsxhtzavzdzs2d5r" timestamp="1614137172"&gt;58&lt;/key&gt;&lt;/foreign-keys&gt;&lt;ref-type name="Journal Article"&gt;17&lt;/ref-type&gt;&lt;contributors&gt;&lt;authors&gt;&lt;author&gt;Schumock, GT&lt;/author&gt;&lt;author&gt;Thornton, JP&lt;/author&gt;&lt;/authors&gt;&lt;/contributors&gt;&lt;titles&gt;&lt;title&gt;Focusing on the preventability of adverse drug reactions&lt;/title&gt;&lt;secondary-title&gt;Hospital pharmacy&lt;/secondary-title&gt;&lt;/titles&gt;&lt;periodical&gt;&lt;full-title&gt;Hospital pharmacy&lt;/full-title&gt;&lt;/periodical&gt;&lt;pages&gt;538-538&lt;/pages&gt;&lt;volume&gt;27&lt;/volume&gt;&lt;number&gt;6&lt;/number&gt;&lt;dates&gt;&lt;year&gt;1992&lt;/year&gt;&lt;/dates&gt;&lt;isbn&gt;0018-5787&lt;/isbn&gt;&lt;urls&gt;&lt;/urls&gt;&lt;/record&gt;&lt;/Cite&gt;&lt;/EndNote&gt;</w:instrText>
      </w:r>
      <w:r w:rsidR="005344D7" w:rsidRPr="00DE7A29">
        <w:fldChar w:fldCharType="separate"/>
      </w:r>
      <w:r w:rsidR="00EB6EA4">
        <w:rPr>
          <w:noProof/>
        </w:rPr>
        <w:t>(</w:t>
      </w:r>
      <w:hyperlink w:anchor="_ENREF_74" w:tooltip="Schumock, 1992 #58" w:history="1">
        <w:r w:rsidR="00EB6EA4">
          <w:rPr>
            <w:noProof/>
          </w:rPr>
          <w:t>74</w:t>
        </w:r>
      </w:hyperlink>
      <w:r w:rsidR="00EB6EA4">
        <w:rPr>
          <w:noProof/>
        </w:rPr>
        <w:t>)</w:t>
      </w:r>
      <w:r w:rsidR="005344D7" w:rsidRPr="00DE7A29">
        <w:fldChar w:fldCharType="end"/>
      </w:r>
      <w:r w:rsidR="0065713A" w:rsidRPr="00DE7A29">
        <w:t xml:space="preserve">, and considered any </w:t>
      </w:r>
      <w:r w:rsidR="00DE7A29" w:rsidRPr="00DE7A29">
        <w:t>if there were precipitating (potentially modifiable) or contributing</w:t>
      </w:r>
      <w:r w:rsidR="002B7112" w:rsidRPr="00DE7A29">
        <w:t xml:space="preserve"> factors</w:t>
      </w:r>
      <w:r w:rsidR="007501B9">
        <w:t xml:space="preserve">. </w:t>
      </w:r>
      <w:r w:rsidR="0065713A" w:rsidRPr="00DE7A29">
        <w:t xml:space="preserve">Severity was not assessed due to insufficient </w:t>
      </w:r>
      <w:r w:rsidR="00DE7A29" w:rsidRPr="00DE7A29">
        <w:t xml:space="preserve">collection of </w:t>
      </w:r>
      <w:r w:rsidR="0065713A" w:rsidRPr="00DE7A29">
        <w:t>clinical information.</w:t>
      </w:r>
    </w:p>
    <w:p w14:paraId="41BD06A5" w14:textId="77777777" w:rsidR="00A10255" w:rsidRPr="00426FDD" w:rsidRDefault="00A10255" w:rsidP="00F22EAA">
      <w:pPr>
        <w:pStyle w:val="Heading4"/>
        <w:spacing w:line="276" w:lineRule="auto"/>
      </w:pPr>
      <w:r w:rsidRPr="00426FDD">
        <w:lastRenderedPageBreak/>
        <w:t>Source data documentation and monitoring</w:t>
      </w:r>
    </w:p>
    <w:p w14:paraId="0BB4C7DA" w14:textId="51857E4A" w:rsidR="00A10255" w:rsidRPr="00F42B1D" w:rsidRDefault="00DE7A29" w:rsidP="007501B9">
      <w:r>
        <w:t>T</w:t>
      </w:r>
      <w:r w:rsidRPr="00F42B1D">
        <w:t xml:space="preserve">o ensure accurate data entry </w:t>
      </w:r>
      <w:r>
        <w:t>a</w:t>
      </w:r>
      <w:r w:rsidR="00A10255" w:rsidRPr="00F42B1D">
        <w:t xml:space="preserve"> member of the research team checked data entered by each research assistant</w:t>
      </w:r>
      <w:r w:rsidR="007501B9">
        <w:t xml:space="preserve">. </w:t>
      </w:r>
      <w:r w:rsidR="00A10255" w:rsidRPr="00F42B1D">
        <w:t xml:space="preserve">Data for the first 50 participants </w:t>
      </w:r>
      <w:proofErr w:type="gramStart"/>
      <w:r w:rsidR="00A10255" w:rsidRPr="00F42B1D">
        <w:t>entered into</w:t>
      </w:r>
      <w:proofErr w:type="gramEnd"/>
      <w:r w:rsidR="00A10255" w:rsidRPr="00F42B1D">
        <w:t xml:space="preserve"> the electronic case report forms were cross-referenced to the original source information by two members of the research team</w:t>
      </w:r>
      <w:r w:rsidR="007501B9">
        <w:t xml:space="preserve">. </w:t>
      </w:r>
      <w:r w:rsidR="00A10255" w:rsidRPr="00F42B1D">
        <w:t>Additionally, two members of the research team performed on-going source data verification (10% random sample of participants’ data) and review to confirm that the source data (</w:t>
      </w:r>
      <w:proofErr w:type="gramStart"/>
      <w:r w:rsidR="00A10255" w:rsidRPr="00F42B1D">
        <w:t>e.g.</w:t>
      </w:r>
      <w:proofErr w:type="gramEnd"/>
      <w:r w:rsidR="00A10255" w:rsidRPr="00F42B1D">
        <w:t xml:space="preserve"> progress notes, medication chart, outcome measures) entered by the research assistants into the electronic case report forms was accurate, complete and verifiable from the source documents</w:t>
      </w:r>
      <w:r w:rsidR="007501B9">
        <w:t xml:space="preserve">. </w:t>
      </w:r>
      <w:r w:rsidR="00A10255" w:rsidRPr="00F42B1D">
        <w:t>Medication data was dual coded to ensure accuracy</w:t>
      </w:r>
      <w:r w:rsidR="007501B9">
        <w:t xml:space="preserve">. </w:t>
      </w:r>
      <w:r w:rsidR="00A10255" w:rsidRPr="00F42B1D">
        <w:t>An audit trail was created of data validation, with each entry time-stamped when created or modified</w:t>
      </w:r>
      <w:r w:rsidR="007501B9">
        <w:t xml:space="preserve">. </w:t>
      </w:r>
      <w:r w:rsidR="00A10255" w:rsidRPr="00F42B1D">
        <w:t>The statistician conducted quality assurance and applied validation and consistency rules to ensure the integrity of the trial data.</w:t>
      </w:r>
    </w:p>
    <w:p w14:paraId="3163BCDB" w14:textId="77777777" w:rsidR="00A10255" w:rsidRPr="00426FDD" w:rsidRDefault="00A10255" w:rsidP="00F22EAA">
      <w:pPr>
        <w:pStyle w:val="Heading4"/>
        <w:spacing w:line="276" w:lineRule="auto"/>
      </w:pPr>
      <w:r w:rsidRPr="00426FDD">
        <w:t>Analysis plan</w:t>
      </w:r>
    </w:p>
    <w:p w14:paraId="5A50DC0C" w14:textId="77777777" w:rsidR="00A10255" w:rsidRPr="00F42B1D" w:rsidRDefault="00A10255" w:rsidP="00F22EAA">
      <w:pPr>
        <w:pStyle w:val="Heading5"/>
        <w:spacing w:line="276" w:lineRule="auto"/>
      </w:pPr>
      <w:r w:rsidRPr="00F42B1D">
        <w:t>Sample size calculation</w:t>
      </w:r>
    </w:p>
    <w:p w14:paraId="6B16A4EE" w14:textId="25ED3248" w:rsidR="00A10255" w:rsidRPr="00F42B1D" w:rsidRDefault="00A10255" w:rsidP="007501B9">
      <w:r w:rsidRPr="00F42B1D">
        <w:t xml:space="preserve">The sample size calculation </w:t>
      </w:r>
      <w:r w:rsidR="005A298C">
        <w:t xml:space="preserve">for the trial </w:t>
      </w:r>
      <w:r w:rsidRPr="00F42B1D">
        <w:t>was based on the primary outcome, change in frailty over twelve months</w:t>
      </w:r>
      <w:r w:rsidR="005A298C">
        <w:t>. The estimated change was</w:t>
      </w:r>
      <w:r w:rsidRPr="00F42B1D">
        <w:t xml:space="preserve"> based on data from the Australian Longitudinal Study of Ageing.</w:t>
      </w:r>
      <w:r w:rsidRPr="00F42B1D">
        <w:fldChar w:fldCharType="begin"/>
      </w:r>
      <w:r w:rsidR="00EB6EA4">
        <w:instrText xml:space="preserve"> ADDIN EN.CITE &lt;EndNote&gt;&lt;Cite&gt;&lt;Author&gt;Flinders Centre for Ageing Studies.&lt;/Author&gt;&lt;Year&gt;2016&lt;/Year&gt;&lt;RecNum&gt;40&lt;/RecNum&gt;&lt;DisplayText&gt;(75)&lt;/DisplayText&gt;&lt;record&gt;&lt;rec-number&gt;40&lt;/rec-number&gt;&lt;foreign-keys&gt;&lt;key app="EN" db-id="9s5z5ped05vxdnede99vfsxhtzavzdzs2d5r" timestamp="1597381999"&gt;40&lt;/key&gt;&lt;/foreign-keys&gt;&lt;ref-type name="Web Page"&gt;12&lt;/ref-type&gt;&lt;contributors&gt;&lt;authors&gt;&lt;author&gt;Flinders Centre for Ageing Studies., &lt;/author&gt;&lt;/authors&gt;&lt;/contributors&gt;&lt;titles&gt;&lt;title&gt;ALSA: The Australian Longitudinal Study of Ageing&lt;/title&gt;&lt;/titles&gt;&lt;volume&gt;2016&lt;/volume&gt;&lt;number&gt;November 23 &lt;/number&gt;&lt;dates&gt;&lt;year&gt;2016&lt;/year&gt;&lt;pub-dates&gt;&lt;date&gt;2016 April 6&lt;/date&gt;&lt;/pub-dates&gt;&lt;/dates&gt;&lt;urls&gt;&lt;related-urls&gt;&lt;url&gt;http://www.flinders.edu.au/sabs/fcas/alsa/&lt;/url&gt;&lt;/related-urls&gt;&lt;/urls&gt;&lt;/record&gt;&lt;/Cite&gt;&lt;/EndNote&gt;</w:instrText>
      </w:r>
      <w:r w:rsidRPr="00F42B1D">
        <w:fldChar w:fldCharType="separate"/>
      </w:r>
      <w:r w:rsidR="00EB6EA4">
        <w:rPr>
          <w:noProof/>
        </w:rPr>
        <w:t>(</w:t>
      </w:r>
      <w:hyperlink w:anchor="_ENREF_75" w:tooltip="Flinders Centre for Ageing Studies., 2016 #40" w:history="1">
        <w:r w:rsidR="00EB6EA4">
          <w:rPr>
            <w:noProof/>
          </w:rPr>
          <w:t>75</w:t>
        </w:r>
      </w:hyperlink>
      <w:r w:rsidR="00EB6EA4">
        <w:rPr>
          <w:noProof/>
        </w:rPr>
        <w:t>)</w:t>
      </w:r>
      <w:r w:rsidRPr="00F42B1D">
        <w:fldChar w:fldCharType="end"/>
      </w:r>
      <w:r w:rsidRPr="00F42B1D">
        <w:t xml:space="preserve"> </w:t>
      </w:r>
      <w:r w:rsidR="00E33A5C" w:rsidRPr="00F42B1D">
        <w:t xml:space="preserve"> </w:t>
      </w:r>
      <w:r w:rsidRPr="00F42B1D">
        <w:t xml:space="preserve">The intervention was assumed to prevent </w:t>
      </w:r>
      <w:r w:rsidR="00DF7550" w:rsidRPr="00F42B1D">
        <w:t>medicine-induced</w:t>
      </w:r>
      <w:r w:rsidRPr="00F42B1D">
        <w:t xml:space="preserve"> frailty by half a deficit, with the treatment effect being a change in the frailty index of 0.015 with a standard deviation of 0.06.</w:t>
      </w:r>
      <w:r w:rsidRPr="00F42B1D">
        <w:fldChar w:fldCharType="begin"/>
      </w:r>
      <w:r w:rsidR="00EB6EA4">
        <w:instrText xml:space="preserve"> ADDIN EN.CITE &lt;EndNote&gt;&lt;Cite&gt;&lt;Author&gt;Runciman&lt;/Author&gt;&lt;Year&gt;2003&lt;/Year&gt;&lt;RecNum&gt;3&lt;/RecNum&gt;&lt;DisplayText&gt;(76)&lt;/DisplayText&gt;&lt;record&gt;&lt;rec-number&gt;3&lt;/rec-number&gt;&lt;foreign-keys&gt;&lt;key app="EN" db-id="9s5z5ped05vxdnede99vfsxhtzavzdzs2d5r" timestamp="1597381991"&gt;3&lt;/key&gt;&lt;/foreign-keys&gt;&lt;ref-type name="Journal Article"&gt;17&lt;/ref-type&gt;&lt;contributors&gt;&lt;authors&gt;&lt;author&gt;Runciman, W. B.&lt;/author&gt;&lt;author&gt;Roughead, E. E.&lt;/author&gt;&lt;author&gt;Semple, S. J.&lt;/author&gt;&lt;author&gt;Adams, R. J.&lt;/author&gt;&lt;/authors&gt;&lt;/contributors&gt;&lt;auth-address&gt;Department of Anaesthesia and Intensive Care, Level 4, Eleanor Harrald Building, Royal Adelaide Hospital, North Terrace, Adelaide, SA 5000, Australia. wrunciman@bigpond.com&lt;/auth-address&gt;&lt;titles&gt;&lt;title&gt;Adverse drug events and medication errors in Australia&lt;/title&gt;&lt;secondary-title&gt;Int J Qual Health Care&lt;/secondary-title&gt;&lt;alt-title&gt;International journal for quality in health care : journal of the International Society for Quality in Health Care&lt;/alt-title&gt;&lt;/titles&gt;&lt;pages&gt;i49-59&lt;/pages&gt;&lt;volume&gt;15 Suppl 1&lt;/volume&gt;&lt;edition&gt;2003/12/09&lt;/edition&gt;&lt;keywords&gt;&lt;keyword&gt;Australia/epidemiology&lt;/keyword&gt;&lt;keyword&gt;Drug Utilization/statistics &amp;amp; numerical data&lt;/keyword&gt;&lt;keyword&gt;Drug-Related Side Effects and Adverse Reactions&lt;/keyword&gt;&lt;keyword&gt;Family Practice/ standards/statistics &amp;amp; numerical data&lt;/keyword&gt;&lt;keyword&gt;Hospitalization/statistics &amp;amp; numerical data&lt;/keyword&gt;&lt;keyword&gt;Humans&lt;/keyword&gt;&lt;keyword&gt;Medication Errors/ statistics &amp;amp; numerical data&lt;/keyword&gt;&lt;keyword&gt;Medication Systems, Hospital/ standards/statistics &amp;amp; numerical data&lt;/keyword&gt;&lt;keyword&gt;Quality Indicators, Health Care&lt;/keyword&gt;&lt;/keywords&gt;&lt;dates&gt;&lt;year&gt;2003&lt;/year&gt;&lt;pub-dates&gt;&lt;date&gt;Dec&lt;/date&gt;&lt;/pub-dates&gt;&lt;/dates&gt;&lt;isbn&gt;1353-4505 (Print)&amp;#xD;1353-4505 (Linking)&lt;/isbn&gt;&lt;accession-num&gt;14660523&lt;/accession-num&gt;&lt;urls&gt;&lt;/urls&gt;&lt;remote-database-provider&gt;NLM&lt;/remote-database-provider&gt;&lt;language&gt;Eng&lt;/language&gt;&lt;/record&gt;&lt;/Cite&gt;&lt;/EndNote&gt;</w:instrText>
      </w:r>
      <w:r w:rsidRPr="00F42B1D">
        <w:fldChar w:fldCharType="separate"/>
      </w:r>
      <w:r w:rsidR="00EB6EA4">
        <w:rPr>
          <w:noProof/>
        </w:rPr>
        <w:t>(</w:t>
      </w:r>
      <w:hyperlink w:anchor="_ENREF_76" w:tooltip="Runciman, 2003 #3" w:history="1">
        <w:r w:rsidR="00EB6EA4">
          <w:rPr>
            <w:noProof/>
          </w:rPr>
          <w:t>76</w:t>
        </w:r>
      </w:hyperlink>
      <w:r w:rsidR="00EB6EA4">
        <w:rPr>
          <w:noProof/>
        </w:rPr>
        <w:t>)</w:t>
      </w:r>
      <w:r w:rsidRPr="00F42B1D">
        <w:fldChar w:fldCharType="end"/>
      </w:r>
      <w:r w:rsidRPr="00F42B1D">
        <w:t xml:space="preserve"> </w:t>
      </w:r>
    </w:p>
    <w:p w14:paraId="35DBE470" w14:textId="13283F2F" w:rsidR="00261544" w:rsidRPr="00F42B1D" w:rsidRDefault="00A10255" w:rsidP="007501B9">
      <w:r w:rsidRPr="00F42B1D">
        <w:t xml:space="preserve">Assuming a correlation in the frailty index over twelve months of 0.7, a sample size of 302 was estimated </w:t>
      </w:r>
      <w:proofErr w:type="gramStart"/>
      <w:r w:rsidRPr="00F42B1D">
        <w:t>to  provide</w:t>
      </w:r>
      <w:proofErr w:type="gramEnd"/>
      <w:r w:rsidRPr="00F42B1D">
        <w:t xml:space="preserve"> 80% power with two-sided α=0.05 to detect a difference in the change in the frailty index over twelve months of half a deficit</w:t>
      </w:r>
      <w:r w:rsidR="007501B9">
        <w:t xml:space="preserve">. </w:t>
      </w:r>
      <w:r w:rsidRPr="00F42B1D">
        <w:t>Allowing for a loss to follow-up of 17% based on a study of twelve-month death rates in Australian aged care residents with mild to moderate frailty,</w:t>
      </w:r>
      <w:r w:rsidRPr="00F42B1D">
        <w:fldChar w:fldCharType="begin"/>
      </w:r>
      <w:r w:rsidR="00EB6EA4">
        <w:instrText xml:space="preserve"> ADDIN EN.CITE &lt;EndNote&gt;&lt;Cite&gt;&lt;Author&gt;Theou&lt;/Author&gt;&lt;Year&gt;2018&lt;/Year&gt;&lt;RecNum&gt;41&lt;/RecNum&gt;&lt;DisplayText&gt;(77)&lt;/DisplayText&gt;&lt;record&gt;&lt;rec-number&gt;41&lt;/rec-number&gt;&lt;foreign-keys&gt;&lt;key app="EN" db-id="9s5z5ped05vxdnede99vfsxhtzavzdzs2d5r" timestamp="1597381999"&gt;41&lt;/key&gt;&lt;/foreign-keys&gt;&lt;ref-type name="Journal Article"&gt;17&lt;/ref-type&gt;&lt;contributors&gt;&lt;authors&gt;&lt;author&gt;Theou, Olga&lt;/author&gt;&lt;author&gt;Sluggett, Janet K.&lt;/author&gt;&lt;author&gt;Bell, J. Simon&lt;/author&gt;&lt;author&gt;Lalic, Samanta&lt;/author&gt;&lt;author&gt;Cooper, Tina&lt;/author&gt;&lt;author&gt;Robson, Leonie&lt;/author&gt;&lt;author&gt;Morley, John E.&lt;/author&gt;&lt;author&gt;Rockwood, Kenneth&lt;/author&gt;&lt;author&gt;Visvanathan, Renuka&lt;/author&gt;&lt;/authors&gt;&lt;/contributors&gt;&lt;titles&gt;&lt;title&gt;Frailty, Hospitalization, and Mortality in Residential Aged Care&lt;/title&gt;&lt;secondary-title&gt;The Journals of Gerontology: Series A&lt;/secondary-title&gt;&lt;/titles&gt;&lt;pages&gt;1090-1096&lt;/pages&gt;&lt;volume&gt;73&lt;/volume&gt;&lt;number&gt;8&lt;/number&gt;&lt;dates&gt;&lt;year&gt;2018&lt;/year&gt;&lt;/dates&gt;&lt;isbn&gt;1079-5006&lt;/isbn&gt;&lt;urls&gt;&lt;related-urls&gt;&lt;url&gt;http://dx.doi.org/10.1093/gerona/glx185&lt;/url&gt;&lt;/related-urls&gt;&lt;/urls&gt;&lt;electronic-resource-num&gt;10.1093/gerona/glx185&lt;/electronic-resource-num&gt;&lt;/record&gt;&lt;/Cite&gt;&lt;/EndNote&gt;</w:instrText>
      </w:r>
      <w:r w:rsidRPr="00F42B1D">
        <w:fldChar w:fldCharType="separate"/>
      </w:r>
      <w:r w:rsidR="00EB6EA4">
        <w:rPr>
          <w:noProof/>
        </w:rPr>
        <w:t>(</w:t>
      </w:r>
      <w:hyperlink w:anchor="_ENREF_77" w:tooltip="Theou, 2018 #41" w:history="1">
        <w:r w:rsidR="00EB6EA4">
          <w:rPr>
            <w:noProof/>
          </w:rPr>
          <w:t>77</w:t>
        </w:r>
      </w:hyperlink>
      <w:r w:rsidR="00EB6EA4">
        <w:rPr>
          <w:noProof/>
        </w:rPr>
        <w:t>)</w:t>
      </w:r>
      <w:r w:rsidRPr="00F42B1D">
        <w:fldChar w:fldCharType="end"/>
      </w:r>
      <w:r w:rsidRPr="00F42B1D">
        <w:t xml:space="preserve"> the total </w:t>
      </w:r>
      <w:r w:rsidR="005A298C">
        <w:t xml:space="preserve">estimated </w:t>
      </w:r>
      <w:r w:rsidRPr="00F42B1D">
        <w:t>sample size required was 354.</w:t>
      </w:r>
    </w:p>
    <w:p w14:paraId="429365D7" w14:textId="77777777" w:rsidR="006D39A1" w:rsidRPr="00F42B1D" w:rsidRDefault="006D39A1" w:rsidP="00F22EAA">
      <w:pPr>
        <w:pStyle w:val="Heading5"/>
        <w:spacing w:line="276" w:lineRule="auto"/>
      </w:pPr>
      <w:r w:rsidRPr="00F42B1D">
        <w:t>Health economic analysis</w:t>
      </w:r>
    </w:p>
    <w:p w14:paraId="2BB6C75E" w14:textId="366A9442" w:rsidR="006D39A1" w:rsidRPr="00F42B1D" w:rsidRDefault="006D39A1" w:rsidP="007501B9">
      <w:r w:rsidRPr="00F42B1D">
        <w:t xml:space="preserve">The primary economic analysis </w:t>
      </w:r>
      <w:r w:rsidR="009135E1">
        <w:t>proposed was</w:t>
      </w:r>
      <w:r w:rsidRPr="00F42B1D">
        <w:t xml:space="preserve"> a trial-based cost comparison from the perspective of the Australian healthcare system (public and private funded healthcare costs)</w:t>
      </w:r>
      <w:r w:rsidR="007501B9">
        <w:t xml:space="preserve">. </w:t>
      </w:r>
      <w:r w:rsidRPr="00F42B1D">
        <w:t xml:space="preserve">The primary economic outcome </w:t>
      </w:r>
      <w:r w:rsidR="005A298C">
        <w:t>is</w:t>
      </w:r>
      <w:r w:rsidRPr="00F42B1D">
        <w:t xml:space="preserve"> average change in total health resource e</w:t>
      </w:r>
      <w:r w:rsidR="005A298C">
        <w:t>xpenditure (net costs/ savings)</w:t>
      </w:r>
      <w:r w:rsidRPr="00F42B1D">
        <w:t xml:space="preserve"> associated with the pharmacist intervention per resident over a </w:t>
      </w:r>
      <w:proofErr w:type="gramStart"/>
      <w:r w:rsidRPr="00F42B1D">
        <w:t>one year</w:t>
      </w:r>
      <w:proofErr w:type="gramEnd"/>
      <w:r w:rsidRPr="00F42B1D">
        <w:t xml:space="preserve"> time horizon</w:t>
      </w:r>
      <w:r w:rsidR="007501B9">
        <w:t xml:space="preserve">. </w:t>
      </w:r>
      <w:r w:rsidRPr="00F42B1D">
        <w:t xml:space="preserve">Costs </w:t>
      </w:r>
      <w:r w:rsidR="00A123FF">
        <w:t>were collected during the trial and were also informed by administrative data obtained from Services Australia, and the respective state health department data custodians.</w:t>
      </w:r>
    </w:p>
    <w:p w14:paraId="2D08AE6F" w14:textId="2B2F4CAA" w:rsidR="006D39A1" w:rsidRPr="00F42B1D" w:rsidRDefault="006D39A1" w:rsidP="007501B9">
      <w:r w:rsidRPr="00F42B1D">
        <w:t>The health economic analysis utilise</w:t>
      </w:r>
      <w:r w:rsidR="005A298C">
        <w:t>d</w:t>
      </w:r>
      <w:r w:rsidRPr="00F42B1D">
        <w:t xml:space="preserve"> participant data on an ‘intention to treat’ </w:t>
      </w:r>
      <w:r w:rsidR="00B36634">
        <w:t xml:space="preserve">(ITT) </w:t>
      </w:r>
      <w:r w:rsidRPr="00F42B1D">
        <w:t>basis</w:t>
      </w:r>
      <w:r w:rsidR="007501B9">
        <w:t xml:space="preserve">. </w:t>
      </w:r>
      <w:r w:rsidRPr="00F42B1D">
        <w:t>Pharmaceutical Benefits Sch</w:t>
      </w:r>
      <w:r w:rsidR="00F462B9">
        <w:t>eme</w:t>
      </w:r>
      <w:r w:rsidRPr="00F42B1D">
        <w:t xml:space="preserve"> (PBS) and Medicare Benefits Schedule (MBS) </w:t>
      </w:r>
      <w:r w:rsidRPr="00F42B1D">
        <w:lastRenderedPageBreak/>
        <w:t xml:space="preserve">administrative claims data, as well as administrative claims data for hospital admissions </w:t>
      </w:r>
      <w:r w:rsidR="005A298C">
        <w:t>was</w:t>
      </w:r>
      <w:r w:rsidRPr="00F42B1D">
        <w:t xml:space="preserve"> linked to the clinical effectiveness data collection set and used to inform the economic evaluation</w:t>
      </w:r>
      <w:r w:rsidR="007501B9">
        <w:t xml:space="preserve">. </w:t>
      </w:r>
      <w:r w:rsidRPr="00F42B1D">
        <w:t xml:space="preserve">The health economics plan is in </w:t>
      </w:r>
      <w:r w:rsidR="00E81714" w:rsidRPr="00F42B1D">
        <w:t>Appendix C</w:t>
      </w:r>
      <w:r w:rsidR="00C00BFC">
        <w:t>3</w:t>
      </w:r>
      <w:r w:rsidR="00E81714" w:rsidRPr="00F42B1D">
        <w:t>.</w:t>
      </w:r>
    </w:p>
    <w:p w14:paraId="4118964A" w14:textId="77777777" w:rsidR="006D39A1" w:rsidRPr="00F42B1D" w:rsidRDefault="006D39A1" w:rsidP="00F22EAA">
      <w:pPr>
        <w:pStyle w:val="Heading4"/>
        <w:spacing w:line="276" w:lineRule="auto"/>
      </w:pPr>
      <w:r w:rsidRPr="00F42B1D">
        <w:t>Governance</w:t>
      </w:r>
    </w:p>
    <w:p w14:paraId="674A7709" w14:textId="04AD0A56" w:rsidR="006D39A1" w:rsidRPr="00F42B1D" w:rsidRDefault="006D39A1" w:rsidP="007501B9">
      <w:r w:rsidRPr="00F42B1D">
        <w:t>The Trial Steering Committee</w:t>
      </w:r>
      <w:r w:rsidR="005A298C">
        <w:t>,</w:t>
      </w:r>
      <w:r w:rsidRPr="00F42B1D">
        <w:t xml:space="preserve"> comprising representatives from all </w:t>
      </w:r>
      <w:r w:rsidR="00E33A5C" w:rsidRPr="00F42B1D">
        <w:t>research partners</w:t>
      </w:r>
      <w:r w:rsidR="005A298C">
        <w:t>,</w:t>
      </w:r>
      <w:r w:rsidRPr="00F42B1D">
        <w:t xml:space="preserve"> governed the trial</w:t>
      </w:r>
      <w:r w:rsidR="007501B9">
        <w:t xml:space="preserve">. </w:t>
      </w:r>
      <w:r w:rsidRPr="00F42B1D">
        <w:t>This committee reviewed and agreed to all trial planning documents and monitored the progress of the trial</w:t>
      </w:r>
      <w:r w:rsidR="007501B9">
        <w:t xml:space="preserve">. </w:t>
      </w:r>
      <w:r w:rsidRPr="00F42B1D">
        <w:t>A Trial Management Plan was the master planning document outlining all requirements for successful implementation and completion of the trial</w:t>
      </w:r>
      <w:r w:rsidR="007501B9">
        <w:t xml:space="preserve">. </w:t>
      </w:r>
      <w:r w:rsidR="005923BF" w:rsidRPr="00F42B1D">
        <w:t>A C</w:t>
      </w:r>
      <w:r w:rsidRPr="00F42B1D">
        <w:t xml:space="preserve">ommunications Management Plan, Data Management Plan, Quality Management </w:t>
      </w:r>
      <w:proofErr w:type="gramStart"/>
      <w:r w:rsidRPr="00F42B1D">
        <w:t>Plan</w:t>
      </w:r>
      <w:proofErr w:type="gramEnd"/>
      <w:r w:rsidRPr="00F42B1D">
        <w:t xml:space="preserve"> and Intellectual Property Management Plan supported the master planning document</w:t>
      </w:r>
      <w:r w:rsidR="007501B9">
        <w:t xml:space="preserve">. </w:t>
      </w:r>
      <w:r w:rsidRPr="00F42B1D">
        <w:t>Standard Operating Procedures were established to operationalise aspects of all plans</w:t>
      </w:r>
      <w:r w:rsidR="007501B9">
        <w:t xml:space="preserve">. </w:t>
      </w:r>
      <w:r w:rsidRPr="00F42B1D">
        <w:t>A Risk Register and Intellectual Property Register was maintained and reviewed regularly.</w:t>
      </w:r>
    </w:p>
    <w:p w14:paraId="2EC59286" w14:textId="3F67D7D4" w:rsidR="006D39A1" w:rsidRPr="00F42B1D" w:rsidRDefault="00D11D97" w:rsidP="00B36634">
      <w:pPr>
        <w:pStyle w:val="Heading4"/>
        <w:spacing w:line="276" w:lineRule="auto"/>
      </w:pPr>
      <w:r w:rsidRPr="00F42B1D">
        <w:t>Resident</w:t>
      </w:r>
      <w:r w:rsidR="006D39A1" w:rsidRPr="00F42B1D">
        <w:t>, Public, Staff and Resident Engagement</w:t>
      </w:r>
    </w:p>
    <w:p w14:paraId="7B6890AC" w14:textId="4E6B6E1F" w:rsidR="005A298C" w:rsidRDefault="006D39A1" w:rsidP="007501B9">
      <w:r w:rsidRPr="00F42B1D">
        <w:t xml:space="preserve">We established a consumer advisory group and a stakeholder advisory committee to ensure that the intervention </w:t>
      </w:r>
      <w:r w:rsidR="005923BF" w:rsidRPr="00F42B1D">
        <w:t>met</w:t>
      </w:r>
      <w:r w:rsidR="00F22EAA">
        <w:t xml:space="preserve"> stakeholder needs.</w:t>
      </w:r>
    </w:p>
    <w:p w14:paraId="6C92FAFD" w14:textId="1017D10A" w:rsidR="006D39A1" w:rsidRPr="00F42B1D" w:rsidRDefault="006D39A1" w:rsidP="007501B9">
      <w:r w:rsidRPr="00F42B1D">
        <w:t>The consumer advisory group included membership represent</w:t>
      </w:r>
      <w:r w:rsidR="005923BF" w:rsidRPr="00F42B1D">
        <w:t>ing</w:t>
      </w:r>
      <w:r w:rsidRPr="00F42B1D">
        <w:t xml:space="preserve"> the: Consumer Health Forum of Australia; Health Consumers Alliance of SA; Primary Health Network (PHN) Adelaide Consumer Group; Helping Hand Inc. consumer group; Southern Cross Care SA, </w:t>
      </w:r>
      <w:proofErr w:type="gramStart"/>
      <w:r w:rsidRPr="00F42B1D">
        <w:t>NT</w:t>
      </w:r>
      <w:proofErr w:type="gramEnd"/>
      <w:r w:rsidRPr="00F42B1D">
        <w:t xml:space="preserve"> and Vic consumer group; Southern Cross Care Tasmania consumer group; and</w:t>
      </w:r>
      <w:r w:rsidRPr="00F42B1D" w:rsidDel="00AA66F2">
        <w:t xml:space="preserve"> </w:t>
      </w:r>
      <w:r w:rsidRPr="00F42B1D">
        <w:t>Aged Rights Advocacy Service</w:t>
      </w:r>
      <w:r w:rsidR="007501B9">
        <w:t xml:space="preserve">. </w:t>
      </w:r>
      <w:r w:rsidRPr="00F42B1D">
        <w:t>The consumer advisory group</w:t>
      </w:r>
      <w:r w:rsidRPr="00F42B1D" w:rsidDel="00AA66F2">
        <w:t xml:space="preserve"> </w:t>
      </w:r>
      <w:r w:rsidRPr="00F42B1D">
        <w:t xml:space="preserve">was convened prior to the trial commencing and met </w:t>
      </w:r>
      <w:r w:rsidR="00B36634">
        <w:t xml:space="preserve">4 times </w:t>
      </w:r>
      <w:r w:rsidRPr="00F42B1D">
        <w:t>throughout the trial</w:t>
      </w:r>
      <w:r w:rsidR="007501B9">
        <w:t xml:space="preserve">. </w:t>
      </w:r>
      <w:r w:rsidRPr="00F42B1D">
        <w:t>Residents and carers were engaged to provide a consumer perspective on the trial activities during the promotion of the trial onsite, and their feedback incorporated into the recruitment and data collection process.</w:t>
      </w:r>
    </w:p>
    <w:p w14:paraId="5DB3B3B8" w14:textId="07A26067" w:rsidR="006D39A1" w:rsidRPr="00F42B1D" w:rsidRDefault="006D39A1" w:rsidP="007501B9">
      <w:r w:rsidRPr="00F42B1D">
        <w:t xml:space="preserve">Representatives from key healthcare professional and peak body organisations, including the: Pharmaceutical Society of Australia; Pharmacy Guild of Australia; Australian Medical Association; Royal Australian College of General Practitioners; Primary Health Network </w:t>
      </w:r>
      <w:r w:rsidR="005923BF" w:rsidRPr="00F42B1D">
        <w:t>-</w:t>
      </w:r>
      <w:r w:rsidRPr="00F42B1D">
        <w:t xml:space="preserve"> Adelaide; Primary Health Network </w:t>
      </w:r>
      <w:r w:rsidR="005923BF" w:rsidRPr="00F42B1D">
        <w:t>-</w:t>
      </w:r>
      <w:r w:rsidRPr="00F42B1D">
        <w:t xml:space="preserve"> Tasmania; Southern Cross Care Tasmania; Leading Aged Services Australia; and Aged and Community Services Australia formed the membership of a stakeholder advisory committee which met </w:t>
      </w:r>
      <w:r w:rsidR="00B36634">
        <w:t>4</w:t>
      </w:r>
      <w:r w:rsidRPr="00F42B1D">
        <w:t xml:space="preserve"> times across the life of the trial.</w:t>
      </w:r>
    </w:p>
    <w:p w14:paraId="520284C4" w14:textId="1447EBC3" w:rsidR="009A76F8" w:rsidRPr="00F42B1D" w:rsidRDefault="009A76F8" w:rsidP="00857F40">
      <w:pPr>
        <w:pStyle w:val="Heading2-SectionB"/>
      </w:pPr>
      <w:bookmarkStart w:id="145" w:name="_Toc117758243"/>
      <w:bookmarkStart w:id="146" w:name="_Toc381796464"/>
      <w:r w:rsidRPr="00F42B1D">
        <w:lastRenderedPageBreak/>
        <w:t>Risk of Bias</w:t>
      </w:r>
      <w:r w:rsidR="00B435E9" w:rsidRPr="00F42B1D">
        <w:t xml:space="preserve"> Assessment</w:t>
      </w:r>
      <w:bookmarkEnd w:id="145"/>
    </w:p>
    <w:bookmarkEnd w:id="146"/>
    <w:p w14:paraId="7A70E358" w14:textId="31E8723B" w:rsidR="003D4637" w:rsidRDefault="006D39A1" w:rsidP="007501B9">
      <w:r w:rsidRPr="00F42B1D">
        <w:t xml:space="preserve">The </w:t>
      </w:r>
      <w:proofErr w:type="spellStart"/>
      <w:r w:rsidRPr="00F42B1D">
        <w:t>ReMInDAR</w:t>
      </w:r>
      <w:proofErr w:type="spellEnd"/>
      <w:r w:rsidRPr="00F42B1D">
        <w:t xml:space="preserve"> trial was a multicentre, </w:t>
      </w:r>
      <w:proofErr w:type="gramStart"/>
      <w:r w:rsidRPr="00F42B1D">
        <w:t>open-label</w:t>
      </w:r>
      <w:proofErr w:type="gramEnd"/>
      <w:r w:rsidRPr="00F42B1D">
        <w:t xml:space="preserve">, randomised controlled trial involving 39 </w:t>
      </w:r>
      <w:r w:rsidR="00812C48">
        <w:t>aged care</w:t>
      </w:r>
      <w:r w:rsidRPr="00F42B1D">
        <w:t xml:space="preserve"> facilities</w:t>
      </w:r>
      <w:r w:rsidR="007501B9">
        <w:t xml:space="preserve">. </w:t>
      </w:r>
      <w:r w:rsidRPr="00F42B1D">
        <w:t>The intervention occurred between August 2018 and July 2020</w:t>
      </w:r>
      <w:r w:rsidR="007501B9">
        <w:t xml:space="preserve">. </w:t>
      </w:r>
      <w:r w:rsidRPr="00F42B1D">
        <w:t xml:space="preserve">Assessment of the potential risks of bias are described in Table </w:t>
      </w:r>
      <w:r w:rsidR="005923BF" w:rsidRPr="00F42B1D">
        <w:t>B-</w:t>
      </w:r>
      <w:r w:rsidR="00B36634">
        <w:t>3</w:t>
      </w:r>
      <w:r w:rsidRPr="00F42B1D">
        <w:t>.</w:t>
      </w:r>
    </w:p>
    <w:tbl>
      <w:tblPr>
        <w:tblStyle w:val="ListTable3"/>
        <w:tblW w:w="5000" w:type="pct"/>
        <w:tblLook w:val="04A0" w:firstRow="1" w:lastRow="0" w:firstColumn="1" w:lastColumn="0" w:noHBand="0" w:noVBand="1"/>
        <w:tblCaption w:val="Table B-2. Potential risks of bias"/>
        <w:tblDescription w:val="Table assessess the potential reisks of each type of bias for the ReMInDAR trial."/>
      </w:tblPr>
      <w:tblGrid>
        <w:gridCol w:w="3139"/>
        <w:gridCol w:w="5877"/>
      </w:tblGrid>
      <w:tr w:rsidR="00477EC4" w:rsidRPr="008F1E88" w14:paraId="5D484B01" w14:textId="77777777" w:rsidTr="008F1E88">
        <w:trPr>
          <w:cnfStyle w:val="100000000000" w:firstRow="1" w:lastRow="0" w:firstColumn="0" w:lastColumn="0" w:oddVBand="0" w:evenVBand="0" w:oddHBand="0" w:evenHBand="0" w:firstRowFirstColumn="0" w:firstRowLastColumn="0" w:lastRowFirstColumn="0" w:lastRowLastColumn="0"/>
          <w:trHeight w:val="624"/>
        </w:trPr>
        <w:tc>
          <w:tcPr>
            <w:cnfStyle w:val="001000000100" w:firstRow="0" w:lastRow="0" w:firstColumn="1" w:lastColumn="0" w:oddVBand="0" w:evenVBand="0" w:oddHBand="0" w:evenHBand="0" w:firstRowFirstColumn="1" w:firstRowLastColumn="0" w:lastRowFirstColumn="0" w:lastRowLastColumn="0"/>
            <w:tcW w:w="1741" w:type="pct"/>
          </w:tcPr>
          <w:p w14:paraId="128D8A70" w14:textId="49BAE341" w:rsidR="00477EC4" w:rsidRPr="008F1E88" w:rsidRDefault="00477EC4" w:rsidP="008F1E88">
            <w:pPr>
              <w:pStyle w:val="TableHeader"/>
              <w:rPr>
                <w:b/>
                <w:bCs w:val="0"/>
              </w:rPr>
            </w:pPr>
            <w:bookmarkStart w:id="147" w:name="ColumnTitle_3"/>
            <w:bookmarkEnd w:id="147"/>
            <w:r w:rsidRPr="008F1E88">
              <w:rPr>
                <w:b/>
                <w:bCs w:val="0"/>
              </w:rPr>
              <w:t>Type of bias</w:t>
            </w:r>
          </w:p>
        </w:tc>
        <w:tc>
          <w:tcPr>
            <w:tcW w:w="3259" w:type="pct"/>
          </w:tcPr>
          <w:p w14:paraId="5B04AC06" w14:textId="21AD083C" w:rsidR="00477EC4" w:rsidRPr="008F1E88" w:rsidRDefault="00477EC4" w:rsidP="008F1E88">
            <w:pPr>
              <w:pStyle w:val="TableHeader"/>
              <w:cnfStyle w:val="100000000000" w:firstRow="1" w:lastRow="0" w:firstColumn="0" w:lastColumn="0" w:oddVBand="0" w:evenVBand="0" w:oddHBand="0" w:evenHBand="0" w:firstRowFirstColumn="0" w:firstRowLastColumn="0" w:lastRowFirstColumn="0" w:lastRowLastColumn="0"/>
              <w:rPr>
                <w:b/>
                <w:bCs w:val="0"/>
              </w:rPr>
            </w:pPr>
            <w:r w:rsidRPr="008F1E88">
              <w:rPr>
                <w:b/>
                <w:bCs w:val="0"/>
              </w:rPr>
              <w:t>Description</w:t>
            </w:r>
          </w:p>
        </w:tc>
      </w:tr>
      <w:tr w:rsidR="00403EA2" w:rsidRPr="00403EA2" w14:paraId="5F37F840" w14:textId="77777777" w:rsidTr="008F1E8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1" w:type="pct"/>
          </w:tcPr>
          <w:p w14:paraId="397243A0" w14:textId="783E45E4" w:rsidR="00403EA2" w:rsidRPr="008F1E88" w:rsidRDefault="00403EA2" w:rsidP="008F1E88">
            <w:pPr>
              <w:pStyle w:val="Tabletext1"/>
              <w:rPr>
                <w:b w:val="0"/>
                <w:bCs w:val="0"/>
                <w:vanish/>
              </w:rPr>
            </w:pPr>
            <w:r w:rsidRPr="008F1E88">
              <w:rPr>
                <w:b w:val="0"/>
                <w:bCs w:val="0"/>
              </w:rPr>
              <w:t>Selection bias: random sequence generation and allocation concealment</w:t>
            </w:r>
          </w:p>
        </w:tc>
        <w:tc>
          <w:tcPr>
            <w:tcW w:w="3259" w:type="pct"/>
          </w:tcPr>
          <w:p w14:paraId="6F9917EE" w14:textId="02DBEA43" w:rsidR="00403EA2" w:rsidRPr="005A298C" w:rsidRDefault="00403EA2" w:rsidP="008F1E88">
            <w:pPr>
              <w:pStyle w:val="Tabletext1"/>
              <w:cnfStyle w:val="000000100000" w:firstRow="0" w:lastRow="0" w:firstColumn="0" w:lastColumn="0" w:oddVBand="0" w:evenVBand="0" w:oddHBand="1" w:evenHBand="0" w:firstRowFirstColumn="0" w:firstRowLastColumn="0" w:lastRowFirstColumn="0" w:lastRowLastColumn="0"/>
              <w:rPr>
                <w:vanish/>
              </w:rPr>
            </w:pPr>
            <w:r w:rsidRPr="005A298C">
              <w:t>Residents were randomised in a 1:1 ratio. Randomisation was stratified at the level of the individual and not at the level of the facility to avoid confounding by facility related factors, such as gym and exercise programs, that may affect the outcome</w:t>
            </w:r>
            <w:r w:rsidR="007501B9">
              <w:t xml:space="preserve">. </w:t>
            </w:r>
          </w:p>
        </w:tc>
      </w:tr>
      <w:tr w:rsidR="00403EA2" w:rsidRPr="00403EA2" w14:paraId="3ECAA379" w14:textId="77777777" w:rsidTr="008F1E88">
        <w:trPr>
          <w:trHeight w:val="20"/>
        </w:trPr>
        <w:tc>
          <w:tcPr>
            <w:cnfStyle w:val="001000000000" w:firstRow="0" w:lastRow="0" w:firstColumn="1" w:lastColumn="0" w:oddVBand="0" w:evenVBand="0" w:oddHBand="0" w:evenHBand="0" w:firstRowFirstColumn="0" w:firstRowLastColumn="0" w:lastRowFirstColumn="0" w:lastRowLastColumn="0"/>
            <w:tcW w:w="1741" w:type="pct"/>
          </w:tcPr>
          <w:p w14:paraId="3F21C8E7" w14:textId="545CFF36" w:rsidR="00403EA2" w:rsidRPr="008F1E88" w:rsidRDefault="00403EA2" w:rsidP="008F1E88">
            <w:pPr>
              <w:pStyle w:val="Tabletext1"/>
              <w:rPr>
                <w:b w:val="0"/>
                <w:bCs w:val="0"/>
                <w:vanish/>
              </w:rPr>
            </w:pPr>
            <w:r w:rsidRPr="008F1E88">
              <w:rPr>
                <w:b w:val="0"/>
                <w:bCs w:val="0"/>
              </w:rPr>
              <w:t>Performance bias: blinding of personnel</w:t>
            </w:r>
          </w:p>
        </w:tc>
        <w:tc>
          <w:tcPr>
            <w:tcW w:w="3259" w:type="pct"/>
          </w:tcPr>
          <w:p w14:paraId="0EB78E64" w14:textId="77777777" w:rsidR="00403EA2" w:rsidRPr="005A298C" w:rsidRDefault="00403EA2" w:rsidP="008F1E88">
            <w:pPr>
              <w:pStyle w:val="Tabletext1"/>
              <w:cnfStyle w:val="000000000000" w:firstRow="0" w:lastRow="0" w:firstColumn="0" w:lastColumn="0" w:oddVBand="0" w:evenVBand="0" w:oddHBand="0" w:evenHBand="0" w:firstRowFirstColumn="0" w:firstRowLastColumn="0" w:lastRowFirstColumn="0" w:lastRowLastColumn="0"/>
            </w:pPr>
            <w:proofErr w:type="spellStart"/>
            <w:r w:rsidRPr="005A298C">
              <w:t>ReMInDAR</w:t>
            </w:r>
            <w:proofErr w:type="spellEnd"/>
            <w:r w:rsidRPr="005A298C">
              <w:t xml:space="preserve"> was a blinded trial in which neither the principal investigator nor statistical staff knew the </w:t>
            </w:r>
            <w:proofErr w:type="gramStart"/>
            <w:r w:rsidRPr="005A298C">
              <w:t>residents</w:t>
            </w:r>
            <w:proofErr w:type="gramEnd"/>
            <w:r w:rsidRPr="005A298C">
              <w:t xml:space="preserve"> treatment assignment. </w:t>
            </w:r>
          </w:p>
          <w:p w14:paraId="32DE48A7" w14:textId="77777777" w:rsidR="00403EA2" w:rsidRPr="005A298C" w:rsidRDefault="00403EA2" w:rsidP="008F1E88">
            <w:pPr>
              <w:pStyle w:val="Tabletext1"/>
              <w:cnfStyle w:val="000000000000" w:firstRow="0" w:lastRow="0" w:firstColumn="0" w:lastColumn="0" w:oddVBand="0" w:evenVBand="0" w:oddHBand="0" w:evenHBand="0" w:firstRowFirstColumn="0" w:firstRowLastColumn="0" w:lastRowFirstColumn="0" w:lastRowLastColumn="0"/>
            </w:pPr>
            <w:r w:rsidRPr="005A298C">
              <w:t xml:space="preserve">A list of resident randomisation codes and unique participant identification numbers was generated electronically for each facility. Residents were screened and residents meeting eligibility criteria were enrolled and assigned to a treatment arm and allocated a participant identification number (PIN) based on the next randomised allocation. </w:t>
            </w:r>
          </w:p>
          <w:p w14:paraId="0E250F5A" w14:textId="4C329584" w:rsidR="00403EA2" w:rsidRPr="005A298C" w:rsidRDefault="00403EA2" w:rsidP="008F1E88">
            <w:pPr>
              <w:pStyle w:val="Tabletext1"/>
              <w:cnfStyle w:val="000000000000" w:firstRow="0" w:lastRow="0" w:firstColumn="0" w:lastColumn="0" w:oddVBand="0" w:evenVBand="0" w:oddHBand="0" w:evenHBand="0" w:firstRowFirstColumn="0" w:firstRowLastColumn="0" w:lastRowFirstColumn="0" w:lastRowLastColumn="0"/>
              <w:rPr>
                <w:vanish/>
              </w:rPr>
            </w:pPr>
            <w:r w:rsidRPr="005A298C">
              <w:t xml:space="preserve">The statistician responsible for the main outcome analysis was provided with the PIN only and was blinded to the intervention arm allocation. No data on the number of services provided or clinical data collected </w:t>
            </w:r>
            <w:proofErr w:type="gramStart"/>
            <w:r w:rsidRPr="005A298C">
              <w:t>during the course of</w:t>
            </w:r>
            <w:proofErr w:type="gramEnd"/>
            <w:r w:rsidRPr="005A298C">
              <w:t xml:space="preserve"> the trial was provided to the statistician to maintain blinding of intervention arm allocation.</w:t>
            </w:r>
            <w:r w:rsidR="005A298C">
              <w:t xml:space="preserve"> Participating pharmacists were aware of intervention allocation.</w:t>
            </w:r>
          </w:p>
        </w:tc>
      </w:tr>
      <w:tr w:rsidR="00403EA2" w:rsidRPr="00403EA2" w14:paraId="5874A113" w14:textId="77777777" w:rsidTr="008F1E8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1" w:type="pct"/>
          </w:tcPr>
          <w:p w14:paraId="2B1FB26D" w14:textId="40C1F49C" w:rsidR="00403EA2" w:rsidRPr="008F1E88" w:rsidRDefault="00403EA2" w:rsidP="008F1E88">
            <w:pPr>
              <w:pStyle w:val="Tabletext1"/>
              <w:rPr>
                <w:b w:val="0"/>
                <w:bCs w:val="0"/>
              </w:rPr>
            </w:pPr>
            <w:r w:rsidRPr="008F1E88">
              <w:rPr>
                <w:b w:val="0"/>
                <w:bCs w:val="0"/>
              </w:rPr>
              <w:t>Attrition bias: incomplete outcome data</w:t>
            </w:r>
          </w:p>
        </w:tc>
        <w:tc>
          <w:tcPr>
            <w:tcW w:w="3259" w:type="pct"/>
          </w:tcPr>
          <w:p w14:paraId="398802FC" w14:textId="77777777" w:rsidR="00403EA2" w:rsidRPr="008F1E88" w:rsidRDefault="00403EA2" w:rsidP="008F1E88">
            <w:pPr>
              <w:pStyle w:val="Tabletext1"/>
              <w:cnfStyle w:val="000000100000" w:firstRow="0" w:lastRow="0" w:firstColumn="0" w:lastColumn="0" w:oddVBand="0" w:evenVBand="0" w:oddHBand="1" w:evenHBand="0" w:firstRowFirstColumn="0" w:firstRowLastColumn="0" w:lastRowFirstColumn="0" w:lastRowLastColumn="0"/>
              <w:rPr>
                <w:b/>
                <w:bCs/>
              </w:rPr>
            </w:pPr>
            <w:r w:rsidRPr="008F1E88">
              <w:rPr>
                <w:b/>
                <w:bCs/>
              </w:rPr>
              <w:t>Intent-to-treat population</w:t>
            </w:r>
          </w:p>
          <w:p w14:paraId="31E740FC" w14:textId="77777777" w:rsidR="00403EA2" w:rsidRPr="005A298C" w:rsidRDefault="00403EA2" w:rsidP="008F1E88">
            <w:pPr>
              <w:pStyle w:val="Tabletext1"/>
              <w:cnfStyle w:val="000000100000" w:firstRow="0" w:lastRow="0" w:firstColumn="0" w:lastColumn="0" w:oddVBand="0" w:evenVBand="0" w:oddHBand="1" w:evenHBand="0" w:firstRowFirstColumn="0" w:firstRowLastColumn="0" w:lastRowFirstColumn="0" w:lastRowLastColumn="0"/>
            </w:pPr>
            <w:r w:rsidRPr="005A298C">
              <w:t>All residents who were randomised were included in the intent to treat population. Residents who prematurely discontinued from the study for any reason were excluded consistent with ethics.</w:t>
            </w:r>
          </w:p>
          <w:p w14:paraId="0FB4C94F" w14:textId="77777777" w:rsidR="00403EA2" w:rsidRPr="008F1E88" w:rsidRDefault="00403EA2" w:rsidP="008F1E88">
            <w:pPr>
              <w:pStyle w:val="Tabletext1"/>
              <w:cnfStyle w:val="000000100000" w:firstRow="0" w:lastRow="0" w:firstColumn="0" w:lastColumn="0" w:oddVBand="0" w:evenVBand="0" w:oddHBand="1" w:evenHBand="0" w:firstRowFirstColumn="0" w:firstRowLastColumn="0" w:lastRowFirstColumn="0" w:lastRowLastColumn="0"/>
              <w:rPr>
                <w:b/>
                <w:bCs/>
              </w:rPr>
            </w:pPr>
            <w:r w:rsidRPr="008F1E88">
              <w:rPr>
                <w:b/>
                <w:bCs/>
              </w:rPr>
              <w:t>Per-Protocol population</w:t>
            </w:r>
          </w:p>
          <w:p w14:paraId="7A0CCF2B" w14:textId="036800EA" w:rsidR="00403EA2" w:rsidRPr="005A298C" w:rsidRDefault="00403EA2" w:rsidP="008F1E88">
            <w:pPr>
              <w:pStyle w:val="Tabletext1"/>
              <w:cnfStyle w:val="000000100000" w:firstRow="0" w:lastRow="0" w:firstColumn="0" w:lastColumn="0" w:oddVBand="0" w:evenVBand="0" w:oddHBand="1" w:evenHBand="0" w:firstRowFirstColumn="0" w:firstRowLastColumn="0" w:lastRowFirstColumn="0" w:lastRowLastColumn="0"/>
            </w:pPr>
            <w:r w:rsidRPr="005A298C">
              <w:t>The Per-Protocol Population included all residents in the intent to treat population who did not withdraw</w:t>
            </w:r>
            <w:r w:rsidR="007501B9">
              <w:t xml:space="preserve">. </w:t>
            </w:r>
            <w:r w:rsidRPr="005A298C">
              <w:t>Efficacy analyses performed using the Per-Protocol Population were considered supportive.</w:t>
            </w:r>
          </w:p>
        </w:tc>
      </w:tr>
      <w:tr w:rsidR="00403EA2" w:rsidRPr="00403EA2" w14:paraId="3CC7A549" w14:textId="77777777" w:rsidTr="008F1E88">
        <w:trPr>
          <w:trHeight w:val="20"/>
        </w:trPr>
        <w:tc>
          <w:tcPr>
            <w:cnfStyle w:val="001000000000" w:firstRow="0" w:lastRow="0" w:firstColumn="1" w:lastColumn="0" w:oddVBand="0" w:evenVBand="0" w:oddHBand="0" w:evenHBand="0" w:firstRowFirstColumn="0" w:firstRowLastColumn="0" w:lastRowFirstColumn="0" w:lastRowLastColumn="0"/>
            <w:tcW w:w="1741" w:type="pct"/>
          </w:tcPr>
          <w:p w14:paraId="787503FD" w14:textId="120AA477" w:rsidR="00403EA2" w:rsidRPr="008F1E88" w:rsidRDefault="00403EA2" w:rsidP="008F1E88">
            <w:pPr>
              <w:pStyle w:val="Tabletext1"/>
              <w:rPr>
                <w:b w:val="0"/>
                <w:bCs w:val="0"/>
              </w:rPr>
            </w:pPr>
            <w:r w:rsidRPr="008F1E88">
              <w:rPr>
                <w:b w:val="0"/>
                <w:bCs w:val="0"/>
              </w:rPr>
              <w:t>Hawthorne bias of participants</w:t>
            </w:r>
          </w:p>
        </w:tc>
        <w:tc>
          <w:tcPr>
            <w:tcW w:w="3259" w:type="pct"/>
          </w:tcPr>
          <w:p w14:paraId="3C26EFBB" w14:textId="26C3987F" w:rsidR="00403EA2" w:rsidRPr="005A298C" w:rsidRDefault="00403EA2" w:rsidP="008F1E88">
            <w:pPr>
              <w:pStyle w:val="Tabletext1"/>
              <w:cnfStyle w:val="000000000000" w:firstRow="0" w:lastRow="0" w:firstColumn="0" w:lastColumn="0" w:oddVBand="0" w:evenVBand="0" w:oddHBand="0" w:evenHBand="0" w:firstRowFirstColumn="0" w:firstRowLastColumn="0" w:lastRowFirstColumn="0" w:lastRowLastColumn="0"/>
              <w:rPr>
                <w:u w:val="single"/>
              </w:rPr>
            </w:pPr>
            <w:r w:rsidRPr="005A298C">
              <w:t xml:space="preserve">Potentially there might be an issue with Hawthorn Effect given the residents live in a closed community receiving a service and participants may potentially behave differently </w:t>
            </w:r>
            <w:proofErr w:type="gramStart"/>
            <w:r w:rsidRPr="005A298C">
              <w:t>due to the fact that</w:t>
            </w:r>
            <w:proofErr w:type="gramEnd"/>
            <w:r w:rsidRPr="005A298C">
              <w:t xml:space="preserve"> they are aware that they </w:t>
            </w:r>
            <w:r w:rsidR="005A298C">
              <w:t>were</w:t>
            </w:r>
            <w:r w:rsidRPr="005A298C">
              <w:t xml:space="preserve"> being observed. Due to the nature of the intervention (delivery of an </w:t>
            </w:r>
            <w:proofErr w:type="gramStart"/>
            <w:r w:rsidRPr="005A298C">
              <w:t>in person</w:t>
            </w:r>
            <w:proofErr w:type="gramEnd"/>
            <w:r w:rsidRPr="005A298C">
              <w:t xml:space="preserve"> pharmacist service), it was not possible to conceal allocation during the trial period.</w:t>
            </w:r>
          </w:p>
        </w:tc>
      </w:tr>
      <w:tr w:rsidR="0018702D" w:rsidRPr="00403EA2" w14:paraId="58D6EBDE" w14:textId="77777777" w:rsidTr="008F1E8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1" w:type="pct"/>
          </w:tcPr>
          <w:p w14:paraId="64EE93C6" w14:textId="003C86A8" w:rsidR="0018702D" w:rsidRPr="008F1E88" w:rsidRDefault="0018702D" w:rsidP="008F1E88">
            <w:pPr>
              <w:pStyle w:val="Tabletext1"/>
              <w:rPr>
                <w:b w:val="0"/>
                <w:bCs w:val="0"/>
              </w:rPr>
            </w:pPr>
            <w:r w:rsidRPr="008F1E88">
              <w:rPr>
                <w:b w:val="0"/>
                <w:bCs w:val="0"/>
              </w:rPr>
              <w:t>Survivor bias</w:t>
            </w:r>
          </w:p>
        </w:tc>
        <w:tc>
          <w:tcPr>
            <w:tcW w:w="3259" w:type="pct"/>
          </w:tcPr>
          <w:p w14:paraId="2FA7F10A" w14:textId="2D0699E6" w:rsidR="0018702D" w:rsidRPr="005A298C" w:rsidRDefault="0018702D" w:rsidP="008F1E88">
            <w:pPr>
              <w:pStyle w:val="Tabletext1"/>
              <w:cnfStyle w:val="000000100000" w:firstRow="0" w:lastRow="0" w:firstColumn="0" w:lastColumn="0" w:oddVBand="0" w:evenVBand="0" w:oddHBand="1" w:evenHBand="0" w:firstRowFirstColumn="0" w:firstRowLastColumn="0" w:lastRowFirstColumn="0" w:lastRowLastColumn="0"/>
            </w:pPr>
            <w:r w:rsidRPr="005A298C">
              <w:t>Due to an imbalance in the number of deaths between the intervention and control arms, the potential for bias due to a survivor effect was assessed in sensitivity analyses for the primary outcome, weight and MoCA.</w:t>
            </w:r>
          </w:p>
        </w:tc>
      </w:tr>
      <w:tr w:rsidR="00403EA2" w:rsidRPr="00403EA2" w14:paraId="12239C62" w14:textId="77777777" w:rsidTr="008F1E88">
        <w:trPr>
          <w:trHeight w:val="20"/>
        </w:trPr>
        <w:tc>
          <w:tcPr>
            <w:cnfStyle w:val="001000000000" w:firstRow="0" w:lastRow="0" w:firstColumn="1" w:lastColumn="0" w:oddVBand="0" w:evenVBand="0" w:oddHBand="0" w:evenHBand="0" w:firstRowFirstColumn="0" w:firstRowLastColumn="0" w:lastRowFirstColumn="0" w:lastRowLastColumn="0"/>
            <w:tcW w:w="1741" w:type="pct"/>
          </w:tcPr>
          <w:p w14:paraId="4CB3FF3D" w14:textId="62365B6B" w:rsidR="00403EA2" w:rsidRPr="008F1E88" w:rsidRDefault="00403EA2" w:rsidP="008F1E88">
            <w:pPr>
              <w:pStyle w:val="Tabletext1"/>
              <w:rPr>
                <w:b w:val="0"/>
                <w:bCs w:val="0"/>
              </w:rPr>
            </w:pPr>
            <w:r w:rsidRPr="008F1E88">
              <w:rPr>
                <w:b w:val="0"/>
                <w:bCs w:val="0"/>
              </w:rPr>
              <w:t>Other sources of bias</w:t>
            </w:r>
          </w:p>
        </w:tc>
        <w:tc>
          <w:tcPr>
            <w:tcW w:w="3259" w:type="pct"/>
          </w:tcPr>
          <w:p w14:paraId="3053990F" w14:textId="401F3005" w:rsidR="00403EA2" w:rsidRPr="005A298C" w:rsidRDefault="00403EA2" w:rsidP="008F1E88">
            <w:pPr>
              <w:pStyle w:val="Tabletext1"/>
              <w:cnfStyle w:val="000000000000" w:firstRow="0" w:lastRow="0" w:firstColumn="0" w:lastColumn="0" w:oddVBand="0" w:evenVBand="0" w:oddHBand="0" w:evenHBand="0" w:firstRowFirstColumn="0" w:firstRowLastColumn="0" w:lastRowFirstColumn="0" w:lastRowLastColumn="0"/>
              <w:rPr>
                <w:u w:val="single"/>
              </w:rPr>
            </w:pPr>
            <w:r w:rsidRPr="005A298C">
              <w:t>No other sources of bias were identified.</w:t>
            </w:r>
          </w:p>
        </w:tc>
      </w:tr>
    </w:tbl>
    <w:p w14:paraId="302555E2" w14:textId="3644566E" w:rsidR="005E2D5F" w:rsidRPr="00426FDD" w:rsidRDefault="003D4637" w:rsidP="00897C5B">
      <w:pPr>
        <w:pStyle w:val="Caption"/>
      </w:pPr>
      <w:r w:rsidRPr="00426FDD">
        <w:t xml:space="preserve">Table </w:t>
      </w:r>
      <w:r w:rsidR="00674098" w:rsidRPr="00426FDD">
        <w:t>B-</w:t>
      </w:r>
      <w:r w:rsidR="00B36634">
        <w:t>3</w:t>
      </w:r>
      <w:r w:rsidRPr="00426FDD">
        <w:t xml:space="preserve">: Assessment of </w:t>
      </w:r>
      <w:r w:rsidR="0031484E" w:rsidRPr="00426FDD">
        <w:t xml:space="preserve">risk of </w:t>
      </w:r>
      <w:r w:rsidRPr="00426FDD">
        <w:t xml:space="preserve">bias for </w:t>
      </w:r>
      <w:proofErr w:type="spellStart"/>
      <w:r w:rsidRPr="00426FDD">
        <w:t>ReMInDAR</w:t>
      </w:r>
      <w:proofErr w:type="spellEnd"/>
      <w:r w:rsidRPr="00426FDD">
        <w:t xml:space="preserve"> trial.</w:t>
      </w:r>
    </w:p>
    <w:p w14:paraId="46A982DE" w14:textId="77777777" w:rsidR="005A298C" w:rsidRDefault="005A298C" w:rsidP="007501B9">
      <w:pPr>
        <w:rPr>
          <w:rFonts w:asciiTheme="majorHAnsi" w:eastAsiaTheme="majorEastAsia" w:hAnsiTheme="majorHAnsi" w:cstheme="majorBidi"/>
          <w:color w:val="262626" w:themeColor="text1" w:themeTint="D9"/>
          <w:sz w:val="28"/>
          <w:szCs w:val="28"/>
        </w:rPr>
      </w:pPr>
      <w:r>
        <w:br w:type="page"/>
      </w:r>
    </w:p>
    <w:p w14:paraId="32A64440" w14:textId="345565BC" w:rsidR="008D77C9" w:rsidRPr="00C5693F" w:rsidRDefault="008D77C9" w:rsidP="00857F40">
      <w:pPr>
        <w:pStyle w:val="Heading2-SectionB"/>
      </w:pPr>
      <w:bookmarkStart w:id="148" w:name="_Toc117758244"/>
      <w:r w:rsidRPr="00C5693F">
        <w:lastRenderedPageBreak/>
        <w:t xml:space="preserve">Characteristics of the </w:t>
      </w:r>
      <w:proofErr w:type="spellStart"/>
      <w:r w:rsidR="005E2D5F" w:rsidRPr="00C5693F">
        <w:t>ReMInDAR</w:t>
      </w:r>
      <w:proofErr w:type="spellEnd"/>
      <w:r w:rsidR="005E2D5F" w:rsidRPr="00C5693F">
        <w:t xml:space="preserve"> trial cohort</w:t>
      </w:r>
      <w:bookmarkEnd w:id="148"/>
    </w:p>
    <w:p w14:paraId="40648AF7" w14:textId="0FFE6DF2" w:rsidR="008812CB" w:rsidRPr="00F42B1D" w:rsidRDefault="008812CB" w:rsidP="00FF37D6">
      <w:pPr>
        <w:pStyle w:val="Heading3-SectionB5"/>
      </w:pPr>
      <w:bookmarkStart w:id="149" w:name="_Toc117758245"/>
      <w:proofErr w:type="spellStart"/>
      <w:r w:rsidRPr="00F42B1D">
        <w:t>ReMInDAR</w:t>
      </w:r>
      <w:proofErr w:type="spellEnd"/>
      <w:r w:rsidRPr="00F42B1D">
        <w:t xml:space="preserve"> </w:t>
      </w:r>
      <w:r w:rsidR="00C5693F">
        <w:t>trial baseline cohort</w:t>
      </w:r>
      <w:bookmarkEnd w:id="149"/>
    </w:p>
    <w:p w14:paraId="6C340B55" w14:textId="77777777" w:rsidR="00B13549" w:rsidRPr="00F42B1D" w:rsidRDefault="00B13549" w:rsidP="00391CFD">
      <w:pPr>
        <w:pStyle w:val="Heading4"/>
        <w:rPr>
          <w:highlight w:val="yellow"/>
        </w:rPr>
      </w:pPr>
      <w:r w:rsidRPr="00F42B1D">
        <w:t xml:space="preserve">Residential aged care facilities in </w:t>
      </w:r>
      <w:proofErr w:type="spellStart"/>
      <w:r w:rsidRPr="00F42B1D">
        <w:t>ReMInDAR</w:t>
      </w:r>
      <w:proofErr w:type="spellEnd"/>
      <w:r w:rsidRPr="00F42B1D">
        <w:t>.</w:t>
      </w:r>
    </w:p>
    <w:p w14:paraId="23A3A169" w14:textId="066D83E8" w:rsidR="00B13549" w:rsidRDefault="00B13549" w:rsidP="007501B9">
      <w:r w:rsidRPr="00F42B1D">
        <w:t xml:space="preserve">In total, 39 residential aged care facilities were recruited for the </w:t>
      </w:r>
      <w:proofErr w:type="spellStart"/>
      <w:r w:rsidRPr="00F42B1D">
        <w:t>ReMInDAR</w:t>
      </w:r>
      <w:proofErr w:type="spellEnd"/>
      <w:r w:rsidRPr="00F42B1D">
        <w:t xml:space="preserve"> trial</w:t>
      </w:r>
      <w:r w:rsidR="007501B9">
        <w:t xml:space="preserve">. </w:t>
      </w:r>
      <w:r w:rsidR="00674098" w:rsidRPr="00F42B1D">
        <w:t xml:space="preserve">The </w:t>
      </w:r>
      <w:r w:rsidRPr="00F42B1D">
        <w:t xml:space="preserve">characteristics of </w:t>
      </w:r>
      <w:r w:rsidR="00674098" w:rsidRPr="00F42B1D">
        <w:t xml:space="preserve">the </w:t>
      </w:r>
      <w:r w:rsidRPr="00F42B1D">
        <w:t xml:space="preserve">facilities </w:t>
      </w:r>
      <w:r w:rsidR="00674098" w:rsidRPr="00F42B1D">
        <w:t xml:space="preserve">are </w:t>
      </w:r>
      <w:r w:rsidRPr="00F42B1D">
        <w:t xml:space="preserve">presented in Table </w:t>
      </w:r>
      <w:r w:rsidR="00674098" w:rsidRPr="00F42B1D">
        <w:t>B-</w:t>
      </w:r>
      <w:r w:rsidR="00B36634">
        <w:t>4</w:t>
      </w:r>
      <w:r w:rsidR="009B3929">
        <w:t>.</w:t>
      </w:r>
    </w:p>
    <w:tbl>
      <w:tblPr>
        <w:tblStyle w:val="ListTable3"/>
        <w:tblW w:w="0" w:type="auto"/>
        <w:tblLook w:val="04A0" w:firstRow="1" w:lastRow="0" w:firstColumn="1" w:lastColumn="0" w:noHBand="0" w:noVBand="1"/>
        <w:tblCaption w:val="Table B-3. Characteristics of the facilities"/>
        <w:tblDescription w:val="Describes the characteristics of the facilities, the different options for each characteristic and the number and percentage of the total facilities that each option represents."/>
      </w:tblPr>
      <w:tblGrid>
        <w:gridCol w:w="2729"/>
        <w:gridCol w:w="3044"/>
        <w:gridCol w:w="1682"/>
        <w:gridCol w:w="1561"/>
      </w:tblGrid>
      <w:tr w:rsidR="00C05DBF" w:rsidRPr="00112EE6" w14:paraId="6A6E1FAE" w14:textId="6639F0D8" w:rsidTr="00112EE6">
        <w:trPr>
          <w:cnfStyle w:val="100000000000" w:firstRow="1" w:lastRow="0" w:firstColumn="0" w:lastColumn="0" w:oddVBand="0" w:evenVBand="0" w:oddHBand="0" w:evenHBand="0" w:firstRowFirstColumn="0" w:firstRowLastColumn="0" w:lastRowFirstColumn="0" w:lastRowLastColumn="0"/>
          <w:trHeight w:val="418"/>
          <w:tblHeader/>
        </w:trPr>
        <w:tc>
          <w:tcPr>
            <w:cnfStyle w:val="001000000100" w:firstRow="0" w:lastRow="0" w:firstColumn="1" w:lastColumn="0" w:oddVBand="0" w:evenVBand="0" w:oddHBand="0" w:evenHBand="0" w:firstRowFirstColumn="1" w:firstRowLastColumn="0" w:lastRowFirstColumn="0" w:lastRowLastColumn="0"/>
            <w:tcW w:w="0" w:type="auto"/>
          </w:tcPr>
          <w:p w14:paraId="5773F16A" w14:textId="0B4D1BF9" w:rsidR="00C05DBF" w:rsidRPr="00112EE6" w:rsidRDefault="00C05DBF" w:rsidP="00112EE6">
            <w:pPr>
              <w:pStyle w:val="TableHeader"/>
              <w:rPr>
                <w:b/>
                <w:bCs w:val="0"/>
              </w:rPr>
            </w:pPr>
            <w:bookmarkStart w:id="150" w:name="ColumnTitle_5"/>
            <w:r w:rsidRPr="00112EE6">
              <w:rPr>
                <w:b/>
                <w:bCs w:val="0"/>
              </w:rPr>
              <w:t>Characteristic</w:t>
            </w:r>
          </w:p>
        </w:tc>
        <w:tc>
          <w:tcPr>
            <w:tcW w:w="0" w:type="auto"/>
          </w:tcPr>
          <w:p w14:paraId="16015929" w14:textId="77777777" w:rsidR="00C05DBF" w:rsidRPr="00112EE6" w:rsidRDefault="00C05DBF" w:rsidP="00112EE6">
            <w:pPr>
              <w:pStyle w:val="TableHeader"/>
              <w:cnfStyle w:val="100000000000" w:firstRow="1" w:lastRow="0" w:firstColumn="0" w:lastColumn="0" w:oddVBand="0" w:evenVBand="0" w:oddHBand="0" w:evenHBand="0" w:firstRowFirstColumn="0" w:firstRowLastColumn="0" w:lastRowFirstColumn="0" w:lastRowLastColumn="0"/>
              <w:rPr>
                <w:b/>
                <w:bCs w:val="0"/>
              </w:rPr>
            </w:pPr>
            <w:r w:rsidRPr="00112EE6">
              <w:rPr>
                <w:b/>
                <w:bCs w:val="0"/>
              </w:rPr>
              <w:t>Type of Difference</w:t>
            </w:r>
          </w:p>
        </w:tc>
        <w:tc>
          <w:tcPr>
            <w:tcW w:w="0" w:type="auto"/>
          </w:tcPr>
          <w:p w14:paraId="4CC631B7" w14:textId="6B046970" w:rsidR="00C05DBF" w:rsidRPr="00112EE6" w:rsidRDefault="00403EA2" w:rsidP="00112EE6">
            <w:pPr>
              <w:pStyle w:val="TableHeader"/>
              <w:cnfStyle w:val="100000000000" w:firstRow="1" w:lastRow="0" w:firstColumn="0" w:lastColumn="0" w:oddVBand="0" w:evenVBand="0" w:oddHBand="0" w:evenHBand="0" w:firstRowFirstColumn="0" w:firstRowLastColumn="0" w:lastRowFirstColumn="0" w:lastRowLastColumn="0"/>
              <w:rPr>
                <w:b/>
                <w:bCs w:val="0"/>
              </w:rPr>
            </w:pPr>
            <w:r w:rsidRPr="00112EE6">
              <w:rPr>
                <w:b/>
                <w:bCs w:val="0"/>
              </w:rPr>
              <w:t>No. of Facilities</w:t>
            </w:r>
          </w:p>
        </w:tc>
        <w:tc>
          <w:tcPr>
            <w:tcW w:w="0" w:type="auto"/>
          </w:tcPr>
          <w:p w14:paraId="57D97B6A" w14:textId="66771660" w:rsidR="00C05DBF" w:rsidRPr="00112EE6" w:rsidRDefault="00403EA2" w:rsidP="00112EE6">
            <w:pPr>
              <w:pStyle w:val="TableHeader"/>
              <w:cnfStyle w:val="100000000000" w:firstRow="1" w:lastRow="0" w:firstColumn="0" w:lastColumn="0" w:oddVBand="0" w:evenVBand="0" w:oddHBand="0" w:evenHBand="0" w:firstRowFirstColumn="0" w:firstRowLastColumn="0" w:lastRowFirstColumn="0" w:lastRowLastColumn="0"/>
              <w:rPr>
                <w:b/>
                <w:bCs w:val="0"/>
              </w:rPr>
            </w:pPr>
            <w:r w:rsidRPr="00112EE6">
              <w:rPr>
                <w:b/>
                <w:bCs w:val="0"/>
              </w:rPr>
              <w:t xml:space="preserve">% </w:t>
            </w:r>
            <w:proofErr w:type="gramStart"/>
            <w:r w:rsidRPr="00112EE6">
              <w:rPr>
                <w:b/>
                <w:bCs w:val="0"/>
              </w:rPr>
              <w:t>of</w:t>
            </w:r>
            <w:proofErr w:type="gramEnd"/>
            <w:r w:rsidRPr="00112EE6">
              <w:rPr>
                <w:b/>
                <w:bCs w:val="0"/>
              </w:rPr>
              <w:t xml:space="preserve"> Facilities</w:t>
            </w:r>
          </w:p>
        </w:tc>
      </w:tr>
      <w:bookmarkEnd w:id="150"/>
      <w:tr w:rsidR="00C05DBF" w:rsidRPr="00F42B1D" w14:paraId="56E2E287" w14:textId="4D606F64" w:rsidTr="00112E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DC24D20" w14:textId="0B8B768F" w:rsidR="00C05DBF" w:rsidRPr="00112EE6" w:rsidRDefault="00C05DBF" w:rsidP="00112EE6">
            <w:pPr>
              <w:pStyle w:val="Tabletext1"/>
              <w:rPr>
                <w:b w:val="0"/>
                <w:bCs w:val="0"/>
              </w:rPr>
            </w:pPr>
            <w:r w:rsidRPr="00112EE6">
              <w:rPr>
                <w:b w:val="0"/>
                <w:bCs w:val="0"/>
              </w:rPr>
              <w:t>Facility Type</w:t>
            </w:r>
          </w:p>
        </w:tc>
        <w:tc>
          <w:tcPr>
            <w:tcW w:w="0" w:type="auto"/>
          </w:tcPr>
          <w:p w14:paraId="42158237" w14:textId="77777777" w:rsidR="00C05DBF" w:rsidRPr="00C05DBF" w:rsidRDefault="00C05DBF" w:rsidP="00112EE6">
            <w:pPr>
              <w:pStyle w:val="Tabletext1"/>
              <w:cnfStyle w:val="000000100000" w:firstRow="0" w:lastRow="0" w:firstColumn="0" w:lastColumn="0" w:oddVBand="0" w:evenVBand="0" w:oddHBand="1" w:evenHBand="0" w:firstRowFirstColumn="0" w:firstRowLastColumn="0" w:lastRowFirstColumn="0" w:lastRowLastColumn="0"/>
            </w:pPr>
            <w:r w:rsidRPr="00C05DBF">
              <w:t>Village or Cottage</w:t>
            </w:r>
          </w:p>
        </w:tc>
        <w:tc>
          <w:tcPr>
            <w:tcW w:w="0" w:type="auto"/>
          </w:tcPr>
          <w:p w14:paraId="4E315DA8" w14:textId="0A4ED777" w:rsidR="00C05DBF" w:rsidRPr="00C05DBF" w:rsidRDefault="00403EA2" w:rsidP="00112EE6">
            <w:pPr>
              <w:pStyle w:val="Tabletext1"/>
              <w:jc w:val="right"/>
              <w:cnfStyle w:val="000000100000" w:firstRow="0" w:lastRow="0" w:firstColumn="0" w:lastColumn="0" w:oddVBand="0" w:evenVBand="0" w:oddHBand="1" w:evenHBand="0" w:firstRowFirstColumn="0" w:firstRowLastColumn="0" w:lastRowFirstColumn="0" w:lastRowLastColumn="0"/>
            </w:pPr>
            <w:r>
              <w:t>3</w:t>
            </w:r>
          </w:p>
        </w:tc>
        <w:tc>
          <w:tcPr>
            <w:tcW w:w="0" w:type="auto"/>
          </w:tcPr>
          <w:p w14:paraId="079E4006" w14:textId="363C3293" w:rsidR="00C05DBF" w:rsidRPr="00C05DBF" w:rsidRDefault="00403EA2" w:rsidP="00112EE6">
            <w:pPr>
              <w:pStyle w:val="Tabletext1"/>
              <w:jc w:val="right"/>
              <w:cnfStyle w:val="000000100000" w:firstRow="0" w:lastRow="0" w:firstColumn="0" w:lastColumn="0" w:oddVBand="0" w:evenVBand="0" w:oddHBand="1" w:evenHBand="0" w:firstRowFirstColumn="0" w:firstRowLastColumn="0" w:lastRowFirstColumn="0" w:lastRowLastColumn="0"/>
            </w:pPr>
            <w:r>
              <w:t>7.7</w:t>
            </w:r>
          </w:p>
        </w:tc>
      </w:tr>
      <w:tr w:rsidR="00C05DBF" w:rsidRPr="00F42B1D" w14:paraId="16F437A4" w14:textId="5D0AE0D9" w:rsidTr="00112EE6">
        <w:tc>
          <w:tcPr>
            <w:cnfStyle w:val="001000000000" w:firstRow="0" w:lastRow="0" w:firstColumn="1" w:lastColumn="0" w:oddVBand="0" w:evenVBand="0" w:oddHBand="0" w:evenHBand="0" w:firstRowFirstColumn="0" w:firstRowLastColumn="0" w:lastRowFirstColumn="0" w:lastRowLastColumn="0"/>
            <w:tcW w:w="0" w:type="auto"/>
          </w:tcPr>
          <w:p w14:paraId="59192F7B" w14:textId="674EA215" w:rsidR="00C05DBF" w:rsidRPr="00112EE6" w:rsidRDefault="00C05DBF" w:rsidP="00112EE6">
            <w:pPr>
              <w:pStyle w:val="Tabletext1"/>
              <w:rPr>
                <w:b w:val="0"/>
                <w:bCs w:val="0"/>
              </w:rPr>
            </w:pPr>
          </w:p>
        </w:tc>
        <w:tc>
          <w:tcPr>
            <w:tcW w:w="0" w:type="auto"/>
          </w:tcPr>
          <w:p w14:paraId="363F64BD" w14:textId="77777777" w:rsidR="00C05DBF" w:rsidRPr="00C05DBF" w:rsidRDefault="00C05DBF" w:rsidP="00112EE6">
            <w:pPr>
              <w:pStyle w:val="Tabletext1"/>
              <w:cnfStyle w:val="000000000000" w:firstRow="0" w:lastRow="0" w:firstColumn="0" w:lastColumn="0" w:oddVBand="0" w:evenVBand="0" w:oddHBand="0" w:evenHBand="0" w:firstRowFirstColumn="0" w:firstRowLastColumn="0" w:lastRowFirstColumn="0" w:lastRowLastColumn="0"/>
            </w:pPr>
            <w:r w:rsidRPr="00C05DBF">
              <w:t>Traditional</w:t>
            </w:r>
          </w:p>
        </w:tc>
        <w:tc>
          <w:tcPr>
            <w:tcW w:w="0" w:type="auto"/>
          </w:tcPr>
          <w:p w14:paraId="39088572" w14:textId="29A0252B" w:rsidR="00C05DBF" w:rsidRPr="00C05DBF" w:rsidRDefault="00403EA2" w:rsidP="00112EE6">
            <w:pPr>
              <w:pStyle w:val="Tabletext1"/>
              <w:jc w:val="right"/>
              <w:cnfStyle w:val="000000000000" w:firstRow="0" w:lastRow="0" w:firstColumn="0" w:lastColumn="0" w:oddVBand="0" w:evenVBand="0" w:oddHBand="0" w:evenHBand="0" w:firstRowFirstColumn="0" w:firstRowLastColumn="0" w:lastRowFirstColumn="0" w:lastRowLastColumn="0"/>
            </w:pPr>
            <w:r>
              <w:t>36</w:t>
            </w:r>
          </w:p>
        </w:tc>
        <w:tc>
          <w:tcPr>
            <w:tcW w:w="0" w:type="auto"/>
          </w:tcPr>
          <w:p w14:paraId="0560C74B" w14:textId="7529DE04" w:rsidR="00C05DBF" w:rsidRPr="00C05DBF" w:rsidRDefault="00403EA2" w:rsidP="00112EE6">
            <w:pPr>
              <w:pStyle w:val="Tabletext1"/>
              <w:jc w:val="right"/>
              <w:cnfStyle w:val="000000000000" w:firstRow="0" w:lastRow="0" w:firstColumn="0" w:lastColumn="0" w:oddVBand="0" w:evenVBand="0" w:oddHBand="0" w:evenHBand="0" w:firstRowFirstColumn="0" w:firstRowLastColumn="0" w:lastRowFirstColumn="0" w:lastRowLastColumn="0"/>
            </w:pPr>
            <w:r>
              <w:t>92.3</w:t>
            </w:r>
          </w:p>
        </w:tc>
      </w:tr>
      <w:tr w:rsidR="00C05DBF" w:rsidRPr="00F42B1D" w14:paraId="23E91EF1" w14:textId="6CCA2F48" w:rsidTr="00112E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073E29" w14:textId="06C73C69" w:rsidR="00C05DBF" w:rsidRPr="00112EE6" w:rsidRDefault="00C05DBF" w:rsidP="00112EE6">
            <w:pPr>
              <w:pStyle w:val="Tabletext1"/>
              <w:rPr>
                <w:b w:val="0"/>
                <w:bCs w:val="0"/>
              </w:rPr>
            </w:pPr>
            <w:r w:rsidRPr="00112EE6">
              <w:rPr>
                <w:b w:val="0"/>
                <w:bCs w:val="0"/>
              </w:rPr>
              <w:t>Facility building age</w:t>
            </w:r>
          </w:p>
        </w:tc>
        <w:tc>
          <w:tcPr>
            <w:tcW w:w="0" w:type="auto"/>
          </w:tcPr>
          <w:p w14:paraId="5AE86B7B" w14:textId="77777777" w:rsidR="00C05DBF" w:rsidRPr="00C05DBF" w:rsidRDefault="00C05DBF" w:rsidP="00112EE6">
            <w:pPr>
              <w:pStyle w:val="Tabletext1"/>
              <w:cnfStyle w:val="000000100000" w:firstRow="0" w:lastRow="0" w:firstColumn="0" w:lastColumn="0" w:oddVBand="0" w:evenVBand="0" w:oddHBand="1" w:evenHBand="0" w:firstRowFirstColumn="0" w:firstRowLastColumn="0" w:lastRowFirstColumn="0" w:lastRowLastColumn="0"/>
            </w:pPr>
            <w:r w:rsidRPr="00C05DBF">
              <w:t>Range: 2 months to 125 years</w:t>
            </w:r>
          </w:p>
          <w:p w14:paraId="21703D8E" w14:textId="77777777" w:rsidR="00C05DBF" w:rsidRPr="00C05DBF" w:rsidRDefault="00C05DBF" w:rsidP="00112EE6">
            <w:pPr>
              <w:pStyle w:val="Tabletext1"/>
              <w:cnfStyle w:val="000000100000" w:firstRow="0" w:lastRow="0" w:firstColumn="0" w:lastColumn="0" w:oddVBand="0" w:evenVBand="0" w:oddHBand="1" w:evenHBand="0" w:firstRowFirstColumn="0" w:firstRowLastColumn="0" w:lastRowFirstColumn="0" w:lastRowLastColumn="0"/>
            </w:pPr>
            <w:r w:rsidRPr="00C05DBF">
              <w:t>Median: 21.5 years</w:t>
            </w:r>
          </w:p>
        </w:tc>
        <w:tc>
          <w:tcPr>
            <w:tcW w:w="0" w:type="auto"/>
          </w:tcPr>
          <w:p w14:paraId="69F62B54" w14:textId="77777777" w:rsidR="00C05DBF" w:rsidRPr="00C05DBF" w:rsidRDefault="00C05DBF" w:rsidP="00112EE6">
            <w:pPr>
              <w:pStyle w:val="Tabletext1"/>
              <w:jc w:val="right"/>
              <w:cnfStyle w:val="000000100000" w:firstRow="0" w:lastRow="0" w:firstColumn="0" w:lastColumn="0" w:oddVBand="0" w:evenVBand="0" w:oddHBand="1" w:evenHBand="0" w:firstRowFirstColumn="0" w:firstRowLastColumn="0" w:lastRowFirstColumn="0" w:lastRowLastColumn="0"/>
            </w:pPr>
            <w:r w:rsidRPr="00C05DBF">
              <w:t>-</w:t>
            </w:r>
          </w:p>
        </w:tc>
        <w:tc>
          <w:tcPr>
            <w:tcW w:w="0" w:type="auto"/>
          </w:tcPr>
          <w:p w14:paraId="2384CF59" w14:textId="584CAEC8" w:rsidR="00C05DBF" w:rsidRPr="00C05DBF" w:rsidRDefault="00403EA2" w:rsidP="00112EE6">
            <w:pPr>
              <w:pStyle w:val="Tabletext1"/>
              <w:jc w:val="right"/>
              <w:cnfStyle w:val="000000100000" w:firstRow="0" w:lastRow="0" w:firstColumn="0" w:lastColumn="0" w:oddVBand="0" w:evenVBand="0" w:oddHBand="1" w:evenHBand="0" w:firstRowFirstColumn="0" w:firstRowLastColumn="0" w:lastRowFirstColumn="0" w:lastRowLastColumn="0"/>
            </w:pPr>
            <w:r>
              <w:t>-</w:t>
            </w:r>
          </w:p>
        </w:tc>
      </w:tr>
      <w:tr w:rsidR="00C05DBF" w:rsidRPr="00F42B1D" w14:paraId="21565CCB" w14:textId="39135C47" w:rsidTr="00112EE6">
        <w:tc>
          <w:tcPr>
            <w:cnfStyle w:val="001000000000" w:firstRow="0" w:lastRow="0" w:firstColumn="1" w:lastColumn="0" w:oddVBand="0" w:evenVBand="0" w:oddHBand="0" w:evenHBand="0" w:firstRowFirstColumn="0" w:firstRowLastColumn="0" w:lastRowFirstColumn="0" w:lastRowLastColumn="0"/>
            <w:tcW w:w="0" w:type="auto"/>
          </w:tcPr>
          <w:p w14:paraId="4154CCD5" w14:textId="7CD6D09C" w:rsidR="00C05DBF" w:rsidRPr="00112EE6" w:rsidRDefault="00C05DBF" w:rsidP="00112EE6">
            <w:pPr>
              <w:pStyle w:val="Tabletext1"/>
              <w:rPr>
                <w:b w:val="0"/>
                <w:bCs w:val="0"/>
              </w:rPr>
            </w:pPr>
            <w:r w:rsidRPr="00112EE6">
              <w:rPr>
                <w:b w:val="0"/>
                <w:bCs w:val="0"/>
              </w:rPr>
              <w:t>Size (bed numbers)</w:t>
            </w:r>
          </w:p>
        </w:tc>
        <w:tc>
          <w:tcPr>
            <w:tcW w:w="0" w:type="auto"/>
          </w:tcPr>
          <w:p w14:paraId="6D42D394" w14:textId="77777777" w:rsidR="00C05DBF" w:rsidRPr="00C05DBF" w:rsidRDefault="00C05DBF" w:rsidP="00112EE6">
            <w:pPr>
              <w:pStyle w:val="Tabletext1"/>
              <w:cnfStyle w:val="000000000000" w:firstRow="0" w:lastRow="0" w:firstColumn="0" w:lastColumn="0" w:oddVBand="0" w:evenVBand="0" w:oddHBand="0" w:evenHBand="0" w:firstRowFirstColumn="0" w:firstRowLastColumn="0" w:lastRowFirstColumn="0" w:lastRowLastColumn="0"/>
            </w:pPr>
            <w:r w:rsidRPr="00C05DBF">
              <w:t>Range: 29 to 184 beds per RACF</w:t>
            </w:r>
          </w:p>
          <w:p w14:paraId="37BBCA8E" w14:textId="77777777" w:rsidR="00C05DBF" w:rsidRPr="00C05DBF" w:rsidRDefault="00C05DBF" w:rsidP="00112EE6">
            <w:pPr>
              <w:pStyle w:val="Tabletext1"/>
              <w:cnfStyle w:val="000000000000" w:firstRow="0" w:lastRow="0" w:firstColumn="0" w:lastColumn="0" w:oddVBand="0" w:evenVBand="0" w:oddHBand="0" w:evenHBand="0" w:firstRowFirstColumn="0" w:firstRowLastColumn="0" w:lastRowFirstColumn="0" w:lastRowLastColumn="0"/>
            </w:pPr>
            <w:r w:rsidRPr="00C05DBF">
              <w:t>Median: 92 beds per RACF</w:t>
            </w:r>
          </w:p>
        </w:tc>
        <w:tc>
          <w:tcPr>
            <w:tcW w:w="0" w:type="auto"/>
          </w:tcPr>
          <w:p w14:paraId="3A5671BE" w14:textId="77777777" w:rsidR="00C05DBF" w:rsidRPr="00C05DBF" w:rsidRDefault="00C05DBF" w:rsidP="00112EE6">
            <w:pPr>
              <w:pStyle w:val="Tabletext1"/>
              <w:jc w:val="right"/>
              <w:cnfStyle w:val="000000000000" w:firstRow="0" w:lastRow="0" w:firstColumn="0" w:lastColumn="0" w:oddVBand="0" w:evenVBand="0" w:oddHBand="0" w:evenHBand="0" w:firstRowFirstColumn="0" w:firstRowLastColumn="0" w:lastRowFirstColumn="0" w:lastRowLastColumn="0"/>
            </w:pPr>
            <w:r w:rsidRPr="00C05DBF">
              <w:t>-</w:t>
            </w:r>
          </w:p>
        </w:tc>
        <w:tc>
          <w:tcPr>
            <w:tcW w:w="0" w:type="auto"/>
          </w:tcPr>
          <w:p w14:paraId="36C7EC8E" w14:textId="38478C32" w:rsidR="00C05DBF" w:rsidRPr="00C05DBF" w:rsidRDefault="00403EA2" w:rsidP="00112EE6">
            <w:pPr>
              <w:pStyle w:val="Tabletext1"/>
              <w:jc w:val="right"/>
              <w:cnfStyle w:val="000000000000" w:firstRow="0" w:lastRow="0" w:firstColumn="0" w:lastColumn="0" w:oddVBand="0" w:evenVBand="0" w:oddHBand="0" w:evenHBand="0" w:firstRowFirstColumn="0" w:firstRowLastColumn="0" w:lastRowFirstColumn="0" w:lastRowLastColumn="0"/>
            </w:pPr>
            <w:r>
              <w:t>-</w:t>
            </w:r>
          </w:p>
        </w:tc>
      </w:tr>
      <w:tr w:rsidR="00112EE6" w:rsidRPr="00F42B1D" w14:paraId="2AC7FF12" w14:textId="2ECAD87B" w:rsidTr="00112E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09329843" w14:textId="77777777" w:rsidR="00112EE6" w:rsidRPr="00112EE6" w:rsidRDefault="00112EE6" w:rsidP="00112EE6">
            <w:pPr>
              <w:pStyle w:val="Tabletext1"/>
              <w:rPr>
                <w:b w:val="0"/>
                <w:bCs w:val="0"/>
              </w:rPr>
            </w:pPr>
            <w:r w:rsidRPr="00112EE6">
              <w:rPr>
                <w:b w:val="0"/>
                <w:bCs w:val="0"/>
              </w:rPr>
              <w:t>Location</w:t>
            </w:r>
            <w:r w:rsidRPr="00112EE6">
              <w:rPr>
                <w:b w:val="0"/>
                <w:bCs w:val="0"/>
                <w:vertAlign w:val="superscript"/>
              </w:rPr>
              <w:t>1</w:t>
            </w:r>
          </w:p>
        </w:tc>
        <w:tc>
          <w:tcPr>
            <w:tcW w:w="0" w:type="auto"/>
          </w:tcPr>
          <w:p w14:paraId="750804E0" w14:textId="77777777" w:rsidR="00112EE6" w:rsidRPr="00C05DBF" w:rsidRDefault="00112EE6" w:rsidP="00112EE6">
            <w:pPr>
              <w:pStyle w:val="Tabletext1"/>
              <w:cnfStyle w:val="000000100000" w:firstRow="0" w:lastRow="0" w:firstColumn="0" w:lastColumn="0" w:oddVBand="0" w:evenVBand="0" w:oddHBand="1" w:evenHBand="0" w:firstRowFirstColumn="0" w:firstRowLastColumn="0" w:lastRowFirstColumn="0" w:lastRowLastColumn="0"/>
            </w:pPr>
            <w:r w:rsidRPr="00C05DBF">
              <w:t>Inner Regional</w:t>
            </w:r>
          </w:p>
        </w:tc>
        <w:tc>
          <w:tcPr>
            <w:tcW w:w="0" w:type="auto"/>
          </w:tcPr>
          <w:p w14:paraId="4FAFEA9A" w14:textId="29E53AB4" w:rsidR="00112EE6" w:rsidRPr="00C05DBF" w:rsidRDefault="00112EE6" w:rsidP="00112EE6">
            <w:pPr>
              <w:pStyle w:val="Tabletext1"/>
              <w:jc w:val="right"/>
              <w:cnfStyle w:val="000000100000" w:firstRow="0" w:lastRow="0" w:firstColumn="0" w:lastColumn="0" w:oddVBand="0" w:evenVBand="0" w:oddHBand="1" w:evenHBand="0" w:firstRowFirstColumn="0" w:firstRowLastColumn="0" w:lastRowFirstColumn="0" w:lastRowLastColumn="0"/>
            </w:pPr>
            <w:r>
              <w:t>4</w:t>
            </w:r>
          </w:p>
        </w:tc>
        <w:tc>
          <w:tcPr>
            <w:tcW w:w="0" w:type="auto"/>
          </w:tcPr>
          <w:p w14:paraId="36DFB8CE" w14:textId="020236CD" w:rsidR="00112EE6" w:rsidRPr="00C05DBF" w:rsidRDefault="00112EE6" w:rsidP="00112EE6">
            <w:pPr>
              <w:pStyle w:val="Tabletext1"/>
              <w:jc w:val="right"/>
              <w:cnfStyle w:val="000000100000" w:firstRow="0" w:lastRow="0" w:firstColumn="0" w:lastColumn="0" w:oddVBand="0" w:evenVBand="0" w:oddHBand="1" w:evenHBand="0" w:firstRowFirstColumn="0" w:firstRowLastColumn="0" w:lastRowFirstColumn="0" w:lastRowLastColumn="0"/>
            </w:pPr>
            <w:r>
              <w:t>10.3</w:t>
            </w:r>
          </w:p>
        </w:tc>
      </w:tr>
      <w:tr w:rsidR="00112EE6" w:rsidRPr="00F42B1D" w14:paraId="7CD49011" w14:textId="3FC193AC" w:rsidTr="00112EE6">
        <w:tc>
          <w:tcPr>
            <w:cnfStyle w:val="001000000000" w:firstRow="0" w:lastRow="0" w:firstColumn="1" w:lastColumn="0" w:oddVBand="0" w:evenVBand="0" w:oddHBand="0" w:evenHBand="0" w:firstRowFirstColumn="0" w:firstRowLastColumn="0" w:lastRowFirstColumn="0" w:lastRowLastColumn="0"/>
            <w:tcW w:w="0" w:type="auto"/>
            <w:vMerge/>
          </w:tcPr>
          <w:p w14:paraId="5591294F" w14:textId="4EACE575" w:rsidR="00112EE6" w:rsidRPr="00112EE6" w:rsidRDefault="00112EE6" w:rsidP="00112EE6">
            <w:pPr>
              <w:pStyle w:val="Tabletext1"/>
              <w:rPr>
                <w:b w:val="0"/>
                <w:bCs w:val="0"/>
              </w:rPr>
            </w:pPr>
          </w:p>
        </w:tc>
        <w:tc>
          <w:tcPr>
            <w:tcW w:w="0" w:type="auto"/>
          </w:tcPr>
          <w:p w14:paraId="3CEA9863" w14:textId="77777777" w:rsidR="00112EE6" w:rsidRPr="00C05DBF" w:rsidRDefault="00112EE6" w:rsidP="00112EE6">
            <w:pPr>
              <w:pStyle w:val="Tabletext1"/>
              <w:cnfStyle w:val="000000000000" w:firstRow="0" w:lastRow="0" w:firstColumn="0" w:lastColumn="0" w:oddVBand="0" w:evenVBand="0" w:oddHBand="0" w:evenHBand="0" w:firstRowFirstColumn="0" w:firstRowLastColumn="0" w:lastRowFirstColumn="0" w:lastRowLastColumn="0"/>
            </w:pPr>
            <w:r w:rsidRPr="00C05DBF">
              <w:t>Major Metropolitan</w:t>
            </w:r>
          </w:p>
        </w:tc>
        <w:tc>
          <w:tcPr>
            <w:tcW w:w="0" w:type="auto"/>
          </w:tcPr>
          <w:p w14:paraId="0EE4DBE5" w14:textId="32431243" w:rsidR="00112EE6" w:rsidRPr="00C05DBF" w:rsidRDefault="00112EE6" w:rsidP="00112EE6">
            <w:pPr>
              <w:pStyle w:val="Tabletext1"/>
              <w:jc w:val="right"/>
              <w:cnfStyle w:val="000000000000" w:firstRow="0" w:lastRow="0" w:firstColumn="0" w:lastColumn="0" w:oddVBand="0" w:evenVBand="0" w:oddHBand="0" w:evenHBand="0" w:firstRowFirstColumn="0" w:firstRowLastColumn="0" w:lastRowFirstColumn="0" w:lastRowLastColumn="0"/>
            </w:pPr>
            <w:r>
              <w:t>35</w:t>
            </w:r>
          </w:p>
        </w:tc>
        <w:tc>
          <w:tcPr>
            <w:tcW w:w="0" w:type="auto"/>
          </w:tcPr>
          <w:p w14:paraId="004B095A" w14:textId="1E170E07" w:rsidR="00112EE6" w:rsidRPr="00C05DBF" w:rsidRDefault="00112EE6" w:rsidP="00112EE6">
            <w:pPr>
              <w:pStyle w:val="Tabletext1"/>
              <w:jc w:val="right"/>
              <w:cnfStyle w:val="000000000000" w:firstRow="0" w:lastRow="0" w:firstColumn="0" w:lastColumn="0" w:oddVBand="0" w:evenVBand="0" w:oddHBand="0" w:evenHBand="0" w:firstRowFirstColumn="0" w:firstRowLastColumn="0" w:lastRowFirstColumn="0" w:lastRowLastColumn="0"/>
            </w:pPr>
            <w:r>
              <w:t>89.7</w:t>
            </w:r>
          </w:p>
        </w:tc>
      </w:tr>
      <w:tr w:rsidR="00C05DBF" w:rsidRPr="00F42B1D" w14:paraId="48F98F78" w14:textId="59B26955" w:rsidTr="00112E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A7DF01" w14:textId="77777777" w:rsidR="00C05DBF" w:rsidRPr="00112EE6" w:rsidRDefault="00C05DBF" w:rsidP="00112EE6">
            <w:pPr>
              <w:pStyle w:val="Tabletext1"/>
              <w:rPr>
                <w:b w:val="0"/>
                <w:bCs w:val="0"/>
              </w:rPr>
            </w:pPr>
            <w:r w:rsidRPr="00112EE6">
              <w:rPr>
                <w:b w:val="0"/>
                <w:bCs w:val="0"/>
              </w:rPr>
              <w:t>Average ACFI cost ($)</w:t>
            </w:r>
            <w:r w:rsidRPr="00112EE6">
              <w:rPr>
                <w:b w:val="0"/>
                <w:bCs w:val="0"/>
                <w:vertAlign w:val="superscript"/>
              </w:rPr>
              <w:t>2</w:t>
            </w:r>
          </w:p>
        </w:tc>
        <w:tc>
          <w:tcPr>
            <w:tcW w:w="0" w:type="auto"/>
          </w:tcPr>
          <w:p w14:paraId="2022E289" w14:textId="77777777" w:rsidR="00C05DBF" w:rsidRPr="00C05DBF" w:rsidRDefault="00C05DBF" w:rsidP="00112EE6">
            <w:pPr>
              <w:pStyle w:val="Tabletext1"/>
              <w:cnfStyle w:val="000000100000" w:firstRow="0" w:lastRow="0" w:firstColumn="0" w:lastColumn="0" w:oddVBand="0" w:evenVBand="0" w:oddHBand="1" w:evenHBand="0" w:firstRowFirstColumn="0" w:firstRowLastColumn="0" w:lastRowFirstColumn="0" w:lastRowLastColumn="0"/>
            </w:pPr>
            <w:r w:rsidRPr="00C05DBF">
              <w:t>Range: $132.90 – $222.58</w:t>
            </w:r>
          </w:p>
          <w:p w14:paraId="75596BF2" w14:textId="77777777" w:rsidR="00C05DBF" w:rsidRPr="00C05DBF" w:rsidRDefault="00C05DBF" w:rsidP="00112EE6">
            <w:pPr>
              <w:pStyle w:val="Tabletext1"/>
              <w:cnfStyle w:val="000000100000" w:firstRow="0" w:lastRow="0" w:firstColumn="0" w:lastColumn="0" w:oddVBand="0" w:evenVBand="0" w:oddHBand="1" w:evenHBand="0" w:firstRowFirstColumn="0" w:firstRowLastColumn="0" w:lastRowFirstColumn="0" w:lastRowLastColumn="0"/>
            </w:pPr>
            <w:r w:rsidRPr="00C05DBF">
              <w:t>Median: $182.93</w:t>
            </w:r>
          </w:p>
        </w:tc>
        <w:tc>
          <w:tcPr>
            <w:tcW w:w="0" w:type="auto"/>
          </w:tcPr>
          <w:p w14:paraId="028F27E1" w14:textId="0AE8D7CB" w:rsidR="00C05DBF" w:rsidRPr="00C05DBF" w:rsidRDefault="00C05DBF" w:rsidP="00112EE6">
            <w:pPr>
              <w:pStyle w:val="Tabletext1"/>
              <w:jc w:val="right"/>
              <w:cnfStyle w:val="000000100000" w:firstRow="0" w:lastRow="0" w:firstColumn="0" w:lastColumn="0" w:oddVBand="0" w:evenVBand="0" w:oddHBand="1" w:evenHBand="0" w:firstRowFirstColumn="0" w:firstRowLastColumn="0" w:lastRowFirstColumn="0" w:lastRowLastColumn="0"/>
            </w:pPr>
            <w:r w:rsidRPr="00C05DBF">
              <w:t>-</w:t>
            </w:r>
          </w:p>
        </w:tc>
        <w:tc>
          <w:tcPr>
            <w:tcW w:w="0" w:type="auto"/>
          </w:tcPr>
          <w:p w14:paraId="2C7FBF18" w14:textId="2CD1451B" w:rsidR="00C05DBF" w:rsidRPr="00C05DBF" w:rsidRDefault="00403EA2" w:rsidP="00112EE6">
            <w:pPr>
              <w:pStyle w:val="Tabletext1"/>
              <w:jc w:val="right"/>
              <w:cnfStyle w:val="000000100000" w:firstRow="0" w:lastRow="0" w:firstColumn="0" w:lastColumn="0" w:oddVBand="0" w:evenVBand="0" w:oddHBand="1" w:evenHBand="0" w:firstRowFirstColumn="0" w:firstRowLastColumn="0" w:lastRowFirstColumn="0" w:lastRowLastColumn="0"/>
            </w:pPr>
            <w:r>
              <w:t>-</w:t>
            </w:r>
          </w:p>
        </w:tc>
      </w:tr>
      <w:tr w:rsidR="00112EE6" w:rsidRPr="00F42B1D" w14:paraId="13CD57D4" w14:textId="3BD2BC15" w:rsidTr="00112EE6">
        <w:tc>
          <w:tcPr>
            <w:cnfStyle w:val="001000000000" w:firstRow="0" w:lastRow="0" w:firstColumn="1" w:lastColumn="0" w:oddVBand="0" w:evenVBand="0" w:oddHBand="0" w:evenHBand="0" w:firstRowFirstColumn="0" w:firstRowLastColumn="0" w:lastRowFirstColumn="0" w:lastRowLastColumn="0"/>
            <w:tcW w:w="0" w:type="auto"/>
            <w:vMerge w:val="restart"/>
          </w:tcPr>
          <w:p w14:paraId="2901D94C" w14:textId="18AF68A3" w:rsidR="00112EE6" w:rsidRPr="00112EE6" w:rsidRDefault="00112EE6" w:rsidP="00112EE6">
            <w:pPr>
              <w:pStyle w:val="Tabletext1"/>
              <w:rPr>
                <w:b w:val="0"/>
                <w:bCs w:val="0"/>
              </w:rPr>
            </w:pPr>
            <w:r w:rsidRPr="00112EE6">
              <w:rPr>
                <w:b w:val="0"/>
                <w:bCs w:val="0"/>
              </w:rPr>
              <w:t>Profit Status</w:t>
            </w:r>
          </w:p>
        </w:tc>
        <w:tc>
          <w:tcPr>
            <w:tcW w:w="0" w:type="auto"/>
          </w:tcPr>
          <w:p w14:paraId="46F9F5E7" w14:textId="77777777" w:rsidR="00112EE6" w:rsidRPr="00C05DBF" w:rsidRDefault="00112EE6" w:rsidP="00112EE6">
            <w:pPr>
              <w:pStyle w:val="Tabletext1"/>
              <w:cnfStyle w:val="000000000000" w:firstRow="0" w:lastRow="0" w:firstColumn="0" w:lastColumn="0" w:oddVBand="0" w:evenVBand="0" w:oddHBand="0" w:evenHBand="0" w:firstRowFirstColumn="0" w:firstRowLastColumn="0" w:lastRowFirstColumn="0" w:lastRowLastColumn="0"/>
            </w:pPr>
            <w:r w:rsidRPr="00C05DBF">
              <w:t>Not-for-profit</w:t>
            </w:r>
          </w:p>
        </w:tc>
        <w:tc>
          <w:tcPr>
            <w:tcW w:w="0" w:type="auto"/>
          </w:tcPr>
          <w:p w14:paraId="7E5B68B8" w14:textId="3F11D068" w:rsidR="00112EE6" w:rsidRPr="00C05DBF" w:rsidRDefault="00112EE6" w:rsidP="00112EE6">
            <w:pPr>
              <w:pStyle w:val="Tabletext1"/>
              <w:jc w:val="right"/>
              <w:cnfStyle w:val="000000000000" w:firstRow="0" w:lastRow="0" w:firstColumn="0" w:lastColumn="0" w:oddVBand="0" w:evenVBand="0" w:oddHBand="0" w:evenHBand="0" w:firstRowFirstColumn="0" w:firstRowLastColumn="0" w:lastRowFirstColumn="0" w:lastRowLastColumn="0"/>
            </w:pPr>
            <w:r>
              <w:t>38</w:t>
            </w:r>
          </w:p>
        </w:tc>
        <w:tc>
          <w:tcPr>
            <w:tcW w:w="0" w:type="auto"/>
          </w:tcPr>
          <w:p w14:paraId="1E864C98" w14:textId="3F865840" w:rsidR="00112EE6" w:rsidRPr="00C05DBF" w:rsidRDefault="00112EE6" w:rsidP="00112EE6">
            <w:pPr>
              <w:pStyle w:val="Tabletext1"/>
              <w:jc w:val="right"/>
              <w:cnfStyle w:val="000000000000" w:firstRow="0" w:lastRow="0" w:firstColumn="0" w:lastColumn="0" w:oddVBand="0" w:evenVBand="0" w:oddHBand="0" w:evenHBand="0" w:firstRowFirstColumn="0" w:firstRowLastColumn="0" w:lastRowFirstColumn="0" w:lastRowLastColumn="0"/>
            </w:pPr>
            <w:r>
              <w:t>97.4</w:t>
            </w:r>
          </w:p>
        </w:tc>
      </w:tr>
      <w:tr w:rsidR="00112EE6" w:rsidRPr="00F42B1D" w14:paraId="55194AA0" w14:textId="21352A54" w:rsidTr="00112E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47AF1298" w14:textId="209ABB3D" w:rsidR="00112EE6" w:rsidRPr="00112EE6" w:rsidRDefault="00112EE6" w:rsidP="00112EE6">
            <w:pPr>
              <w:pStyle w:val="Tabletext1"/>
              <w:rPr>
                <w:b w:val="0"/>
                <w:bCs w:val="0"/>
              </w:rPr>
            </w:pPr>
          </w:p>
        </w:tc>
        <w:tc>
          <w:tcPr>
            <w:tcW w:w="0" w:type="auto"/>
          </w:tcPr>
          <w:p w14:paraId="22691C00" w14:textId="77777777" w:rsidR="00112EE6" w:rsidRPr="00C05DBF" w:rsidRDefault="00112EE6" w:rsidP="00112EE6">
            <w:pPr>
              <w:pStyle w:val="Tabletext1"/>
              <w:cnfStyle w:val="000000100000" w:firstRow="0" w:lastRow="0" w:firstColumn="0" w:lastColumn="0" w:oddVBand="0" w:evenVBand="0" w:oddHBand="1" w:evenHBand="0" w:firstRowFirstColumn="0" w:firstRowLastColumn="0" w:lastRowFirstColumn="0" w:lastRowLastColumn="0"/>
            </w:pPr>
            <w:r w:rsidRPr="00C05DBF">
              <w:t xml:space="preserve">For-profit  </w:t>
            </w:r>
          </w:p>
        </w:tc>
        <w:tc>
          <w:tcPr>
            <w:tcW w:w="0" w:type="auto"/>
          </w:tcPr>
          <w:p w14:paraId="3563EA1E" w14:textId="39442A43" w:rsidR="00112EE6" w:rsidRPr="00C05DBF" w:rsidRDefault="00112EE6" w:rsidP="00112EE6">
            <w:pPr>
              <w:pStyle w:val="Tabletext1"/>
              <w:jc w:val="right"/>
              <w:cnfStyle w:val="000000100000" w:firstRow="0" w:lastRow="0" w:firstColumn="0" w:lastColumn="0" w:oddVBand="0" w:evenVBand="0" w:oddHBand="1" w:evenHBand="0" w:firstRowFirstColumn="0" w:firstRowLastColumn="0" w:lastRowFirstColumn="0" w:lastRowLastColumn="0"/>
            </w:pPr>
            <w:r>
              <w:t>1</w:t>
            </w:r>
          </w:p>
        </w:tc>
        <w:tc>
          <w:tcPr>
            <w:tcW w:w="0" w:type="auto"/>
          </w:tcPr>
          <w:p w14:paraId="0FA59A75" w14:textId="3F2FB4BD" w:rsidR="00112EE6" w:rsidRPr="00C05DBF" w:rsidRDefault="00112EE6" w:rsidP="00112EE6">
            <w:pPr>
              <w:pStyle w:val="Tabletext1"/>
              <w:jc w:val="right"/>
              <w:cnfStyle w:val="000000100000" w:firstRow="0" w:lastRow="0" w:firstColumn="0" w:lastColumn="0" w:oddVBand="0" w:evenVBand="0" w:oddHBand="1" w:evenHBand="0" w:firstRowFirstColumn="0" w:firstRowLastColumn="0" w:lastRowFirstColumn="0" w:lastRowLastColumn="0"/>
            </w:pPr>
            <w:r>
              <w:t>2.6</w:t>
            </w:r>
          </w:p>
        </w:tc>
      </w:tr>
      <w:tr w:rsidR="00112EE6" w:rsidRPr="00F42B1D" w14:paraId="2A948DAB" w14:textId="5F2327FC" w:rsidTr="00112EE6">
        <w:tc>
          <w:tcPr>
            <w:cnfStyle w:val="001000000000" w:firstRow="0" w:lastRow="0" w:firstColumn="1" w:lastColumn="0" w:oddVBand="0" w:evenVBand="0" w:oddHBand="0" w:evenHBand="0" w:firstRowFirstColumn="0" w:firstRowLastColumn="0" w:lastRowFirstColumn="0" w:lastRowLastColumn="0"/>
            <w:tcW w:w="0" w:type="auto"/>
            <w:vMerge w:val="restart"/>
          </w:tcPr>
          <w:p w14:paraId="4650D223" w14:textId="5060BAF2" w:rsidR="00112EE6" w:rsidRPr="00112EE6" w:rsidRDefault="00112EE6" w:rsidP="00112EE6">
            <w:pPr>
              <w:pStyle w:val="Tabletext1"/>
              <w:rPr>
                <w:b w:val="0"/>
                <w:bCs w:val="0"/>
              </w:rPr>
            </w:pPr>
            <w:r w:rsidRPr="00112EE6">
              <w:rPr>
                <w:b w:val="0"/>
                <w:bCs w:val="0"/>
              </w:rPr>
              <w:t>RACF provider type</w:t>
            </w:r>
          </w:p>
        </w:tc>
        <w:tc>
          <w:tcPr>
            <w:tcW w:w="0" w:type="auto"/>
          </w:tcPr>
          <w:p w14:paraId="259A65C7" w14:textId="77777777" w:rsidR="00112EE6" w:rsidRPr="00C05DBF" w:rsidRDefault="00112EE6" w:rsidP="00112EE6">
            <w:pPr>
              <w:pStyle w:val="Tabletext1"/>
              <w:cnfStyle w:val="000000000000" w:firstRow="0" w:lastRow="0" w:firstColumn="0" w:lastColumn="0" w:oddVBand="0" w:evenVBand="0" w:oddHBand="0" w:evenHBand="0" w:firstRowFirstColumn="0" w:firstRowLastColumn="0" w:lastRowFirstColumn="0" w:lastRowLastColumn="0"/>
            </w:pPr>
            <w:r w:rsidRPr="00C05DBF">
              <w:t xml:space="preserve">Single, privately owned </w:t>
            </w:r>
          </w:p>
        </w:tc>
        <w:tc>
          <w:tcPr>
            <w:tcW w:w="0" w:type="auto"/>
          </w:tcPr>
          <w:p w14:paraId="2F3F4DB3" w14:textId="530A65D8" w:rsidR="00112EE6" w:rsidRPr="00C05DBF" w:rsidRDefault="00112EE6" w:rsidP="00112EE6">
            <w:pPr>
              <w:pStyle w:val="Tabletext1"/>
              <w:jc w:val="right"/>
              <w:cnfStyle w:val="000000000000" w:firstRow="0" w:lastRow="0" w:firstColumn="0" w:lastColumn="0" w:oddVBand="0" w:evenVBand="0" w:oddHBand="0" w:evenHBand="0" w:firstRowFirstColumn="0" w:firstRowLastColumn="0" w:lastRowFirstColumn="0" w:lastRowLastColumn="0"/>
            </w:pPr>
            <w:r>
              <w:t>2</w:t>
            </w:r>
          </w:p>
        </w:tc>
        <w:tc>
          <w:tcPr>
            <w:tcW w:w="0" w:type="auto"/>
          </w:tcPr>
          <w:p w14:paraId="62C1D233" w14:textId="7F04A88E" w:rsidR="00112EE6" w:rsidRPr="00C05DBF" w:rsidRDefault="00112EE6" w:rsidP="00112EE6">
            <w:pPr>
              <w:pStyle w:val="Tabletext1"/>
              <w:jc w:val="right"/>
              <w:cnfStyle w:val="000000000000" w:firstRow="0" w:lastRow="0" w:firstColumn="0" w:lastColumn="0" w:oddVBand="0" w:evenVBand="0" w:oddHBand="0" w:evenHBand="0" w:firstRowFirstColumn="0" w:firstRowLastColumn="0" w:lastRowFirstColumn="0" w:lastRowLastColumn="0"/>
            </w:pPr>
            <w:r>
              <w:t>5.1</w:t>
            </w:r>
          </w:p>
        </w:tc>
      </w:tr>
      <w:tr w:rsidR="00112EE6" w:rsidRPr="00F42B1D" w14:paraId="503C4ED4" w14:textId="40A9DEB2" w:rsidTr="00112E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200B9118" w14:textId="34F0ECF3" w:rsidR="00112EE6" w:rsidRPr="00112EE6" w:rsidRDefault="00112EE6" w:rsidP="00112EE6">
            <w:pPr>
              <w:pStyle w:val="Tabletext1"/>
              <w:rPr>
                <w:b w:val="0"/>
                <w:bCs w:val="0"/>
              </w:rPr>
            </w:pPr>
          </w:p>
        </w:tc>
        <w:tc>
          <w:tcPr>
            <w:tcW w:w="0" w:type="auto"/>
          </w:tcPr>
          <w:p w14:paraId="76CA137E" w14:textId="77777777" w:rsidR="00112EE6" w:rsidRPr="00C05DBF" w:rsidRDefault="00112EE6" w:rsidP="00112EE6">
            <w:pPr>
              <w:pStyle w:val="Tabletext1"/>
              <w:cnfStyle w:val="000000100000" w:firstRow="0" w:lastRow="0" w:firstColumn="0" w:lastColumn="0" w:oddVBand="0" w:evenVBand="0" w:oddHBand="1" w:evenHBand="0" w:firstRowFirstColumn="0" w:firstRowLastColumn="0" w:lastRowFirstColumn="0" w:lastRowLastColumn="0"/>
            </w:pPr>
            <w:r w:rsidRPr="00C05DBF">
              <w:t>Part of chain or group</w:t>
            </w:r>
          </w:p>
        </w:tc>
        <w:tc>
          <w:tcPr>
            <w:tcW w:w="0" w:type="auto"/>
          </w:tcPr>
          <w:p w14:paraId="415AB771" w14:textId="7E35D773" w:rsidR="00112EE6" w:rsidRPr="00C05DBF" w:rsidRDefault="00112EE6" w:rsidP="00112EE6">
            <w:pPr>
              <w:pStyle w:val="Tabletext1"/>
              <w:jc w:val="right"/>
              <w:cnfStyle w:val="000000100000" w:firstRow="0" w:lastRow="0" w:firstColumn="0" w:lastColumn="0" w:oddVBand="0" w:evenVBand="0" w:oddHBand="1" w:evenHBand="0" w:firstRowFirstColumn="0" w:firstRowLastColumn="0" w:lastRowFirstColumn="0" w:lastRowLastColumn="0"/>
            </w:pPr>
            <w:r>
              <w:t>37</w:t>
            </w:r>
          </w:p>
        </w:tc>
        <w:tc>
          <w:tcPr>
            <w:tcW w:w="0" w:type="auto"/>
          </w:tcPr>
          <w:p w14:paraId="4FD12948" w14:textId="495478EB" w:rsidR="00112EE6" w:rsidRPr="00C05DBF" w:rsidRDefault="00112EE6" w:rsidP="00112EE6">
            <w:pPr>
              <w:pStyle w:val="Tabletext1"/>
              <w:jc w:val="right"/>
              <w:cnfStyle w:val="000000100000" w:firstRow="0" w:lastRow="0" w:firstColumn="0" w:lastColumn="0" w:oddVBand="0" w:evenVBand="0" w:oddHBand="1" w:evenHBand="0" w:firstRowFirstColumn="0" w:firstRowLastColumn="0" w:lastRowFirstColumn="0" w:lastRowLastColumn="0"/>
            </w:pPr>
            <w:r>
              <w:t>94.9</w:t>
            </w:r>
          </w:p>
        </w:tc>
      </w:tr>
      <w:tr w:rsidR="00112EE6" w:rsidRPr="00F42B1D" w14:paraId="77134BB5" w14:textId="26298819" w:rsidTr="00112EE6">
        <w:trPr>
          <w:trHeight w:val="2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34A9009F" w14:textId="77777777" w:rsidR="00112EE6" w:rsidRPr="00112EE6" w:rsidRDefault="00112EE6" w:rsidP="00112EE6">
            <w:pPr>
              <w:pStyle w:val="Tabletext1"/>
              <w:rPr>
                <w:b w:val="0"/>
                <w:bCs w:val="0"/>
              </w:rPr>
            </w:pPr>
            <w:r w:rsidRPr="00112EE6">
              <w:rPr>
                <w:b w:val="0"/>
                <w:bCs w:val="0"/>
              </w:rPr>
              <w:t xml:space="preserve">Socio-economic Disadvantage </w:t>
            </w:r>
            <w:r w:rsidRPr="00112EE6">
              <w:rPr>
                <w:b w:val="0"/>
                <w:bCs w:val="0"/>
                <w:vertAlign w:val="superscript"/>
              </w:rPr>
              <w:t>3</w:t>
            </w:r>
          </w:p>
        </w:tc>
        <w:tc>
          <w:tcPr>
            <w:tcW w:w="0" w:type="auto"/>
          </w:tcPr>
          <w:p w14:paraId="528992ED" w14:textId="77777777" w:rsidR="00112EE6" w:rsidRPr="00C05DBF" w:rsidRDefault="00112EE6" w:rsidP="00112EE6">
            <w:pPr>
              <w:pStyle w:val="Tabletext1"/>
              <w:cnfStyle w:val="000000000000" w:firstRow="0" w:lastRow="0" w:firstColumn="0" w:lastColumn="0" w:oddVBand="0" w:evenVBand="0" w:oddHBand="0" w:evenHBand="0" w:firstRowFirstColumn="0" w:firstRowLastColumn="0" w:lastRowFirstColumn="0" w:lastRowLastColumn="0"/>
            </w:pPr>
            <w:r w:rsidRPr="00C05DBF">
              <w:t>1 (highest disadvantage)</w:t>
            </w:r>
          </w:p>
        </w:tc>
        <w:tc>
          <w:tcPr>
            <w:tcW w:w="0" w:type="auto"/>
          </w:tcPr>
          <w:p w14:paraId="02D66CA9" w14:textId="7661179C" w:rsidR="00112EE6" w:rsidRPr="00C05DBF" w:rsidRDefault="00112EE6" w:rsidP="00112EE6">
            <w:pPr>
              <w:pStyle w:val="Tabletext1"/>
              <w:jc w:val="right"/>
              <w:cnfStyle w:val="000000000000" w:firstRow="0" w:lastRow="0" w:firstColumn="0" w:lastColumn="0" w:oddVBand="0" w:evenVBand="0" w:oddHBand="0" w:evenHBand="0" w:firstRowFirstColumn="0" w:firstRowLastColumn="0" w:lastRowFirstColumn="0" w:lastRowLastColumn="0"/>
            </w:pPr>
            <w:r>
              <w:t>5</w:t>
            </w:r>
          </w:p>
        </w:tc>
        <w:tc>
          <w:tcPr>
            <w:tcW w:w="0" w:type="auto"/>
          </w:tcPr>
          <w:p w14:paraId="2256F1DD" w14:textId="27E5A47D" w:rsidR="00112EE6" w:rsidRPr="00C05DBF" w:rsidRDefault="00112EE6" w:rsidP="00112EE6">
            <w:pPr>
              <w:pStyle w:val="Tabletext1"/>
              <w:jc w:val="right"/>
              <w:cnfStyle w:val="000000000000" w:firstRow="0" w:lastRow="0" w:firstColumn="0" w:lastColumn="0" w:oddVBand="0" w:evenVBand="0" w:oddHBand="0" w:evenHBand="0" w:firstRowFirstColumn="0" w:firstRowLastColumn="0" w:lastRowFirstColumn="0" w:lastRowLastColumn="0"/>
            </w:pPr>
            <w:r>
              <w:t>12.8</w:t>
            </w:r>
          </w:p>
        </w:tc>
      </w:tr>
      <w:tr w:rsidR="00112EE6" w:rsidRPr="00F42B1D" w14:paraId="05304BA0" w14:textId="7C896966" w:rsidTr="00112EE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3A4C676D" w14:textId="34A0514F" w:rsidR="00112EE6" w:rsidRPr="00112EE6" w:rsidRDefault="00112EE6" w:rsidP="00112EE6">
            <w:pPr>
              <w:pStyle w:val="Tabletext1"/>
              <w:rPr>
                <w:b w:val="0"/>
                <w:bCs w:val="0"/>
              </w:rPr>
            </w:pPr>
          </w:p>
        </w:tc>
        <w:tc>
          <w:tcPr>
            <w:tcW w:w="0" w:type="auto"/>
          </w:tcPr>
          <w:p w14:paraId="20289724" w14:textId="77777777" w:rsidR="00112EE6" w:rsidRPr="00C05DBF" w:rsidRDefault="00112EE6" w:rsidP="00112EE6">
            <w:pPr>
              <w:pStyle w:val="Tabletext1"/>
              <w:cnfStyle w:val="000000100000" w:firstRow="0" w:lastRow="0" w:firstColumn="0" w:lastColumn="0" w:oddVBand="0" w:evenVBand="0" w:oddHBand="1" w:evenHBand="0" w:firstRowFirstColumn="0" w:firstRowLastColumn="0" w:lastRowFirstColumn="0" w:lastRowLastColumn="0"/>
            </w:pPr>
            <w:r w:rsidRPr="00C05DBF">
              <w:t>2</w:t>
            </w:r>
          </w:p>
        </w:tc>
        <w:tc>
          <w:tcPr>
            <w:tcW w:w="0" w:type="auto"/>
          </w:tcPr>
          <w:p w14:paraId="503B120D" w14:textId="1E122830" w:rsidR="00112EE6" w:rsidRPr="00C05DBF" w:rsidRDefault="00112EE6" w:rsidP="00112EE6">
            <w:pPr>
              <w:pStyle w:val="Tabletext1"/>
              <w:jc w:val="right"/>
              <w:cnfStyle w:val="000000100000" w:firstRow="0" w:lastRow="0" w:firstColumn="0" w:lastColumn="0" w:oddVBand="0" w:evenVBand="0" w:oddHBand="1" w:evenHBand="0" w:firstRowFirstColumn="0" w:firstRowLastColumn="0" w:lastRowFirstColumn="0" w:lastRowLastColumn="0"/>
            </w:pPr>
            <w:r>
              <w:t>12</w:t>
            </w:r>
          </w:p>
        </w:tc>
        <w:tc>
          <w:tcPr>
            <w:tcW w:w="0" w:type="auto"/>
          </w:tcPr>
          <w:p w14:paraId="3E9D5E26" w14:textId="0AA9FDCC" w:rsidR="00112EE6" w:rsidRPr="00C05DBF" w:rsidRDefault="00112EE6" w:rsidP="00112EE6">
            <w:pPr>
              <w:pStyle w:val="Tabletext1"/>
              <w:jc w:val="right"/>
              <w:cnfStyle w:val="000000100000" w:firstRow="0" w:lastRow="0" w:firstColumn="0" w:lastColumn="0" w:oddVBand="0" w:evenVBand="0" w:oddHBand="1" w:evenHBand="0" w:firstRowFirstColumn="0" w:firstRowLastColumn="0" w:lastRowFirstColumn="0" w:lastRowLastColumn="0"/>
            </w:pPr>
            <w:r>
              <w:t>30.8</w:t>
            </w:r>
          </w:p>
        </w:tc>
      </w:tr>
      <w:tr w:rsidR="00112EE6" w:rsidRPr="00F42B1D" w14:paraId="21E41664" w14:textId="3631A774" w:rsidTr="00112EE6">
        <w:trPr>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28D1F6DE" w14:textId="29C858BC" w:rsidR="00112EE6" w:rsidRPr="00112EE6" w:rsidRDefault="00112EE6" w:rsidP="00112EE6">
            <w:pPr>
              <w:pStyle w:val="Tabletext1"/>
              <w:rPr>
                <w:b w:val="0"/>
                <w:bCs w:val="0"/>
                <w:color w:val="FFFFFF" w:themeColor="background1"/>
                <w:highlight w:val="darkBlue"/>
              </w:rPr>
            </w:pPr>
          </w:p>
        </w:tc>
        <w:tc>
          <w:tcPr>
            <w:tcW w:w="0" w:type="auto"/>
          </w:tcPr>
          <w:p w14:paraId="19F86FE7" w14:textId="77777777" w:rsidR="00112EE6" w:rsidRPr="00C05DBF" w:rsidRDefault="00112EE6" w:rsidP="00112EE6">
            <w:pPr>
              <w:pStyle w:val="Tabletext1"/>
              <w:cnfStyle w:val="000000000000" w:firstRow="0" w:lastRow="0" w:firstColumn="0" w:lastColumn="0" w:oddVBand="0" w:evenVBand="0" w:oddHBand="0" w:evenHBand="0" w:firstRowFirstColumn="0" w:firstRowLastColumn="0" w:lastRowFirstColumn="0" w:lastRowLastColumn="0"/>
            </w:pPr>
            <w:r w:rsidRPr="00C05DBF">
              <w:t>3</w:t>
            </w:r>
          </w:p>
        </w:tc>
        <w:tc>
          <w:tcPr>
            <w:tcW w:w="0" w:type="auto"/>
          </w:tcPr>
          <w:p w14:paraId="6AE9AECE" w14:textId="4C192EBA" w:rsidR="00112EE6" w:rsidRPr="00C05DBF" w:rsidRDefault="00112EE6" w:rsidP="00112EE6">
            <w:pPr>
              <w:pStyle w:val="Tabletext1"/>
              <w:jc w:val="right"/>
              <w:cnfStyle w:val="000000000000" w:firstRow="0" w:lastRow="0" w:firstColumn="0" w:lastColumn="0" w:oddVBand="0" w:evenVBand="0" w:oddHBand="0" w:evenHBand="0" w:firstRowFirstColumn="0" w:firstRowLastColumn="0" w:lastRowFirstColumn="0" w:lastRowLastColumn="0"/>
            </w:pPr>
            <w:r>
              <w:t>9</w:t>
            </w:r>
          </w:p>
        </w:tc>
        <w:tc>
          <w:tcPr>
            <w:tcW w:w="0" w:type="auto"/>
          </w:tcPr>
          <w:p w14:paraId="29F1EA34" w14:textId="74891278" w:rsidR="00112EE6" w:rsidRPr="00C05DBF" w:rsidRDefault="00112EE6" w:rsidP="00112EE6">
            <w:pPr>
              <w:pStyle w:val="Tabletext1"/>
              <w:jc w:val="right"/>
              <w:cnfStyle w:val="000000000000" w:firstRow="0" w:lastRow="0" w:firstColumn="0" w:lastColumn="0" w:oddVBand="0" w:evenVBand="0" w:oddHBand="0" w:evenHBand="0" w:firstRowFirstColumn="0" w:firstRowLastColumn="0" w:lastRowFirstColumn="0" w:lastRowLastColumn="0"/>
            </w:pPr>
            <w:r>
              <w:t>23.1</w:t>
            </w:r>
          </w:p>
        </w:tc>
      </w:tr>
      <w:tr w:rsidR="00112EE6" w:rsidRPr="00F42B1D" w14:paraId="20DBF6C9" w14:textId="40B2974B" w:rsidTr="00112EE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463BB00D" w14:textId="3CA31299" w:rsidR="00112EE6" w:rsidRPr="00112EE6" w:rsidRDefault="00112EE6" w:rsidP="00112EE6">
            <w:pPr>
              <w:pStyle w:val="Tabletext1"/>
              <w:rPr>
                <w:b w:val="0"/>
                <w:bCs w:val="0"/>
                <w:color w:val="FFFFFF" w:themeColor="background1"/>
              </w:rPr>
            </w:pPr>
          </w:p>
        </w:tc>
        <w:tc>
          <w:tcPr>
            <w:tcW w:w="0" w:type="auto"/>
          </w:tcPr>
          <w:p w14:paraId="7ADDC5A0" w14:textId="77777777" w:rsidR="00112EE6" w:rsidRPr="00C05DBF" w:rsidRDefault="00112EE6" w:rsidP="00112EE6">
            <w:pPr>
              <w:pStyle w:val="Tabletext1"/>
              <w:cnfStyle w:val="000000100000" w:firstRow="0" w:lastRow="0" w:firstColumn="0" w:lastColumn="0" w:oddVBand="0" w:evenVBand="0" w:oddHBand="1" w:evenHBand="0" w:firstRowFirstColumn="0" w:firstRowLastColumn="0" w:lastRowFirstColumn="0" w:lastRowLastColumn="0"/>
            </w:pPr>
            <w:r w:rsidRPr="00C05DBF">
              <w:t>4</w:t>
            </w:r>
          </w:p>
        </w:tc>
        <w:tc>
          <w:tcPr>
            <w:tcW w:w="0" w:type="auto"/>
          </w:tcPr>
          <w:p w14:paraId="28F38256" w14:textId="1B1DB04E" w:rsidR="00112EE6" w:rsidRPr="00C05DBF" w:rsidRDefault="00112EE6" w:rsidP="00112EE6">
            <w:pPr>
              <w:pStyle w:val="Tabletext1"/>
              <w:jc w:val="right"/>
              <w:cnfStyle w:val="000000100000" w:firstRow="0" w:lastRow="0" w:firstColumn="0" w:lastColumn="0" w:oddVBand="0" w:evenVBand="0" w:oddHBand="1" w:evenHBand="0" w:firstRowFirstColumn="0" w:firstRowLastColumn="0" w:lastRowFirstColumn="0" w:lastRowLastColumn="0"/>
            </w:pPr>
            <w:r>
              <w:t>11</w:t>
            </w:r>
          </w:p>
        </w:tc>
        <w:tc>
          <w:tcPr>
            <w:tcW w:w="0" w:type="auto"/>
          </w:tcPr>
          <w:p w14:paraId="1E630040" w14:textId="37A80077" w:rsidR="00112EE6" w:rsidRPr="00C05DBF" w:rsidRDefault="00112EE6" w:rsidP="00112EE6">
            <w:pPr>
              <w:pStyle w:val="Tabletext1"/>
              <w:jc w:val="right"/>
              <w:cnfStyle w:val="000000100000" w:firstRow="0" w:lastRow="0" w:firstColumn="0" w:lastColumn="0" w:oddVBand="0" w:evenVBand="0" w:oddHBand="1" w:evenHBand="0" w:firstRowFirstColumn="0" w:firstRowLastColumn="0" w:lastRowFirstColumn="0" w:lastRowLastColumn="0"/>
            </w:pPr>
            <w:r>
              <w:t>28.2</w:t>
            </w:r>
          </w:p>
        </w:tc>
      </w:tr>
      <w:tr w:rsidR="00112EE6" w:rsidRPr="00F42B1D" w14:paraId="3EEF1C5E" w14:textId="570D4F38" w:rsidTr="00112EE6">
        <w:trPr>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319732D2" w14:textId="59EB8D92" w:rsidR="00112EE6" w:rsidRPr="00112EE6" w:rsidRDefault="00112EE6" w:rsidP="00112EE6">
            <w:pPr>
              <w:pStyle w:val="Tabletext1"/>
              <w:rPr>
                <w:b w:val="0"/>
                <w:bCs w:val="0"/>
                <w:color w:val="FFFFFF" w:themeColor="background1"/>
              </w:rPr>
            </w:pPr>
          </w:p>
        </w:tc>
        <w:tc>
          <w:tcPr>
            <w:tcW w:w="0" w:type="auto"/>
          </w:tcPr>
          <w:p w14:paraId="108565CD" w14:textId="77777777" w:rsidR="00112EE6" w:rsidRPr="00C05DBF" w:rsidRDefault="00112EE6" w:rsidP="00112EE6">
            <w:pPr>
              <w:pStyle w:val="Tabletext1"/>
              <w:cnfStyle w:val="000000000000" w:firstRow="0" w:lastRow="0" w:firstColumn="0" w:lastColumn="0" w:oddVBand="0" w:evenVBand="0" w:oddHBand="0" w:evenHBand="0" w:firstRowFirstColumn="0" w:firstRowLastColumn="0" w:lastRowFirstColumn="0" w:lastRowLastColumn="0"/>
            </w:pPr>
            <w:r w:rsidRPr="00C05DBF">
              <w:t>5 (least disadvantage)</w:t>
            </w:r>
          </w:p>
        </w:tc>
        <w:tc>
          <w:tcPr>
            <w:tcW w:w="0" w:type="auto"/>
          </w:tcPr>
          <w:p w14:paraId="689F3632" w14:textId="6016D2C9" w:rsidR="00112EE6" w:rsidRPr="00C05DBF" w:rsidRDefault="00112EE6" w:rsidP="00112EE6">
            <w:pPr>
              <w:pStyle w:val="Tabletext1"/>
              <w:jc w:val="right"/>
              <w:cnfStyle w:val="000000000000" w:firstRow="0" w:lastRow="0" w:firstColumn="0" w:lastColumn="0" w:oddVBand="0" w:evenVBand="0" w:oddHBand="0" w:evenHBand="0" w:firstRowFirstColumn="0" w:firstRowLastColumn="0" w:lastRowFirstColumn="0" w:lastRowLastColumn="0"/>
            </w:pPr>
            <w:r>
              <w:t>2</w:t>
            </w:r>
          </w:p>
        </w:tc>
        <w:tc>
          <w:tcPr>
            <w:tcW w:w="0" w:type="auto"/>
          </w:tcPr>
          <w:p w14:paraId="34A50B7C" w14:textId="2A55033E" w:rsidR="00112EE6" w:rsidRPr="00C05DBF" w:rsidRDefault="00112EE6" w:rsidP="00112EE6">
            <w:pPr>
              <w:pStyle w:val="Tabletext1"/>
              <w:jc w:val="right"/>
              <w:cnfStyle w:val="000000000000" w:firstRow="0" w:lastRow="0" w:firstColumn="0" w:lastColumn="0" w:oddVBand="0" w:evenVBand="0" w:oddHBand="0" w:evenHBand="0" w:firstRowFirstColumn="0" w:firstRowLastColumn="0" w:lastRowFirstColumn="0" w:lastRowLastColumn="0"/>
            </w:pPr>
            <w:r>
              <w:t>5.1</w:t>
            </w:r>
          </w:p>
        </w:tc>
      </w:tr>
      <w:tr w:rsidR="00C05DBF" w:rsidRPr="00F42B1D" w14:paraId="40B72950" w14:textId="3AB65C5A" w:rsidTr="00112E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2013D1" w14:textId="123BE652" w:rsidR="00C05DBF" w:rsidRPr="00112EE6" w:rsidRDefault="00C05DBF" w:rsidP="00112EE6">
            <w:pPr>
              <w:pStyle w:val="Tabletext1"/>
              <w:rPr>
                <w:b w:val="0"/>
                <w:bCs w:val="0"/>
              </w:rPr>
            </w:pPr>
            <w:r w:rsidRPr="00112EE6">
              <w:rPr>
                <w:b w:val="0"/>
                <w:bCs w:val="0"/>
              </w:rPr>
              <w:t>Resident Age</w:t>
            </w:r>
          </w:p>
        </w:tc>
        <w:tc>
          <w:tcPr>
            <w:tcW w:w="0" w:type="auto"/>
          </w:tcPr>
          <w:p w14:paraId="47A538AE" w14:textId="77777777" w:rsidR="00C05DBF" w:rsidRPr="00C05DBF" w:rsidRDefault="00C05DBF" w:rsidP="00112EE6">
            <w:pPr>
              <w:pStyle w:val="Tabletext1"/>
              <w:cnfStyle w:val="000000100000" w:firstRow="0" w:lastRow="0" w:firstColumn="0" w:lastColumn="0" w:oddVBand="0" w:evenVBand="0" w:oddHBand="1" w:evenHBand="0" w:firstRowFirstColumn="0" w:firstRowLastColumn="0" w:lastRowFirstColumn="0" w:lastRowLastColumn="0"/>
            </w:pPr>
            <w:r w:rsidRPr="00C05DBF">
              <w:t>Range: 48 -107 years old</w:t>
            </w:r>
          </w:p>
        </w:tc>
        <w:tc>
          <w:tcPr>
            <w:tcW w:w="0" w:type="auto"/>
          </w:tcPr>
          <w:p w14:paraId="287C3983" w14:textId="77777777" w:rsidR="00C05DBF" w:rsidRPr="00C05DBF" w:rsidRDefault="00C05DBF" w:rsidP="00112EE6">
            <w:pPr>
              <w:pStyle w:val="Tabletext1"/>
              <w:jc w:val="right"/>
              <w:cnfStyle w:val="000000100000" w:firstRow="0" w:lastRow="0" w:firstColumn="0" w:lastColumn="0" w:oddVBand="0" w:evenVBand="0" w:oddHBand="1" w:evenHBand="0" w:firstRowFirstColumn="0" w:firstRowLastColumn="0" w:lastRowFirstColumn="0" w:lastRowLastColumn="0"/>
            </w:pPr>
            <w:r w:rsidRPr="00C05DBF">
              <w:t>-</w:t>
            </w:r>
          </w:p>
        </w:tc>
        <w:tc>
          <w:tcPr>
            <w:tcW w:w="0" w:type="auto"/>
          </w:tcPr>
          <w:p w14:paraId="0101CD67" w14:textId="5825F1C4" w:rsidR="00C05DBF" w:rsidRPr="00C05DBF" w:rsidRDefault="00A72961" w:rsidP="00112EE6">
            <w:pPr>
              <w:pStyle w:val="Tabletext1"/>
              <w:jc w:val="right"/>
              <w:cnfStyle w:val="000000100000" w:firstRow="0" w:lastRow="0" w:firstColumn="0" w:lastColumn="0" w:oddVBand="0" w:evenVBand="0" w:oddHBand="1" w:evenHBand="0" w:firstRowFirstColumn="0" w:firstRowLastColumn="0" w:lastRowFirstColumn="0" w:lastRowLastColumn="0"/>
            </w:pPr>
            <w:r>
              <w:t>-</w:t>
            </w:r>
          </w:p>
        </w:tc>
      </w:tr>
      <w:tr w:rsidR="00C05DBF" w:rsidRPr="00F42B1D" w14:paraId="4955BEBA" w14:textId="3D31A0B1" w:rsidTr="00112EE6">
        <w:tc>
          <w:tcPr>
            <w:cnfStyle w:val="001000000000" w:firstRow="0" w:lastRow="0" w:firstColumn="1" w:lastColumn="0" w:oddVBand="0" w:evenVBand="0" w:oddHBand="0" w:evenHBand="0" w:firstRowFirstColumn="0" w:firstRowLastColumn="0" w:lastRowFirstColumn="0" w:lastRowLastColumn="0"/>
            <w:tcW w:w="0" w:type="auto"/>
          </w:tcPr>
          <w:p w14:paraId="4DB8A9EB" w14:textId="6F8424C9" w:rsidR="00C05DBF" w:rsidRPr="00112EE6" w:rsidRDefault="00C05DBF" w:rsidP="00112EE6">
            <w:pPr>
              <w:pStyle w:val="Tabletext1"/>
              <w:rPr>
                <w:b w:val="0"/>
                <w:bCs w:val="0"/>
              </w:rPr>
            </w:pPr>
            <w:r w:rsidRPr="00112EE6">
              <w:rPr>
                <w:b w:val="0"/>
                <w:bCs w:val="0"/>
              </w:rPr>
              <w:t>Resident sex ratio</w:t>
            </w:r>
          </w:p>
        </w:tc>
        <w:tc>
          <w:tcPr>
            <w:tcW w:w="0" w:type="auto"/>
          </w:tcPr>
          <w:p w14:paraId="405B7DA1" w14:textId="77777777" w:rsidR="00C05DBF" w:rsidRPr="00C05DBF" w:rsidRDefault="00C05DBF" w:rsidP="00112EE6">
            <w:pPr>
              <w:pStyle w:val="Tabletext1"/>
              <w:cnfStyle w:val="000000000000" w:firstRow="0" w:lastRow="0" w:firstColumn="0" w:lastColumn="0" w:oddVBand="0" w:evenVBand="0" w:oddHBand="0" w:evenHBand="0" w:firstRowFirstColumn="0" w:firstRowLastColumn="0" w:lastRowFirstColumn="0" w:lastRowLastColumn="0"/>
            </w:pPr>
            <w:r w:rsidRPr="00C05DBF">
              <w:t>Range: 26% - 93% female</w:t>
            </w:r>
          </w:p>
          <w:p w14:paraId="10EF5A7D" w14:textId="77777777" w:rsidR="00C05DBF" w:rsidRPr="00C05DBF" w:rsidRDefault="00C05DBF" w:rsidP="00112EE6">
            <w:pPr>
              <w:pStyle w:val="Tabletext1"/>
              <w:cnfStyle w:val="000000000000" w:firstRow="0" w:lastRow="0" w:firstColumn="0" w:lastColumn="0" w:oddVBand="0" w:evenVBand="0" w:oddHBand="0" w:evenHBand="0" w:firstRowFirstColumn="0" w:firstRowLastColumn="0" w:lastRowFirstColumn="0" w:lastRowLastColumn="0"/>
            </w:pPr>
            <w:r w:rsidRPr="00C05DBF">
              <w:t>Median: 79% female</w:t>
            </w:r>
          </w:p>
        </w:tc>
        <w:tc>
          <w:tcPr>
            <w:tcW w:w="0" w:type="auto"/>
          </w:tcPr>
          <w:p w14:paraId="496F2E73" w14:textId="77777777" w:rsidR="00C05DBF" w:rsidRPr="00C05DBF" w:rsidRDefault="00C05DBF" w:rsidP="00112EE6">
            <w:pPr>
              <w:pStyle w:val="Tabletext1"/>
              <w:jc w:val="right"/>
              <w:cnfStyle w:val="000000000000" w:firstRow="0" w:lastRow="0" w:firstColumn="0" w:lastColumn="0" w:oddVBand="0" w:evenVBand="0" w:oddHBand="0" w:evenHBand="0" w:firstRowFirstColumn="0" w:firstRowLastColumn="0" w:lastRowFirstColumn="0" w:lastRowLastColumn="0"/>
            </w:pPr>
            <w:r w:rsidRPr="00C05DBF">
              <w:t>-</w:t>
            </w:r>
          </w:p>
        </w:tc>
        <w:tc>
          <w:tcPr>
            <w:tcW w:w="0" w:type="auto"/>
          </w:tcPr>
          <w:p w14:paraId="33EE6997" w14:textId="45FD2D29" w:rsidR="00C05DBF" w:rsidRPr="00C05DBF" w:rsidRDefault="00A72961" w:rsidP="00112EE6">
            <w:pPr>
              <w:pStyle w:val="Tabletext1"/>
              <w:jc w:val="right"/>
              <w:cnfStyle w:val="000000000000" w:firstRow="0" w:lastRow="0" w:firstColumn="0" w:lastColumn="0" w:oddVBand="0" w:evenVBand="0" w:oddHBand="0" w:evenHBand="0" w:firstRowFirstColumn="0" w:firstRowLastColumn="0" w:lastRowFirstColumn="0" w:lastRowLastColumn="0"/>
            </w:pPr>
            <w:r>
              <w:t>-</w:t>
            </w:r>
          </w:p>
        </w:tc>
      </w:tr>
      <w:tr w:rsidR="00112EE6" w:rsidRPr="00F42B1D" w14:paraId="22FE4918" w14:textId="5C558924" w:rsidTr="00112EE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vMerge w:val="restart"/>
          </w:tcPr>
          <w:p w14:paraId="7982D450" w14:textId="4CD8F488" w:rsidR="00112EE6" w:rsidRPr="00112EE6" w:rsidRDefault="00112EE6" w:rsidP="00112EE6">
            <w:pPr>
              <w:pStyle w:val="Tabletext1"/>
              <w:rPr>
                <w:b w:val="0"/>
                <w:bCs w:val="0"/>
              </w:rPr>
            </w:pPr>
            <w:r w:rsidRPr="00112EE6">
              <w:rPr>
                <w:b w:val="0"/>
                <w:bCs w:val="0"/>
              </w:rPr>
              <w:t>Specialist space or services</w:t>
            </w:r>
          </w:p>
        </w:tc>
        <w:tc>
          <w:tcPr>
            <w:tcW w:w="0" w:type="auto"/>
          </w:tcPr>
          <w:p w14:paraId="2B17ECBC" w14:textId="77777777" w:rsidR="00112EE6" w:rsidRPr="00C05DBF" w:rsidRDefault="00112EE6" w:rsidP="00112EE6">
            <w:pPr>
              <w:pStyle w:val="Tabletext1"/>
              <w:cnfStyle w:val="000000100000" w:firstRow="0" w:lastRow="0" w:firstColumn="0" w:lastColumn="0" w:oddVBand="0" w:evenVBand="0" w:oddHBand="1" w:evenHBand="0" w:firstRowFirstColumn="0" w:firstRowLastColumn="0" w:lastRowFirstColumn="0" w:lastRowLastColumn="0"/>
            </w:pPr>
            <w:r w:rsidRPr="00C05DBF">
              <w:t>Access to outside space</w:t>
            </w:r>
          </w:p>
        </w:tc>
        <w:tc>
          <w:tcPr>
            <w:tcW w:w="0" w:type="auto"/>
          </w:tcPr>
          <w:p w14:paraId="4FE1C2E2" w14:textId="1DE65632" w:rsidR="00112EE6" w:rsidRPr="00C05DBF" w:rsidRDefault="00112EE6" w:rsidP="00112EE6">
            <w:pPr>
              <w:pStyle w:val="Tabletext1"/>
              <w:jc w:val="right"/>
              <w:cnfStyle w:val="000000100000" w:firstRow="0" w:lastRow="0" w:firstColumn="0" w:lastColumn="0" w:oddVBand="0" w:evenVBand="0" w:oddHBand="1" w:evenHBand="0" w:firstRowFirstColumn="0" w:firstRowLastColumn="0" w:lastRowFirstColumn="0" w:lastRowLastColumn="0"/>
            </w:pPr>
            <w:r>
              <w:t>39</w:t>
            </w:r>
          </w:p>
        </w:tc>
        <w:tc>
          <w:tcPr>
            <w:tcW w:w="0" w:type="auto"/>
          </w:tcPr>
          <w:p w14:paraId="587B0843" w14:textId="6B270C40" w:rsidR="00112EE6" w:rsidRPr="00C05DBF" w:rsidRDefault="00112EE6" w:rsidP="00112EE6">
            <w:pPr>
              <w:pStyle w:val="Tabletext1"/>
              <w:jc w:val="right"/>
              <w:cnfStyle w:val="000000100000" w:firstRow="0" w:lastRow="0" w:firstColumn="0" w:lastColumn="0" w:oddVBand="0" w:evenVBand="0" w:oddHBand="1" w:evenHBand="0" w:firstRowFirstColumn="0" w:firstRowLastColumn="0" w:lastRowFirstColumn="0" w:lastRowLastColumn="0"/>
            </w:pPr>
            <w:r>
              <w:t>100.0</w:t>
            </w:r>
          </w:p>
        </w:tc>
      </w:tr>
      <w:tr w:rsidR="00112EE6" w:rsidRPr="00F42B1D" w14:paraId="46B70079" w14:textId="02F8D88C" w:rsidTr="00112EE6">
        <w:tc>
          <w:tcPr>
            <w:cnfStyle w:val="001000000000" w:firstRow="0" w:lastRow="0" w:firstColumn="1" w:lastColumn="0" w:oddVBand="0" w:evenVBand="0" w:oddHBand="0" w:evenHBand="0" w:firstRowFirstColumn="0" w:firstRowLastColumn="0" w:lastRowFirstColumn="0" w:lastRowLastColumn="0"/>
            <w:tcW w:w="0" w:type="auto"/>
            <w:vMerge/>
          </w:tcPr>
          <w:p w14:paraId="1046F444" w14:textId="33A24F90" w:rsidR="00112EE6" w:rsidRPr="00112EE6" w:rsidRDefault="00112EE6" w:rsidP="00112EE6">
            <w:pPr>
              <w:pStyle w:val="Tabletext1"/>
              <w:rPr>
                <w:b w:val="0"/>
                <w:bCs w:val="0"/>
                <w:color w:val="FFFFFF" w:themeColor="background1"/>
              </w:rPr>
            </w:pPr>
          </w:p>
        </w:tc>
        <w:tc>
          <w:tcPr>
            <w:tcW w:w="0" w:type="auto"/>
          </w:tcPr>
          <w:p w14:paraId="0D158051" w14:textId="77777777" w:rsidR="00112EE6" w:rsidRPr="00C05DBF" w:rsidRDefault="00112EE6" w:rsidP="00112EE6">
            <w:pPr>
              <w:pStyle w:val="Tabletext1"/>
              <w:cnfStyle w:val="000000000000" w:firstRow="0" w:lastRow="0" w:firstColumn="0" w:lastColumn="0" w:oddVBand="0" w:evenVBand="0" w:oddHBand="0" w:evenHBand="0" w:firstRowFirstColumn="0" w:firstRowLastColumn="0" w:lastRowFirstColumn="0" w:lastRowLastColumn="0"/>
            </w:pPr>
            <w:r w:rsidRPr="00C05DBF">
              <w:t>Access to communal space</w:t>
            </w:r>
          </w:p>
        </w:tc>
        <w:tc>
          <w:tcPr>
            <w:tcW w:w="0" w:type="auto"/>
          </w:tcPr>
          <w:p w14:paraId="0CE84BF7" w14:textId="0781EEF9" w:rsidR="00112EE6" w:rsidRPr="00C05DBF" w:rsidRDefault="00112EE6" w:rsidP="00112EE6">
            <w:pPr>
              <w:pStyle w:val="Tabletext1"/>
              <w:jc w:val="right"/>
              <w:cnfStyle w:val="000000000000" w:firstRow="0" w:lastRow="0" w:firstColumn="0" w:lastColumn="0" w:oddVBand="0" w:evenVBand="0" w:oddHBand="0" w:evenHBand="0" w:firstRowFirstColumn="0" w:firstRowLastColumn="0" w:lastRowFirstColumn="0" w:lastRowLastColumn="0"/>
            </w:pPr>
            <w:r>
              <w:t>39</w:t>
            </w:r>
          </w:p>
        </w:tc>
        <w:tc>
          <w:tcPr>
            <w:tcW w:w="0" w:type="auto"/>
          </w:tcPr>
          <w:p w14:paraId="1F981D0C" w14:textId="1C174FD4" w:rsidR="00112EE6" w:rsidRPr="00C05DBF" w:rsidRDefault="00112EE6" w:rsidP="00112EE6">
            <w:pPr>
              <w:pStyle w:val="Tabletext1"/>
              <w:jc w:val="right"/>
              <w:cnfStyle w:val="000000000000" w:firstRow="0" w:lastRow="0" w:firstColumn="0" w:lastColumn="0" w:oddVBand="0" w:evenVBand="0" w:oddHBand="0" w:evenHBand="0" w:firstRowFirstColumn="0" w:firstRowLastColumn="0" w:lastRowFirstColumn="0" w:lastRowLastColumn="0"/>
            </w:pPr>
            <w:r>
              <w:t>100.0</w:t>
            </w:r>
          </w:p>
        </w:tc>
      </w:tr>
      <w:tr w:rsidR="00112EE6" w:rsidRPr="00F42B1D" w14:paraId="5DFBA442" w14:textId="299F12F4" w:rsidTr="00112E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7599EF35" w14:textId="74D3292A" w:rsidR="00112EE6" w:rsidRPr="00112EE6" w:rsidRDefault="00112EE6" w:rsidP="00112EE6">
            <w:pPr>
              <w:pStyle w:val="Tabletext1"/>
              <w:rPr>
                <w:b w:val="0"/>
                <w:bCs w:val="0"/>
                <w:color w:val="FFFFFF" w:themeColor="background1"/>
              </w:rPr>
            </w:pPr>
          </w:p>
        </w:tc>
        <w:tc>
          <w:tcPr>
            <w:tcW w:w="0" w:type="auto"/>
          </w:tcPr>
          <w:p w14:paraId="2D7AA882" w14:textId="77777777" w:rsidR="00112EE6" w:rsidRPr="00C05DBF" w:rsidRDefault="00112EE6" w:rsidP="00112EE6">
            <w:pPr>
              <w:pStyle w:val="Tabletext1"/>
              <w:cnfStyle w:val="000000100000" w:firstRow="0" w:lastRow="0" w:firstColumn="0" w:lastColumn="0" w:oddVBand="0" w:evenVBand="0" w:oddHBand="1" w:evenHBand="0" w:firstRowFirstColumn="0" w:firstRowLastColumn="0" w:lastRowFirstColumn="0" w:lastRowLastColumn="0"/>
            </w:pPr>
            <w:r w:rsidRPr="00C05DBF">
              <w:t>Access to gym</w:t>
            </w:r>
          </w:p>
        </w:tc>
        <w:tc>
          <w:tcPr>
            <w:tcW w:w="0" w:type="auto"/>
          </w:tcPr>
          <w:p w14:paraId="559F5E90" w14:textId="74686329" w:rsidR="00112EE6" w:rsidRPr="00C05DBF" w:rsidRDefault="00112EE6" w:rsidP="00112EE6">
            <w:pPr>
              <w:pStyle w:val="Tabletext1"/>
              <w:jc w:val="right"/>
              <w:cnfStyle w:val="000000100000" w:firstRow="0" w:lastRow="0" w:firstColumn="0" w:lastColumn="0" w:oddVBand="0" w:evenVBand="0" w:oddHBand="1" w:evenHBand="0" w:firstRowFirstColumn="0" w:firstRowLastColumn="0" w:lastRowFirstColumn="0" w:lastRowLastColumn="0"/>
            </w:pPr>
            <w:r>
              <w:t>18</w:t>
            </w:r>
          </w:p>
        </w:tc>
        <w:tc>
          <w:tcPr>
            <w:tcW w:w="0" w:type="auto"/>
          </w:tcPr>
          <w:p w14:paraId="56A6F0F5" w14:textId="4DCA0F2D" w:rsidR="00112EE6" w:rsidRPr="00C05DBF" w:rsidRDefault="00112EE6" w:rsidP="00112EE6">
            <w:pPr>
              <w:pStyle w:val="Tabletext1"/>
              <w:jc w:val="right"/>
              <w:cnfStyle w:val="000000100000" w:firstRow="0" w:lastRow="0" w:firstColumn="0" w:lastColumn="0" w:oddVBand="0" w:evenVBand="0" w:oddHBand="1" w:evenHBand="0" w:firstRowFirstColumn="0" w:firstRowLastColumn="0" w:lastRowFirstColumn="0" w:lastRowLastColumn="0"/>
            </w:pPr>
            <w:r>
              <w:t>46.2</w:t>
            </w:r>
          </w:p>
        </w:tc>
      </w:tr>
      <w:tr w:rsidR="00112EE6" w:rsidRPr="00F42B1D" w14:paraId="64C8D3DF" w14:textId="5D76CA6F" w:rsidTr="00112EE6">
        <w:tc>
          <w:tcPr>
            <w:cnfStyle w:val="001000000000" w:firstRow="0" w:lastRow="0" w:firstColumn="1" w:lastColumn="0" w:oddVBand="0" w:evenVBand="0" w:oddHBand="0" w:evenHBand="0" w:firstRowFirstColumn="0" w:firstRowLastColumn="0" w:lastRowFirstColumn="0" w:lastRowLastColumn="0"/>
            <w:tcW w:w="0" w:type="auto"/>
            <w:vMerge/>
          </w:tcPr>
          <w:p w14:paraId="19D9720A" w14:textId="63DF3900" w:rsidR="00112EE6" w:rsidRPr="00112EE6" w:rsidRDefault="00112EE6" w:rsidP="00112EE6">
            <w:pPr>
              <w:pStyle w:val="Tabletext1"/>
              <w:rPr>
                <w:b w:val="0"/>
                <w:bCs w:val="0"/>
                <w:color w:val="FFFFFF" w:themeColor="background1"/>
              </w:rPr>
            </w:pPr>
          </w:p>
        </w:tc>
        <w:tc>
          <w:tcPr>
            <w:tcW w:w="0" w:type="auto"/>
          </w:tcPr>
          <w:p w14:paraId="45F898FD" w14:textId="77777777" w:rsidR="00112EE6" w:rsidRPr="00C05DBF" w:rsidRDefault="00112EE6" w:rsidP="00112EE6">
            <w:pPr>
              <w:pStyle w:val="Tabletext1"/>
              <w:cnfStyle w:val="000000000000" w:firstRow="0" w:lastRow="0" w:firstColumn="0" w:lastColumn="0" w:oddVBand="0" w:evenVBand="0" w:oddHBand="0" w:evenHBand="0" w:firstRowFirstColumn="0" w:firstRowLastColumn="0" w:lastRowFirstColumn="0" w:lastRowLastColumn="0"/>
            </w:pPr>
            <w:r w:rsidRPr="00C05DBF">
              <w:t>Access to wellness/lifestyle activities</w:t>
            </w:r>
          </w:p>
        </w:tc>
        <w:tc>
          <w:tcPr>
            <w:tcW w:w="0" w:type="auto"/>
          </w:tcPr>
          <w:p w14:paraId="6D11F3F4" w14:textId="18CB4A3E" w:rsidR="00112EE6" w:rsidRPr="00C05DBF" w:rsidRDefault="00112EE6" w:rsidP="00112EE6">
            <w:pPr>
              <w:pStyle w:val="Tabletext1"/>
              <w:jc w:val="right"/>
              <w:cnfStyle w:val="000000000000" w:firstRow="0" w:lastRow="0" w:firstColumn="0" w:lastColumn="0" w:oddVBand="0" w:evenVBand="0" w:oddHBand="0" w:evenHBand="0" w:firstRowFirstColumn="0" w:firstRowLastColumn="0" w:lastRowFirstColumn="0" w:lastRowLastColumn="0"/>
            </w:pPr>
            <w:r>
              <w:t>39</w:t>
            </w:r>
          </w:p>
        </w:tc>
        <w:tc>
          <w:tcPr>
            <w:tcW w:w="0" w:type="auto"/>
          </w:tcPr>
          <w:p w14:paraId="3140DF97" w14:textId="4675CCF6" w:rsidR="00112EE6" w:rsidRPr="00C05DBF" w:rsidRDefault="00112EE6" w:rsidP="00112EE6">
            <w:pPr>
              <w:pStyle w:val="Tabletext1"/>
              <w:jc w:val="right"/>
              <w:cnfStyle w:val="000000000000" w:firstRow="0" w:lastRow="0" w:firstColumn="0" w:lastColumn="0" w:oddVBand="0" w:evenVBand="0" w:oddHBand="0" w:evenHBand="0" w:firstRowFirstColumn="0" w:firstRowLastColumn="0" w:lastRowFirstColumn="0" w:lastRowLastColumn="0"/>
            </w:pPr>
            <w:r>
              <w:t>100.0</w:t>
            </w:r>
          </w:p>
        </w:tc>
      </w:tr>
      <w:tr w:rsidR="00112EE6" w:rsidRPr="00F42B1D" w14:paraId="057077E5" w14:textId="20CE607A" w:rsidTr="00112E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0774F226" w14:textId="059AA1E0" w:rsidR="00112EE6" w:rsidRPr="00112EE6" w:rsidRDefault="00112EE6" w:rsidP="00112EE6">
            <w:pPr>
              <w:pStyle w:val="Tabletext1"/>
              <w:rPr>
                <w:b w:val="0"/>
                <w:bCs w:val="0"/>
                <w:color w:val="FFFFFF" w:themeColor="background1"/>
              </w:rPr>
            </w:pPr>
          </w:p>
        </w:tc>
        <w:tc>
          <w:tcPr>
            <w:tcW w:w="0" w:type="auto"/>
          </w:tcPr>
          <w:p w14:paraId="2C7A5101" w14:textId="77777777" w:rsidR="00112EE6" w:rsidRPr="00C05DBF" w:rsidRDefault="00112EE6" w:rsidP="00112EE6">
            <w:pPr>
              <w:pStyle w:val="Tabletext1"/>
              <w:cnfStyle w:val="000000100000" w:firstRow="0" w:lastRow="0" w:firstColumn="0" w:lastColumn="0" w:oddVBand="0" w:evenVBand="0" w:oddHBand="1" w:evenHBand="0" w:firstRowFirstColumn="0" w:firstRowLastColumn="0" w:lastRowFirstColumn="0" w:lastRowLastColumn="0"/>
            </w:pPr>
            <w:r w:rsidRPr="00C05DBF">
              <w:t>Access to allied health staff</w:t>
            </w:r>
          </w:p>
        </w:tc>
        <w:tc>
          <w:tcPr>
            <w:tcW w:w="0" w:type="auto"/>
          </w:tcPr>
          <w:p w14:paraId="6B826BDA" w14:textId="20675562" w:rsidR="00112EE6" w:rsidRPr="00C05DBF" w:rsidRDefault="00112EE6" w:rsidP="00112EE6">
            <w:pPr>
              <w:pStyle w:val="Tabletext1"/>
              <w:jc w:val="right"/>
              <w:cnfStyle w:val="000000100000" w:firstRow="0" w:lastRow="0" w:firstColumn="0" w:lastColumn="0" w:oddVBand="0" w:evenVBand="0" w:oddHBand="1" w:evenHBand="0" w:firstRowFirstColumn="0" w:firstRowLastColumn="0" w:lastRowFirstColumn="0" w:lastRowLastColumn="0"/>
            </w:pPr>
            <w:r>
              <w:t>39</w:t>
            </w:r>
          </w:p>
        </w:tc>
        <w:tc>
          <w:tcPr>
            <w:tcW w:w="0" w:type="auto"/>
          </w:tcPr>
          <w:p w14:paraId="2857D9C6" w14:textId="01B57E99" w:rsidR="00112EE6" w:rsidRPr="00C05DBF" w:rsidRDefault="00112EE6" w:rsidP="00112EE6">
            <w:pPr>
              <w:pStyle w:val="Tabletext1"/>
              <w:jc w:val="right"/>
              <w:cnfStyle w:val="000000100000" w:firstRow="0" w:lastRow="0" w:firstColumn="0" w:lastColumn="0" w:oddVBand="0" w:evenVBand="0" w:oddHBand="1" w:evenHBand="0" w:firstRowFirstColumn="0" w:firstRowLastColumn="0" w:lastRowFirstColumn="0" w:lastRowLastColumn="0"/>
            </w:pPr>
            <w:r>
              <w:t>100.0</w:t>
            </w:r>
          </w:p>
        </w:tc>
      </w:tr>
    </w:tbl>
    <w:p w14:paraId="28D86F8C" w14:textId="1CFF592F" w:rsidR="00674098" w:rsidRPr="00C05DBF" w:rsidRDefault="00B13549" w:rsidP="00897C5B">
      <w:pPr>
        <w:pStyle w:val="Caption"/>
        <w:rPr>
          <w:color w:val="0000FF"/>
          <w:u w:val="single"/>
        </w:rPr>
      </w:pPr>
      <w:r w:rsidRPr="00F42B1D">
        <w:lastRenderedPageBreak/>
        <w:t xml:space="preserve">Table </w:t>
      </w:r>
      <w:r w:rsidR="004C6BA9" w:rsidRPr="00F42B1D">
        <w:t>B-</w:t>
      </w:r>
      <w:r w:rsidR="00B36634">
        <w:t>4</w:t>
      </w:r>
      <w:r w:rsidRPr="00F42B1D">
        <w:t>: Characteristics of residential aged care facilities and resident populations in the 39</w:t>
      </w:r>
      <w:r w:rsidR="00E33A5C" w:rsidRPr="00F42B1D">
        <w:t xml:space="preserve"> </w:t>
      </w:r>
      <w:proofErr w:type="spellStart"/>
      <w:r w:rsidR="00E33A5C" w:rsidRPr="00F42B1D">
        <w:t>ReMInDAR</w:t>
      </w:r>
      <w:proofErr w:type="spellEnd"/>
      <w:r w:rsidR="00E33A5C" w:rsidRPr="00F42B1D">
        <w:t xml:space="preserve"> trial RACF sites.</w:t>
      </w:r>
      <w:r w:rsidR="00C7369F">
        <w:t xml:space="preserve"> </w:t>
      </w:r>
      <w:hyperlink r:id="rId28" w:history="1">
        <w:r w:rsidR="00C7369F" w:rsidRPr="00C7369F">
          <w:rPr>
            <w:rStyle w:val="Hyperlink"/>
          </w:rPr>
          <w:t>ABS Remoteness classification</w:t>
        </w:r>
      </w:hyperlink>
      <w:r w:rsidR="00C7369F">
        <w:rPr>
          <w:rStyle w:val="FootnoteReference"/>
        </w:rPr>
        <w:footnoteReference w:id="1"/>
      </w:r>
      <w:r w:rsidR="00D92F9C">
        <w:rPr>
          <w:rStyle w:val="Hyperlink"/>
        </w:rPr>
        <w:t xml:space="preserve">; </w:t>
      </w:r>
      <w:hyperlink r:id="rId29" w:history="1">
        <w:r w:rsidR="00D92F9C" w:rsidRPr="00C7369F">
          <w:rPr>
            <w:rStyle w:val="Hyperlink"/>
          </w:rPr>
          <w:t>July 2018 - June 2019 ACFI subsidy rates for time of facility recruitment to</w:t>
        </w:r>
        <w:r w:rsidR="004F35AE">
          <w:rPr>
            <w:rStyle w:val="Hyperlink"/>
          </w:rPr>
          <w:t xml:space="preserve"> </w:t>
        </w:r>
        <w:r w:rsidR="00D92F9C" w:rsidRPr="00C7369F">
          <w:rPr>
            <w:rStyle w:val="Hyperlink"/>
          </w:rPr>
          <w:t>trial</w:t>
        </w:r>
      </w:hyperlink>
      <w:r w:rsidR="00D92F9C">
        <w:rPr>
          <w:rStyle w:val="FootnoteReference"/>
        </w:rPr>
        <w:footnoteReference w:id="2"/>
      </w:r>
      <w:r w:rsidR="00D92F9C" w:rsidRPr="00D92F9C">
        <w:t>;</w:t>
      </w:r>
      <w:r w:rsidR="00D92F9C">
        <w:rPr>
          <w:vertAlign w:val="superscript"/>
        </w:rPr>
        <w:t xml:space="preserve"> </w:t>
      </w:r>
      <w:hyperlink r:id="rId30" w:history="1">
        <w:r w:rsidR="00D92F9C" w:rsidRPr="00C7369F">
          <w:rPr>
            <w:rStyle w:val="Hyperlink"/>
          </w:rPr>
          <w:t>ABS Index of Socio-economic Disadvantage</w:t>
        </w:r>
      </w:hyperlink>
      <w:r w:rsidR="00D92F9C">
        <w:rPr>
          <w:rStyle w:val="FootnoteReference"/>
        </w:rPr>
        <w:footnoteReference w:id="3"/>
      </w:r>
    </w:p>
    <w:p w14:paraId="123C060F" w14:textId="77777777" w:rsidR="00B13549" w:rsidRPr="00426FDD" w:rsidRDefault="00B13549" w:rsidP="00391CFD">
      <w:pPr>
        <w:pStyle w:val="Heading4"/>
      </w:pPr>
      <w:proofErr w:type="spellStart"/>
      <w:r w:rsidRPr="00426FDD">
        <w:t>ReMInDAR</w:t>
      </w:r>
      <w:proofErr w:type="spellEnd"/>
      <w:r w:rsidRPr="00426FDD">
        <w:t xml:space="preserve"> trial consort</w:t>
      </w:r>
    </w:p>
    <w:p w14:paraId="23C129C5" w14:textId="7F8C9A09" w:rsidR="000E425B" w:rsidRDefault="00B13549" w:rsidP="007501B9">
      <w:r w:rsidRPr="00F42B1D">
        <w:t>The 39 RACF</w:t>
      </w:r>
      <w:r w:rsidR="00674098" w:rsidRPr="00F42B1D">
        <w:t>s</w:t>
      </w:r>
      <w:r w:rsidRPr="00F42B1D">
        <w:t xml:space="preserve"> that were involved in the trial had 3,646 residents at the commencement of the trial (Figure </w:t>
      </w:r>
      <w:r w:rsidR="00674098" w:rsidRPr="00F42B1D">
        <w:t>B-</w:t>
      </w:r>
      <w:r w:rsidR="00B36634">
        <w:t>4</w:t>
      </w:r>
      <w:r w:rsidRPr="00F42B1D">
        <w:t>)</w:t>
      </w:r>
      <w:r w:rsidR="007501B9">
        <w:t xml:space="preserve">. </w:t>
      </w:r>
      <w:r w:rsidRPr="00F42B1D">
        <w:t xml:space="preserve">Overall, 3,049 were excluded based on one or more of the </w:t>
      </w:r>
      <w:r w:rsidR="00674098" w:rsidRPr="00F42B1D">
        <w:t xml:space="preserve">following </w:t>
      </w:r>
      <w:r w:rsidRPr="00F42B1D">
        <w:t xml:space="preserve">reasons: 1) having a historical psychogeriatric scale score on the RACF client files of greater than 10 (where a score of 10 or less is considered the threshold for capacity for self-consent); 2) staff advice regarding the </w:t>
      </w:r>
      <w:proofErr w:type="gramStart"/>
      <w:r w:rsidRPr="00F42B1D">
        <w:t>residents</w:t>
      </w:r>
      <w:proofErr w:type="gramEnd"/>
      <w:r w:rsidRPr="00F42B1D">
        <w:t xml:space="preserve"> limitations, cognition or capacity for communication; or 3) being in respite or transition care</w:t>
      </w:r>
      <w:r w:rsidR="007501B9">
        <w:t xml:space="preserve">. </w:t>
      </w:r>
      <w:r w:rsidRPr="00F42B1D">
        <w:t>The remaining 597 residents were screened by interview</w:t>
      </w:r>
      <w:r w:rsidR="007501B9">
        <w:t xml:space="preserve">. </w:t>
      </w:r>
      <w:r w:rsidRPr="00F42B1D">
        <w:t>A further 315 were excluded based on one or more of the following reasons: 1) having a frailty index greater than 0.4; 2) being on less than 4 medications (if one was not a sedative or anti-cholinergic medication); 3) scoring less than 18 in the MoCA administered during screening</w:t>
      </w:r>
      <w:r w:rsidR="00BC33C4" w:rsidRPr="00F42B1D">
        <w:t xml:space="preserve"> (corresponding to PAS of &gt;10)</w:t>
      </w:r>
      <w:r w:rsidRPr="00F42B1D">
        <w:t>; 4) significant communication difficulties; 5) already in a research project that wasn’t at a facility-wide level; or 6) resident opt</w:t>
      </w:r>
      <w:r w:rsidR="00E33A5C" w:rsidRPr="00F42B1D">
        <w:t>ed out.</w:t>
      </w:r>
    </w:p>
    <w:p w14:paraId="4996F6D8" w14:textId="3CCA7793" w:rsidR="00FE517B" w:rsidRDefault="00401F63" w:rsidP="00112EE6">
      <w:pPr>
        <w:pStyle w:val="Caption"/>
        <w:keepNext/>
      </w:pPr>
      <w:r w:rsidRPr="00F42B1D">
        <w:lastRenderedPageBreak/>
        <w:t xml:space="preserve">Figure </w:t>
      </w:r>
      <w:r w:rsidR="00674098" w:rsidRPr="00F42B1D">
        <w:t>B-</w:t>
      </w:r>
      <w:r w:rsidR="00B36634">
        <w:t>4</w:t>
      </w:r>
      <w:r w:rsidRPr="00F42B1D">
        <w:t xml:space="preserve">: </w:t>
      </w:r>
      <w:proofErr w:type="spellStart"/>
      <w:r w:rsidRPr="00F42B1D">
        <w:t>ReMInDAR</w:t>
      </w:r>
      <w:proofErr w:type="spellEnd"/>
      <w:r w:rsidRPr="00F42B1D">
        <w:t xml:space="preserve"> consort diagram illustrating the numbers and flow of residents in RACF who were screened, excluded, enrolled, </w:t>
      </w:r>
      <w:proofErr w:type="gramStart"/>
      <w:r w:rsidRPr="00F42B1D">
        <w:t>randomised</w:t>
      </w:r>
      <w:proofErr w:type="gramEnd"/>
      <w:r w:rsidRPr="00F42B1D">
        <w:t xml:space="preserve"> and followed up at each time-point</w:t>
      </w:r>
      <w:r w:rsidR="00426FDD">
        <w:t>.</w:t>
      </w:r>
    </w:p>
    <w:p w14:paraId="4C2B905F" w14:textId="2043DAB0" w:rsidR="00D00265" w:rsidRDefault="00D00265" w:rsidP="007501B9">
      <w:r>
        <w:rPr>
          <w:noProof/>
        </w:rPr>
        <w:drawing>
          <wp:inline distT="0" distB="0" distL="0" distR="0" wp14:anchorId="45900006" wp14:editId="1CD31F1C">
            <wp:extent cx="5997160" cy="4029075"/>
            <wp:effectExtent l="0" t="0" r="3810" b="0"/>
            <wp:docPr id="10" name="Picture 10" descr="Figure B-3 is a consort flow diagram indicating the numbers and step-wise flow of residents in RACF who were screened, excluded, enrolled, randomised and followed up at each time-point in the trial.&#10;&#10;Full description in alternative text hyperlink." title="Trial consort diagram indicating numbers of residents, screened, enrolled, excluded and ass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32936" cy="4053111"/>
                    </a:xfrm>
                    <a:prstGeom prst="rect">
                      <a:avLst/>
                    </a:prstGeom>
                    <a:noFill/>
                  </pic:spPr>
                </pic:pic>
              </a:graphicData>
            </a:graphic>
          </wp:inline>
        </w:drawing>
      </w:r>
    </w:p>
    <w:p w14:paraId="5869E76D" w14:textId="30E69744" w:rsidR="004F35AE" w:rsidRPr="00E26FB3" w:rsidRDefault="00E26FB3" w:rsidP="00E26FB3">
      <w:pPr>
        <w:pStyle w:val="Heading4"/>
      </w:pPr>
      <w:bookmarkStart w:id="151" w:name="_Consideration_of_death"/>
      <w:bookmarkEnd w:id="151"/>
      <w:r w:rsidRPr="00E26FB3">
        <w:t>Consideration of death rates between trial arms</w:t>
      </w:r>
    </w:p>
    <w:p w14:paraId="48808804" w14:textId="125C5FC0" w:rsidR="001B0A44" w:rsidRDefault="007C745E" w:rsidP="007501B9">
      <w:r w:rsidRPr="007C745E">
        <w:t xml:space="preserve">There was an imbalance in the number of deaths between the two treatment arms during the </w:t>
      </w:r>
      <w:proofErr w:type="gramStart"/>
      <w:r w:rsidRPr="007C745E">
        <w:t>12 month</w:t>
      </w:r>
      <w:proofErr w:type="gramEnd"/>
      <w:r w:rsidRPr="007C745E">
        <w:t xml:space="preserve"> follow-up</w:t>
      </w:r>
      <w:r w:rsidR="007501B9">
        <w:t xml:space="preserve">. </w:t>
      </w:r>
      <w:r w:rsidR="008E4CAD" w:rsidRPr="008E4CAD">
        <w:t>Th</w:t>
      </w:r>
      <w:r w:rsidR="003E32B6">
        <w:t xml:space="preserve">e </w:t>
      </w:r>
      <w:r w:rsidR="008E4CAD" w:rsidRPr="008E4CAD">
        <w:t xml:space="preserve">imbalance in deaths </w:t>
      </w:r>
      <w:r w:rsidR="003E32B6">
        <w:t xml:space="preserve">predominantly occurred </w:t>
      </w:r>
      <w:r w:rsidR="008E4CAD" w:rsidRPr="008E4CAD">
        <w:t xml:space="preserve">prior to </w:t>
      </w:r>
      <w:r w:rsidR="003E32B6">
        <w:t>the intervention commencing (</w:t>
      </w:r>
      <w:proofErr w:type="gramStart"/>
      <w:r w:rsidR="003E32B6">
        <w:t>i.e.</w:t>
      </w:r>
      <w:proofErr w:type="gramEnd"/>
      <w:r w:rsidR="003E32B6">
        <w:t xml:space="preserve"> prior to the first pharmacist s</w:t>
      </w:r>
      <w:r w:rsidR="008E4CAD" w:rsidRPr="008E4CAD">
        <w:t>ession 1</w:t>
      </w:r>
      <w:r w:rsidR="003E32B6">
        <w:t>)</w:t>
      </w:r>
      <w:r w:rsidR="008E4CAD" w:rsidRPr="008E4CAD">
        <w:t xml:space="preserve"> with 5/120 deaths (4%) for intervention arm and 2</w:t>
      </w:r>
      <w:r w:rsidR="008E4CAD">
        <w:t xml:space="preserve">/128 deaths (2%) </w:t>
      </w:r>
      <w:r w:rsidR="00A24C3E">
        <w:t xml:space="preserve">for the </w:t>
      </w:r>
      <w:r w:rsidR="008E4CAD">
        <w:t>control group</w:t>
      </w:r>
      <w:r w:rsidR="003E32B6">
        <w:t xml:space="preserve"> occurring in this time (Figure B-</w:t>
      </w:r>
      <w:r w:rsidR="00B36634">
        <w:t>5</w:t>
      </w:r>
      <w:r w:rsidR="003E32B6">
        <w:t>)</w:t>
      </w:r>
      <w:r w:rsidR="007501B9">
        <w:t xml:space="preserve">. </w:t>
      </w:r>
      <w:r w:rsidR="008E4CAD" w:rsidRPr="008E4CAD">
        <w:t>The number of deaths before the time of Session 2 was 12 and 7 respectively.</w:t>
      </w:r>
    </w:p>
    <w:p w14:paraId="32F035C4" w14:textId="77777777" w:rsidR="00B36634" w:rsidRDefault="00B36634" w:rsidP="007501B9">
      <w:pPr>
        <w:rPr>
          <w:color w:val="44546A" w:themeColor="text2"/>
        </w:rPr>
      </w:pPr>
      <w:r>
        <w:br w:type="page"/>
      </w:r>
    </w:p>
    <w:p w14:paraId="5CF6E834" w14:textId="48F1A8E6" w:rsidR="00CB7562" w:rsidRPr="007C745E" w:rsidRDefault="00CB7562" w:rsidP="00897C5B">
      <w:pPr>
        <w:pStyle w:val="Caption"/>
      </w:pPr>
      <w:r>
        <w:lastRenderedPageBreak/>
        <w:t>Figure B-</w:t>
      </w:r>
      <w:r w:rsidR="008A7B2A">
        <w:t>5</w:t>
      </w:r>
      <w:r>
        <w:t>: Deaths in</w:t>
      </w:r>
      <w:r w:rsidRPr="00E90B8E">
        <w:t xml:space="preserve"> </w:t>
      </w:r>
      <w:proofErr w:type="spellStart"/>
      <w:r w:rsidRPr="00E90B8E">
        <w:t>ReMInDAR</w:t>
      </w:r>
      <w:proofErr w:type="spellEnd"/>
      <w:r w:rsidRPr="00E90B8E">
        <w:t xml:space="preserve"> </w:t>
      </w:r>
      <w:r>
        <w:t>cohort by trial arm aligned to timing of pharmacist session.</w:t>
      </w:r>
      <w:r w:rsidRPr="00E90B8E">
        <w:t xml:space="preserve"> </w:t>
      </w:r>
    </w:p>
    <w:p w14:paraId="75B5E4EA" w14:textId="5FF7C62E" w:rsidR="00CB7562" w:rsidRDefault="00460B0D" w:rsidP="007501B9">
      <w:r>
        <w:rPr>
          <w:noProof/>
        </w:rPr>
        <w:drawing>
          <wp:inline distT="0" distB="0" distL="0" distR="0" wp14:anchorId="3F7AAC7A" wp14:editId="47386937">
            <wp:extent cx="5067300" cy="3057525"/>
            <wp:effectExtent l="0" t="0" r="0" b="9525"/>
            <wp:docPr id="14" name="Chart 14" descr="Deaths in ReMInDAR cohor" title="Deaths in ReMInDAR cohort by trial arm aligned to timing of pharmacist visit">
              <a:extLst xmlns:a="http://schemas.openxmlformats.org/drawingml/2006/main">
                <a:ext uri="{FF2B5EF4-FFF2-40B4-BE49-F238E27FC236}">
                  <a16:creationId xmlns:a16="http://schemas.microsoft.com/office/drawing/2014/main" id="{3ACE8231-0BB1-4665-B00C-3057FEA4D5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8339B4B" w14:textId="6BC629D1" w:rsidR="003E32B6" w:rsidRPr="003E32B6" w:rsidRDefault="00CB7562" w:rsidP="00897C5B">
      <w:pPr>
        <w:pStyle w:val="Caption"/>
      </w:pPr>
      <w:r w:rsidRPr="00C05DBF">
        <w:t xml:space="preserve">* </w:t>
      </w:r>
      <w:r w:rsidR="008E4CAD">
        <w:t>Death date of residents in control arm of trial were imputed based on the pharmacist session dates for their intervention arm counterparts at each facility.</w:t>
      </w:r>
    </w:p>
    <w:p w14:paraId="6F914EC4" w14:textId="26D92714" w:rsidR="00E914F1" w:rsidRDefault="00E914F1" w:rsidP="00E914F1">
      <w:pPr>
        <w:pStyle w:val="Heading4"/>
      </w:pPr>
      <w:bookmarkStart w:id="152" w:name="_ReMInDAR_trial_consort"/>
      <w:bookmarkEnd w:id="152"/>
      <w:proofErr w:type="spellStart"/>
      <w:r w:rsidRPr="00426FDD">
        <w:t>ReMInDAR</w:t>
      </w:r>
      <w:proofErr w:type="spellEnd"/>
      <w:r w:rsidRPr="00426FDD">
        <w:t xml:space="preserve"> trial consort</w:t>
      </w:r>
      <w:r>
        <w:t xml:space="preserve"> characteristics</w:t>
      </w:r>
    </w:p>
    <w:p w14:paraId="040E2F0F" w14:textId="213B63AF" w:rsidR="00B13549" w:rsidRPr="00F42B1D" w:rsidRDefault="00B13549" w:rsidP="007501B9">
      <w:r w:rsidRPr="00F42B1D">
        <w:t>A total of 282 participants were enrolled in the trial and of these 136 were randomised to the intervention arm of the trial and 146 were randomised to the comparison arm</w:t>
      </w:r>
      <w:r w:rsidR="007501B9">
        <w:t xml:space="preserve">. </w:t>
      </w:r>
      <w:r w:rsidRPr="00F42B1D">
        <w:t>Withdrawals included 16 from the intervention arm and 18 withdrew from the comparison arm</w:t>
      </w:r>
      <w:r w:rsidR="007501B9">
        <w:t xml:space="preserve">. </w:t>
      </w:r>
      <w:r w:rsidRPr="00F42B1D">
        <w:t>Excluding those who died left a total of 97 participants for analysis of the primary outcome at 12 months for the intervention arm and 111 for the comparison arm.</w:t>
      </w:r>
    </w:p>
    <w:p w14:paraId="2F300028" w14:textId="39C57C87" w:rsidR="00B13549" w:rsidRPr="00F42B1D" w:rsidRDefault="00B13549" w:rsidP="007501B9">
      <w:r w:rsidRPr="00F42B1D">
        <w:t xml:space="preserve">Baseline characteristics by trial arm are presented in </w:t>
      </w:r>
      <w:r w:rsidRPr="00F91644">
        <w:t>Table</w:t>
      </w:r>
      <w:r w:rsidR="007A57AF">
        <w:t>s</w:t>
      </w:r>
      <w:r w:rsidRPr="00F91644">
        <w:t xml:space="preserve"> </w:t>
      </w:r>
      <w:r w:rsidR="00231B0D" w:rsidRPr="00F91644">
        <w:t>B-</w:t>
      </w:r>
      <w:r w:rsidR="00F91644" w:rsidRPr="00F91644">
        <w:t>5</w:t>
      </w:r>
      <w:r w:rsidR="007A57AF">
        <w:t>a and b</w:t>
      </w:r>
      <w:r w:rsidR="007501B9">
        <w:t xml:space="preserve">. </w:t>
      </w:r>
      <w:r w:rsidRPr="00F42B1D">
        <w:t xml:space="preserve">The trial cohort characteristics were similar at baseline </w:t>
      </w:r>
      <w:proofErr w:type="gramStart"/>
      <w:r w:rsidRPr="00F42B1D">
        <w:t>with the exception of</w:t>
      </w:r>
      <w:proofErr w:type="gramEnd"/>
      <w:r w:rsidRPr="00F42B1D">
        <w:t xml:space="preserve"> weight, body mass index and cognition (M</w:t>
      </w:r>
      <w:r w:rsidR="00D36143">
        <w:t>o</w:t>
      </w:r>
      <w:r w:rsidRPr="00F42B1D">
        <w:t xml:space="preserve">CA), </w:t>
      </w:r>
      <w:r w:rsidRPr="00F10DCE">
        <w:t xml:space="preserve">with intervention participants being slightly heavier and having slightly better cognition </w:t>
      </w:r>
      <w:r w:rsidRPr="00640C59">
        <w:t>scores</w:t>
      </w:r>
      <w:r w:rsidR="007501B9">
        <w:t xml:space="preserve">. </w:t>
      </w:r>
      <w:r w:rsidRPr="00640C59">
        <w:t>The median age was 87 years and 40% were men</w:t>
      </w:r>
      <w:r w:rsidR="007501B9">
        <w:t xml:space="preserve">. </w:t>
      </w:r>
      <w:r w:rsidRPr="00640C59">
        <w:t xml:space="preserve">At baseline, the </w:t>
      </w:r>
      <w:proofErr w:type="spellStart"/>
      <w:r w:rsidRPr="00640C59">
        <w:t>ReMInDAR</w:t>
      </w:r>
      <w:proofErr w:type="spellEnd"/>
      <w:r w:rsidRPr="00640C59">
        <w:t xml:space="preserve"> cohort were taking a median of 15 unique medicines, inclusive of a median of 5 ‘as needed’ medicines</w:t>
      </w:r>
      <w:r w:rsidR="007501B9">
        <w:t xml:space="preserve">. </w:t>
      </w:r>
      <w:r w:rsidRPr="00640C59">
        <w:t>Overall, 46% of both arms were taking a median of 3 or more sedative medicines at baseli</w:t>
      </w:r>
      <w:r w:rsidR="009B3929" w:rsidRPr="00640C59">
        <w:t>ne.</w:t>
      </w:r>
    </w:p>
    <w:tbl>
      <w:tblPr>
        <w:tblStyle w:val="ListTable3"/>
        <w:tblW w:w="9356" w:type="dxa"/>
        <w:tblLook w:val="04A0" w:firstRow="1" w:lastRow="0" w:firstColumn="1" w:lastColumn="0" w:noHBand="0" w:noVBand="1"/>
        <w:tblCaption w:val="Table B-4. Baseline characteristics by trial arm"/>
        <w:tblDescription w:val="The baseline characteristics of the trial participants are described by each trial arm. For each arm the total number (n), the percentage (%) or the statistical variation (IQR) is given. The characteristics include total numbers, age, weight, BMI, Frailty index, comorbidities, difficulties in frailty index, grip strength, MoCA, numbers of PRN and unique, sedative categories, anticholinergic load for medicines, qualtiy of life and accelerometer data."/>
      </w:tblPr>
      <w:tblGrid>
        <w:gridCol w:w="2894"/>
        <w:gridCol w:w="1475"/>
        <w:gridCol w:w="1644"/>
        <w:gridCol w:w="1843"/>
        <w:gridCol w:w="1500"/>
      </w:tblGrid>
      <w:tr w:rsidR="00E32B13" w:rsidRPr="00112EE6" w14:paraId="66AAB8C5" w14:textId="7F245D46" w:rsidTr="00112EE6">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3050" w:type="dxa"/>
            <w:hideMark/>
          </w:tcPr>
          <w:p w14:paraId="5F82D0BA" w14:textId="61DC060B" w:rsidR="009C104A" w:rsidRPr="00112EE6" w:rsidRDefault="00E32B13" w:rsidP="00112EE6">
            <w:pPr>
              <w:pStyle w:val="TableHeader"/>
              <w:rPr>
                <w:b/>
                <w:bCs w:val="0"/>
              </w:rPr>
            </w:pPr>
            <w:bookmarkStart w:id="153" w:name="Title_3"/>
            <w:bookmarkEnd w:id="153"/>
            <w:r w:rsidRPr="00112EE6">
              <w:rPr>
                <w:b/>
                <w:bCs w:val="0"/>
              </w:rPr>
              <w:lastRenderedPageBreak/>
              <w:t xml:space="preserve">Baseline </w:t>
            </w:r>
            <w:r w:rsidR="009C104A" w:rsidRPr="00112EE6">
              <w:rPr>
                <w:b/>
                <w:bCs w:val="0"/>
              </w:rPr>
              <w:t>Descriptor</w:t>
            </w:r>
          </w:p>
        </w:tc>
        <w:tc>
          <w:tcPr>
            <w:tcW w:w="1402" w:type="dxa"/>
            <w:noWrap/>
            <w:hideMark/>
          </w:tcPr>
          <w:p w14:paraId="388E5360" w14:textId="67CAD00E" w:rsidR="009C104A" w:rsidRPr="00112EE6" w:rsidRDefault="009C104A" w:rsidP="00112EE6">
            <w:pPr>
              <w:pStyle w:val="TableHeader"/>
              <w:cnfStyle w:val="100000000000" w:firstRow="1" w:lastRow="0" w:firstColumn="0" w:lastColumn="0" w:oddVBand="0" w:evenVBand="0" w:oddHBand="0" w:evenHBand="0" w:firstRowFirstColumn="0" w:firstRowLastColumn="0" w:lastRowFirstColumn="0" w:lastRowLastColumn="0"/>
              <w:rPr>
                <w:b/>
                <w:bCs w:val="0"/>
              </w:rPr>
            </w:pPr>
            <w:r w:rsidRPr="00112EE6">
              <w:rPr>
                <w:b/>
                <w:bCs w:val="0"/>
              </w:rPr>
              <w:t xml:space="preserve">Intervention arm </w:t>
            </w:r>
          </w:p>
        </w:tc>
        <w:tc>
          <w:tcPr>
            <w:tcW w:w="1644" w:type="dxa"/>
          </w:tcPr>
          <w:p w14:paraId="4B566A8E" w14:textId="244B510A" w:rsidR="009C104A" w:rsidRPr="00112EE6" w:rsidRDefault="009C104A" w:rsidP="00112EE6">
            <w:pPr>
              <w:pStyle w:val="TableHeader"/>
              <w:cnfStyle w:val="100000000000" w:firstRow="1" w:lastRow="0" w:firstColumn="0" w:lastColumn="0" w:oddVBand="0" w:evenVBand="0" w:oddHBand="0" w:evenHBand="0" w:firstRowFirstColumn="0" w:firstRowLastColumn="0" w:lastRowFirstColumn="0" w:lastRowLastColumn="0"/>
              <w:rPr>
                <w:b/>
                <w:bCs w:val="0"/>
              </w:rPr>
            </w:pPr>
            <w:r w:rsidRPr="00112EE6">
              <w:rPr>
                <w:b/>
                <w:bCs w:val="0"/>
              </w:rPr>
              <w:t xml:space="preserve">Intervention arm proportion (%) or </w:t>
            </w:r>
            <w:r w:rsidR="00DF7A4C" w:rsidRPr="00112EE6">
              <w:rPr>
                <w:b/>
                <w:bCs w:val="0"/>
              </w:rPr>
              <w:t>Standard Deviation</w:t>
            </w:r>
            <w:r w:rsidRPr="00112EE6">
              <w:rPr>
                <w:b/>
                <w:bCs w:val="0"/>
              </w:rPr>
              <w:t xml:space="preserve"> </w:t>
            </w:r>
            <w:r w:rsidR="00DF7A4C" w:rsidRPr="00112EE6">
              <w:rPr>
                <w:b/>
                <w:bCs w:val="0"/>
              </w:rPr>
              <w:t>(</w:t>
            </w:r>
            <w:r w:rsidRPr="00112EE6">
              <w:rPr>
                <w:b/>
                <w:bCs w:val="0"/>
              </w:rPr>
              <w:t>SD)</w:t>
            </w:r>
          </w:p>
        </w:tc>
        <w:tc>
          <w:tcPr>
            <w:tcW w:w="1843" w:type="dxa"/>
            <w:noWrap/>
            <w:hideMark/>
          </w:tcPr>
          <w:p w14:paraId="4721619E" w14:textId="0BA919CF" w:rsidR="009C104A" w:rsidRPr="00112EE6" w:rsidRDefault="009C104A" w:rsidP="00112EE6">
            <w:pPr>
              <w:pStyle w:val="TableHeader"/>
              <w:cnfStyle w:val="100000000000" w:firstRow="1" w:lastRow="0" w:firstColumn="0" w:lastColumn="0" w:oddVBand="0" w:evenVBand="0" w:oddHBand="0" w:evenHBand="0" w:firstRowFirstColumn="0" w:firstRowLastColumn="0" w:lastRowFirstColumn="0" w:lastRowLastColumn="0"/>
              <w:rPr>
                <w:b/>
                <w:bCs w:val="0"/>
              </w:rPr>
            </w:pPr>
            <w:r w:rsidRPr="00112EE6">
              <w:rPr>
                <w:b/>
                <w:bCs w:val="0"/>
              </w:rPr>
              <w:t xml:space="preserve">Comparison arm </w:t>
            </w:r>
          </w:p>
        </w:tc>
        <w:tc>
          <w:tcPr>
            <w:tcW w:w="1417" w:type="dxa"/>
          </w:tcPr>
          <w:p w14:paraId="3C48FD58" w14:textId="36BB9C71" w:rsidR="009C104A" w:rsidRPr="00112EE6" w:rsidRDefault="009C104A" w:rsidP="00112EE6">
            <w:pPr>
              <w:pStyle w:val="TableHeader"/>
              <w:cnfStyle w:val="100000000000" w:firstRow="1" w:lastRow="0" w:firstColumn="0" w:lastColumn="0" w:oddVBand="0" w:evenVBand="0" w:oddHBand="0" w:evenHBand="0" w:firstRowFirstColumn="0" w:firstRowLastColumn="0" w:lastRowFirstColumn="0" w:lastRowLastColumn="0"/>
              <w:rPr>
                <w:b/>
                <w:bCs w:val="0"/>
              </w:rPr>
            </w:pPr>
            <w:r w:rsidRPr="00112EE6">
              <w:rPr>
                <w:b/>
                <w:bCs w:val="0"/>
              </w:rPr>
              <w:t xml:space="preserve">Comparison arm proportion (%) or </w:t>
            </w:r>
            <w:r w:rsidR="00DF7A4C" w:rsidRPr="00112EE6">
              <w:rPr>
                <w:b/>
                <w:bCs w:val="0"/>
              </w:rPr>
              <w:t>Standard Deviation (SD)</w:t>
            </w:r>
          </w:p>
        </w:tc>
      </w:tr>
      <w:tr w:rsidR="00E32B13" w:rsidRPr="00112EE6" w14:paraId="0EB2580C" w14:textId="7B9772FC" w:rsidTr="00112E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50" w:type="dxa"/>
            <w:hideMark/>
          </w:tcPr>
          <w:p w14:paraId="3E7F5D9F" w14:textId="30F33247" w:rsidR="009C104A" w:rsidRPr="00112EE6" w:rsidRDefault="009C104A" w:rsidP="00112EE6">
            <w:pPr>
              <w:pStyle w:val="Tabletext1"/>
              <w:rPr>
                <w:b w:val="0"/>
                <w:bCs w:val="0"/>
              </w:rPr>
            </w:pPr>
            <w:r w:rsidRPr="00112EE6">
              <w:rPr>
                <w:b w:val="0"/>
                <w:bCs w:val="0"/>
              </w:rPr>
              <w:t>Total number (n) in trial cohort post randomisation (excl. withdrawn)</w:t>
            </w:r>
            <w:r w:rsidRPr="00112EE6">
              <w:rPr>
                <w:b w:val="0"/>
                <w:bCs w:val="0"/>
                <w:vertAlign w:val="superscript"/>
              </w:rPr>
              <w:t>1</w:t>
            </w:r>
          </w:p>
        </w:tc>
        <w:tc>
          <w:tcPr>
            <w:tcW w:w="1402" w:type="dxa"/>
            <w:noWrap/>
            <w:hideMark/>
          </w:tcPr>
          <w:p w14:paraId="3737607F" w14:textId="77777777" w:rsidR="009C104A" w:rsidRPr="00112EE6" w:rsidRDefault="009C104A" w:rsidP="00112EE6">
            <w:pPr>
              <w:pStyle w:val="Tabletext1"/>
              <w:jc w:val="right"/>
              <w:cnfStyle w:val="000000100000" w:firstRow="0" w:lastRow="0" w:firstColumn="0" w:lastColumn="0" w:oddVBand="0" w:evenVBand="0" w:oddHBand="1" w:evenHBand="0" w:firstRowFirstColumn="0" w:firstRowLastColumn="0" w:lastRowFirstColumn="0" w:lastRowLastColumn="0"/>
            </w:pPr>
            <w:r w:rsidRPr="00112EE6">
              <w:t>120</w:t>
            </w:r>
          </w:p>
        </w:tc>
        <w:tc>
          <w:tcPr>
            <w:tcW w:w="1644" w:type="dxa"/>
          </w:tcPr>
          <w:p w14:paraId="0F032F9A" w14:textId="77777777" w:rsidR="009C104A" w:rsidRPr="00112EE6" w:rsidRDefault="009C104A" w:rsidP="00112EE6">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843" w:type="dxa"/>
            <w:noWrap/>
            <w:hideMark/>
          </w:tcPr>
          <w:p w14:paraId="627DC9C4" w14:textId="14A918BC" w:rsidR="009C104A" w:rsidRPr="00112EE6" w:rsidRDefault="009C104A" w:rsidP="00112EE6">
            <w:pPr>
              <w:pStyle w:val="Tabletext1"/>
              <w:jc w:val="right"/>
              <w:cnfStyle w:val="000000100000" w:firstRow="0" w:lastRow="0" w:firstColumn="0" w:lastColumn="0" w:oddVBand="0" w:evenVBand="0" w:oddHBand="1" w:evenHBand="0" w:firstRowFirstColumn="0" w:firstRowLastColumn="0" w:lastRowFirstColumn="0" w:lastRowLastColumn="0"/>
            </w:pPr>
            <w:r w:rsidRPr="00112EE6">
              <w:t>128</w:t>
            </w:r>
          </w:p>
        </w:tc>
        <w:tc>
          <w:tcPr>
            <w:tcW w:w="1417" w:type="dxa"/>
          </w:tcPr>
          <w:p w14:paraId="4DC3AD37" w14:textId="77777777" w:rsidR="009C104A" w:rsidRPr="00112EE6" w:rsidRDefault="009C104A" w:rsidP="00112EE6">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E32B13" w:rsidRPr="00112EE6" w14:paraId="072E7481" w14:textId="0A130898" w:rsidTr="00112EE6">
        <w:trPr>
          <w:trHeight w:val="380"/>
        </w:trPr>
        <w:tc>
          <w:tcPr>
            <w:cnfStyle w:val="001000000000" w:firstRow="0" w:lastRow="0" w:firstColumn="1" w:lastColumn="0" w:oddVBand="0" w:evenVBand="0" w:oddHBand="0" w:evenHBand="0" w:firstRowFirstColumn="0" w:firstRowLastColumn="0" w:lastRowFirstColumn="0" w:lastRowLastColumn="0"/>
            <w:tcW w:w="3050" w:type="dxa"/>
            <w:hideMark/>
          </w:tcPr>
          <w:p w14:paraId="770909AA" w14:textId="77777777" w:rsidR="009C104A" w:rsidRPr="00112EE6" w:rsidRDefault="009C104A" w:rsidP="00112EE6">
            <w:pPr>
              <w:pStyle w:val="Tabletext1"/>
              <w:rPr>
                <w:b w:val="0"/>
                <w:bCs w:val="0"/>
              </w:rPr>
            </w:pPr>
            <w:r w:rsidRPr="00112EE6">
              <w:rPr>
                <w:b w:val="0"/>
                <w:bCs w:val="0"/>
              </w:rPr>
              <w:t>Gender = Male, n (%)</w:t>
            </w:r>
          </w:p>
        </w:tc>
        <w:tc>
          <w:tcPr>
            <w:tcW w:w="1402" w:type="dxa"/>
            <w:noWrap/>
            <w:hideMark/>
          </w:tcPr>
          <w:p w14:paraId="30C4C6AE" w14:textId="2A6A246F" w:rsidR="009C104A" w:rsidRPr="00112EE6" w:rsidRDefault="009C104A" w:rsidP="00112EE6">
            <w:pPr>
              <w:pStyle w:val="Tabletext1"/>
              <w:jc w:val="right"/>
              <w:cnfStyle w:val="000000000000" w:firstRow="0" w:lastRow="0" w:firstColumn="0" w:lastColumn="0" w:oddVBand="0" w:evenVBand="0" w:oddHBand="0" w:evenHBand="0" w:firstRowFirstColumn="0" w:firstRowLastColumn="0" w:lastRowFirstColumn="0" w:lastRowLastColumn="0"/>
            </w:pPr>
            <w:r w:rsidRPr="00112EE6">
              <w:t>41</w:t>
            </w:r>
          </w:p>
        </w:tc>
        <w:tc>
          <w:tcPr>
            <w:tcW w:w="1644" w:type="dxa"/>
          </w:tcPr>
          <w:p w14:paraId="2FA04787" w14:textId="4D8CC348" w:rsidR="009C104A" w:rsidRPr="00112EE6" w:rsidRDefault="009C104A" w:rsidP="00112EE6">
            <w:pPr>
              <w:pStyle w:val="Tabletext1"/>
              <w:jc w:val="right"/>
              <w:cnfStyle w:val="000000000000" w:firstRow="0" w:lastRow="0" w:firstColumn="0" w:lastColumn="0" w:oddVBand="0" w:evenVBand="0" w:oddHBand="0" w:evenHBand="0" w:firstRowFirstColumn="0" w:firstRowLastColumn="0" w:lastRowFirstColumn="0" w:lastRowLastColumn="0"/>
            </w:pPr>
            <w:r w:rsidRPr="00112EE6">
              <w:t>34.2%</w:t>
            </w:r>
          </w:p>
        </w:tc>
        <w:tc>
          <w:tcPr>
            <w:tcW w:w="1843" w:type="dxa"/>
            <w:noWrap/>
            <w:hideMark/>
          </w:tcPr>
          <w:p w14:paraId="0806C7DF" w14:textId="450491D0" w:rsidR="009C104A" w:rsidRPr="00112EE6" w:rsidRDefault="009C104A" w:rsidP="00112EE6">
            <w:pPr>
              <w:pStyle w:val="Tabletext1"/>
              <w:jc w:val="right"/>
              <w:cnfStyle w:val="000000000000" w:firstRow="0" w:lastRow="0" w:firstColumn="0" w:lastColumn="0" w:oddVBand="0" w:evenVBand="0" w:oddHBand="0" w:evenHBand="0" w:firstRowFirstColumn="0" w:firstRowLastColumn="0" w:lastRowFirstColumn="0" w:lastRowLastColumn="0"/>
            </w:pPr>
            <w:r w:rsidRPr="00112EE6">
              <w:t>39</w:t>
            </w:r>
          </w:p>
        </w:tc>
        <w:tc>
          <w:tcPr>
            <w:tcW w:w="1417" w:type="dxa"/>
          </w:tcPr>
          <w:p w14:paraId="6BC57C6B" w14:textId="1CA4586C" w:rsidR="009C104A" w:rsidRPr="00112EE6" w:rsidRDefault="009C104A" w:rsidP="00112EE6">
            <w:pPr>
              <w:pStyle w:val="Tabletext1"/>
              <w:jc w:val="right"/>
              <w:cnfStyle w:val="000000000000" w:firstRow="0" w:lastRow="0" w:firstColumn="0" w:lastColumn="0" w:oddVBand="0" w:evenVBand="0" w:oddHBand="0" w:evenHBand="0" w:firstRowFirstColumn="0" w:firstRowLastColumn="0" w:lastRowFirstColumn="0" w:lastRowLastColumn="0"/>
            </w:pPr>
            <w:r w:rsidRPr="00112EE6">
              <w:t>0.5%</w:t>
            </w:r>
          </w:p>
        </w:tc>
      </w:tr>
      <w:tr w:rsidR="00E32B13" w:rsidRPr="00112EE6" w14:paraId="068F1EC0" w14:textId="77777777" w:rsidTr="00112EE6">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3050" w:type="dxa"/>
          </w:tcPr>
          <w:p w14:paraId="4B20E284" w14:textId="68900A7E" w:rsidR="009C104A" w:rsidRPr="00112EE6" w:rsidRDefault="009C104A" w:rsidP="00112EE6">
            <w:pPr>
              <w:pStyle w:val="Tabletext1"/>
              <w:rPr>
                <w:b w:val="0"/>
                <w:bCs w:val="0"/>
              </w:rPr>
            </w:pPr>
            <w:r w:rsidRPr="00112EE6">
              <w:rPr>
                <w:b w:val="0"/>
                <w:bCs w:val="0"/>
              </w:rPr>
              <w:t>Weight</w:t>
            </w:r>
            <w:r w:rsidR="00DF7A4C" w:rsidRPr="00112EE6">
              <w:rPr>
                <w:b w:val="0"/>
                <w:bCs w:val="0"/>
              </w:rPr>
              <w:t>*</w:t>
            </w:r>
            <w:r w:rsidRPr="00112EE6">
              <w:rPr>
                <w:b w:val="0"/>
                <w:bCs w:val="0"/>
              </w:rPr>
              <w:t xml:space="preserve"> (kg), </w:t>
            </w:r>
            <w:r w:rsidR="00DF7A4C" w:rsidRPr="00112EE6">
              <w:rPr>
                <w:b w:val="0"/>
                <w:bCs w:val="0"/>
              </w:rPr>
              <w:t xml:space="preserve">overall, </w:t>
            </w:r>
            <w:r w:rsidRPr="00112EE6">
              <w:rPr>
                <w:b w:val="0"/>
                <w:bCs w:val="0"/>
              </w:rPr>
              <w:t>(mean SD)</w:t>
            </w:r>
          </w:p>
        </w:tc>
        <w:tc>
          <w:tcPr>
            <w:tcW w:w="1402" w:type="dxa"/>
            <w:noWrap/>
          </w:tcPr>
          <w:p w14:paraId="479EC35C" w14:textId="30B3C22F" w:rsidR="009C104A" w:rsidRPr="00112EE6" w:rsidRDefault="009C104A" w:rsidP="00112EE6">
            <w:pPr>
              <w:pStyle w:val="Tabletext1"/>
              <w:jc w:val="right"/>
              <w:cnfStyle w:val="000000100000" w:firstRow="0" w:lastRow="0" w:firstColumn="0" w:lastColumn="0" w:oddVBand="0" w:evenVBand="0" w:oddHBand="1" w:evenHBand="0" w:firstRowFirstColumn="0" w:firstRowLastColumn="0" w:lastRowFirstColumn="0" w:lastRowLastColumn="0"/>
              <w:rPr>
                <w:b/>
                <w:bCs/>
              </w:rPr>
            </w:pPr>
            <w:r w:rsidRPr="00112EE6">
              <w:rPr>
                <w:b/>
                <w:bCs/>
              </w:rPr>
              <w:t>75.60</w:t>
            </w:r>
            <w:r w:rsidR="006428E1" w:rsidRPr="00112EE6">
              <w:rPr>
                <w:b/>
                <w:bCs/>
              </w:rPr>
              <w:t xml:space="preserve"> kg</w:t>
            </w:r>
          </w:p>
        </w:tc>
        <w:tc>
          <w:tcPr>
            <w:tcW w:w="1644" w:type="dxa"/>
          </w:tcPr>
          <w:p w14:paraId="30B97F5B" w14:textId="4DE4A3D7" w:rsidR="009C104A" w:rsidRPr="00112EE6" w:rsidRDefault="006428E1" w:rsidP="00112EE6">
            <w:pPr>
              <w:pStyle w:val="Tabletext1"/>
              <w:jc w:val="right"/>
              <w:cnfStyle w:val="000000100000" w:firstRow="0" w:lastRow="0" w:firstColumn="0" w:lastColumn="0" w:oddVBand="0" w:evenVBand="0" w:oddHBand="1" w:evenHBand="0" w:firstRowFirstColumn="0" w:firstRowLastColumn="0" w:lastRowFirstColumn="0" w:lastRowLastColumn="0"/>
              <w:rPr>
                <w:b/>
                <w:bCs/>
              </w:rPr>
            </w:pPr>
            <w:r w:rsidRPr="00112EE6">
              <w:rPr>
                <w:b/>
                <w:bCs/>
              </w:rPr>
              <w:t>(</w:t>
            </w:r>
            <w:r w:rsidR="009C104A" w:rsidRPr="00112EE6">
              <w:rPr>
                <w:b/>
                <w:bCs/>
              </w:rPr>
              <w:t>16.44</w:t>
            </w:r>
            <w:r w:rsidRPr="00112EE6">
              <w:rPr>
                <w:b/>
                <w:bCs/>
              </w:rPr>
              <w:t>)</w:t>
            </w:r>
          </w:p>
        </w:tc>
        <w:tc>
          <w:tcPr>
            <w:tcW w:w="1843" w:type="dxa"/>
            <w:noWrap/>
          </w:tcPr>
          <w:p w14:paraId="586A230B" w14:textId="592E6A19" w:rsidR="009C104A" w:rsidRPr="00112EE6" w:rsidRDefault="009C104A" w:rsidP="00112EE6">
            <w:pPr>
              <w:pStyle w:val="Tabletext1"/>
              <w:jc w:val="right"/>
              <w:cnfStyle w:val="000000100000" w:firstRow="0" w:lastRow="0" w:firstColumn="0" w:lastColumn="0" w:oddVBand="0" w:evenVBand="0" w:oddHBand="1" w:evenHBand="0" w:firstRowFirstColumn="0" w:firstRowLastColumn="0" w:lastRowFirstColumn="0" w:lastRowLastColumn="0"/>
              <w:rPr>
                <w:b/>
                <w:bCs/>
              </w:rPr>
            </w:pPr>
            <w:r w:rsidRPr="00112EE6">
              <w:rPr>
                <w:b/>
                <w:bCs/>
              </w:rPr>
              <w:t>71.72</w:t>
            </w:r>
            <w:r w:rsidR="006428E1" w:rsidRPr="00112EE6">
              <w:rPr>
                <w:b/>
                <w:bCs/>
              </w:rPr>
              <w:t xml:space="preserve"> kg</w:t>
            </w:r>
          </w:p>
        </w:tc>
        <w:tc>
          <w:tcPr>
            <w:tcW w:w="1417" w:type="dxa"/>
          </w:tcPr>
          <w:p w14:paraId="7ACF44B2" w14:textId="5F1A0336" w:rsidR="009C104A" w:rsidRPr="00112EE6" w:rsidRDefault="006428E1" w:rsidP="00112EE6">
            <w:pPr>
              <w:pStyle w:val="Tabletext1"/>
              <w:jc w:val="right"/>
              <w:cnfStyle w:val="000000100000" w:firstRow="0" w:lastRow="0" w:firstColumn="0" w:lastColumn="0" w:oddVBand="0" w:evenVBand="0" w:oddHBand="1" w:evenHBand="0" w:firstRowFirstColumn="0" w:firstRowLastColumn="0" w:lastRowFirstColumn="0" w:lastRowLastColumn="0"/>
              <w:rPr>
                <w:b/>
                <w:bCs/>
              </w:rPr>
            </w:pPr>
            <w:r w:rsidRPr="00112EE6">
              <w:rPr>
                <w:b/>
                <w:bCs/>
              </w:rPr>
              <w:t>(</w:t>
            </w:r>
            <w:r w:rsidR="009C104A" w:rsidRPr="00112EE6">
              <w:rPr>
                <w:b/>
                <w:bCs/>
              </w:rPr>
              <w:t>19.18</w:t>
            </w:r>
            <w:r w:rsidRPr="00112EE6">
              <w:rPr>
                <w:b/>
                <w:bCs/>
              </w:rPr>
              <w:t>)</w:t>
            </w:r>
          </w:p>
        </w:tc>
      </w:tr>
      <w:tr w:rsidR="00E32B13" w:rsidRPr="00112EE6" w14:paraId="22EB7C0E" w14:textId="77777777" w:rsidTr="00112EE6">
        <w:trPr>
          <w:trHeight w:val="421"/>
        </w:trPr>
        <w:tc>
          <w:tcPr>
            <w:cnfStyle w:val="001000000000" w:firstRow="0" w:lastRow="0" w:firstColumn="1" w:lastColumn="0" w:oddVBand="0" w:evenVBand="0" w:oddHBand="0" w:evenHBand="0" w:firstRowFirstColumn="0" w:firstRowLastColumn="0" w:lastRowFirstColumn="0" w:lastRowLastColumn="0"/>
            <w:tcW w:w="3050" w:type="dxa"/>
          </w:tcPr>
          <w:p w14:paraId="002799AE" w14:textId="3B1A8E4F" w:rsidR="009C104A" w:rsidRPr="00112EE6" w:rsidRDefault="009C104A" w:rsidP="00112EE6">
            <w:pPr>
              <w:pStyle w:val="Tabletext1"/>
              <w:rPr>
                <w:b w:val="0"/>
                <w:bCs w:val="0"/>
              </w:rPr>
            </w:pPr>
            <w:r w:rsidRPr="00112EE6">
              <w:rPr>
                <w:b w:val="0"/>
                <w:bCs w:val="0"/>
              </w:rPr>
              <w:t>Male weight</w:t>
            </w:r>
            <w:r w:rsidR="00DF7A4C" w:rsidRPr="00112EE6">
              <w:rPr>
                <w:b w:val="0"/>
                <w:bCs w:val="0"/>
              </w:rPr>
              <w:t>*</w:t>
            </w:r>
            <w:r w:rsidRPr="00112EE6">
              <w:rPr>
                <w:b w:val="0"/>
                <w:bCs w:val="0"/>
              </w:rPr>
              <w:t xml:space="preserve"> (kg), (mean SD)</w:t>
            </w:r>
          </w:p>
        </w:tc>
        <w:tc>
          <w:tcPr>
            <w:tcW w:w="1402" w:type="dxa"/>
            <w:noWrap/>
          </w:tcPr>
          <w:p w14:paraId="0A3F5F83" w14:textId="5984F7FE" w:rsidR="009C104A" w:rsidRPr="00112EE6" w:rsidRDefault="009C104A" w:rsidP="00112EE6">
            <w:pPr>
              <w:pStyle w:val="Tabletext1"/>
              <w:jc w:val="right"/>
              <w:cnfStyle w:val="000000000000" w:firstRow="0" w:lastRow="0" w:firstColumn="0" w:lastColumn="0" w:oddVBand="0" w:evenVBand="0" w:oddHBand="0" w:evenHBand="0" w:firstRowFirstColumn="0" w:firstRowLastColumn="0" w:lastRowFirstColumn="0" w:lastRowLastColumn="0"/>
              <w:rPr>
                <w:b/>
                <w:bCs/>
              </w:rPr>
            </w:pPr>
            <w:r w:rsidRPr="00112EE6">
              <w:rPr>
                <w:b/>
                <w:bCs/>
              </w:rPr>
              <w:t>83.54</w:t>
            </w:r>
            <w:r w:rsidR="006428E1" w:rsidRPr="00112EE6">
              <w:rPr>
                <w:b/>
                <w:bCs/>
              </w:rPr>
              <w:t xml:space="preserve"> kg</w:t>
            </w:r>
          </w:p>
        </w:tc>
        <w:tc>
          <w:tcPr>
            <w:tcW w:w="1644" w:type="dxa"/>
          </w:tcPr>
          <w:p w14:paraId="3C3FDA04" w14:textId="4A796B90" w:rsidR="009C104A" w:rsidRPr="00112EE6" w:rsidRDefault="006428E1" w:rsidP="00112EE6">
            <w:pPr>
              <w:pStyle w:val="Tabletext1"/>
              <w:jc w:val="right"/>
              <w:cnfStyle w:val="000000000000" w:firstRow="0" w:lastRow="0" w:firstColumn="0" w:lastColumn="0" w:oddVBand="0" w:evenVBand="0" w:oddHBand="0" w:evenHBand="0" w:firstRowFirstColumn="0" w:firstRowLastColumn="0" w:lastRowFirstColumn="0" w:lastRowLastColumn="0"/>
              <w:rPr>
                <w:b/>
                <w:bCs/>
              </w:rPr>
            </w:pPr>
            <w:r w:rsidRPr="00112EE6">
              <w:rPr>
                <w:b/>
                <w:bCs/>
              </w:rPr>
              <w:t>(</w:t>
            </w:r>
            <w:r w:rsidR="009C104A" w:rsidRPr="00112EE6">
              <w:rPr>
                <w:b/>
                <w:bCs/>
              </w:rPr>
              <w:t>15.24</w:t>
            </w:r>
            <w:r w:rsidRPr="00112EE6">
              <w:rPr>
                <w:b/>
                <w:bCs/>
              </w:rPr>
              <w:t>)</w:t>
            </w:r>
          </w:p>
        </w:tc>
        <w:tc>
          <w:tcPr>
            <w:tcW w:w="1843" w:type="dxa"/>
            <w:noWrap/>
          </w:tcPr>
          <w:p w14:paraId="05770B8A" w14:textId="662A4848" w:rsidR="009C104A" w:rsidRPr="00112EE6" w:rsidRDefault="009C104A" w:rsidP="00112EE6">
            <w:pPr>
              <w:pStyle w:val="Tabletext1"/>
              <w:jc w:val="right"/>
              <w:cnfStyle w:val="000000000000" w:firstRow="0" w:lastRow="0" w:firstColumn="0" w:lastColumn="0" w:oddVBand="0" w:evenVBand="0" w:oddHBand="0" w:evenHBand="0" w:firstRowFirstColumn="0" w:firstRowLastColumn="0" w:lastRowFirstColumn="0" w:lastRowLastColumn="0"/>
              <w:rPr>
                <w:b/>
                <w:bCs/>
              </w:rPr>
            </w:pPr>
            <w:r w:rsidRPr="00112EE6">
              <w:rPr>
                <w:b/>
                <w:bCs/>
              </w:rPr>
              <w:t>81.03</w:t>
            </w:r>
            <w:r w:rsidR="006428E1" w:rsidRPr="00112EE6">
              <w:rPr>
                <w:b/>
                <w:bCs/>
              </w:rPr>
              <w:t xml:space="preserve"> kg</w:t>
            </w:r>
          </w:p>
        </w:tc>
        <w:tc>
          <w:tcPr>
            <w:tcW w:w="1417" w:type="dxa"/>
          </w:tcPr>
          <w:p w14:paraId="43026B19" w14:textId="26142A7B" w:rsidR="009C104A" w:rsidRPr="00112EE6" w:rsidRDefault="006428E1" w:rsidP="00112EE6">
            <w:pPr>
              <w:pStyle w:val="Tabletext1"/>
              <w:jc w:val="right"/>
              <w:cnfStyle w:val="000000000000" w:firstRow="0" w:lastRow="0" w:firstColumn="0" w:lastColumn="0" w:oddVBand="0" w:evenVBand="0" w:oddHBand="0" w:evenHBand="0" w:firstRowFirstColumn="0" w:firstRowLastColumn="0" w:lastRowFirstColumn="0" w:lastRowLastColumn="0"/>
              <w:rPr>
                <w:b/>
                <w:bCs/>
              </w:rPr>
            </w:pPr>
            <w:r w:rsidRPr="00112EE6">
              <w:rPr>
                <w:b/>
                <w:bCs/>
              </w:rPr>
              <w:t>(</w:t>
            </w:r>
            <w:r w:rsidR="009C104A" w:rsidRPr="00112EE6">
              <w:rPr>
                <w:b/>
                <w:bCs/>
              </w:rPr>
              <w:t>17.22</w:t>
            </w:r>
            <w:r w:rsidRPr="00112EE6">
              <w:rPr>
                <w:b/>
                <w:bCs/>
              </w:rPr>
              <w:t>)</w:t>
            </w:r>
          </w:p>
        </w:tc>
      </w:tr>
      <w:tr w:rsidR="00E32B13" w:rsidRPr="00112EE6" w14:paraId="7213607B" w14:textId="77777777" w:rsidTr="00112EE6">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3050" w:type="dxa"/>
          </w:tcPr>
          <w:p w14:paraId="1A827C21" w14:textId="1F97CE14" w:rsidR="009C104A" w:rsidRPr="00112EE6" w:rsidRDefault="009C104A" w:rsidP="00112EE6">
            <w:pPr>
              <w:pStyle w:val="Tabletext1"/>
              <w:rPr>
                <w:b w:val="0"/>
                <w:bCs w:val="0"/>
              </w:rPr>
            </w:pPr>
            <w:r w:rsidRPr="00112EE6">
              <w:rPr>
                <w:b w:val="0"/>
                <w:bCs w:val="0"/>
              </w:rPr>
              <w:t>Female weight</w:t>
            </w:r>
            <w:r w:rsidR="00DF7A4C" w:rsidRPr="00112EE6">
              <w:rPr>
                <w:b w:val="0"/>
                <w:bCs w:val="0"/>
              </w:rPr>
              <w:t>*</w:t>
            </w:r>
            <w:r w:rsidRPr="00112EE6">
              <w:rPr>
                <w:b w:val="0"/>
                <w:bCs w:val="0"/>
              </w:rPr>
              <w:t xml:space="preserve"> (kg), (mean SD)</w:t>
            </w:r>
          </w:p>
        </w:tc>
        <w:tc>
          <w:tcPr>
            <w:tcW w:w="1402" w:type="dxa"/>
            <w:noWrap/>
          </w:tcPr>
          <w:p w14:paraId="1AE0BAFC" w14:textId="60C4AA3D" w:rsidR="009C104A" w:rsidRPr="00112EE6" w:rsidRDefault="009C104A" w:rsidP="00112EE6">
            <w:pPr>
              <w:pStyle w:val="Tabletext1"/>
              <w:jc w:val="right"/>
              <w:cnfStyle w:val="000000100000" w:firstRow="0" w:lastRow="0" w:firstColumn="0" w:lastColumn="0" w:oddVBand="0" w:evenVBand="0" w:oddHBand="1" w:evenHBand="0" w:firstRowFirstColumn="0" w:firstRowLastColumn="0" w:lastRowFirstColumn="0" w:lastRowLastColumn="0"/>
              <w:rPr>
                <w:b/>
                <w:bCs/>
              </w:rPr>
            </w:pPr>
            <w:r w:rsidRPr="00112EE6">
              <w:rPr>
                <w:b/>
                <w:bCs/>
              </w:rPr>
              <w:t>71.47</w:t>
            </w:r>
            <w:r w:rsidR="006428E1" w:rsidRPr="00112EE6">
              <w:rPr>
                <w:b/>
                <w:bCs/>
              </w:rPr>
              <w:t xml:space="preserve"> kg</w:t>
            </w:r>
          </w:p>
        </w:tc>
        <w:tc>
          <w:tcPr>
            <w:tcW w:w="1644" w:type="dxa"/>
          </w:tcPr>
          <w:p w14:paraId="3A72037B" w14:textId="35497469" w:rsidR="009C104A" w:rsidRPr="00112EE6" w:rsidRDefault="006428E1" w:rsidP="00112EE6">
            <w:pPr>
              <w:pStyle w:val="Tabletext1"/>
              <w:jc w:val="right"/>
              <w:cnfStyle w:val="000000100000" w:firstRow="0" w:lastRow="0" w:firstColumn="0" w:lastColumn="0" w:oddVBand="0" w:evenVBand="0" w:oddHBand="1" w:evenHBand="0" w:firstRowFirstColumn="0" w:firstRowLastColumn="0" w:lastRowFirstColumn="0" w:lastRowLastColumn="0"/>
              <w:rPr>
                <w:b/>
                <w:bCs/>
              </w:rPr>
            </w:pPr>
            <w:r w:rsidRPr="00112EE6">
              <w:rPr>
                <w:b/>
                <w:bCs/>
              </w:rPr>
              <w:t>(</w:t>
            </w:r>
            <w:r w:rsidR="009C104A" w:rsidRPr="00112EE6">
              <w:rPr>
                <w:b/>
                <w:bCs/>
              </w:rPr>
              <w:t>15.58</w:t>
            </w:r>
            <w:r w:rsidRPr="00112EE6">
              <w:rPr>
                <w:b/>
                <w:bCs/>
              </w:rPr>
              <w:t>)</w:t>
            </w:r>
          </w:p>
        </w:tc>
        <w:tc>
          <w:tcPr>
            <w:tcW w:w="1843" w:type="dxa"/>
            <w:noWrap/>
          </w:tcPr>
          <w:p w14:paraId="632674AD" w14:textId="2F3EBC19" w:rsidR="009C104A" w:rsidRPr="00112EE6" w:rsidRDefault="009C104A" w:rsidP="00112EE6">
            <w:pPr>
              <w:pStyle w:val="Tabletext1"/>
              <w:jc w:val="right"/>
              <w:cnfStyle w:val="000000100000" w:firstRow="0" w:lastRow="0" w:firstColumn="0" w:lastColumn="0" w:oddVBand="0" w:evenVBand="0" w:oddHBand="1" w:evenHBand="0" w:firstRowFirstColumn="0" w:firstRowLastColumn="0" w:lastRowFirstColumn="0" w:lastRowLastColumn="0"/>
              <w:rPr>
                <w:b/>
                <w:bCs/>
              </w:rPr>
            </w:pPr>
            <w:r w:rsidRPr="00112EE6">
              <w:rPr>
                <w:b/>
                <w:bCs/>
              </w:rPr>
              <w:t>67.65</w:t>
            </w:r>
            <w:r w:rsidR="006428E1" w:rsidRPr="00112EE6">
              <w:rPr>
                <w:b/>
                <w:bCs/>
              </w:rPr>
              <w:t xml:space="preserve"> kg</w:t>
            </w:r>
          </w:p>
        </w:tc>
        <w:tc>
          <w:tcPr>
            <w:tcW w:w="1417" w:type="dxa"/>
          </w:tcPr>
          <w:p w14:paraId="5556E9B6" w14:textId="599538B1" w:rsidR="009C104A" w:rsidRPr="00112EE6" w:rsidRDefault="006428E1" w:rsidP="00112EE6">
            <w:pPr>
              <w:pStyle w:val="Tabletext1"/>
              <w:jc w:val="right"/>
              <w:cnfStyle w:val="000000100000" w:firstRow="0" w:lastRow="0" w:firstColumn="0" w:lastColumn="0" w:oddVBand="0" w:evenVBand="0" w:oddHBand="1" w:evenHBand="0" w:firstRowFirstColumn="0" w:firstRowLastColumn="0" w:lastRowFirstColumn="0" w:lastRowLastColumn="0"/>
              <w:rPr>
                <w:b/>
                <w:bCs/>
              </w:rPr>
            </w:pPr>
            <w:r w:rsidRPr="00112EE6">
              <w:rPr>
                <w:b/>
                <w:bCs/>
              </w:rPr>
              <w:t>(</w:t>
            </w:r>
            <w:r w:rsidR="009C104A" w:rsidRPr="00112EE6">
              <w:rPr>
                <w:b/>
                <w:bCs/>
              </w:rPr>
              <w:t>18.64</w:t>
            </w:r>
            <w:r w:rsidRPr="00112EE6">
              <w:rPr>
                <w:b/>
                <w:bCs/>
              </w:rPr>
              <w:t>)</w:t>
            </w:r>
          </w:p>
        </w:tc>
      </w:tr>
      <w:tr w:rsidR="00E32B13" w:rsidRPr="00112EE6" w14:paraId="2EC84156" w14:textId="77777777" w:rsidTr="00112EE6">
        <w:trPr>
          <w:trHeight w:val="300"/>
        </w:trPr>
        <w:tc>
          <w:tcPr>
            <w:cnfStyle w:val="001000000000" w:firstRow="0" w:lastRow="0" w:firstColumn="1" w:lastColumn="0" w:oddVBand="0" w:evenVBand="0" w:oddHBand="0" w:evenHBand="0" w:firstRowFirstColumn="0" w:firstRowLastColumn="0" w:lastRowFirstColumn="0" w:lastRowLastColumn="0"/>
            <w:tcW w:w="3050" w:type="dxa"/>
          </w:tcPr>
          <w:p w14:paraId="54C3CCF2" w14:textId="55DA98F8" w:rsidR="009C104A" w:rsidRPr="00112EE6" w:rsidRDefault="009C104A" w:rsidP="00112EE6">
            <w:pPr>
              <w:pStyle w:val="Tabletext1"/>
              <w:rPr>
                <w:b w:val="0"/>
                <w:bCs w:val="0"/>
              </w:rPr>
            </w:pPr>
            <w:r w:rsidRPr="00112EE6">
              <w:rPr>
                <w:b w:val="0"/>
                <w:bCs w:val="0"/>
              </w:rPr>
              <w:t>Height (cm), (mean, SD)</w:t>
            </w:r>
          </w:p>
        </w:tc>
        <w:tc>
          <w:tcPr>
            <w:tcW w:w="1402" w:type="dxa"/>
            <w:noWrap/>
          </w:tcPr>
          <w:p w14:paraId="769A5001" w14:textId="6A204CFE" w:rsidR="009C104A" w:rsidRPr="00112EE6" w:rsidRDefault="009C104A" w:rsidP="00112EE6">
            <w:pPr>
              <w:pStyle w:val="Tabletext1"/>
              <w:jc w:val="right"/>
              <w:cnfStyle w:val="000000000000" w:firstRow="0" w:lastRow="0" w:firstColumn="0" w:lastColumn="0" w:oddVBand="0" w:evenVBand="0" w:oddHBand="0" w:evenHBand="0" w:firstRowFirstColumn="0" w:firstRowLastColumn="0" w:lastRowFirstColumn="0" w:lastRowLastColumn="0"/>
            </w:pPr>
            <w:r w:rsidRPr="00112EE6">
              <w:t>164.73</w:t>
            </w:r>
            <w:r w:rsidR="006428E1" w:rsidRPr="00112EE6">
              <w:t xml:space="preserve"> cm</w:t>
            </w:r>
          </w:p>
        </w:tc>
        <w:tc>
          <w:tcPr>
            <w:tcW w:w="1644" w:type="dxa"/>
          </w:tcPr>
          <w:p w14:paraId="18FC2C61" w14:textId="12856912" w:rsidR="009C104A" w:rsidRPr="00112EE6" w:rsidRDefault="006428E1" w:rsidP="00112EE6">
            <w:pPr>
              <w:pStyle w:val="Tabletext1"/>
              <w:jc w:val="right"/>
              <w:cnfStyle w:val="000000000000" w:firstRow="0" w:lastRow="0" w:firstColumn="0" w:lastColumn="0" w:oddVBand="0" w:evenVBand="0" w:oddHBand="0" w:evenHBand="0" w:firstRowFirstColumn="0" w:firstRowLastColumn="0" w:lastRowFirstColumn="0" w:lastRowLastColumn="0"/>
            </w:pPr>
            <w:r w:rsidRPr="00112EE6">
              <w:t>(</w:t>
            </w:r>
            <w:r w:rsidR="009C104A" w:rsidRPr="00112EE6">
              <w:t>9.33</w:t>
            </w:r>
            <w:r w:rsidRPr="00112EE6">
              <w:t>)</w:t>
            </w:r>
          </w:p>
        </w:tc>
        <w:tc>
          <w:tcPr>
            <w:tcW w:w="1843" w:type="dxa"/>
            <w:noWrap/>
          </w:tcPr>
          <w:p w14:paraId="1DEE1077" w14:textId="57EB246C" w:rsidR="009C104A" w:rsidRPr="00112EE6" w:rsidRDefault="009C104A" w:rsidP="00112EE6">
            <w:pPr>
              <w:pStyle w:val="Tabletext1"/>
              <w:jc w:val="right"/>
              <w:cnfStyle w:val="000000000000" w:firstRow="0" w:lastRow="0" w:firstColumn="0" w:lastColumn="0" w:oddVBand="0" w:evenVBand="0" w:oddHBand="0" w:evenHBand="0" w:firstRowFirstColumn="0" w:firstRowLastColumn="0" w:lastRowFirstColumn="0" w:lastRowLastColumn="0"/>
            </w:pPr>
            <w:r w:rsidRPr="00112EE6">
              <w:t>164.85</w:t>
            </w:r>
            <w:r w:rsidR="006428E1" w:rsidRPr="00112EE6">
              <w:t xml:space="preserve"> cm</w:t>
            </w:r>
          </w:p>
        </w:tc>
        <w:tc>
          <w:tcPr>
            <w:tcW w:w="1417" w:type="dxa"/>
          </w:tcPr>
          <w:p w14:paraId="50FA62BF" w14:textId="23D21BB0" w:rsidR="009C104A" w:rsidRPr="00112EE6" w:rsidRDefault="006428E1" w:rsidP="00112EE6">
            <w:pPr>
              <w:pStyle w:val="Tabletext1"/>
              <w:jc w:val="right"/>
              <w:cnfStyle w:val="000000000000" w:firstRow="0" w:lastRow="0" w:firstColumn="0" w:lastColumn="0" w:oddVBand="0" w:evenVBand="0" w:oddHBand="0" w:evenHBand="0" w:firstRowFirstColumn="0" w:firstRowLastColumn="0" w:lastRowFirstColumn="0" w:lastRowLastColumn="0"/>
            </w:pPr>
            <w:r w:rsidRPr="00112EE6">
              <w:t>(</w:t>
            </w:r>
            <w:r w:rsidR="009C104A" w:rsidRPr="00112EE6">
              <w:t>8.23</w:t>
            </w:r>
            <w:r w:rsidRPr="00112EE6">
              <w:t>)</w:t>
            </w:r>
          </w:p>
        </w:tc>
      </w:tr>
      <w:tr w:rsidR="00E32B13" w:rsidRPr="00112EE6" w14:paraId="06810B52" w14:textId="77777777" w:rsidTr="00112EE6">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050" w:type="dxa"/>
          </w:tcPr>
          <w:p w14:paraId="44877776" w14:textId="3C17A750" w:rsidR="009C104A" w:rsidRPr="00112EE6" w:rsidRDefault="009C104A" w:rsidP="00112EE6">
            <w:pPr>
              <w:pStyle w:val="Tabletext1"/>
              <w:rPr>
                <w:b w:val="0"/>
                <w:bCs w:val="0"/>
              </w:rPr>
            </w:pPr>
            <w:r w:rsidRPr="00112EE6">
              <w:rPr>
                <w:b w:val="0"/>
                <w:bCs w:val="0"/>
              </w:rPr>
              <w:t>BMI</w:t>
            </w:r>
            <w:r w:rsidR="00DF7A4C" w:rsidRPr="00112EE6">
              <w:rPr>
                <w:b w:val="0"/>
                <w:bCs w:val="0"/>
              </w:rPr>
              <w:t>*</w:t>
            </w:r>
            <w:r w:rsidRPr="00112EE6">
              <w:rPr>
                <w:b w:val="0"/>
                <w:bCs w:val="0"/>
              </w:rPr>
              <w:t>, (mean, SD)</w:t>
            </w:r>
          </w:p>
        </w:tc>
        <w:tc>
          <w:tcPr>
            <w:tcW w:w="1402" w:type="dxa"/>
            <w:noWrap/>
          </w:tcPr>
          <w:p w14:paraId="1BFECE93" w14:textId="5F724A59" w:rsidR="009C104A" w:rsidRPr="00112EE6" w:rsidRDefault="009C104A" w:rsidP="00112EE6">
            <w:pPr>
              <w:pStyle w:val="Tabletext1"/>
              <w:jc w:val="right"/>
              <w:cnfStyle w:val="000000100000" w:firstRow="0" w:lastRow="0" w:firstColumn="0" w:lastColumn="0" w:oddVBand="0" w:evenVBand="0" w:oddHBand="1" w:evenHBand="0" w:firstRowFirstColumn="0" w:firstRowLastColumn="0" w:lastRowFirstColumn="0" w:lastRowLastColumn="0"/>
              <w:rPr>
                <w:b/>
                <w:bCs/>
              </w:rPr>
            </w:pPr>
            <w:r w:rsidRPr="00112EE6">
              <w:rPr>
                <w:b/>
                <w:bCs/>
              </w:rPr>
              <w:t>27.55</w:t>
            </w:r>
          </w:p>
        </w:tc>
        <w:tc>
          <w:tcPr>
            <w:tcW w:w="1644" w:type="dxa"/>
          </w:tcPr>
          <w:p w14:paraId="194795AD" w14:textId="747AC431" w:rsidR="009C104A" w:rsidRPr="00112EE6" w:rsidRDefault="006428E1" w:rsidP="00112EE6">
            <w:pPr>
              <w:pStyle w:val="Tabletext1"/>
              <w:jc w:val="right"/>
              <w:cnfStyle w:val="000000100000" w:firstRow="0" w:lastRow="0" w:firstColumn="0" w:lastColumn="0" w:oddVBand="0" w:evenVBand="0" w:oddHBand="1" w:evenHBand="0" w:firstRowFirstColumn="0" w:firstRowLastColumn="0" w:lastRowFirstColumn="0" w:lastRowLastColumn="0"/>
              <w:rPr>
                <w:b/>
                <w:bCs/>
              </w:rPr>
            </w:pPr>
            <w:r w:rsidRPr="00112EE6">
              <w:rPr>
                <w:b/>
                <w:bCs/>
              </w:rPr>
              <w:t>(</w:t>
            </w:r>
            <w:r w:rsidR="009C104A" w:rsidRPr="00112EE6">
              <w:rPr>
                <w:b/>
                <w:bCs/>
              </w:rPr>
              <w:t>5.53</w:t>
            </w:r>
            <w:r w:rsidRPr="00112EE6">
              <w:rPr>
                <w:b/>
                <w:bCs/>
              </w:rPr>
              <w:t>)</w:t>
            </w:r>
          </w:p>
        </w:tc>
        <w:tc>
          <w:tcPr>
            <w:tcW w:w="1843" w:type="dxa"/>
            <w:noWrap/>
          </w:tcPr>
          <w:p w14:paraId="1374E38A" w14:textId="644F654D" w:rsidR="009C104A" w:rsidRPr="00112EE6" w:rsidRDefault="009C104A" w:rsidP="00112EE6">
            <w:pPr>
              <w:pStyle w:val="Tabletext1"/>
              <w:jc w:val="right"/>
              <w:cnfStyle w:val="000000100000" w:firstRow="0" w:lastRow="0" w:firstColumn="0" w:lastColumn="0" w:oddVBand="0" w:evenVBand="0" w:oddHBand="1" w:evenHBand="0" w:firstRowFirstColumn="0" w:firstRowLastColumn="0" w:lastRowFirstColumn="0" w:lastRowLastColumn="0"/>
              <w:rPr>
                <w:b/>
                <w:bCs/>
              </w:rPr>
            </w:pPr>
            <w:r w:rsidRPr="00112EE6">
              <w:rPr>
                <w:b/>
                <w:bCs/>
              </w:rPr>
              <w:t>26.42</w:t>
            </w:r>
          </w:p>
        </w:tc>
        <w:tc>
          <w:tcPr>
            <w:tcW w:w="1417" w:type="dxa"/>
          </w:tcPr>
          <w:p w14:paraId="0649E4FA" w14:textId="1294DAF5" w:rsidR="009C104A" w:rsidRPr="00112EE6" w:rsidRDefault="006428E1" w:rsidP="00112EE6">
            <w:pPr>
              <w:pStyle w:val="Tabletext1"/>
              <w:jc w:val="right"/>
              <w:cnfStyle w:val="000000100000" w:firstRow="0" w:lastRow="0" w:firstColumn="0" w:lastColumn="0" w:oddVBand="0" w:evenVBand="0" w:oddHBand="1" w:evenHBand="0" w:firstRowFirstColumn="0" w:firstRowLastColumn="0" w:lastRowFirstColumn="0" w:lastRowLastColumn="0"/>
              <w:rPr>
                <w:b/>
                <w:bCs/>
              </w:rPr>
            </w:pPr>
            <w:r w:rsidRPr="00112EE6">
              <w:rPr>
                <w:b/>
                <w:bCs/>
              </w:rPr>
              <w:t>(</w:t>
            </w:r>
            <w:r w:rsidR="009C104A" w:rsidRPr="00112EE6">
              <w:rPr>
                <w:b/>
                <w:bCs/>
              </w:rPr>
              <w:t>7.34</w:t>
            </w:r>
            <w:r w:rsidRPr="00112EE6">
              <w:rPr>
                <w:b/>
                <w:bCs/>
              </w:rPr>
              <w:t>)</w:t>
            </w:r>
          </w:p>
        </w:tc>
      </w:tr>
      <w:tr w:rsidR="00E32B13" w:rsidRPr="00112EE6" w14:paraId="1B538B01" w14:textId="77777777" w:rsidTr="00112EE6">
        <w:trPr>
          <w:trHeight w:val="402"/>
        </w:trPr>
        <w:tc>
          <w:tcPr>
            <w:cnfStyle w:val="001000000000" w:firstRow="0" w:lastRow="0" w:firstColumn="1" w:lastColumn="0" w:oddVBand="0" w:evenVBand="0" w:oddHBand="0" w:evenHBand="0" w:firstRowFirstColumn="0" w:firstRowLastColumn="0" w:lastRowFirstColumn="0" w:lastRowLastColumn="0"/>
            <w:tcW w:w="3050" w:type="dxa"/>
          </w:tcPr>
          <w:p w14:paraId="2871ED71" w14:textId="38ECF3F6" w:rsidR="009C104A" w:rsidRPr="00112EE6" w:rsidRDefault="009C104A" w:rsidP="00112EE6">
            <w:pPr>
              <w:pStyle w:val="Tabletext1"/>
              <w:rPr>
                <w:b w:val="0"/>
                <w:bCs w:val="0"/>
              </w:rPr>
            </w:pPr>
            <w:r w:rsidRPr="00112EE6">
              <w:rPr>
                <w:b w:val="0"/>
                <w:bCs w:val="0"/>
              </w:rPr>
              <w:t>Frailty Index (mean, SD)</w:t>
            </w:r>
          </w:p>
        </w:tc>
        <w:tc>
          <w:tcPr>
            <w:tcW w:w="1402" w:type="dxa"/>
            <w:noWrap/>
          </w:tcPr>
          <w:p w14:paraId="35AEDBD2" w14:textId="74D2455A" w:rsidR="009C104A" w:rsidRPr="00112EE6" w:rsidRDefault="009C104A" w:rsidP="00112EE6">
            <w:pPr>
              <w:pStyle w:val="Tabletext1"/>
              <w:jc w:val="right"/>
              <w:cnfStyle w:val="000000000000" w:firstRow="0" w:lastRow="0" w:firstColumn="0" w:lastColumn="0" w:oddVBand="0" w:evenVBand="0" w:oddHBand="0" w:evenHBand="0" w:firstRowFirstColumn="0" w:firstRowLastColumn="0" w:lastRowFirstColumn="0" w:lastRowLastColumn="0"/>
            </w:pPr>
            <w:r w:rsidRPr="00112EE6">
              <w:t>0.27</w:t>
            </w:r>
          </w:p>
        </w:tc>
        <w:tc>
          <w:tcPr>
            <w:tcW w:w="1644" w:type="dxa"/>
          </w:tcPr>
          <w:p w14:paraId="1033E3FB" w14:textId="4D3CC43B" w:rsidR="009C104A" w:rsidRPr="00112EE6" w:rsidRDefault="006428E1" w:rsidP="00112EE6">
            <w:pPr>
              <w:pStyle w:val="Tabletext1"/>
              <w:jc w:val="right"/>
              <w:cnfStyle w:val="000000000000" w:firstRow="0" w:lastRow="0" w:firstColumn="0" w:lastColumn="0" w:oddVBand="0" w:evenVBand="0" w:oddHBand="0" w:evenHBand="0" w:firstRowFirstColumn="0" w:firstRowLastColumn="0" w:lastRowFirstColumn="0" w:lastRowLastColumn="0"/>
            </w:pPr>
            <w:r w:rsidRPr="00112EE6">
              <w:t>(</w:t>
            </w:r>
            <w:r w:rsidR="009C104A" w:rsidRPr="00112EE6">
              <w:t>0.07</w:t>
            </w:r>
            <w:r w:rsidRPr="00112EE6">
              <w:t>)</w:t>
            </w:r>
          </w:p>
        </w:tc>
        <w:tc>
          <w:tcPr>
            <w:tcW w:w="1843" w:type="dxa"/>
            <w:noWrap/>
          </w:tcPr>
          <w:p w14:paraId="56D864A1" w14:textId="014D03EF" w:rsidR="009C104A" w:rsidRPr="00112EE6" w:rsidRDefault="009C104A" w:rsidP="00112EE6">
            <w:pPr>
              <w:pStyle w:val="Tabletext1"/>
              <w:jc w:val="right"/>
              <w:cnfStyle w:val="000000000000" w:firstRow="0" w:lastRow="0" w:firstColumn="0" w:lastColumn="0" w:oddVBand="0" w:evenVBand="0" w:oddHBand="0" w:evenHBand="0" w:firstRowFirstColumn="0" w:firstRowLastColumn="0" w:lastRowFirstColumn="0" w:lastRowLastColumn="0"/>
            </w:pPr>
            <w:r w:rsidRPr="00112EE6">
              <w:t>0.27</w:t>
            </w:r>
          </w:p>
        </w:tc>
        <w:tc>
          <w:tcPr>
            <w:tcW w:w="1417" w:type="dxa"/>
          </w:tcPr>
          <w:p w14:paraId="469950F3" w14:textId="72081D59" w:rsidR="009C104A" w:rsidRPr="00112EE6" w:rsidRDefault="006428E1" w:rsidP="00112EE6">
            <w:pPr>
              <w:pStyle w:val="Tabletext1"/>
              <w:jc w:val="right"/>
              <w:cnfStyle w:val="000000000000" w:firstRow="0" w:lastRow="0" w:firstColumn="0" w:lastColumn="0" w:oddVBand="0" w:evenVBand="0" w:oddHBand="0" w:evenHBand="0" w:firstRowFirstColumn="0" w:firstRowLastColumn="0" w:lastRowFirstColumn="0" w:lastRowLastColumn="0"/>
            </w:pPr>
            <w:r w:rsidRPr="00112EE6">
              <w:t>(</w:t>
            </w:r>
            <w:r w:rsidR="009C104A" w:rsidRPr="00112EE6">
              <w:t>0.08</w:t>
            </w:r>
            <w:r w:rsidRPr="00112EE6">
              <w:t>)</w:t>
            </w:r>
          </w:p>
        </w:tc>
      </w:tr>
      <w:tr w:rsidR="00E32B13" w:rsidRPr="00112EE6" w14:paraId="02474A15" w14:textId="77777777" w:rsidTr="00112EE6">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050" w:type="dxa"/>
          </w:tcPr>
          <w:p w14:paraId="73578465" w14:textId="720E0652" w:rsidR="009C104A" w:rsidRPr="00112EE6" w:rsidRDefault="009C104A" w:rsidP="00112EE6">
            <w:pPr>
              <w:pStyle w:val="Tabletext1"/>
              <w:rPr>
                <w:b w:val="0"/>
                <w:bCs w:val="0"/>
              </w:rPr>
            </w:pPr>
            <w:r w:rsidRPr="00112EE6">
              <w:rPr>
                <w:b w:val="0"/>
                <w:bCs w:val="0"/>
              </w:rPr>
              <w:t>Number of comorbidities in frailty index, (mean, SD)</w:t>
            </w:r>
          </w:p>
        </w:tc>
        <w:tc>
          <w:tcPr>
            <w:tcW w:w="1402" w:type="dxa"/>
            <w:noWrap/>
          </w:tcPr>
          <w:p w14:paraId="7F7F1A7D" w14:textId="73B69E87" w:rsidR="009C104A" w:rsidRPr="00112EE6" w:rsidRDefault="009C104A" w:rsidP="00112EE6">
            <w:pPr>
              <w:pStyle w:val="Tabletext1"/>
              <w:jc w:val="right"/>
              <w:cnfStyle w:val="000000100000" w:firstRow="0" w:lastRow="0" w:firstColumn="0" w:lastColumn="0" w:oddVBand="0" w:evenVBand="0" w:oddHBand="1" w:evenHBand="0" w:firstRowFirstColumn="0" w:firstRowLastColumn="0" w:lastRowFirstColumn="0" w:lastRowLastColumn="0"/>
            </w:pPr>
            <w:r w:rsidRPr="00112EE6">
              <w:t>4.60</w:t>
            </w:r>
          </w:p>
        </w:tc>
        <w:tc>
          <w:tcPr>
            <w:tcW w:w="1644" w:type="dxa"/>
          </w:tcPr>
          <w:p w14:paraId="4A281ABB" w14:textId="733582FD" w:rsidR="009C104A" w:rsidRPr="00112EE6" w:rsidRDefault="006428E1" w:rsidP="00112EE6">
            <w:pPr>
              <w:pStyle w:val="Tabletext1"/>
              <w:jc w:val="right"/>
              <w:cnfStyle w:val="000000100000" w:firstRow="0" w:lastRow="0" w:firstColumn="0" w:lastColumn="0" w:oddVBand="0" w:evenVBand="0" w:oddHBand="1" w:evenHBand="0" w:firstRowFirstColumn="0" w:firstRowLastColumn="0" w:lastRowFirstColumn="0" w:lastRowLastColumn="0"/>
            </w:pPr>
            <w:r w:rsidRPr="00112EE6">
              <w:t>(</w:t>
            </w:r>
            <w:r w:rsidR="009C104A" w:rsidRPr="00112EE6">
              <w:t>1.77</w:t>
            </w:r>
            <w:r w:rsidRPr="00112EE6">
              <w:t>)</w:t>
            </w:r>
          </w:p>
        </w:tc>
        <w:tc>
          <w:tcPr>
            <w:tcW w:w="1843" w:type="dxa"/>
            <w:noWrap/>
          </w:tcPr>
          <w:p w14:paraId="44E2E991" w14:textId="49A989F0" w:rsidR="009C104A" w:rsidRPr="00112EE6" w:rsidRDefault="009C104A" w:rsidP="00112EE6">
            <w:pPr>
              <w:pStyle w:val="Tabletext1"/>
              <w:jc w:val="right"/>
              <w:cnfStyle w:val="000000100000" w:firstRow="0" w:lastRow="0" w:firstColumn="0" w:lastColumn="0" w:oddVBand="0" w:evenVBand="0" w:oddHBand="1" w:evenHBand="0" w:firstRowFirstColumn="0" w:firstRowLastColumn="0" w:lastRowFirstColumn="0" w:lastRowLastColumn="0"/>
            </w:pPr>
            <w:r w:rsidRPr="00112EE6">
              <w:t>4.78</w:t>
            </w:r>
          </w:p>
        </w:tc>
        <w:tc>
          <w:tcPr>
            <w:tcW w:w="1417" w:type="dxa"/>
          </w:tcPr>
          <w:p w14:paraId="50273E9C" w14:textId="57A230D5" w:rsidR="009C104A" w:rsidRPr="00112EE6" w:rsidRDefault="006428E1" w:rsidP="00112EE6">
            <w:pPr>
              <w:pStyle w:val="Tabletext1"/>
              <w:jc w:val="right"/>
              <w:cnfStyle w:val="000000100000" w:firstRow="0" w:lastRow="0" w:firstColumn="0" w:lastColumn="0" w:oddVBand="0" w:evenVBand="0" w:oddHBand="1" w:evenHBand="0" w:firstRowFirstColumn="0" w:firstRowLastColumn="0" w:lastRowFirstColumn="0" w:lastRowLastColumn="0"/>
            </w:pPr>
            <w:r w:rsidRPr="00112EE6">
              <w:t>(</w:t>
            </w:r>
            <w:r w:rsidR="009C104A" w:rsidRPr="00112EE6">
              <w:t>1.88</w:t>
            </w:r>
            <w:r w:rsidRPr="00112EE6">
              <w:t>)</w:t>
            </w:r>
          </w:p>
        </w:tc>
      </w:tr>
      <w:tr w:rsidR="00E32B13" w:rsidRPr="00112EE6" w14:paraId="2DEF18B4" w14:textId="77777777" w:rsidTr="00112EE6">
        <w:trPr>
          <w:trHeight w:val="465"/>
        </w:trPr>
        <w:tc>
          <w:tcPr>
            <w:cnfStyle w:val="001000000000" w:firstRow="0" w:lastRow="0" w:firstColumn="1" w:lastColumn="0" w:oddVBand="0" w:evenVBand="0" w:oddHBand="0" w:evenHBand="0" w:firstRowFirstColumn="0" w:firstRowLastColumn="0" w:lastRowFirstColumn="0" w:lastRowLastColumn="0"/>
            <w:tcW w:w="3050" w:type="dxa"/>
          </w:tcPr>
          <w:p w14:paraId="07ABE9DD" w14:textId="225FD842" w:rsidR="009C104A" w:rsidRPr="00112EE6" w:rsidRDefault="009C104A" w:rsidP="00112EE6">
            <w:pPr>
              <w:pStyle w:val="Tabletext1"/>
              <w:rPr>
                <w:b w:val="0"/>
                <w:bCs w:val="0"/>
              </w:rPr>
            </w:pPr>
            <w:r w:rsidRPr="00112EE6">
              <w:rPr>
                <w:b w:val="0"/>
                <w:bCs w:val="0"/>
              </w:rPr>
              <w:t>Number of difficulties in frailty index, (mean, SD)</w:t>
            </w:r>
          </w:p>
        </w:tc>
        <w:tc>
          <w:tcPr>
            <w:tcW w:w="1402" w:type="dxa"/>
            <w:noWrap/>
          </w:tcPr>
          <w:p w14:paraId="69377A5B" w14:textId="4A3714F3" w:rsidR="009C104A" w:rsidRPr="00112EE6" w:rsidRDefault="009C104A" w:rsidP="00112EE6">
            <w:pPr>
              <w:pStyle w:val="Tabletext1"/>
              <w:jc w:val="right"/>
              <w:cnfStyle w:val="000000000000" w:firstRow="0" w:lastRow="0" w:firstColumn="0" w:lastColumn="0" w:oddVBand="0" w:evenVBand="0" w:oddHBand="0" w:evenHBand="0" w:firstRowFirstColumn="0" w:firstRowLastColumn="0" w:lastRowFirstColumn="0" w:lastRowLastColumn="0"/>
            </w:pPr>
            <w:r w:rsidRPr="00112EE6">
              <w:t>4.30</w:t>
            </w:r>
          </w:p>
        </w:tc>
        <w:tc>
          <w:tcPr>
            <w:tcW w:w="1644" w:type="dxa"/>
          </w:tcPr>
          <w:p w14:paraId="105DE24F" w14:textId="3EBA4ECE" w:rsidR="009C104A" w:rsidRPr="00112EE6" w:rsidRDefault="006428E1" w:rsidP="00112EE6">
            <w:pPr>
              <w:pStyle w:val="Tabletext1"/>
              <w:jc w:val="right"/>
              <w:cnfStyle w:val="000000000000" w:firstRow="0" w:lastRow="0" w:firstColumn="0" w:lastColumn="0" w:oddVBand="0" w:evenVBand="0" w:oddHBand="0" w:evenHBand="0" w:firstRowFirstColumn="0" w:firstRowLastColumn="0" w:lastRowFirstColumn="0" w:lastRowLastColumn="0"/>
            </w:pPr>
            <w:r w:rsidRPr="00112EE6">
              <w:t>(</w:t>
            </w:r>
            <w:r w:rsidR="009C104A" w:rsidRPr="00112EE6">
              <w:t>2.16</w:t>
            </w:r>
            <w:r w:rsidRPr="00112EE6">
              <w:t>)</w:t>
            </w:r>
          </w:p>
        </w:tc>
        <w:tc>
          <w:tcPr>
            <w:tcW w:w="1843" w:type="dxa"/>
            <w:noWrap/>
          </w:tcPr>
          <w:p w14:paraId="5E12EF24" w14:textId="4F93FCF9" w:rsidR="009C104A" w:rsidRPr="00112EE6" w:rsidRDefault="009C104A" w:rsidP="00112EE6">
            <w:pPr>
              <w:pStyle w:val="Tabletext1"/>
              <w:jc w:val="right"/>
              <w:cnfStyle w:val="000000000000" w:firstRow="0" w:lastRow="0" w:firstColumn="0" w:lastColumn="0" w:oddVBand="0" w:evenVBand="0" w:oddHBand="0" w:evenHBand="0" w:firstRowFirstColumn="0" w:firstRowLastColumn="0" w:lastRowFirstColumn="0" w:lastRowLastColumn="0"/>
            </w:pPr>
            <w:r w:rsidRPr="00112EE6">
              <w:t>4.27</w:t>
            </w:r>
          </w:p>
        </w:tc>
        <w:tc>
          <w:tcPr>
            <w:tcW w:w="1417" w:type="dxa"/>
          </w:tcPr>
          <w:p w14:paraId="176D1A9D" w14:textId="38591EC3" w:rsidR="009C104A" w:rsidRPr="00112EE6" w:rsidRDefault="006428E1" w:rsidP="00112EE6">
            <w:pPr>
              <w:pStyle w:val="Tabletext1"/>
              <w:jc w:val="right"/>
              <w:cnfStyle w:val="000000000000" w:firstRow="0" w:lastRow="0" w:firstColumn="0" w:lastColumn="0" w:oddVBand="0" w:evenVBand="0" w:oddHBand="0" w:evenHBand="0" w:firstRowFirstColumn="0" w:firstRowLastColumn="0" w:lastRowFirstColumn="0" w:lastRowLastColumn="0"/>
            </w:pPr>
            <w:r w:rsidRPr="00112EE6">
              <w:t>(</w:t>
            </w:r>
            <w:r w:rsidR="009C104A" w:rsidRPr="00112EE6">
              <w:t>2.3</w:t>
            </w:r>
            <w:r w:rsidRPr="00112EE6">
              <w:t>)</w:t>
            </w:r>
          </w:p>
        </w:tc>
      </w:tr>
      <w:tr w:rsidR="00E32B13" w:rsidRPr="00112EE6" w14:paraId="17C88B84" w14:textId="750CCC50" w:rsidTr="00112EE6">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3050" w:type="dxa"/>
            <w:hideMark/>
          </w:tcPr>
          <w:p w14:paraId="4CEB0AFC" w14:textId="77777777" w:rsidR="009C104A" w:rsidRPr="00112EE6" w:rsidRDefault="009C104A" w:rsidP="00112EE6">
            <w:pPr>
              <w:pStyle w:val="Tabletext1"/>
              <w:rPr>
                <w:b w:val="0"/>
                <w:bCs w:val="0"/>
              </w:rPr>
            </w:pPr>
            <w:r w:rsidRPr="00112EE6">
              <w:rPr>
                <w:b w:val="0"/>
                <w:bCs w:val="0"/>
              </w:rPr>
              <w:t>Frailty subgroup (frailty index &gt;= 0.25), n (%)</w:t>
            </w:r>
          </w:p>
        </w:tc>
        <w:tc>
          <w:tcPr>
            <w:tcW w:w="1402" w:type="dxa"/>
            <w:noWrap/>
            <w:hideMark/>
          </w:tcPr>
          <w:p w14:paraId="70114022" w14:textId="7BD33DB0" w:rsidR="009C104A" w:rsidRPr="00112EE6" w:rsidRDefault="009C104A" w:rsidP="00112EE6">
            <w:pPr>
              <w:pStyle w:val="Tabletext1"/>
              <w:jc w:val="right"/>
              <w:cnfStyle w:val="000000100000" w:firstRow="0" w:lastRow="0" w:firstColumn="0" w:lastColumn="0" w:oddVBand="0" w:evenVBand="0" w:oddHBand="1" w:evenHBand="0" w:firstRowFirstColumn="0" w:firstRowLastColumn="0" w:lastRowFirstColumn="0" w:lastRowLastColumn="0"/>
            </w:pPr>
            <w:r w:rsidRPr="00112EE6">
              <w:t>71</w:t>
            </w:r>
          </w:p>
        </w:tc>
        <w:tc>
          <w:tcPr>
            <w:tcW w:w="1644" w:type="dxa"/>
          </w:tcPr>
          <w:p w14:paraId="1FD56F8A" w14:textId="0A999672" w:rsidR="009C104A" w:rsidRPr="00112EE6" w:rsidRDefault="009C104A" w:rsidP="00112EE6">
            <w:pPr>
              <w:pStyle w:val="Tabletext1"/>
              <w:jc w:val="right"/>
              <w:cnfStyle w:val="000000100000" w:firstRow="0" w:lastRow="0" w:firstColumn="0" w:lastColumn="0" w:oddVBand="0" w:evenVBand="0" w:oddHBand="1" w:evenHBand="0" w:firstRowFirstColumn="0" w:firstRowLastColumn="0" w:lastRowFirstColumn="0" w:lastRowLastColumn="0"/>
            </w:pPr>
            <w:r w:rsidRPr="00112EE6">
              <w:t>59.2%</w:t>
            </w:r>
          </w:p>
        </w:tc>
        <w:tc>
          <w:tcPr>
            <w:tcW w:w="1843" w:type="dxa"/>
            <w:noWrap/>
            <w:hideMark/>
          </w:tcPr>
          <w:p w14:paraId="60D64957" w14:textId="71F27A27" w:rsidR="009C104A" w:rsidRPr="00112EE6" w:rsidRDefault="009C104A" w:rsidP="00112EE6">
            <w:pPr>
              <w:pStyle w:val="Tabletext1"/>
              <w:jc w:val="right"/>
              <w:cnfStyle w:val="000000100000" w:firstRow="0" w:lastRow="0" w:firstColumn="0" w:lastColumn="0" w:oddVBand="0" w:evenVBand="0" w:oddHBand="1" w:evenHBand="0" w:firstRowFirstColumn="0" w:firstRowLastColumn="0" w:lastRowFirstColumn="0" w:lastRowLastColumn="0"/>
            </w:pPr>
            <w:r w:rsidRPr="00112EE6">
              <w:t>77</w:t>
            </w:r>
          </w:p>
        </w:tc>
        <w:tc>
          <w:tcPr>
            <w:tcW w:w="1417" w:type="dxa"/>
          </w:tcPr>
          <w:p w14:paraId="13E294E9" w14:textId="59736566" w:rsidR="009C104A" w:rsidRPr="00112EE6" w:rsidRDefault="009C104A" w:rsidP="00112EE6">
            <w:pPr>
              <w:pStyle w:val="Tabletext1"/>
              <w:jc w:val="right"/>
              <w:cnfStyle w:val="000000100000" w:firstRow="0" w:lastRow="0" w:firstColumn="0" w:lastColumn="0" w:oddVBand="0" w:evenVBand="0" w:oddHBand="1" w:evenHBand="0" w:firstRowFirstColumn="0" w:firstRowLastColumn="0" w:lastRowFirstColumn="0" w:lastRowLastColumn="0"/>
            </w:pPr>
            <w:r w:rsidRPr="00112EE6">
              <w:t>60.2%</w:t>
            </w:r>
          </w:p>
        </w:tc>
      </w:tr>
      <w:tr w:rsidR="00E32B13" w:rsidRPr="00112EE6" w14:paraId="2FAC3761" w14:textId="77777777" w:rsidTr="00112EE6">
        <w:trPr>
          <w:trHeight w:val="300"/>
        </w:trPr>
        <w:tc>
          <w:tcPr>
            <w:cnfStyle w:val="001000000000" w:firstRow="0" w:lastRow="0" w:firstColumn="1" w:lastColumn="0" w:oddVBand="0" w:evenVBand="0" w:oddHBand="0" w:evenHBand="0" w:firstRowFirstColumn="0" w:firstRowLastColumn="0" w:lastRowFirstColumn="0" w:lastRowLastColumn="0"/>
            <w:tcW w:w="3050" w:type="dxa"/>
          </w:tcPr>
          <w:p w14:paraId="0F43CF75" w14:textId="216F0EC8" w:rsidR="009C104A" w:rsidRPr="00112EE6" w:rsidRDefault="009C104A" w:rsidP="00112EE6">
            <w:pPr>
              <w:pStyle w:val="Tabletext1"/>
              <w:rPr>
                <w:b w:val="0"/>
                <w:bCs w:val="0"/>
              </w:rPr>
            </w:pPr>
            <w:r w:rsidRPr="00112EE6">
              <w:rPr>
                <w:b w:val="0"/>
                <w:bCs w:val="0"/>
              </w:rPr>
              <w:t>Highest Grip Strength (kg), (mean, SD)</w:t>
            </w:r>
          </w:p>
        </w:tc>
        <w:tc>
          <w:tcPr>
            <w:tcW w:w="1402" w:type="dxa"/>
            <w:noWrap/>
          </w:tcPr>
          <w:p w14:paraId="377A82B0" w14:textId="0BA17759" w:rsidR="009C104A" w:rsidRPr="00112EE6" w:rsidRDefault="009C104A" w:rsidP="00112EE6">
            <w:pPr>
              <w:pStyle w:val="Tabletext1"/>
              <w:jc w:val="right"/>
              <w:cnfStyle w:val="000000000000" w:firstRow="0" w:lastRow="0" w:firstColumn="0" w:lastColumn="0" w:oddVBand="0" w:evenVBand="0" w:oddHBand="0" w:evenHBand="0" w:firstRowFirstColumn="0" w:firstRowLastColumn="0" w:lastRowFirstColumn="0" w:lastRowLastColumn="0"/>
            </w:pPr>
            <w:r w:rsidRPr="00112EE6">
              <w:t>16.94</w:t>
            </w:r>
            <w:r w:rsidR="007A57AF" w:rsidRPr="00112EE6">
              <w:t xml:space="preserve"> kg</w:t>
            </w:r>
          </w:p>
        </w:tc>
        <w:tc>
          <w:tcPr>
            <w:tcW w:w="1644" w:type="dxa"/>
          </w:tcPr>
          <w:p w14:paraId="71F462D7" w14:textId="1EA2A40E" w:rsidR="009C104A" w:rsidRPr="00112EE6" w:rsidRDefault="007A57AF" w:rsidP="00112EE6">
            <w:pPr>
              <w:pStyle w:val="Tabletext1"/>
              <w:jc w:val="right"/>
              <w:cnfStyle w:val="000000000000" w:firstRow="0" w:lastRow="0" w:firstColumn="0" w:lastColumn="0" w:oddVBand="0" w:evenVBand="0" w:oddHBand="0" w:evenHBand="0" w:firstRowFirstColumn="0" w:firstRowLastColumn="0" w:lastRowFirstColumn="0" w:lastRowLastColumn="0"/>
            </w:pPr>
            <w:r w:rsidRPr="00112EE6">
              <w:t>(</w:t>
            </w:r>
            <w:r w:rsidR="009C104A" w:rsidRPr="00112EE6">
              <w:t>6.9</w:t>
            </w:r>
            <w:r w:rsidRPr="00112EE6">
              <w:t>)</w:t>
            </w:r>
          </w:p>
        </w:tc>
        <w:tc>
          <w:tcPr>
            <w:tcW w:w="1843" w:type="dxa"/>
            <w:noWrap/>
          </w:tcPr>
          <w:p w14:paraId="328CE3D5" w14:textId="336A839C" w:rsidR="009C104A" w:rsidRPr="00112EE6" w:rsidRDefault="009C104A" w:rsidP="00112EE6">
            <w:pPr>
              <w:pStyle w:val="Tabletext1"/>
              <w:jc w:val="right"/>
              <w:cnfStyle w:val="000000000000" w:firstRow="0" w:lastRow="0" w:firstColumn="0" w:lastColumn="0" w:oddVBand="0" w:evenVBand="0" w:oddHBand="0" w:evenHBand="0" w:firstRowFirstColumn="0" w:firstRowLastColumn="0" w:lastRowFirstColumn="0" w:lastRowLastColumn="0"/>
            </w:pPr>
            <w:r w:rsidRPr="00112EE6">
              <w:t>17.39</w:t>
            </w:r>
            <w:r w:rsidR="003E32B6" w:rsidRPr="00112EE6">
              <w:t xml:space="preserve"> kg</w:t>
            </w:r>
          </w:p>
        </w:tc>
        <w:tc>
          <w:tcPr>
            <w:tcW w:w="1417" w:type="dxa"/>
          </w:tcPr>
          <w:p w14:paraId="620D28A9" w14:textId="65AC682C" w:rsidR="009C104A" w:rsidRPr="00112EE6" w:rsidRDefault="007A57AF" w:rsidP="00112EE6">
            <w:pPr>
              <w:pStyle w:val="Tabletext1"/>
              <w:jc w:val="right"/>
              <w:cnfStyle w:val="000000000000" w:firstRow="0" w:lastRow="0" w:firstColumn="0" w:lastColumn="0" w:oddVBand="0" w:evenVBand="0" w:oddHBand="0" w:evenHBand="0" w:firstRowFirstColumn="0" w:firstRowLastColumn="0" w:lastRowFirstColumn="0" w:lastRowLastColumn="0"/>
            </w:pPr>
            <w:r w:rsidRPr="00112EE6">
              <w:t>(</w:t>
            </w:r>
            <w:r w:rsidR="009C104A" w:rsidRPr="00112EE6">
              <w:t>7.93</w:t>
            </w:r>
            <w:r w:rsidRPr="00112EE6">
              <w:t>)</w:t>
            </w:r>
          </w:p>
        </w:tc>
      </w:tr>
      <w:tr w:rsidR="00E32B13" w:rsidRPr="00112EE6" w14:paraId="20068720" w14:textId="77777777" w:rsidTr="00112E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50" w:type="dxa"/>
          </w:tcPr>
          <w:p w14:paraId="13248844" w14:textId="4DF3CA06" w:rsidR="009C104A" w:rsidRPr="00112EE6" w:rsidRDefault="009C104A" w:rsidP="00112EE6">
            <w:pPr>
              <w:pStyle w:val="Tabletext1"/>
              <w:rPr>
                <w:b w:val="0"/>
                <w:bCs w:val="0"/>
              </w:rPr>
            </w:pPr>
            <w:r w:rsidRPr="00112EE6">
              <w:rPr>
                <w:b w:val="0"/>
                <w:bCs w:val="0"/>
              </w:rPr>
              <w:t>Grip Strength Male (kg), (mean, SD)</w:t>
            </w:r>
          </w:p>
        </w:tc>
        <w:tc>
          <w:tcPr>
            <w:tcW w:w="1402" w:type="dxa"/>
            <w:noWrap/>
          </w:tcPr>
          <w:p w14:paraId="7B8C5757" w14:textId="3A95F876" w:rsidR="009C104A" w:rsidRPr="00112EE6" w:rsidRDefault="009C104A" w:rsidP="00112EE6">
            <w:pPr>
              <w:pStyle w:val="Tabletext1"/>
              <w:jc w:val="right"/>
              <w:cnfStyle w:val="000000100000" w:firstRow="0" w:lastRow="0" w:firstColumn="0" w:lastColumn="0" w:oddVBand="0" w:evenVBand="0" w:oddHBand="1" w:evenHBand="0" w:firstRowFirstColumn="0" w:firstRowLastColumn="0" w:lastRowFirstColumn="0" w:lastRowLastColumn="0"/>
            </w:pPr>
            <w:r w:rsidRPr="00112EE6">
              <w:t>21.84</w:t>
            </w:r>
            <w:r w:rsidR="007A57AF" w:rsidRPr="00112EE6">
              <w:t xml:space="preserve"> kg</w:t>
            </w:r>
          </w:p>
        </w:tc>
        <w:tc>
          <w:tcPr>
            <w:tcW w:w="1644" w:type="dxa"/>
          </w:tcPr>
          <w:p w14:paraId="51FF9F1D" w14:textId="4B421494" w:rsidR="009C104A" w:rsidRPr="00112EE6" w:rsidRDefault="007A57AF" w:rsidP="00112EE6">
            <w:pPr>
              <w:pStyle w:val="Tabletext1"/>
              <w:jc w:val="right"/>
              <w:cnfStyle w:val="000000100000" w:firstRow="0" w:lastRow="0" w:firstColumn="0" w:lastColumn="0" w:oddVBand="0" w:evenVBand="0" w:oddHBand="1" w:evenHBand="0" w:firstRowFirstColumn="0" w:firstRowLastColumn="0" w:lastRowFirstColumn="0" w:lastRowLastColumn="0"/>
            </w:pPr>
            <w:r w:rsidRPr="00112EE6">
              <w:t>(</w:t>
            </w:r>
            <w:r w:rsidR="009C104A" w:rsidRPr="00112EE6">
              <w:t>7.11</w:t>
            </w:r>
            <w:r w:rsidRPr="00112EE6">
              <w:t>)</w:t>
            </w:r>
          </w:p>
        </w:tc>
        <w:tc>
          <w:tcPr>
            <w:tcW w:w="1843" w:type="dxa"/>
            <w:noWrap/>
          </w:tcPr>
          <w:p w14:paraId="38C63695" w14:textId="268DA123" w:rsidR="009C104A" w:rsidRPr="00112EE6" w:rsidRDefault="009C104A" w:rsidP="00112EE6">
            <w:pPr>
              <w:pStyle w:val="Tabletext1"/>
              <w:jc w:val="right"/>
              <w:cnfStyle w:val="000000100000" w:firstRow="0" w:lastRow="0" w:firstColumn="0" w:lastColumn="0" w:oddVBand="0" w:evenVBand="0" w:oddHBand="1" w:evenHBand="0" w:firstRowFirstColumn="0" w:firstRowLastColumn="0" w:lastRowFirstColumn="0" w:lastRowLastColumn="0"/>
            </w:pPr>
            <w:r w:rsidRPr="00112EE6">
              <w:t>24.26</w:t>
            </w:r>
            <w:r w:rsidR="003E32B6" w:rsidRPr="00112EE6">
              <w:t xml:space="preserve"> kg</w:t>
            </w:r>
          </w:p>
        </w:tc>
        <w:tc>
          <w:tcPr>
            <w:tcW w:w="1417" w:type="dxa"/>
          </w:tcPr>
          <w:p w14:paraId="2728C620" w14:textId="041F99AC" w:rsidR="009C104A" w:rsidRPr="00112EE6" w:rsidRDefault="007A57AF" w:rsidP="00112EE6">
            <w:pPr>
              <w:pStyle w:val="Tabletext1"/>
              <w:jc w:val="right"/>
              <w:cnfStyle w:val="000000100000" w:firstRow="0" w:lastRow="0" w:firstColumn="0" w:lastColumn="0" w:oddVBand="0" w:evenVBand="0" w:oddHBand="1" w:evenHBand="0" w:firstRowFirstColumn="0" w:firstRowLastColumn="0" w:lastRowFirstColumn="0" w:lastRowLastColumn="0"/>
            </w:pPr>
            <w:r w:rsidRPr="00112EE6">
              <w:t>(</w:t>
            </w:r>
            <w:r w:rsidR="009C104A" w:rsidRPr="00112EE6">
              <w:t>8.55</w:t>
            </w:r>
            <w:r w:rsidRPr="00112EE6">
              <w:t>)</w:t>
            </w:r>
          </w:p>
        </w:tc>
      </w:tr>
      <w:tr w:rsidR="00E32B13" w:rsidRPr="00112EE6" w14:paraId="58E15E79" w14:textId="77777777" w:rsidTr="00112EE6">
        <w:trPr>
          <w:trHeight w:val="300"/>
        </w:trPr>
        <w:tc>
          <w:tcPr>
            <w:cnfStyle w:val="001000000000" w:firstRow="0" w:lastRow="0" w:firstColumn="1" w:lastColumn="0" w:oddVBand="0" w:evenVBand="0" w:oddHBand="0" w:evenHBand="0" w:firstRowFirstColumn="0" w:firstRowLastColumn="0" w:lastRowFirstColumn="0" w:lastRowLastColumn="0"/>
            <w:tcW w:w="3050" w:type="dxa"/>
          </w:tcPr>
          <w:p w14:paraId="4B1708B0" w14:textId="26B7946F" w:rsidR="009C104A" w:rsidRPr="00112EE6" w:rsidRDefault="009C104A" w:rsidP="00112EE6">
            <w:pPr>
              <w:pStyle w:val="Tabletext1"/>
              <w:rPr>
                <w:b w:val="0"/>
                <w:bCs w:val="0"/>
              </w:rPr>
            </w:pPr>
            <w:r w:rsidRPr="00112EE6">
              <w:rPr>
                <w:b w:val="0"/>
                <w:bCs w:val="0"/>
              </w:rPr>
              <w:t>Grip Strength Female (kg), (Mean, SD)</w:t>
            </w:r>
          </w:p>
        </w:tc>
        <w:tc>
          <w:tcPr>
            <w:tcW w:w="1402" w:type="dxa"/>
            <w:noWrap/>
          </w:tcPr>
          <w:p w14:paraId="4DB52E4A" w14:textId="78B38A1D" w:rsidR="009C104A" w:rsidRPr="00112EE6" w:rsidRDefault="009C104A" w:rsidP="00112EE6">
            <w:pPr>
              <w:pStyle w:val="Tabletext1"/>
              <w:jc w:val="right"/>
              <w:cnfStyle w:val="000000000000" w:firstRow="0" w:lastRow="0" w:firstColumn="0" w:lastColumn="0" w:oddVBand="0" w:evenVBand="0" w:oddHBand="0" w:evenHBand="0" w:firstRowFirstColumn="0" w:firstRowLastColumn="0" w:lastRowFirstColumn="0" w:lastRowLastColumn="0"/>
            </w:pPr>
            <w:r w:rsidRPr="00112EE6">
              <w:t>14.40</w:t>
            </w:r>
            <w:r w:rsidR="007A57AF" w:rsidRPr="00112EE6">
              <w:t xml:space="preserve"> kg</w:t>
            </w:r>
          </w:p>
        </w:tc>
        <w:tc>
          <w:tcPr>
            <w:tcW w:w="1644" w:type="dxa"/>
          </w:tcPr>
          <w:p w14:paraId="3ABDAB5E" w14:textId="2B94FC66" w:rsidR="009C104A" w:rsidRPr="00112EE6" w:rsidRDefault="007A57AF" w:rsidP="00112EE6">
            <w:pPr>
              <w:pStyle w:val="Tabletext1"/>
              <w:jc w:val="right"/>
              <w:cnfStyle w:val="000000000000" w:firstRow="0" w:lastRow="0" w:firstColumn="0" w:lastColumn="0" w:oddVBand="0" w:evenVBand="0" w:oddHBand="0" w:evenHBand="0" w:firstRowFirstColumn="0" w:firstRowLastColumn="0" w:lastRowFirstColumn="0" w:lastRowLastColumn="0"/>
            </w:pPr>
            <w:r w:rsidRPr="00112EE6">
              <w:t>(</w:t>
            </w:r>
            <w:r w:rsidR="009C104A" w:rsidRPr="00112EE6">
              <w:t>5.25</w:t>
            </w:r>
            <w:r w:rsidRPr="00112EE6">
              <w:t>)</w:t>
            </w:r>
          </w:p>
        </w:tc>
        <w:tc>
          <w:tcPr>
            <w:tcW w:w="1843" w:type="dxa"/>
            <w:noWrap/>
          </w:tcPr>
          <w:p w14:paraId="2EE7AE5A" w14:textId="7357B33B" w:rsidR="009C104A" w:rsidRPr="00112EE6" w:rsidRDefault="009C104A" w:rsidP="00112EE6">
            <w:pPr>
              <w:pStyle w:val="Tabletext1"/>
              <w:jc w:val="right"/>
              <w:cnfStyle w:val="000000000000" w:firstRow="0" w:lastRow="0" w:firstColumn="0" w:lastColumn="0" w:oddVBand="0" w:evenVBand="0" w:oddHBand="0" w:evenHBand="0" w:firstRowFirstColumn="0" w:firstRowLastColumn="0" w:lastRowFirstColumn="0" w:lastRowLastColumn="0"/>
            </w:pPr>
            <w:r w:rsidRPr="00112EE6">
              <w:t>14.37</w:t>
            </w:r>
            <w:r w:rsidR="003E32B6" w:rsidRPr="00112EE6">
              <w:t xml:space="preserve"> kg</w:t>
            </w:r>
          </w:p>
        </w:tc>
        <w:tc>
          <w:tcPr>
            <w:tcW w:w="1417" w:type="dxa"/>
          </w:tcPr>
          <w:p w14:paraId="091871CA" w14:textId="093A39AF" w:rsidR="009C104A" w:rsidRPr="00112EE6" w:rsidRDefault="007A57AF" w:rsidP="00112EE6">
            <w:pPr>
              <w:pStyle w:val="Tabletext1"/>
              <w:jc w:val="right"/>
              <w:cnfStyle w:val="000000000000" w:firstRow="0" w:lastRow="0" w:firstColumn="0" w:lastColumn="0" w:oddVBand="0" w:evenVBand="0" w:oddHBand="0" w:evenHBand="0" w:firstRowFirstColumn="0" w:firstRowLastColumn="0" w:lastRowFirstColumn="0" w:lastRowLastColumn="0"/>
            </w:pPr>
            <w:r w:rsidRPr="00112EE6">
              <w:t>(</w:t>
            </w:r>
            <w:r w:rsidR="009C104A" w:rsidRPr="00112EE6">
              <w:t>5.39</w:t>
            </w:r>
            <w:r w:rsidRPr="00112EE6">
              <w:t>)</w:t>
            </w:r>
          </w:p>
        </w:tc>
      </w:tr>
      <w:tr w:rsidR="000F3E39" w:rsidRPr="00112EE6" w14:paraId="35F27A27" w14:textId="77777777" w:rsidTr="00112EE6">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050" w:type="dxa"/>
          </w:tcPr>
          <w:p w14:paraId="2E8F98A1" w14:textId="089DF6AF" w:rsidR="00DF7A4C" w:rsidRPr="00112EE6" w:rsidRDefault="00DF7A4C" w:rsidP="00112EE6">
            <w:pPr>
              <w:pStyle w:val="Tabletext1"/>
              <w:rPr>
                <w:b w:val="0"/>
                <w:bCs w:val="0"/>
              </w:rPr>
            </w:pPr>
            <w:r w:rsidRPr="00112EE6">
              <w:rPr>
                <w:b w:val="0"/>
                <w:bCs w:val="0"/>
              </w:rPr>
              <w:t>Calculated Montreal Cognitive Assessment (MoCA) score*, (score between 0-1), (mean, SD)</w:t>
            </w:r>
          </w:p>
        </w:tc>
        <w:tc>
          <w:tcPr>
            <w:tcW w:w="1402" w:type="dxa"/>
          </w:tcPr>
          <w:p w14:paraId="582B1487" w14:textId="1D1CD4C4" w:rsidR="00DF7A4C" w:rsidRPr="00112EE6" w:rsidRDefault="00DF7A4C" w:rsidP="00112EE6">
            <w:pPr>
              <w:pStyle w:val="Tabletext1"/>
              <w:jc w:val="right"/>
              <w:cnfStyle w:val="000000100000" w:firstRow="0" w:lastRow="0" w:firstColumn="0" w:lastColumn="0" w:oddVBand="0" w:evenVBand="0" w:oddHBand="1" w:evenHBand="0" w:firstRowFirstColumn="0" w:firstRowLastColumn="0" w:lastRowFirstColumn="0" w:lastRowLastColumn="0"/>
              <w:rPr>
                <w:b/>
                <w:bCs/>
              </w:rPr>
            </w:pPr>
            <w:r w:rsidRPr="00112EE6">
              <w:rPr>
                <w:b/>
                <w:bCs/>
              </w:rPr>
              <w:t>0.76</w:t>
            </w:r>
            <w:r w:rsidR="007A57AF" w:rsidRPr="00112EE6">
              <w:rPr>
                <w:b/>
                <w:bCs/>
                <w:vertAlign w:val="superscript"/>
              </w:rPr>
              <w:t>1</w:t>
            </w:r>
          </w:p>
        </w:tc>
        <w:tc>
          <w:tcPr>
            <w:tcW w:w="1644" w:type="dxa"/>
            <w:noWrap/>
          </w:tcPr>
          <w:p w14:paraId="07BF6A45" w14:textId="7DE6A24F" w:rsidR="00DF7A4C" w:rsidRPr="00112EE6" w:rsidRDefault="007A57AF" w:rsidP="00112EE6">
            <w:pPr>
              <w:pStyle w:val="Tabletext1"/>
              <w:jc w:val="right"/>
              <w:cnfStyle w:val="000000100000" w:firstRow="0" w:lastRow="0" w:firstColumn="0" w:lastColumn="0" w:oddVBand="0" w:evenVBand="0" w:oddHBand="1" w:evenHBand="0" w:firstRowFirstColumn="0" w:firstRowLastColumn="0" w:lastRowFirstColumn="0" w:lastRowLastColumn="0"/>
            </w:pPr>
            <w:r w:rsidRPr="00112EE6">
              <w:t>(</w:t>
            </w:r>
            <w:r w:rsidR="00DF7A4C" w:rsidRPr="00112EE6">
              <w:t>0.11</w:t>
            </w:r>
            <w:r w:rsidRPr="00112EE6">
              <w:t>)</w:t>
            </w:r>
          </w:p>
        </w:tc>
        <w:tc>
          <w:tcPr>
            <w:tcW w:w="1843" w:type="dxa"/>
          </w:tcPr>
          <w:p w14:paraId="555C89C5" w14:textId="1D87309D" w:rsidR="00DF7A4C" w:rsidRPr="00112EE6" w:rsidRDefault="00DF7A4C" w:rsidP="00112EE6">
            <w:pPr>
              <w:pStyle w:val="Tabletext1"/>
              <w:jc w:val="right"/>
              <w:cnfStyle w:val="000000100000" w:firstRow="0" w:lastRow="0" w:firstColumn="0" w:lastColumn="0" w:oddVBand="0" w:evenVBand="0" w:oddHBand="1" w:evenHBand="0" w:firstRowFirstColumn="0" w:firstRowLastColumn="0" w:lastRowFirstColumn="0" w:lastRowLastColumn="0"/>
              <w:rPr>
                <w:b/>
                <w:bCs/>
              </w:rPr>
            </w:pPr>
            <w:r w:rsidRPr="00112EE6">
              <w:rPr>
                <w:b/>
                <w:bCs/>
              </w:rPr>
              <w:t>0.74</w:t>
            </w:r>
            <w:r w:rsidR="007A57AF" w:rsidRPr="00112EE6">
              <w:rPr>
                <w:b/>
                <w:bCs/>
                <w:vertAlign w:val="superscript"/>
              </w:rPr>
              <w:t>1</w:t>
            </w:r>
          </w:p>
        </w:tc>
        <w:tc>
          <w:tcPr>
            <w:tcW w:w="1417" w:type="dxa"/>
          </w:tcPr>
          <w:p w14:paraId="2F51FAD0" w14:textId="4EC4FE9D" w:rsidR="00DF7A4C" w:rsidRPr="00112EE6" w:rsidRDefault="007A57AF" w:rsidP="00112EE6">
            <w:pPr>
              <w:pStyle w:val="Tabletext1"/>
              <w:jc w:val="right"/>
              <w:cnfStyle w:val="000000100000" w:firstRow="0" w:lastRow="0" w:firstColumn="0" w:lastColumn="0" w:oddVBand="0" w:evenVBand="0" w:oddHBand="1" w:evenHBand="0" w:firstRowFirstColumn="0" w:firstRowLastColumn="0" w:lastRowFirstColumn="0" w:lastRowLastColumn="0"/>
            </w:pPr>
            <w:r w:rsidRPr="00112EE6">
              <w:t>(</w:t>
            </w:r>
            <w:r w:rsidR="00DF7A4C" w:rsidRPr="00112EE6">
              <w:t>0.11</w:t>
            </w:r>
            <w:r w:rsidRPr="00112EE6">
              <w:t>)</w:t>
            </w:r>
          </w:p>
        </w:tc>
      </w:tr>
      <w:tr w:rsidR="000F3E39" w:rsidRPr="00112EE6" w14:paraId="08C5B3B6" w14:textId="77777777" w:rsidTr="00112EE6">
        <w:trPr>
          <w:trHeight w:val="393"/>
        </w:trPr>
        <w:tc>
          <w:tcPr>
            <w:cnfStyle w:val="001000000000" w:firstRow="0" w:lastRow="0" w:firstColumn="1" w:lastColumn="0" w:oddVBand="0" w:evenVBand="0" w:oddHBand="0" w:evenHBand="0" w:firstRowFirstColumn="0" w:firstRowLastColumn="0" w:lastRowFirstColumn="0" w:lastRowLastColumn="0"/>
            <w:tcW w:w="3050" w:type="dxa"/>
          </w:tcPr>
          <w:p w14:paraId="2BFD53D3" w14:textId="02CB6C44" w:rsidR="006428E1" w:rsidRPr="00112EE6" w:rsidRDefault="006428E1" w:rsidP="00112EE6">
            <w:pPr>
              <w:pStyle w:val="Tabletext1"/>
              <w:rPr>
                <w:b w:val="0"/>
                <w:bCs w:val="0"/>
              </w:rPr>
            </w:pPr>
            <w:r w:rsidRPr="00112EE6">
              <w:rPr>
                <w:b w:val="0"/>
                <w:bCs w:val="0"/>
              </w:rPr>
              <w:t xml:space="preserve">EQ-5D-5L single </w:t>
            </w:r>
            <w:proofErr w:type="gramStart"/>
            <w:r w:rsidRPr="00112EE6">
              <w:rPr>
                <w:b w:val="0"/>
                <w:bCs w:val="0"/>
              </w:rPr>
              <w:t>index  (</w:t>
            </w:r>
            <w:proofErr w:type="gramEnd"/>
            <w:r w:rsidRPr="00112EE6">
              <w:rPr>
                <w:b w:val="0"/>
                <w:bCs w:val="0"/>
              </w:rPr>
              <w:t>mean, SD)</w:t>
            </w:r>
          </w:p>
        </w:tc>
        <w:tc>
          <w:tcPr>
            <w:tcW w:w="1402" w:type="dxa"/>
          </w:tcPr>
          <w:p w14:paraId="30858FAF" w14:textId="77FC4E41" w:rsidR="006428E1" w:rsidRPr="00112EE6" w:rsidRDefault="006428E1" w:rsidP="00112EE6">
            <w:pPr>
              <w:pStyle w:val="Tabletext1"/>
              <w:jc w:val="right"/>
              <w:cnfStyle w:val="000000000000" w:firstRow="0" w:lastRow="0" w:firstColumn="0" w:lastColumn="0" w:oddVBand="0" w:evenVBand="0" w:oddHBand="0" w:evenHBand="0" w:firstRowFirstColumn="0" w:firstRowLastColumn="0" w:lastRowFirstColumn="0" w:lastRowLastColumn="0"/>
            </w:pPr>
            <w:r w:rsidRPr="00112EE6">
              <w:t>0.68</w:t>
            </w:r>
          </w:p>
        </w:tc>
        <w:tc>
          <w:tcPr>
            <w:tcW w:w="1644" w:type="dxa"/>
            <w:noWrap/>
          </w:tcPr>
          <w:p w14:paraId="0EE5F1BD" w14:textId="63605A9D" w:rsidR="006428E1" w:rsidRPr="00112EE6" w:rsidRDefault="007A57AF" w:rsidP="00112EE6">
            <w:pPr>
              <w:pStyle w:val="Tabletext1"/>
              <w:jc w:val="right"/>
              <w:cnfStyle w:val="000000000000" w:firstRow="0" w:lastRow="0" w:firstColumn="0" w:lastColumn="0" w:oddVBand="0" w:evenVBand="0" w:oddHBand="0" w:evenHBand="0" w:firstRowFirstColumn="0" w:firstRowLastColumn="0" w:lastRowFirstColumn="0" w:lastRowLastColumn="0"/>
            </w:pPr>
            <w:r w:rsidRPr="00112EE6">
              <w:t>(</w:t>
            </w:r>
            <w:r w:rsidR="006428E1" w:rsidRPr="00112EE6">
              <w:t>0.26</w:t>
            </w:r>
            <w:r w:rsidRPr="00112EE6">
              <w:t>)</w:t>
            </w:r>
          </w:p>
        </w:tc>
        <w:tc>
          <w:tcPr>
            <w:tcW w:w="1843" w:type="dxa"/>
          </w:tcPr>
          <w:p w14:paraId="267785E0" w14:textId="341EE75C" w:rsidR="006428E1" w:rsidRPr="00112EE6" w:rsidRDefault="006428E1" w:rsidP="00112EE6">
            <w:pPr>
              <w:pStyle w:val="Tabletext1"/>
              <w:jc w:val="right"/>
              <w:cnfStyle w:val="000000000000" w:firstRow="0" w:lastRow="0" w:firstColumn="0" w:lastColumn="0" w:oddVBand="0" w:evenVBand="0" w:oddHBand="0" w:evenHBand="0" w:firstRowFirstColumn="0" w:firstRowLastColumn="0" w:lastRowFirstColumn="0" w:lastRowLastColumn="0"/>
            </w:pPr>
            <w:r w:rsidRPr="00112EE6">
              <w:t>0.65</w:t>
            </w:r>
          </w:p>
        </w:tc>
        <w:tc>
          <w:tcPr>
            <w:tcW w:w="1417" w:type="dxa"/>
          </w:tcPr>
          <w:p w14:paraId="5257AE47" w14:textId="043230A5" w:rsidR="006428E1" w:rsidRPr="00112EE6" w:rsidRDefault="007A57AF" w:rsidP="00112EE6">
            <w:pPr>
              <w:pStyle w:val="Tabletext1"/>
              <w:jc w:val="right"/>
              <w:cnfStyle w:val="000000000000" w:firstRow="0" w:lastRow="0" w:firstColumn="0" w:lastColumn="0" w:oddVBand="0" w:evenVBand="0" w:oddHBand="0" w:evenHBand="0" w:firstRowFirstColumn="0" w:firstRowLastColumn="0" w:lastRowFirstColumn="0" w:lastRowLastColumn="0"/>
            </w:pPr>
            <w:r w:rsidRPr="00112EE6">
              <w:t>(</w:t>
            </w:r>
            <w:r w:rsidR="006428E1" w:rsidRPr="00112EE6">
              <w:t>0.26</w:t>
            </w:r>
            <w:r w:rsidRPr="00112EE6">
              <w:t>)</w:t>
            </w:r>
          </w:p>
        </w:tc>
      </w:tr>
      <w:tr w:rsidR="006428E1" w:rsidRPr="00112EE6" w14:paraId="15BC89AA" w14:textId="77777777" w:rsidTr="00112EE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050" w:type="dxa"/>
          </w:tcPr>
          <w:p w14:paraId="56EFFB45" w14:textId="131BBC71" w:rsidR="006428E1" w:rsidRPr="00642951" w:rsidRDefault="006428E1" w:rsidP="00112EE6">
            <w:pPr>
              <w:pStyle w:val="Tabletext1"/>
            </w:pPr>
            <w:r w:rsidRPr="00642951">
              <w:t>Accelerometer data</w:t>
            </w:r>
          </w:p>
        </w:tc>
        <w:tc>
          <w:tcPr>
            <w:tcW w:w="1402" w:type="dxa"/>
          </w:tcPr>
          <w:p w14:paraId="4F8763E0" w14:textId="2C2807B4" w:rsidR="006428E1" w:rsidRPr="00112EE6" w:rsidRDefault="006428E1" w:rsidP="00112EE6">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FFFFFF" w:themeColor="background1"/>
                <w:sz w:val="16"/>
                <w:szCs w:val="16"/>
              </w:rPr>
            </w:pPr>
          </w:p>
        </w:tc>
        <w:tc>
          <w:tcPr>
            <w:tcW w:w="1644" w:type="dxa"/>
            <w:noWrap/>
          </w:tcPr>
          <w:p w14:paraId="180F721A" w14:textId="16BC50E5" w:rsidR="006428E1" w:rsidRPr="00112EE6" w:rsidRDefault="006428E1" w:rsidP="00112EE6">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FFFFFF" w:themeColor="background1"/>
                <w:sz w:val="16"/>
                <w:szCs w:val="16"/>
              </w:rPr>
            </w:pPr>
          </w:p>
        </w:tc>
        <w:tc>
          <w:tcPr>
            <w:tcW w:w="1843" w:type="dxa"/>
          </w:tcPr>
          <w:p w14:paraId="23990E3D" w14:textId="51782620" w:rsidR="006428E1" w:rsidRPr="00112EE6" w:rsidRDefault="006428E1" w:rsidP="00112EE6">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FFFFFF" w:themeColor="background1"/>
                <w:sz w:val="16"/>
                <w:szCs w:val="16"/>
              </w:rPr>
            </w:pPr>
          </w:p>
        </w:tc>
        <w:tc>
          <w:tcPr>
            <w:tcW w:w="1417" w:type="dxa"/>
          </w:tcPr>
          <w:p w14:paraId="41C3F5E1" w14:textId="37D5191A" w:rsidR="006428E1" w:rsidRPr="00112EE6" w:rsidRDefault="006428E1" w:rsidP="00112EE6">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FFFFFF" w:themeColor="background1"/>
                <w:sz w:val="16"/>
                <w:szCs w:val="16"/>
              </w:rPr>
            </w:pPr>
          </w:p>
        </w:tc>
      </w:tr>
      <w:tr w:rsidR="006428E1" w:rsidRPr="00112EE6" w14:paraId="30736B81" w14:textId="77777777" w:rsidTr="00112EE6">
        <w:trPr>
          <w:trHeight w:val="341"/>
        </w:trPr>
        <w:tc>
          <w:tcPr>
            <w:cnfStyle w:val="001000000000" w:firstRow="0" w:lastRow="0" w:firstColumn="1" w:lastColumn="0" w:oddVBand="0" w:evenVBand="0" w:oddHBand="0" w:evenHBand="0" w:firstRowFirstColumn="0" w:firstRowLastColumn="0" w:lastRowFirstColumn="0" w:lastRowLastColumn="0"/>
            <w:tcW w:w="3050" w:type="dxa"/>
          </w:tcPr>
          <w:p w14:paraId="71D29CF8" w14:textId="2A18E9BC" w:rsidR="006428E1" w:rsidRPr="00112EE6" w:rsidRDefault="006428E1" w:rsidP="00112EE6">
            <w:pPr>
              <w:pStyle w:val="Tabletext1"/>
              <w:rPr>
                <w:b w:val="0"/>
                <w:bCs w:val="0"/>
              </w:rPr>
            </w:pPr>
            <w:proofErr w:type="spellStart"/>
            <w:r w:rsidRPr="00112EE6">
              <w:rPr>
                <w:b w:val="0"/>
                <w:bCs w:val="0"/>
              </w:rPr>
              <w:t>GENEActiv</w:t>
            </w:r>
            <w:proofErr w:type="spellEnd"/>
            <w:r w:rsidRPr="00112EE6">
              <w:rPr>
                <w:b w:val="0"/>
                <w:bCs w:val="0"/>
              </w:rPr>
              <w:t xml:space="preserve"> - average sleep time per day, mins (mean, SD)</w:t>
            </w:r>
          </w:p>
        </w:tc>
        <w:tc>
          <w:tcPr>
            <w:tcW w:w="1402" w:type="dxa"/>
          </w:tcPr>
          <w:p w14:paraId="37DCCC42" w14:textId="0D505FC9" w:rsidR="006428E1" w:rsidRPr="00112EE6" w:rsidRDefault="006428E1" w:rsidP="00112EE6">
            <w:pPr>
              <w:pStyle w:val="Tabletext1"/>
              <w:jc w:val="right"/>
              <w:cnfStyle w:val="000000000000" w:firstRow="0" w:lastRow="0" w:firstColumn="0" w:lastColumn="0" w:oddVBand="0" w:evenVBand="0" w:oddHBand="0" w:evenHBand="0" w:firstRowFirstColumn="0" w:firstRowLastColumn="0" w:lastRowFirstColumn="0" w:lastRowLastColumn="0"/>
            </w:pPr>
            <w:r w:rsidRPr="00112EE6">
              <w:t>545.00</w:t>
            </w:r>
            <w:r w:rsidR="003E32B6" w:rsidRPr="00112EE6">
              <w:t xml:space="preserve"> minutes</w:t>
            </w:r>
          </w:p>
        </w:tc>
        <w:tc>
          <w:tcPr>
            <w:tcW w:w="1644" w:type="dxa"/>
            <w:noWrap/>
          </w:tcPr>
          <w:p w14:paraId="2C94C4B0" w14:textId="15A503DA" w:rsidR="006428E1" w:rsidRPr="00112EE6" w:rsidRDefault="007A57AF" w:rsidP="00112EE6">
            <w:pPr>
              <w:pStyle w:val="Tabletext1"/>
              <w:jc w:val="right"/>
              <w:cnfStyle w:val="000000000000" w:firstRow="0" w:lastRow="0" w:firstColumn="0" w:lastColumn="0" w:oddVBand="0" w:evenVBand="0" w:oddHBand="0" w:evenHBand="0" w:firstRowFirstColumn="0" w:firstRowLastColumn="0" w:lastRowFirstColumn="0" w:lastRowLastColumn="0"/>
            </w:pPr>
            <w:r w:rsidRPr="00112EE6">
              <w:t>(</w:t>
            </w:r>
            <w:r w:rsidR="006428E1" w:rsidRPr="00112EE6">
              <w:t>80.19</w:t>
            </w:r>
            <w:r w:rsidRPr="00112EE6">
              <w:t>)</w:t>
            </w:r>
          </w:p>
        </w:tc>
        <w:tc>
          <w:tcPr>
            <w:tcW w:w="1843" w:type="dxa"/>
          </w:tcPr>
          <w:p w14:paraId="624A5D11" w14:textId="30FECDDE" w:rsidR="006428E1" w:rsidRPr="00112EE6" w:rsidRDefault="006428E1" w:rsidP="00112EE6">
            <w:pPr>
              <w:pStyle w:val="Tabletext1"/>
              <w:jc w:val="right"/>
              <w:cnfStyle w:val="000000000000" w:firstRow="0" w:lastRow="0" w:firstColumn="0" w:lastColumn="0" w:oddVBand="0" w:evenVBand="0" w:oddHBand="0" w:evenHBand="0" w:firstRowFirstColumn="0" w:firstRowLastColumn="0" w:lastRowFirstColumn="0" w:lastRowLastColumn="0"/>
            </w:pPr>
            <w:r w:rsidRPr="00112EE6">
              <w:t>546.54</w:t>
            </w:r>
            <w:r w:rsidR="003E32B6" w:rsidRPr="00112EE6">
              <w:t xml:space="preserve"> minutes</w:t>
            </w:r>
          </w:p>
        </w:tc>
        <w:tc>
          <w:tcPr>
            <w:tcW w:w="1417" w:type="dxa"/>
          </w:tcPr>
          <w:p w14:paraId="59E139CE" w14:textId="202E93CC" w:rsidR="006428E1" w:rsidRPr="00112EE6" w:rsidRDefault="00A16A8F" w:rsidP="00112EE6">
            <w:pPr>
              <w:pStyle w:val="Tabletext1"/>
              <w:jc w:val="right"/>
              <w:cnfStyle w:val="000000000000" w:firstRow="0" w:lastRow="0" w:firstColumn="0" w:lastColumn="0" w:oddVBand="0" w:evenVBand="0" w:oddHBand="0" w:evenHBand="0" w:firstRowFirstColumn="0" w:firstRowLastColumn="0" w:lastRowFirstColumn="0" w:lastRowLastColumn="0"/>
            </w:pPr>
            <w:r w:rsidRPr="00112EE6">
              <w:t>(</w:t>
            </w:r>
            <w:r w:rsidR="006428E1" w:rsidRPr="00112EE6">
              <w:t>83.09</w:t>
            </w:r>
            <w:r w:rsidRPr="00112EE6">
              <w:t>)</w:t>
            </w:r>
          </w:p>
        </w:tc>
      </w:tr>
      <w:tr w:rsidR="006428E1" w:rsidRPr="00112EE6" w14:paraId="62025DFB" w14:textId="77777777" w:rsidTr="00112EE6">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050" w:type="dxa"/>
          </w:tcPr>
          <w:p w14:paraId="62C27E9B" w14:textId="72CD31F8" w:rsidR="006428E1" w:rsidRPr="00112EE6" w:rsidRDefault="006428E1" w:rsidP="00112EE6">
            <w:pPr>
              <w:pStyle w:val="Tabletext1"/>
              <w:rPr>
                <w:b w:val="0"/>
                <w:bCs w:val="0"/>
              </w:rPr>
            </w:pPr>
            <w:proofErr w:type="spellStart"/>
            <w:r w:rsidRPr="00112EE6">
              <w:rPr>
                <w:b w:val="0"/>
                <w:bCs w:val="0"/>
              </w:rPr>
              <w:t>GENEActiv</w:t>
            </w:r>
            <w:proofErr w:type="spellEnd"/>
            <w:r w:rsidRPr="00112EE6">
              <w:rPr>
                <w:b w:val="0"/>
                <w:bCs w:val="0"/>
              </w:rPr>
              <w:t xml:space="preserve"> - calculated sleep efficiency (%</w:t>
            </w:r>
            <w:proofErr w:type="gramStart"/>
            <w:r w:rsidRPr="00112EE6">
              <w:rPr>
                <w:b w:val="0"/>
                <w:bCs w:val="0"/>
              </w:rPr>
              <w:t>),(</w:t>
            </w:r>
            <w:proofErr w:type="gramEnd"/>
            <w:r w:rsidRPr="00112EE6">
              <w:rPr>
                <w:b w:val="0"/>
                <w:bCs w:val="0"/>
              </w:rPr>
              <w:t>mean, SD)</w:t>
            </w:r>
          </w:p>
        </w:tc>
        <w:tc>
          <w:tcPr>
            <w:tcW w:w="1402" w:type="dxa"/>
          </w:tcPr>
          <w:p w14:paraId="5A7FF160" w14:textId="03B0E92D" w:rsidR="006428E1" w:rsidRPr="00112EE6" w:rsidRDefault="006428E1" w:rsidP="00112EE6">
            <w:pPr>
              <w:pStyle w:val="Tabletext1"/>
              <w:jc w:val="right"/>
              <w:cnfStyle w:val="000000100000" w:firstRow="0" w:lastRow="0" w:firstColumn="0" w:lastColumn="0" w:oddVBand="0" w:evenVBand="0" w:oddHBand="1" w:evenHBand="0" w:firstRowFirstColumn="0" w:firstRowLastColumn="0" w:lastRowFirstColumn="0" w:lastRowLastColumn="0"/>
            </w:pPr>
            <w:r w:rsidRPr="00112EE6">
              <w:t>76.04%</w:t>
            </w:r>
          </w:p>
        </w:tc>
        <w:tc>
          <w:tcPr>
            <w:tcW w:w="1644" w:type="dxa"/>
            <w:noWrap/>
          </w:tcPr>
          <w:p w14:paraId="795BCD62" w14:textId="0FD41EA9" w:rsidR="006428E1" w:rsidRPr="00112EE6" w:rsidRDefault="007A57AF" w:rsidP="00112EE6">
            <w:pPr>
              <w:pStyle w:val="Tabletext1"/>
              <w:jc w:val="right"/>
              <w:cnfStyle w:val="000000100000" w:firstRow="0" w:lastRow="0" w:firstColumn="0" w:lastColumn="0" w:oddVBand="0" w:evenVBand="0" w:oddHBand="1" w:evenHBand="0" w:firstRowFirstColumn="0" w:firstRowLastColumn="0" w:lastRowFirstColumn="0" w:lastRowLastColumn="0"/>
            </w:pPr>
            <w:r w:rsidRPr="00112EE6">
              <w:t>(</w:t>
            </w:r>
            <w:r w:rsidR="006428E1" w:rsidRPr="00112EE6">
              <w:t>18.47</w:t>
            </w:r>
            <w:r w:rsidRPr="00112EE6">
              <w:t>)</w:t>
            </w:r>
          </w:p>
        </w:tc>
        <w:tc>
          <w:tcPr>
            <w:tcW w:w="1843" w:type="dxa"/>
          </w:tcPr>
          <w:p w14:paraId="51E31CD1" w14:textId="04A3A895" w:rsidR="006428E1" w:rsidRPr="00112EE6" w:rsidRDefault="006428E1" w:rsidP="00112EE6">
            <w:pPr>
              <w:pStyle w:val="Tabletext1"/>
              <w:jc w:val="right"/>
              <w:cnfStyle w:val="000000100000" w:firstRow="0" w:lastRow="0" w:firstColumn="0" w:lastColumn="0" w:oddVBand="0" w:evenVBand="0" w:oddHBand="1" w:evenHBand="0" w:firstRowFirstColumn="0" w:firstRowLastColumn="0" w:lastRowFirstColumn="0" w:lastRowLastColumn="0"/>
            </w:pPr>
            <w:r w:rsidRPr="00112EE6">
              <w:t>78.00</w:t>
            </w:r>
            <w:r w:rsidR="003E32B6" w:rsidRPr="00112EE6">
              <w:t>%</w:t>
            </w:r>
          </w:p>
        </w:tc>
        <w:tc>
          <w:tcPr>
            <w:tcW w:w="1417" w:type="dxa"/>
          </w:tcPr>
          <w:p w14:paraId="10D54D47" w14:textId="4538BE7C" w:rsidR="006428E1" w:rsidRPr="00112EE6" w:rsidRDefault="00A16A8F" w:rsidP="00112EE6">
            <w:pPr>
              <w:pStyle w:val="Tabletext1"/>
              <w:jc w:val="right"/>
              <w:cnfStyle w:val="000000100000" w:firstRow="0" w:lastRow="0" w:firstColumn="0" w:lastColumn="0" w:oddVBand="0" w:evenVBand="0" w:oddHBand="1" w:evenHBand="0" w:firstRowFirstColumn="0" w:firstRowLastColumn="0" w:lastRowFirstColumn="0" w:lastRowLastColumn="0"/>
            </w:pPr>
            <w:r w:rsidRPr="00112EE6">
              <w:t>(</w:t>
            </w:r>
            <w:r w:rsidR="006428E1" w:rsidRPr="00112EE6">
              <w:t>15.11</w:t>
            </w:r>
            <w:r w:rsidRPr="00112EE6">
              <w:t>)</w:t>
            </w:r>
          </w:p>
        </w:tc>
      </w:tr>
      <w:tr w:rsidR="006428E1" w:rsidRPr="00112EE6" w14:paraId="4AF34B53" w14:textId="77777777" w:rsidTr="00112EE6">
        <w:trPr>
          <w:trHeight w:val="600"/>
        </w:trPr>
        <w:tc>
          <w:tcPr>
            <w:cnfStyle w:val="001000000000" w:firstRow="0" w:lastRow="0" w:firstColumn="1" w:lastColumn="0" w:oddVBand="0" w:evenVBand="0" w:oddHBand="0" w:evenHBand="0" w:firstRowFirstColumn="0" w:firstRowLastColumn="0" w:lastRowFirstColumn="0" w:lastRowLastColumn="0"/>
            <w:tcW w:w="3050" w:type="dxa"/>
          </w:tcPr>
          <w:p w14:paraId="0FDC4113" w14:textId="22E55505" w:rsidR="006428E1" w:rsidRPr="00112EE6" w:rsidRDefault="006428E1" w:rsidP="00112EE6">
            <w:pPr>
              <w:pStyle w:val="Tabletext1"/>
              <w:rPr>
                <w:b w:val="0"/>
                <w:bCs w:val="0"/>
              </w:rPr>
            </w:pPr>
            <w:proofErr w:type="spellStart"/>
            <w:proofErr w:type="gramStart"/>
            <w:r w:rsidRPr="00112EE6">
              <w:rPr>
                <w:b w:val="0"/>
                <w:bCs w:val="0"/>
              </w:rPr>
              <w:t>GENEActiv</w:t>
            </w:r>
            <w:proofErr w:type="spellEnd"/>
            <w:r w:rsidRPr="00112EE6">
              <w:rPr>
                <w:b w:val="0"/>
                <w:bCs w:val="0"/>
              </w:rPr>
              <w:t xml:space="preserve">  -</w:t>
            </w:r>
            <w:proofErr w:type="gramEnd"/>
            <w:r w:rsidRPr="00112EE6">
              <w:rPr>
                <w:b w:val="0"/>
                <w:bCs w:val="0"/>
              </w:rPr>
              <w:t xml:space="preserve"> average sedentary time per day, mins (mean, SD)</w:t>
            </w:r>
          </w:p>
        </w:tc>
        <w:tc>
          <w:tcPr>
            <w:tcW w:w="1402" w:type="dxa"/>
          </w:tcPr>
          <w:p w14:paraId="0FB9360B" w14:textId="72C7A6BB" w:rsidR="006428E1" w:rsidRPr="00112EE6" w:rsidRDefault="006428E1" w:rsidP="00112EE6">
            <w:pPr>
              <w:pStyle w:val="Tabletext1"/>
              <w:jc w:val="right"/>
              <w:cnfStyle w:val="000000000000" w:firstRow="0" w:lastRow="0" w:firstColumn="0" w:lastColumn="0" w:oddVBand="0" w:evenVBand="0" w:oddHBand="0" w:evenHBand="0" w:firstRowFirstColumn="0" w:firstRowLastColumn="0" w:lastRowFirstColumn="0" w:lastRowLastColumn="0"/>
            </w:pPr>
            <w:r w:rsidRPr="00112EE6">
              <w:t>750.67</w:t>
            </w:r>
            <w:r w:rsidR="003E32B6" w:rsidRPr="00112EE6">
              <w:t xml:space="preserve"> minutes</w:t>
            </w:r>
          </w:p>
        </w:tc>
        <w:tc>
          <w:tcPr>
            <w:tcW w:w="1644" w:type="dxa"/>
            <w:noWrap/>
          </w:tcPr>
          <w:p w14:paraId="4F5B0A0E" w14:textId="2CA1A653" w:rsidR="006428E1" w:rsidRPr="00112EE6" w:rsidRDefault="007A57AF" w:rsidP="00112EE6">
            <w:pPr>
              <w:pStyle w:val="Tabletext1"/>
              <w:jc w:val="right"/>
              <w:cnfStyle w:val="000000000000" w:firstRow="0" w:lastRow="0" w:firstColumn="0" w:lastColumn="0" w:oddVBand="0" w:evenVBand="0" w:oddHBand="0" w:evenHBand="0" w:firstRowFirstColumn="0" w:firstRowLastColumn="0" w:lastRowFirstColumn="0" w:lastRowLastColumn="0"/>
            </w:pPr>
            <w:r w:rsidRPr="00112EE6">
              <w:t>(</w:t>
            </w:r>
            <w:r w:rsidR="006428E1" w:rsidRPr="00112EE6">
              <w:t>87.15</w:t>
            </w:r>
            <w:r w:rsidRPr="00112EE6">
              <w:t>)</w:t>
            </w:r>
          </w:p>
        </w:tc>
        <w:tc>
          <w:tcPr>
            <w:tcW w:w="1843" w:type="dxa"/>
          </w:tcPr>
          <w:p w14:paraId="729D8E8E" w14:textId="66DD8C8A" w:rsidR="006428E1" w:rsidRPr="00112EE6" w:rsidRDefault="006428E1" w:rsidP="00112EE6">
            <w:pPr>
              <w:pStyle w:val="Tabletext1"/>
              <w:jc w:val="right"/>
              <w:cnfStyle w:val="000000000000" w:firstRow="0" w:lastRow="0" w:firstColumn="0" w:lastColumn="0" w:oddVBand="0" w:evenVBand="0" w:oddHBand="0" w:evenHBand="0" w:firstRowFirstColumn="0" w:firstRowLastColumn="0" w:lastRowFirstColumn="0" w:lastRowLastColumn="0"/>
            </w:pPr>
            <w:r w:rsidRPr="00112EE6">
              <w:t>743.11</w:t>
            </w:r>
            <w:r w:rsidR="003E32B6" w:rsidRPr="00112EE6">
              <w:t xml:space="preserve"> minutes</w:t>
            </w:r>
          </w:p>
        </w:tc>
        <w:tc>
          <w:tcPr>
            <w:tcW w:w="1417" w:type="dxa"/>
          </w:tcPr>
          <w:p w14:paraId="2172C4C4" w14:textId="47BCB037" w:rsidR="006428E1" w:rsidRPr="00112EE6" w:rsidRDefault="00A16A8F" w:rsidP="00112EE6">
            <w:pPr>
              <w:pStyle w:val="Tabletext1"/>
              <w:jc w:val="right"/>
              <w:cnfStyle w:val="000000000000" w:firstRow="0" w:lastRow="0" w:firstColumn="0" w:lastColumn="0" w:oddVBand="0" w:evenVBand="0" w:oddHBand="0" w:evenHBand="0" w:firstRowFirstColumn="0" w:firstRowLastColumn="0" w:lastRowFirstColumn="0" w:lastRowLastColumn="0"/>
            </w:pPr>
            <w:r w:rsidRPr="00112EE6">
              <w:t>(</w:t>
            </w:r>
            <w:r w:rsidR="006428E1" w:rsidRPr="00112EE6">
              <w:t>109.67</w:t>
            </w:r>
            <w:r w:rsidRPr="00112EE6">
              <w:t>)</w:t>
            </w:r>
          </w:p>
        </w:tc>
      </w:tr>
      <w:tr w:rsidR="006428E1" w:rsidRPr="00112EE6" w14:paraId="59BB2904" w14:textId="77777777" w:rsidTr="00112EE6">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050" w:type="dxa"/>
          </w:tcPr>
          <w:p w14:paraId="729D8ADD" w14:textId="74C910D8" w:rsidR="006428E1" w:rsidRPr="00112EE6" w:rsidRDefault="006428E1" w:rsidP="00112EE6">
            <w:pPr>
              <w:pStyle w:val="Tabletext1"/>
              <w:rPr>
                <w:b w:val="0"/>
                <w:bCs w:val="0"/>
              </w:rPr>
            </w:pPr>
            <w:proofErr w:type="spellStart"/>
            <w:r w:rsidRPr="00112EE6">
              <w:rPr>
                <w:b w:val="0"/>
                <w:bCs w:val="0"/>
              </w:rPr>
              <w:lastRenderedPageBreak/>
              <w:t>GENEActiv</w:t>
            </w:r>
            <w:proofErr w:type="spellEnd"/>
            <w:r w:rsidRPr="00112EE6">
              <w:rPr>
                <w:b w:val="0"/>
                <w:bCs w:val="0"/>
              </w:rPr>
              <w:t xml:space="preserve"> - average light activity time per day, mins (mean, SD)</w:t>
            </w:r>
          </w:p>
        </w:tc>
        <w:tc>
          <w:tcPr>
            <w:tcW w:w="1402" w:type="dxa"/>
          </w:tcPr>
          <w:p w14:paraId="20E526B7" w14:textId="29DB5353" w:rsidR="006428E1" w:rsidRPr="00112EE6" w:rsidRDefault="006428E1" w:rsidP="00112EE6">
            <w:pPr>
              <w:pStyle w:val="Tabletext1"/>
              <w:jc w:val="right"/>
              <w:cnfStyle w:val="000000100000" w:firstRow="0" w:lastRow="0" w:firstColumn="0" w:lastColumn="0" w:oddVBand="0" w:evenVBand="0" w:oddHBand="1" w:evenHBand="0" w:firstRowFirstColumn="0" w:firstRowLastColumn="0" w:lastRowFirstColumn="0" w:lastRowLastColumn="0"/>
            </w:pPr>
            <w:r w:rsidRPr="00112EE6">
              <w:t xml:space="preserve">97.86 </w:t>
            </w:r>
            <w:r w:rsidR="003E32B6" w:rsidRPr="00112EE6">
              <w:t>minutes</w:t>
            </w:r>
          </w:p>
        </w:tc>
        <w:tc>
          <w:tcPr>
            <w:tcW w:w="1644" w:type="dxa"/>
            <w:noWrap/>
          </w:tcPr>
          <w:p w14:paraId="120AF9A6" w14:textId="72870ECD" w:rsidR="006428E1" w:rsidRPr="00112EE6" w:rsidRDefault="007A57AF" w:rsidP="00112EE6">
            <w:pPr>
              <w:pStyle w:val="Tabletext1"/>
              <w:jc w:val="right"/>
              <w:cnfStyle w:val="000000100000" w:firstRow="0" w:lastRow="0" w:firstColumn="0" w:lastColumn="0" w:oddVBand="0" w:evenVBand="0" w:oddHBand="1" w:evenHBand="0" w:firstRowFirstColumn="0" w:firstRowLastColumn="0" w:lastRowFirstColumn="0" w:lastRowLastColumn="0"/>
            </w:pPr>
            <w:r w:rsidRPr="00112EE6">
              <w:t>(</w:t>
            </w:r>
            <w:r w:rsidR="006428E1" w:rsidRPr="00112EE6">
              <w:t>54.87</w:t>
            </w:r>
            <w:r w:rsidRPr="00112EE6">
              <w:t>)</w:t>
            </w:r>
          </w:p>
        </w:tc>
        <w:tc>
          <w:tcPr>
            <w:tcW w:w="1843" w:type="dxa"/>
          </w:tcPr>
          <w:p w14:paraId="4A180D80" w14:textId="0910CAEF" w:rsidR="006428E1" w:rsidRPr="00112EE6" w:rsidRDefault="006428E1" w:rsidP="00112EE6">
            <w:pPr>
              <w:pStyle w:val="Tabletext1"/>
              <w:jc w:val="right"/>
              <w:cnfStyle w:val="000000100000" w:firstRow="0" w:lastRow="0" w:firstColumn="0" w:lastColumn="0" w:oddVBand="0" w:evenVBand="0" w:oddHBand="1" w:evenHBand="0" w:firstRowFirstColumn="0" w:firstRowLastColumn="0" w:lastRowFirstColumn="0" w:lastRowLastColumn="0"/>
            </w:pPr>
            <w:r w:rsidRPr="00112EE6">
              <w:t>96.12</w:t>
            </w:r>
            <w:r w:rsidR="003E32B6" w:rsidRPr="00112EE6">
              <w:t xml:space="preserve"> minutes</w:t>
            </w:r>
          </w:p>
        </w:tc>
        <w:tc>
          <w:tcPr>
            <w:tcW w:w="1417" w:type="dxa"/>
          </w:tcPr>
          <w:p w14:paraId="17CACA2F" w14:textId="752996E2" w:rsidR="006428E1" w:rsidRPr="00112EE6" w:rsidRDefault="00A16A8F" w:rsidP="00112EE6">
            <w:pPr>
              <w:pStyle w:val="Tabletext1"/>
              <w:jc w:val="right"/>
              <w:cnfStyle w:val="000000100000" w:firstRow="0" w:lastRow="0" w:firstColumn="0" w:lastColumn="0" w:oddVBand="0" w:evenVBand="0" w:oddHBand="1" w:evenHBand="0" w:firstRowFirstColumn="0" w:firstRowLastColumn="0" w:lastRowFirstColumn="0" w:lastRowLastColumn="0"/>
            </w:pPr>
            <w:r w:rsidRPr="00112EE6">
              <w:t>(</w:t>
            </w:r>
            <w:r w:rsidR="006428E1" w:rsidRPr="00112EE6">
              <w:t>51.24</w:t>
            </w:r>
            <w:r w:rsidRPr="00112EE6">
              <w:t>)</w:t>
            </w:r>
          </w:p>
        </w:tc>
      </w:tr>
      <w:tr w:rsidR="006428E1" w:rsidRPr="00112EE6" w14:paraId="59FD3AB8" w14:textId="77777777" w:rsidTr="00112EE6">
        <w:trPr>
          <w:trHeight w:val="600"/>
        </w:trPr>
        <w:tc>
          <w:tcPr>
            <w:cnfStyle w:val="001000000000" w:firstRow="0" w:lastRow="0" w:firstColumn="1" w:lastColumn="0" w:oddVBand="0" w:evenVBand="0" w:oddHBand="0" w:evenHBand="0" w:firstRowFirstColumn="0" w:firstRowLastColumn="0" w:lastRowFirstColumn="0" w:lastRowLastColumn="0"/>
            <w:tcW w:w="3050" w:type="dxa"/>
          </w:tcPr>
          <w:p w14:paraId="4E2F2787" w14:textId="0FF756EB" w:rsidR="006428E1" w:rsidRPr="00112EE6" w:rsidRDefault="006428E1" w:rsidP="00112EE6">
            <w:pPr>
              <w:pStyle w:val="Tabletext1"/>
              <w:rPr>
                <w:b w:val="0"/>
                <w:bCs w:val="0"/>
              </w:rPr>
            </w:pPr>
            <w:proofErr w:type="spellStart"/>
            <w:r w:rsidRPr="00112EE6">
              <w:rPr>
                <w:b w:val="0"/>
                <w:bCs w:val="0"/>
              </w:rPr>
              <w:t>GENEActiv</w:t>
            </w:r>
            <w:proofErr w:type="spellEnd"/>
            <w:r w:rsidRPr="00112EE6">
              <w:rPr>
                <w:b w:val="0"/>
                <w:bCs w:val="0"/>
              </w:rPr>
              <w:t xml:space="preserve"> - moderate activity time per day, mins (mean, SD)</w:t>
            </w:r>
          </w:p>
        </w:tc>
        <w:tc>
          <w:tcPr>
            <w:tcW w:w="1402" w:type="dxa"/>
          </w:tcPr>
          <w:p w14:paraId="020C4E59" w14:textId="6377CBA4" w:rsidR="006428E1" w:rsidRPr="00112EE6" w:rsidRDefault="006428E1" w:rsidP="00112EE6">
            <w:pPr>
              <w:pStyle w:val="Tabletext1"/>
              <w:jc w:val="right"/>
              <w:cnfStyle w:val="000000000000" w:firstRow="0" w:lastRow="0" w:firstColumn="0" w:lastColumn="0" w:oddVBand="0" w:evenVBand="0" w:oddHBand="0" w:evenHBand="0" w:firstRowFirstColumn="0" w:firstRowLastColumn="0" w:lastRowFirstColumn="0" w:lastRowLastColumn="0"/>
            </w:pPr>
            <w:r w:rsidRPr="00112EE6">
              <w:t xml:space="preserve">45.06 </w:t>
            </w:r>
            <w:r w:rsidR="003E32B6" w:rsidRPr="00112EE6">
              <w:t>minutes</w:t>
            </w:r>
          </w:p>
        </w:tc>
        <w:tc>
          <w:tcPr>
            <w:tcW w:w="1644" w:type="dxa"/>
            <w:noWrap/>
          </w:tcPr>
          <w:p w14:paraId="2D2659D1" w14:textId="7267C6D3" w:rsidR="006428E1" w:rsidRPr="00112EE6" w:rsidRDefault="007A57AF" w:rsidP="00112EE6">
            <w:pPr>
              <w:pStyle w:val="Tabletext1"/>
              <w:jc w:val="right"/>
              <w:cnfStyle w:val="000000000000" w:firstRow="0" w:lastRow="0" w:firstColumn="0" w:lastColumn="0" w:oddVBand="0" w:evenVBand="0" w:oddHBand="0" w:evenHBand="0" w:firstRowFirstColumn="0" w:firstRowLastColumn="0" w:lastRowFirstColumn="0" w:lastRowLastColumn="0"/>
            </w:pPr>
            <w:r w:rsidRPr="00112EE6">
              <w:t>(</w:t>
            </w:r>
            <w:r w:rsidR="006428E1" w:rsidRPr="00112EE6">
              <w:t>46.08</w:t>
            </w:r>
            <w:r w:rsidRPr="00112EE6">
              <w:t>)</w:t>
            </w:r>
          </w:p>
        </w:tc>
        <w:tc>
          <w:tcPr>
            <w:tcW w:w="1843" w:type="dxa"/>
          </w:tcPr>
          <w:p w14:paraId="33506438" w14:textId="19AF76E5" w:rsidR="006428E1" w:rsidRPr="00112EE6" w:rsidRDefault="006428E1" w:rsidP="00112EE6">
            <w:pPr>
              <w:pStyle w:val="Tabletext1"/>
              <w:jc w:val="right"/>
              <w:cnfStyle w:val="000000000000" w:firstRow="0" w:lastRow="0" w:firstColumn="0" w:lastColumn="0" w:oddVBand="0" w:evenVBand="0" w:oddHBand="0" w:evenHBand="0" w:firstRowFirstColumn="0" w:firstRowLastColumn="0" w:lastRowFirstColumn="0" w:lastRowLastColumn="0"/>
            </w:pPr>
            <w:r w:rsidRPr="00112EE6">
              <w:t>50.58</w:t>
            </w:r>
            <w:r w:rsidR="003E32B6" w:rsidRPr="00112EE6">
              <w:t xml:space="preserve"> minutes</w:t>
            </w:r>
          </w:p>
        </w:tc>
        <w:tc>
          <w:tcPr>
            <w:tcW w:w="1417" w:type="dxa"/>
          </w:tcPr>
          <w:p w14:paraId="2E219927" w14:textId="7725323B" w:rsidR="006428E1" w:rsidRPr="00112EE6" w:rsidRDefault="00A16A8F" w:rsidP="00112EE6">
            <w:pPr>
              <w:pStyle w:val="Tabletext1"/>
              <w:jc w:val="right"/>
              <w:cnfStyle w:val="000000000000" w:firstRow="0" w:lastRow="0" w:firstColumn="0" w:lastColumn="0" w:oddVBand="0" w:evenVBand="0" w:oddHBand="0" w:evenHBand="0" w:firstRowFirstColumn="0" w:firstRowLastColumn="0" w:lastRowFirstColumn="0" w:lastRowLastColumn="0"/>
            </w:pPr>
            <w:r w:rsidRPr="00112EE6">
              <w:t>(</w:t>
            </w:r>
            <w:r w:rsidR="006428E1" w:rsidRPr="00112EE6">
              <w:t>48.72</w:t>
            </w:r>
            <w:r w:rsidRPr="00112EE6">
              <w:t>)</w:t>
            </w:r>
          </w:p>
        </w:tc>
      </w:tr>
      <w:tr w:rsidR="00711A0E" w:rsidRPr="00112EE6" w14:paraId="31280204" w14:textId="77777777" w:rsidTr="00112EE6">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050" w:type="dxa"/>
          </w:tcPr>
          <w:p w14:paraId="0B655F81" w14:textId="77777777" w:rsidR="00711A0E" w:rsidRPr="00112EE6" w:rsidRDefault="00711A0E" w:rsidP="00112EE6">
            <w:pPr>
              <w:pStyle w:val="Tabletext1"/>
              <w:rPr>
                <w:b w:val="0"/>
                <w:bCs w:val="0"/>
              </w:rPr>
            </w:pPr>
            <w:proofErr w:type="spellStart"/>
            <w:r w:rsidRPr="00112EE6">
              <w:rPr>
                <w:b w:val="0"/>
                <w:bCs w:val="0"/>
              </w:rPr>
              <w:t>GENEActiv</w:t>
            </w:r>
            <w:proofErr w:type="spellEnd"/>
            <w:r w:rsidRPr="00112EE6">
              <w:rPr>
                <w:b w:val="0"/>
                <w:bCs w:val="0"/>
              </w:rPr>
              <w:t xml:space="preserve"> - average moderate and vigorous activity (MVPA) time per day, mins (mean, SD)</w:t>
            </w:r>
          </w:p>
        </w:tc>
        <w:tc>
          <w:tcPr>
            <w:tcW w:w="1402" w:type="dxa"/>
            <w:noWrap/>
          </w:tcPr>
          <w:p w14:paraId="4B0D95C1" w14:textId="69CE1FCD" w:rsidR="00711A0E" w:rsidRPr="00112EE6" w:rsidRDefault="00711A0E" w:rsidP="00112EE6">
            <w:pPr>
              <w:pStyle w:val="Tabletext1"/>
              <w:jc w:val="right"/>
              <w:cnfStyle w:val="000000100000" w:firstRow="0" w:lastRow="0" w:firstColumn="0" w:lastColumn="0" w:oddVBand="0" w:evenVBand="0" w:oddHBand="1" w:evenHBand="0" w:firstRowFirstColumn="0" w:firstRowLastColumn="0" w:lastRowFirstColumn="0" w:lastRowLastColumn="0"/>
            </w:pPr>
            <w:r w:rsidRPr="00112EE6">
              <w:t>45.09</w:t>
            </w:r>
            <w:r w:rsidR="003E32B6" w:rsidRPr="00112EE6">
              <w:t xml:space="preserve"> minutes</w:t>
            </w:r>
          </w:p>
        </w:tc>
        <w:tc>
          <w:tcPr>
            <w:tcW w:w="1644" w:type="dxa"/>
          </w:tcPr>
          <w:p w14:paraId="6336E84D" w14:textId="01735E03" w:rsidR="00711A0E" w:rsidRPr="00112EE6" w:rsidRDefault="00A16A8F" w:rsidP="00112EE6">
            <w:pPr>
              <w:pStyle w:val="Tabletext1"/>
              <w:jc w:val="right"/>
              <w:cnfStyle w:val="000000100000" w:firstRow="0" w:lastRow="0" w:firstColumn="0" w:lastColumn="0" w:oddVBand="0" w:evenVBand="0" w:oddHBand="1" w:evenHBand="0" w:firstRowFirstColumn="0" w:firstRowLastColumn="0" w:lastRowFirstColumn="0" w:lastRowLastColumn="0"/>
            </w:pPr>
            <w:r w:rsidRPr="00112EE6">
              <w:t>(</w:t>
            </w:r>
            <w:r w:rsidR="00711A0E" w:rsidRPr="00112EE6">
              <w:t>46.14</w:t>
            </w:r>
            <w:r w:rsidRPr="00112EE6">
              <w:t>)</w:t>
            </w:r>
          </w:p>
        </w:tc>
        <w:tc>
          <w:tcPr>
            <w:tcW w:w="1843" w:type="dxa"/>
            <w:noWrap/>
          </w:tcPr>
          <w:p w14:paraId="4C7AADFC" w14:textId="3AF4B235" w:rsidR="00711A0E" w:rsidRPr="00112EE6" w:rsidRDefault="00711A0E" w:rsidP="00112EE6">
            <w:pPr>
              <w:pStyle w:val="Tabletext1"/>
              <w:jc w:val="right"/>
              <w:cnfStyle w:val="000000100000" w:firstRow="0" w:lastRow="0" w:firstColumn="0" w:lastColumn="0" w:oddVBand="0" w:evenVBand="0" w:oddHBand="1" w:evenHBand="0" w:firstRowFirstColumn="0" w:firstRowLastColumn="0" w:lastRowFirstColumn="0" w:lastRowLastColumn="0"/>
            </w:pPr>
            <w:r w:rsidRPr="00112EE6">
              <w:t>50.67</w:t>
            </w:r>
            <w:r w:rsidR="003E32B6" w:rsidRPr="00112EE6">
              <w:t xml:space="preserve"> minutes</w:t>
            </w:r>
          </w:p>
        </w:tc>
        <w:tc>
          <w:tcPr>
            <w:tcW w:w="1417" w:type="dxa"/>
          </w:tcPr>
          <w:p w14:paraId="1971787D" w14:textId="560071B4" w:rsidR="00711A0E" w:rsidRPr="00112EE6" w:rsidRDefault="00A16A8F" w:rsidP="00112EE6">
            <w:pPr>
              <w:pStyle w:val="Tabletext1"/>
              <w:jc w:val="right"/>
              <w:cnfStyle w:val="000000100000" w:firstRow="0" w:lastRow="0" w:firstColumn="0" w:lastColumn="0" w:oddVBand="0" w:evenVBand="0" w:oddHBand="1" w:evenHBand="0" w:firstRowFirstColumn="0" w:firstRowLastColumn="0" w:lastRowFirstColumn="0" w:lastRowLastColumn="0"/>
            </w:pPr>
            <w:r w:rsidRPr="00112EE6">
              <w:t>(</w:t>
            </w:r>
            <w:r w:rsidR="00711A0E" w:rsidRPr="00112EE6">
              <w:t>48.90</w:t>
            </w:r>
            <w:r w:rsidRPr="00112EE6">
              <w:t>)</w:t>
            </w:r>
          </w:p>
        </w:tc>
      </w:tr>
      <w:tr w:rsidR="00711A0E" w:rsidRPr="00112EE6" w14:paraId="35FE5A60" w14:textId="77777777" w:rsidTr="00112EE6">
        <w:trPr>
          <w:trHeight w:val="300"/>
        </w:trPr>
        <w:tc>
          <w:tcPr>
            <w:cnfStyle w:val="001000000000" w:firstRow="0" w:lastRow="0" w:firstColumn="1" w:lastColumn="0" w:oddVBand="0" w:evenVBand="0" w:oddHBand="0" w:evenHBand="0" w:firstRowFirstColumn="0" w:firstRowLastColumn="0" w:lastRowFirstColumn="0" w:lastRowLastColumn="0"/>
            <w:tcW w:w="3050" w:type="dxa"/>
          </w:tcPr>
          <w:p w14:paraId="66E22C8A" w14:textId="77777777" w:rsidR="00711A0E" w:rsidRPr="00112EE6" w:rsidRDefault="00711A0E" w:rsidP="00112EE6">
            <w:pPr>
              <w:pStyle w:val="Tabletext1"/>
              <w:rPr>
                <w:b w:val="0"/>
                <w:bCs w:val="0"/>
              </w:rPr>
            </w:pPr>
            <w:proofErr w:type="spellStart"/>
            <w:r w:rsidRPr="00112EE6">
              <w:rPr>
                <w:b w:val="0"/>
                <w:bCs w:val="0"/>
              </w:rPr>
              <w:t>GENEActiv</w:t>
            </w:r>
            <w:proofErr w:type="spellEnd"/>
            <w:r w:rsidRPr="00112EE6">
              <w:rPr>
                <w:b w:val="0"/>
                <w:bCs w:val="0"/>
              </w:rPr>
              <w:t xml:space="preserve"> Moderate Vigorous Physical Activity Bout Length, mins (mean, SD)</w:t>
            </w:r>
          </w:p>
        </w:tc>
        <w:tc>
          <w:tcPr>
            <w:tcW w:w="1402" w:type="dxa"/>
            <w:noWrap/>
          </w:tcPr>
          <w:p w14:paraId="0DD3A937" w14:textId="180322CD" w:rsidR="00711A0E" w:rsidRPr="00112EE6" w:rsidRDefault="00711A0E" w:rsidP="00112EE6">
            <w:pPr>
              <w:pStyle w:val="Tabletext1"/>
              <w:jc w:val="right"/>
              <w:cnfStyle w:val="000000000000" w:firstRow="0" w:lastRow="0" w:firstColumn="0" w:lastColumn="0" w:oddVBand="0" w:evenVBand="0" w:oddHBand="0" w:evenHBand="0" w:firstRowFirstColumn="0" w:firstRowLastColumn="0" w:lastRowFirstColumn="0" w:lastRowLastColumn="0"/>
            </w:pPr>
            <w:r w:rsidRPr="00112EE6">
              <w:t>2.91</w:t>
            </w:r>
            <w:r w:rsidR="003E32B6" w:rsidRPr="00112EE6">
              <w:t xml:space="preserve"> minutes</w:t>
            </w:r>
          </w:p>
        </w:tc>
        <w:tc>
          <w:tcPr>
            <w:tcW w:w="1644" w:type="dxa"/>
          </w:tcPr>
          <w:p w14:paraId="0C0F58DB" w14:textId="7ECFFCCD" w:rsidR="00711A0E" w:rsidRPr="00112EE6" w:rsidRDefault="00A16A8F" w:rsidP="00112EE6">
            <w:pPr>
              <w:pStyle w:val="Tabletext1"/>
              <w:jc w:val="right"/>
              <w:cnfStyle w:val="000000000000" w:firstRow="0" w:lastRow="0" w:firstColumn="0" w:lastColumn="0" w:oddVBand="0" w:evenVBand="0" w:oddHBand="0" w:evenHBand="0" w:firstRowFirstColumn="0" w:firstRowLastColumn="0" w:lastRowFirstColumn="0" w:lastRowLastColumn="0"/>
            </w:pPr>
            <w:r w:rsidRPr="00112EE6">
              <w:t>(</w:t>
            </w:r>
            <w:r w:rsidR="00711A0E" w:rsidRPr="00112EE6">
              <w:t>1.16</w:t>
            </w:r>
            <w:r w:rsidRPr="00112EE6">
              <w:t>)</w:t>
            </w:r>
          </w:p>
        </w:tc>
        <w:tc>
          <w:tcPr>
            <w:tcW w:w="1843" w:type="dxa"/>
            <w:noWrap/>
          </w:tcPr>
          <w:p w14:paraId="43D0940A" w14:textId="1B94CCEE" w:rsidR="00711A0E" w:rsidRPr="00112EE6" w:rsidRDefault="00711A0E" w:rsidP="00112EE6">
            <w:pPr>
              <w:pStyle w:val="Tabletext1"/>
              <w:jc w:val="right"/>
              <w:cnfStyle w:val="000000000000" w:firstRow="0" w:lastRow="0" w:firstColumn="0" w:lastColumn="0" w:oddVBand="0" w:evenVBand="0" w:oddHBand="0" w:evenHBand="0" w:firstRowFirstColumn="0" w:firstRowLastColumn="0" w:lastRowFirstColumn="0" w:lastRowLastColumn="0"/>
            </w:pPr>
            <w:r w:rsidRPr="00112EE6">
              <w:t>2.90</w:t>
            </w:r>
            <w:r w:rsidR="003E32B6" w:rsidRPr="00112EE6">
              <w:t xml:space="preserve"> minutes</w:t>
            </w:r>
          </w:p>
        </w:tc>
        <w:tc>
          <w:tcPr>
            <w:tcW w:w="1417" w:type="dxa"/>
          </w:tcPr>
          <w:p w14:paraId="33CC0C3D" w14:textId="6CD633F8" w:rsidR="00711A0E" w:rsidRPr="00112EE6" w:rsidRDefault="00A16A8F" w:rsidP="00112EE6">
            <w:pPr>
              <w:pStyle w:val="Tabletext1"/>
              <w:jc w:val="right"/>
              <w:cnfStyle w:val="000000000000" w:firstRow="0" w:lastRow="0" w:firstColumn="0" w:lastColumn="0" w:oddVBand="0" w:evenVBand="0" w:oddHBand="0" w:evenHBand="0" w:firstRowFirstColumn="0" w:firstRowLastColumn="0" w:lastRowFirstColumn="0" w:lastRowLastColumn="0"/>
            </w:pPr>
            <w:r w:rsidRPr="00112EE6">
              <w:t>(</w:t>
            </w:r>
            <w:r w:rsidR="00711A0E" w:rsidRPr="00112EE6">
              <w:t>1.10</w:t>
            </w:r>
            <w:r w:rsidRPr="00112EE6">
              <w:t>)</w:t>
            </w:r>
          </w:p>
        </w:tc>
      </w:tr>
      <w:tr w:rsidR="00711A0E" w:rsidRPr="00112EE6" w14:paraId="4ACA337F" w14:textId="77777777" w:rsidTr="00112E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50" w:type="dxa"/>
          </w:tcPr>
          <w:p w14:paraId="79DDE306" w14:textId="77777777" w:rsidR="00711A0E" w:rsidRPr="00112EE6" w:rsidRDefault="00711A0E" w:rsidP="00112EE6">
            <w:pPr>
              <w:pStyle w:val="Tabletext1"/>
              <w:rPr>
                <w:b w:val="0"/>
                <w:bCs w:val="0"/>
              </w:rPr>
            </w:pPr>
            <w:proofErr w:type="spellStart"/>
            <w:r w:rsidRPr="00112EE6">
              <w:rPr>
                <w:b w:val="0"/>
                <w:bCs w:val="0"/>
              </w:rPr>
              <w:t>GENEActiv</w:t>
            </w:r>
            <w:proofErr w:type="spellEnd"/>
            <w:r w:rsidRPr="00112EE6">
              <w:rPr>
                <w:b w:val="0"/>
                <w:bCs w:val="0"/>
              </w:rPr>
              <w:t xml:space="preserve"> number of Moderate Vigorous Physical Activity Bouts (mean, SD)</w:t>
            </w:r>
          </w:p>
        </w:tc>
        <w:tc>
          <w:tcPr>
            <w:tcW w:w="1402" w:type="dxa"/>
            <w:noWrap/>
          </w:tcPr>
          <w:p w14:paraId="505B4854" w14:textId="2ACEE57F" w:rsidR="00711A0E" w:rsidRPr="00112EE6" w:rsidRDefault="00A16A8F" w:rsidP="00112EE6">
            <w:pPr>
              <w:pStyle w:val="Tabletext1"/>
              <w:jc w:val="right"/>
              <w:cnfStyle w:val="000000100000" w:firstRow="0" w:lastRow="0" w:firstColumn="0" w:lastColumn="0" w:oddVBand="0" w:evenVBand="0" w:oddHBand="1" w:evenHBand="0" w:firstRowFirstColumn="0" w:firstRowLastColumn="0" w:lastRowFirstColumn="0" w:lastRowLastColumn="0"/>
            </w:pPr>
            <w:r w:rsidRPr="00112EE6">
              <w:t>14.3</w:t>
            </w:r>
          </w:p>
        </w:tc>
        <w:tc>
          <w:tcPr>
            <w:tcW w:w="1644" w:type="dxa"/>
          </w:tcPr>
          <w:p w14:paraId="58F28EC3" w14:textId="77217C7D" w:rsidR="00711A0E" w:rsidRPr="00112EE6" w:rsidRDefault="00A16A8F" w:rsidP="00112EE6">
            <w:pPr>
              <w:pStyle w:val="Tabletext1"/>
              <w:jc w:val="right"/>
              <w:cnfStyle w:val="000000100000" w:firstRow="0" w:lastRow="0" w:firstColumn="0" w:lastColumn="0" w:oddVBand="0" w:evenVBand="0" w:oddHBand="1" w:evenHBand="0" w:firstRowFirstColumn="0" w:firstRowLastColumn="0" w:lastRowFirstColumn="0" w:lastRowLastColumn="0"/>
            </w:pPr>
            <w:r w:rsidRPr="00112EE6">
              <w:t>(11.4)</w:t>
            </w:r>
          </w:p>
        </w:tc>
        <w:tc>
          <w:tcPr>
            <w:tcW w:w="1843" w:type="dxa"/>
            <w:noWrap/>
          </w:tcPr>
          <w:p w14:paraId="6C5BBD48" w14:textId="7EC61640" w:rsidR="00711A0E" w:rsidRPr="00112EE6" w:rsidRDefault="00A16A8F" w:rsidP="00112EE6">
            <w:pPr>
              <w:pStyle w:val="Tabletext1"/>
              <w:jc w:val="right"/>
              <w:cnfStyle w:val="000000100000" w:firstRow="0" w:lastRow="0" w:firstColumn="0" w:lastColumn="0" w:oddVBand="0" w:evenVBand="0" w:oddHBand="1" w:evenHBand="0" w:firstRowFirstColumn="0" w:firstRowLastColumn="0" w:lastRowFirstColumn="0" w:lastRowLastColumn="0"/>
            </w:pPr>
            <w:r w:rsidRPr="00112EE6">
              <w:t>15.8</w:t>
            </w:r>
          </w:p>
        </w:tc>
        <w:tc>
          <w:tcPr>
            <w:tcW w:w="1417" w:type="dxa"/>
          </w:tcPr>
          <w:p w14:paraId="16796952" w14:textId="19077C73" w:rsidR="00711A0E" w:rsidRPr="00112EE6" w:rsidRDefault="00A16A8F" w:rsidP="00112EE6">
            <w:pPr>
              <w:pStyle w:val="Tabletext1"/>
              <w:jc w:val="right"/>
              <w:cnfStyle w:val="000000100000" w:firstRow="0" w:lastRow="0" w:firstColumn="0" w:lastColumn="0" w:oddVBand="0" w:evenVBand="0" w:oddHBand="1" w:evenHBand="0" w:firstRowFirstColumn="0" w:firstRowLastColumn="0" w:lastRowFirstColumn="0" w:lastRowLastColumn="0"/>
            </w:pPr>
            <w:r w:rsidRPr="00112EE6">
              <w:t>(11.2)</w:t>
            </w:r>
          </w:p>
        </w:tc>
      </w:tr>
    </w:tbl>
    <w:p w14:paraId="0ACB18F7" w14:textId="1218A734" w:rsidR="00F91644" w:rsidRPr="00E90B8E" w:rsidRDefault="00F91644" w:rsidP="00897C5B">
      <w:pPr>
        <w:pStyle w:val="Caption"/>
      </w:pPr>
      <w:r w:rsidRPr="00E90B8E">
        <w:t>Table B-</w:t>
      </w:r>
      <w:r>
        <w:t>5a</w:t>
      </w:r>
      <w:r w:rsidRPr="00E90B8E">
        <w:t xml:space="preserve">: </w:t>
      </w:r>
      <w:proofErr w:type="spellStart"/>
      <w:r w:rsidRPr="00E90B8E">
        <w:t>ReMInDAR</w:t>
      </w:r>
      <w:proofErr w:type="spellEnd"/>
      <w:r w:rsidRPr="00E90B8E">
        <w:t xml:space="preserve"> baseline cohort, </w:t>
      </w:r>
      <w:r w:rsidR="007A57AF">
        <w:t xml:space="preserve">clinical </w:t>
      </w:r>
      <w:r w:rsidRPr="00E90B8E">
        <w:t xml:space="preserve">descriptors for participants by intervention arm. </w:t>
      </w:r>
    </w:p>
    <w:p w14:paraId="2C8964CB" w14:textId="77777777" w:rsidR="00F91644" w:rsidRPr="00C05DBF" w:rsidRDefault="00F91644" w:rsidP="00897C5B">
      <w:pPr>
        <w:pStyle w:val="Caption"/>
      </w:pPr>
      <w:r w:rsidRPr="00C05DBF">
        <w:t xml:space="preserve">* </w:t>
      </w:r>
      <w:proofErr w:type="gramStart"/>
      <w:r w:rsidRPr="00C05DBF">
        <w:t>indicates</w:t>
      </w:r>
      <w:proofErr w:type="gramEnd"/>
      <w:r w:rsidRPr="00C05DBF">
        <w:t xml:space="preserve"> variation between trial arms</w:t>
      </w:r>
    </w:p>
    <w:p w14:paraId="07534B63" w14:textId="66267FAF" w:rsidR="00F91644" w:rsidRDefault="00F91644" w:rsidP="00897C5B">
      <w:pPr>
        <w:pStyle w:val="Caption"/>
      </w:pPr>
      <w:r w:rsidRPr="007A57AF">
        <w:rPr>
          <w:vertAlign w:val="superscript"/>
        </w:rPr>
        <w:t xml:space="preserve">1 </w:t>
      </w:r>
      <w:r w:rsidRPr="00C05DBF">
        <w:t>corresponds to a MoCA (0-30) score of 23/30 for Intervention arm and 22/30 for control arm.</w:t>
      </w:r>
    </w:p>
    <w:tbl>
      <w:tblPr>
        <w:tblStyle w:val="ListTable3"/>
        <w:tblW w:w="9356" w:type="dxa"/>
        <w:tblLook w:val="04A0" w:firstRow="1" w:lastRow="0" w:firstColumn="1" w:lastColumn="0" w:noHBand="0" w:noVBand="1"/>
        <w:tblCaption w:val="Table B-4. Baseline characteristics by trial arm"/>
        <w:tblDescription w:val="The baseline characteristics of the trial participants are described by each trial arm. For each arm the total number (n), the percentage (%) or the statistical variation (IQR) is given. The characteristics include total numbers, age, weight, BMI, Frailty index, comorbidities, difficulties in frailty index, grip strength, MoCA, numbers of PRN and unique, sedative categories, anticholinergic load for medicines, qualtiy of life and accelerometer data."/>
      </w:tblPr>
      <w:tblGrid>
        <w:gridCol w:w="2866"/>
        <w:gridCol w:w="1475"/>
        <w:gridCol w:w="1475"/>
        <w:gridCol w:w="1985"/>
        <w:gridCol w:w="1555"/>
      </w:tblGrid>
      <w:tr w:rsidR="00711A0E" w:rsidRPr="00642951" w14:paraId="768237E3" w14:textId="77777777" w:rsidTr="00642951">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2977" w:type="dxa"/>
            <w:hideMark/>
          </w:tcPr>
          <w:p w14:paraId="5ED92A97" w14:textId="60440AB2" w:rsidR="00711A0E" w:rsidRPr="00642951" w:rsidRDefault="00711A0E" w:rsidP="00642951">
            <w:pPr>
              <w:pStyle w:val="TableHeader"/>
              <w:keepNext/>
              <w:rPr>
                <w:b/>
                <w:bCs w:val="0"/>
              </w:rPr>
            </w:pPr>
            <w:r w:rsidRPr="00642951">
              <w:rPr>
                <w:b/>
                <w:bCs w:val="0"/>
              </w:rPr>
              <w:t>Baseline Medicine Descriptor</w:t>
            </w:r>
          </w:p>
        </w:tc>
        <w:tc>
          <w:tcPr>
            <w:tcW w:w="1418" w:type="dxa"/>
          </w:tcPr>
          <w:p w14:paraId="0DB1845B" w14:textId="16BDD00C" w:rsidR="00711A0E" w:rsidRPr="00642951" w:rsidRDefault="00711A0E" w:rsidP="00642951">
            <w:pPr>
              <w:pStyle w:val="TableHeader"/>
              <w:keepNext/>
              <w:cnfStyle w:val="100000000000" w:firstRow="1" w:lastRow="0" w:firstColumn="0" w:lastColumn="0" w:oddVBand="0" w:evenVBand="0" w:oddHBand="0" w:evenHBand="0" w:firstRowFirstColumn="0" w:firstRowLastColumn="0" w:lastRowFirstColumn="0" w:lastRowLastColumn="0"/>
              <w:rPr>
                <w:b/>
                <w:bCs w:val="0"/>
              </w:rPr>
            </w:pPr>
            <w:r w:rsidRPr="00642951">
              <w:rPr>
                <w:b/>
                <w:bCs w:val="0"/>
              </w:rPr>
              <w:t>Intervention arm</w:t>
            </w:r>
          </w:p>
        </w:tc>
        <w:tc>
          <w:tcPr>
            <w:tcW w:w="1417" w:type="dxa"/>
          </w:tcPr>
          <w:p w14:paraId="4C43CD41" w14:textId="770B0559" w:rsidR="00711A0E" w:rsidRPr="00642951" w:rsidRDefault="00711A0E" w:rsidP="00642951">
            <w:pPr>
              <w:pStyle w:val="TableHeader"/>
              <w:keepNext/>
              <w:cnfStyle w:val="100000000000" w:firstRow="1" w:lastRow="0" w:firstColumn="0" w:lastColumn="0" w:oddVBand="0" w:evenVBand="0" w:oddHBand="0" w:evenHBand="0" w:firstRowFirstColumn="0" w:firstRowLastColumn="0" w:lastRowFirstColumn="0" w:lastRowLastColumn="0"/>
              <w:rPr>
                <w:b/>
                <w:bCs w:val="0"/>
              </w:rPr>
            </w:pPr>
            <w:r w:rsidRPr="00642951">
              <w:rPr>
                <w:b/>
                <w:bCs w:val="0"/>
              </w:rPr>
              <w:t>Intervention arm proportion (%) or Standard Deviation (SD)</w:t>
            </w:r>
          </w:p>
        </w:tc>
        <w:tc>
          <w:tcPr>
            <w:tcW w:w="1985" w:type="dxa"/>
            <w:noWrap/>
            <w:hideMark/>
          </w:tcPr>
          <w:p w14:paraId="60260DC1" w14:textId="77777777" w:rsidR="00711A0E" w:rsidRPr="00642951" w:rsidRDefault="00711A0E" w:rsidP="00642951">
            <w:pPr>
              <w:pStyle w:val="TableHeader"/>
              <w:keepNext/>
              <w:cnfStyle w:val="100000000000" w:firstRow="1" w:lastRow="0" w:firstColumn="0" w:lastColumn="0" w:oddVBand="0" w:evenVBand="0" w:oddHBand="0" w:evenHBand="0" w:firstRowFirstColumn="0" w:firstRowLastColumn="0" w:lastRowFirstColumn="0" w:lastRowLastColumn="0"/>
              <w:rPr>
                <w:b/>
                <w:bCs w:val="0"/>
              </w:rPr>
            </w:pPr>
            <w:r w:rsidRPr="00642951">
              <w:rPr>
                <w:b/>
                <w:bCs w:val="0"/>
              </w:rPr>
              <w:t xml:space="preserve">Comparison arm </w:t>
            </w:r>
          </w:p>
        </w:tc>
        <w:tc>
          <w:tcPr>
            <w:tcW w:w="1559" w:type="dxa"/>
          </w:tcPr>
          <w:p w14:paraId="2EEA8878" w14:textId="77777777" w:rsidR="00711A0E" w:rsidRPr="00642951" w:rsidRDefault="00711A0E" w:rsidP="00642951">
            <w:pPr>
              <w:pStyle w:val="TableHeader"/>
              <w:keepNext/>
              <w:cnfStyle w:val="100000000000" w:firstRow="1" w:lastRow="0" w:firstColumn="0" w:lastColumn="0" w:oddVBand="0" w:evenVBand="0" w:oddHBand="0" w:evenHBand="0" w:firstRowFirstColumn="0" w:firstRowLastColumn="0" w:lastRowFirstColumn="0" w:lastRowLastColumn="0"/>
              <w:rPr>
                <w:b/>
                <w:bCs w:val="0"/>
              </w:rPr>
            </w:pPr>
            <w:r w:rsidRPr="00642951">
              <w:rPr>
                <w:b/>
                <w:bCs w:val="0"/>
              </w:rPr>
              <w:t>Comparison arm proportion (%) or Standard Deviation (SD)</w:t>
            </w:r>
          </w:p>
        </w:tc>
      </w:tr>
      <w:tr w:rsidR="00711A0E" w:rsidRPr="00F42B1D" w14:paraId="5ED4B734" w14:textId="77777777" w:rsidTr="006429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7" w:type="dxa"/>
          </w:tcPr>
          <w:p w14:paraId="3774B6FB" w14:textId="7B262284" w:rsidR="00711A0E" w:rsidRPr="00642951" w:rsidRDefault="00711A0E" w:rsidP="00642951">
            <w:pPr>
              <w:pStyle w:val="Tabletext1"/>
              <w:keepNext/>
              <w:rPr>
                <w:b w:val="0"/>
                <w:bCs w:val="0"/>
              </w:rPr>
            </w:pPr>
            <w:r w:rsidRPr="00642951">
              <w:rPr>
                <w:b w:val="0"/>
                <w:bCs w:val="0"/>
              </w:rPr>
              <w:t>Number of PRN medicines, n (mean, SD)</w:t>
            </w:r>
          </w:p>
        </w:tc>
        <w:tc>
          <w:tcPr>
            <w:tcW w:w="1418" w:type="dxa"/>
          </w:tcPr>
          <w:p w14:paraId="5F7541F8" w14:textId="6B329D37" w:rsidR="00711A0E" w:rsidRPr="004F75D9" w:rsidRDefault="00711A0E" w:rsidP="00642951">
            <w:pPr>
              <w:pStyle w:val="Tabletext1"/>
              <w:keepNext/>
              <w:jc w:val="right"/>
              <w:cnfStyle w:val="000000100000" w:firstRow="0" w:lastRow="0" w:firstColumn="0" w:lastColumn="0" w:oddVBand="0" w:evenVBand="0" w:oddHBand="1" w:evenHBand="0" w:firstRowFirstColumn="0" w:firstRowLastColumn="0" w:lastRowFirstColumn="0" w:lastRowLastColumn="0"/>
            </w:pPr>
            <w:r w:rsidRPr="004F75D9">
              <w:t>5.34</w:t>
            </w:r>
          </w:p>
        </w:tc>
        <w:tc>
          <w:tcPr>
            <w:tcW w:w="1417" w:type="dxa"/>
            <w:noWrap/>
          </w:tcPr>
          <w:p w14:paraId="139C8DD5" w14:textId="4E74C97D" w:rsidR="00711A0E" w:rsidRPr="00C05DBF" w:rsidRDefault="000F3E39" w:rsidP="00642951">
            <w:pPr>
              <w:pStyle w:val="Tabletext1"/>
              <w:keepNext/>
              <w:jc w:val="right"/>
              <w:cnfStyle w:val="000000100000" w:firstRow="0" w:lastRow="0" w:firstColumn="0" w:lastColumn="0" w:oddVBand="0" w:evenVBand="0" w:oddHBand="1" w:evenHBand="0" w:firstRowFirstColumn="0" w:firstRowLastColumn="0" w:lastRowFirstColumn="0" w:lastRowLastColumn="0"/>
            </w:pPr>
            <w:r>
              <w:t>(</w:t>
            </w:r>
            <w:r w:rsidR="00711A0E">
              <w:t>3.17</w:t>
            </w:r>
            <w:r>
              <w:t>)</w:t>
            </w:r>
          </w:p>
        </w:tc>
        <w:tc>
          <w:tcPr>
            <w:tcW w:w="1985" w:type="dxa"/>
            <w:noWrap/>
          </w:tcPr>
          <w:p w14:paraId="6BFCC153" w14:textId="7F9AF11A" w:rsidR="00711A0E" w:rsidRPr="00C05DBF" w:rsidRDefault="00711A0E" w:rsidP="00642951">
            <w:pPr>
              <w:pStyle w:val="Tabletext1"/>
              <w:keepNext/>
              <w:jc w:val="right"/>
              <w:cnfStyle w:val="000000100000" w:firstRow="0" w:lastRow="0" w:firstColumn="0" w:lastColumn="0" w:oddVBand="0" w:evenVBand="0" w:oddHBand="1" w:evenHBand="0" w:firstRowFirstColumn="0" w:firstRowLastColumn="0" w:lastRowFirstColumn="0" w:lastRowLastColumn="0"/>
            </w:pPr>
            <w:r w:rsidRPr="004F75D9">
              <w:t>5.05</w:t>
            </w:r>
          </w:p>
        </w:tc>
        <w:tc>
          <w:tcPr>
            <w:tcW w:w="1559" w:type="dxa"/>
          </w:tcPr>
          <w:p w14:paraId="5A917F0B" w14:textId="27B89DDD" w:rsidR="00711A0E" w:rsidRPr="00C05DBF" w:rsidRDefault="000F3E39" w:rsidP="00642951">
            <w:pPr>
              <w:pStyle w:val="Tabletext1"/>
              <w:keepNext/>
              <w:jc w:val="right"/>
              <w:cnfStyle w:val="000000100000" w:firstRow="0" w:lastRow="0" w:firstColumn="0" w:lastColumn="0" w:oddVBand="0" w:evenVBand="0" w:oddHBand="1" w:evenHBand="0" w:firstRowFirstColumn="0" w:firstRowLastColumn="0" w:lastRowFirstColumn="0" w:lastRowLastColumn="0"/>
            </w:pPr>
            <w:r>
              <w:t>(</w:t>
            </w:r>
            <w:r w:rsidR="00711A0E">
              <w:t>3.22</w:t>
            </w:r>
            <w:r>
              <w:t>)</w:t>
            </w:r>
          </w:p>
        </w:tc>
      </w:tr>
      <w:tr w:rsidR="00711A0E" w:rsidRPr="00F42B1D" w14:paraId="37F8CD11" w14:textId="77777777" w:rsidTr="00642951">
        <w:trPr>
          <w:trHeight w:val="300"/>
        </w:trPr>
        <w:tc>
          <w:tcPr>
            <w:cnfStyle w:val="001000000000" w:firstRow="0" w:lastRow="0" w:firstColumn="1" w:lastColumn="0" w:oddVBand="0" w:evenVBand="0" w:oddHBand="0" w:evenHBand="0" w:firstRowFirstColumn="0" w:firstRowLastColumn="0" w:lastRowFirstColumn="0" w:lastRowLastColumn="0"/>
            <w:tcW w:w="2977" w:type="dxa"/>
          </w:tcPr>
          <w:p w14:paraId="2FC4E6BC" w14:textId="53313B75" w:rsidR="00711A0E" w:rsidRPr="00642951" w:rsidRDefault="00711A0E" w:rsidP="00642951">
            <w:pPr>
              <w:pStyle w:val="Tabletext1"/>
              <w:keepNext/>
              <w:rPr>
                <w:b w:val="0"/>
                <w:bCs w:val="0"/>
              </w:rPr>
            </w:pPr>
            <w:r w:rsidRPr="00642951">
              <w:rPr>
                <w:b w:val="0"/>
                <w:bCs w:val="0"/>
              </w:rPr>
              <w:t>Number of unique* medicines, n (mean, SD)</w:t>
            </w:r>
          </w:p>
        </w:tc>
        <w:tc>
          <w:tcPr>
            <w:tcW w:w="1418" w:type="dxa"/>
          </w:tcPr>
          <w:p w14:paraId="7095442D" w14:textId="44C82645" w:rsidR="00711A0E" w:rsidRPr="004F75D9" w:rsidRDefault="00711A0E" w:rsidP="00642951">
            <w:pPr>
              <w:pStyle w:val="Tabletext1"/>
              <w:keepNext/>
              <w:jc w:val="right"/>
              <w:cnfStyle w:val="000000000000" w:firstRow="0" w:lastRow="0" w:firstColumn="0" w:lastColumn="0" w:oddVBand="0" w:evenVBand="0" w:oddHBand="0" w:evenHBand="0" w:firstRowFirstColumn="0" w:firstRowLastColumn="0" w:lastRowFirstColumn="0" w:lastRowLastColumn="0"/>
            </w:pPr>
            <w:r w:rsidRPr="004F75D9">
              <w:t>15.23</w:t>
            </w:r>
          </w:p>
        </w:tc>
        <w:tc>
          <w:tcPr>
            <w:tcW w:w="1417" w:type="dxa"/>
            <w:noWrap/>
          </w:tcPr>
          <w:p w14:paraId="2FD4835A" w14:textId="24951C58" w:rsidR="00711A0E" w:rsidRPr="00C05DBF" w:rsidRDefault="000F3E39" w:rsidP="00642951">
            <w:pPr>
              <w:pStyle w:val="Tabletext1"/>
              <w:keepNext/>
              <w:jc w:val="right"/>
              <w:cnfStyle w:val="000000000000" w:firstRow="0" w:lastRow="0" w:firstColumn="0" w:lastColumn="0" w:oddVBand="0" w:evenVBand="0" w:oddHBand="0" w:evenHBand="0" w:firstRowFirstColumn="0" w:firstRowLastColumn="0" w:lastRowFirstColumn="0" w:lastRowLastColumn="0"/>
            </w:pPr>
            <w:r>
              <w:t>(</w:t>
            </w:r>
            <w:r w:rsidR="00711A0E">
              <w:t>5.71</w:t>
            </w:r>
            <w:r>
              <w:t>)</w:t>
            </w:r>
          </w:p>
        </w:tc>
        <w:tc>
          <w:tcPr>
            <w:tcW w:w="1985" w:type="dxa"/>
            <w:noWrap/>
          </w:tcPr>
          <w:p w14:paraId="33224ADD" w14:textId="3F837005" w:rsidR="00711A0E" w:rsidRPr="00C05DBF" w:rsidRDefault="00711A0E" w:rsidP="00642951">
            <w:pPr>
              <w:pStyle w:val="Tabletext1"/>
              <w:keepNext/>
              <w:jc w:val="right"/>
              <w:cnfStyle w:val="000000000000" w:firstRow="0" w:lastRow="0" w:firstColumn="0" w:lastColumn="0" w:oddVBand="0" w:evenVBand="0" w:oddHBand="0" w:evenHBand="0" w:firstRowFirstColumn="0" w:firstRowLastColumn="0" w:lastRowFirstColumn="0" w:lastRowLastColumn="0"/>
            </w:pPr>
            <w:r w:rsidRPr="004F75D9">
              <w:t>14.33</w:t>
            </w:r>
          </w:p>
        </w:tc>
        <w:tc>
          <w:tcPr>
            <w:tcW w:w="1559" w:type="dxa"/>
          </w:tcPr>
          <w:p w14:paraId="459EE19E" w14:textId="1DD41DAD" w:rsidR="00711A0E" w:rsidRPr="00C05DBF" w:rsidRDefault="000F3E39" w:rsidP="00642951">
            <w:pPr>
              <w:pStyle w:val="Tabletext1"/>
              <w:keepNext/>
              <w:jc w:val="right"/>
              <w:cnfStyle w:val="000000000000" w:firstRow="0" w:lastRow="0" w:firstColumn="0" w:lastColumn="0" w:oddVBand="0" w:evenVBand="0" w:oddHBand="0" w:evenHBand="0" w:firstRowFirstColumn="0" w:firstRowLastColumn="0" w:lastRowFirstColumn="0" w:lastRowLastColumn="0"/>
            </w:pPr>
            <w:r>
              <w:t>(</w:t>
            </w:r>
            <w:r w:rsidR="00711A0E">
              <w:t>5.58</w:t>
            </w:r>
            <w:r>
              <w:t>)</w:t>
            </w:r>
          </w:p>
        </w:tc>
      </w:tr>
      <w:tr w:rsidR="00711A0E" w:rsidRPr="00F42B1D" w14:paraId="6F02642A" w14:textId="77777777" w:rsidTr="006429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7" w:type="dxa"/>
          </w:tcPr>
          <w:p w14:paraId="064FF77C" w14:textId="3948C4CE" w:rsidR="00711A0E" w:rsidRPr="00642951" w:rsidRDefault="00711A0E" w:rsidP="00642951">
            <w:pPr>
              <w:pStyle w:val="Tabletext1"/>
              <w:rPr>
                <w:b w:val="0"/>
                <w:bCs w:val="0"/>
              </w:rPr>
            </w:pPr>
            <w:r w:rsidRPr="00642951">
              <w:rPr>
                <w:b w:val="0"/>
                <w:bCs w:val="0"/>
              </w:rPr>
              <w:t>Number of unique** medicines, n (mean, SD)</w:t>
            </w:r>
          </w:p>
        </w:tc>
        <w:tc>
          <w:tcPr>
            <w:tcW w:w="1418" w:type="dxa"/>
          </w:tcPr>
          <w:p w14:paraId="5F6B6E67" w14:textId="024083D9" w:rsidR="00711A0E" w:rsidRPr="004F75D9" w:rsidRDefault="00711A0E" w:rsidP="00642951">
            <w:pPr>
              <w:pStyle w:val="Tabletext1"/>
              <w:jc w:val="right"/>
              <w:cnfStyle w:val="000000100000" w:firstRow="0" w:lastRow="0" w:firstColumn="0" w:lastColumn="0" w:oddVBand="0" w:evenVBand="0" w:oddHBand="1" w:evenHBand="0" w:firstRowFirstColumn="0" w:firstRowLastColumn="0" w:lastRowFirstColumn="0" w:lastRowLastColumn="0"/>
            </w:pPr>
            <w:r w:rsidRPr="004F75D9">
              <w:t>2.48</w:t>
            </w:r>
          </w:p>
        </w:tc>
        <w:tc>
          <w:tcPr>
            <w:tcW w:w="1417" w:type="dxa"/>
            <w:noWrap/>
          </w:tcPr>
          <w:p w14:paraId="44D614E8" w14:textId="6925A8F9" w:rsidR="00711A0E" w:rsidRPr="00C05DBF" w:rsidRDefault="000F3E39" w:rsidP="00642951">
            <w:pPr>
              <w:pStyle w:val="Tabletext1"/>
              <w:jc w:val="right"/>
              <w:cnfStyle w:val="000000100000" w:firstRow="0" w:lastRow="0" w:firstColumn="0" w:lastColumn="0" w:oddVBand="0" w:evenVBand="0" w:oddHBand="1" w:evenHBand="0" w:firstRowFirstColumn="0" w:firstRowLastColumn="0" w:lastRowFirstColumn="0" w:lastRowLastColumn="0"/>
            </w:pPr>
            <w:r>
              <w:t>(</w:t>
            </w:r>
            <w:r w:rsidR="00711A0E">
              <w:t>1.8</w:t>
            </w:r>
            <w:r>
              <w:t>)</w:t>
            </w:r>
          </w:p>
        </w:tc>
        <w:tc>
          <w:tcPr>
            <w:tcW w:w="1985" w:type="dxa"/>
            <w:noWrap/>
          </w:tcPr>
          <w:p w14:paraId="0DB6AC43" w14:textId="7AB7618B" w:rsidR="00711A0E" w:rsidRPr="00C05DBF" w:rsidRDefault="00711A0E" w:rsidP="00642951">
            <w:pPr>
              <w:pStyle w:val="Tabletext1"/>
              <w:jc w:val="right"/>
              <w:cnfStyle w:val="000000100000" w:firstRow="0" w:lastRow="0" w:firstColumn="0" w:lastColumn="0" w:oddVBand="0" w:evenVBand="0" w:oddHBand="1" w:evenHBand="0" w:firstRowFirstColumn="0" w:firstRowLastColumn="0" w:lastRowFirstColumn="0" w:lastRowLastColumn="0"/>
            </w:pPr>
            <w:r w:rsidRPr="004F75D9">
              <w:t>2.38</w:t>
            </w:r>
          </w:p>
        </w:tc>
        <w:tc>
          <w:tcPr>
            <w:tcW w:w="1559" w:type="dxa"/>
          </w:tcPr>
          <w:p w14:paraId="33FB46B4" w14:textId="57C4B50F" w:rsidR="00711A0E" w:rsidRPr="00C05DBF" w:rsidRDefault="000F3E39" w:rsidP="00642951">
            <w:pPr>
              <w:pStyle w:val="Tabletext1"/>
              <w:jc w:val="right"/>
              <w:cnfStyle w:val="000000100000" w:firstRow="0" w:lastRow="0" w:firstColumn="0" w:lastColumn="0" w:oddVBand="0" w:evenVBand="0" w:oddHBand="1" w:evenHBand="0" w:firstRowFirstColumn="0" w:firstRowLastColumn="0" w:lastRowFirstColumn="0" w:lastRowLastColumn="0"/>
            </w:pPr>
            <w:r>
              <w:t>(</w:t>
            </w:r>
            <w:r w:rsidR="00711A0E">
              <w:t>1.87</w:t>
            </w:r>
            <w:r>
              <w:t>)</w:t>
            </w:r>
          </w:p>
        </w:tc>
      </w:tr>
      <w:tr w:rsidR="00711A0E" w:rsidRPr="00F42B1D" w14:paraId="790BBFD3" w14:textId="17264187" w:rsidTr="00642951">
        <w:trPr>
          <w:trHeight w:val="300"/>
        </w:trPr>
        <w:tc>
          <w:tcPr>
            <w:cnfStyle w:val="001000000000" w:firstRow="0" w:lastRow="0" w:firstColumn="1" w:lastColumn="0" w:oddVBand="0" w:evenVBand="0" w:oddHBand="0" w:evenHBand="0" w:firstRowFirstColumn="0" w:firstRowLastColumn="0" w:lastRowFirstColumn="0" w:lastRowLastColumn="0"/>
            <w:tcW w:w="2977" w:type="dxa"/>
            <w:hideMark/>
          </w:tcPr>
          <w:p w14:paraId="49C61AE2" w14:textId="7C8A4FAE" w:rsidR="00711A0E" w:rsidRPr="00642951" w:rsidRDefault="00711A0E" w:rsidP="00642951">
            <w:pPr>
              <w:pStyle w:val="Tabletext1"/>
              <w:rPr>
                <w:b w:val="0"/>
                <w:bCs w:val="0"/>
              </w:rPr>
            </w:pPr>
            <w:r w:rsidRPr="00642951">
              <w:rPr>
                <w:b w:val="0"/>
                <w:bCs w:val="0"/>
              </w:rPr>
              <w:t>Number of sedatives categorised</w:t>
            </w:r>
          </w:p>
        </w:tc>
        <w:tc>
          <w:tcPr>
            <w:tcW w:w="1418" w:type="dxa"/>
          </w:tcPr>
          <w:p w14:paraId="74A2FA11" w14:textId="77777777" w:rsidR="00711A0E" w:rsidRPr="00C05DBF" w:rsidRDefault="00711A0E" w:rsidP="00642951">
            <w:pPr>
              <w:pStyle w:val="Tabletext1"/>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417" w:type="dxa"/>
            <w:noWrap/>
          </w:tcPr>
          <w:p w14:paraId="500224D9" w14:textId="37773E6F" w:rsidR="00711A0E" w:rsidRPr="00C05DBF" w:rsidRDefault="00711A0E" w:rsidP="00642951">
            <w:pPr>
              <w:pStyle w:val="Tabletext1"/>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985" w:type="dxa"/>
            <w:noWrap/>
            <w:hideMark/>
          </w:tcPr>
          <w:p w14:paraId="7D4C7404" w14:textId="5C85FFC9" w:rsidR="00711A0E" w:rsidRPr="00C05DBF" w:rsidRDefault="00711A0E" w:rsidP="00642951">
            <w:pPr>
              <w:pStyle w:val="Tabletext1"/>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559" w:type="dxa"/>
          </w:tcPr>
          <w:p w14:paraId="209793BD" w14:textId="77777777" w:rsidR="00711A0E" w:rsidRPr="00C05DBF" w:rsidRDefault="00711A0E" w:rsidP="00642951">
            <w:pPr>
              <w:pStyle w:val="Tabletext1"/>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711A0E" w:rsidRPr="00F42B1D" w14:paraId="23B78C73" w14:textId="42FB644A" w:rsidTr="006429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7" w:type="dxa"/>
            <w:hideMark/>
          </w:tcPr>
          <w:p w14:paraId="52CB03F4" w14:textId="29BD8CB7" w:rsidR="00711A0E" w:rsidRPr="00642951" w:rsidRDefault="00711A0E" w:rsidP="00642951">
            <w:pPr>
              <w:pStyle w:val="Tabletext1"/>
              <w:rPr>
                <w:b w:val="0"/>
                <w:bCs w:val="0"/>
              </w:rPr>
            </w:pPr>
            <w:r w:rsidRPr="00642951">
              <w:rPr>
                <w:b w:val="0"/>
                <w:bCs w:val="0"/>
              </w:rPr>
              <w:t xml:space="preserve"> # </w:t>
            </w:r>
            <w:proofErr w:type="gramStart"/>
            <w:r w:rsidRPr="00642951">
              <w:rPr>
                <w:b w:val="0"/>
                <w:bCs w:val="0"/>
              </w:rPr>
              <w:t>sedatives</w:t>
            </w:r>
            <w:proofErr w:type="gramEnd"/>
            <w:r w:rsidRPr="00642951">
              <w:rPr>
                <w:b w:val="0"/>
                <w:bCs w:val="0"/>
              </w:rPr>
              <w:t>, n= 0, n (%)</w:t>
            </w:r>
          </w:p>
        </w:tc>
        <w:tc>
          <w:tcPr>
            <w:tcW w:w="1418" w:type="dxa"/>
          </w:tcPr>
          <w:p w14:paraId="2C0B95CF" w14:textId="000EBDB4" w:rsidR="00711A0E" w:rsidRPr="00C05DBF" w:rsidRDefault="00711A0E" w:rsidP="00642951">
            <w:pPr>
              <w:pStyle w:val="Tabletext1"/>
              <w:jc w:val="right"/>
              <w:cnfStyle w:val="000000100000" w:firstRow="0" w:lastRow="0" w:firstColumn="0" w:lastColumn="0" w:oddVBand="0" w:evenVBand="0" w:oddHBand="1" w:evenHBand="0" w:firstRowFirstColumn="0" w:firstRowLastColumn="0" w:lastRowFirstColumn="0" w:lastRowLastColumn="0"/>
            </w:pPr>
            <w:r w:rsidRPr="00C05DBF">
              <w:t>16</w:t>
            </w:r>
          </w:p>
        </w:tc>
        <w:tc>
          <w:tcPr>
            <w:tcW w:w="1417" w:type="dxa"/>
            <w:noWrap/>
          </w:tcPr>
          <w:p w14:paraId="51637CAF" w14:textId="2E4616F5" w:rsidR="00711A0E" w:rsidRPr="00C05DBF" w:rsidRDefault="00711A0E" w:rsidP="00642951">
            <w:pPr>
              <w:pStyle w:val="Tabletext1"/>
              <w:jc w:val="right"/>
              <w:cnfStyle w:val="000000100000" w:firstRow="0" w:lastRow="0" w:firstColumn="0" w:lastColumn="0" w:oddVBand="0" w:evenVBand="0" w:oddHBand="1" w:evenHBand="0" w:firstRowFirstColumn="0" w:firstRowLastColumn="0" w:lastRowFirstColumn="0" w:lastRowLastColumn="0"/>
            </w:pPr>
            <w:r>
              <w:t>13.3%</w:t>
            </w:r>
          </w:p>
        </w:tc>
        <w:tc>
          <w:tcPr>
            <w:tcW w:w="1985" w:type="dxa"/>
            <w:noWrap/>
            <w:hideMark/>
          </w:tcPr>
          <w:p w14:paraId="70B325A1" w14:textId="4D8B26A7" w:rsidR="00711A0E" w:rsidRPr="00C05DBF" w:rsidRDefault="00711A0E" w:rsidP="00642951">
            <w:pPr>
              <w:pStyle w:val="Tabletext1"/>
              <w:jc w:val="right"/>
              <w:cnfStyle w:val="000000100000" w:firstRow="0" w:lastRow="0" w:firstColumn="0" w:lastColumn="0" w:oddVBand="0" w:evenVBand="0" w:oddHBand="1" w:evenHBand="0" w:firstRowFirstColumn="0" w:firstRowLastColumn="0" w:lastRowFirstColumn="0" w:lastRowLastColumn="0"/>
            </w:pPr>
            <w:r w:rsidRPr="00C05DBF">
              <w:t>21</w:t>
            </w:r>
          </w:p>
        </w:tc>
        <w:tc>
          <w:tcPr>
            <w:tcW w:w="1559" w:type="dxa"/>
          </w:tcPr>
          <w:p w14:paraId="3D18B5DC" w14:textId="29969CB4" w:rsidR="00711A0E" w:rsidRPr="00C05DBF" w:rsidRDefault="00711A0E" w:rsidP="00642951">
            <w:pPr>
              <w:pStyle w:val="Tabletext1"/>
              <w:jc w:val="right"/>
              <w:cnfStyle w:val="000000100000" w:firstRow="0" w:lastRow="0" w:firstColumn="0" w:lastColumn="0" w:oddVBand="0" w:evenVBand="0" w:oddHBand="1" w:evenHBand="0" w:firstRowFirstColumn="0" w:firstRowLastColumn="0" w:lastRowFirstColumn="0" w:lastRowLastColumn="0"/>
            </w:pPr>
            <w:r>
              <w:t>16.4%</w:t>
            </w:r>
          </w:p>
        </w:tc>
      </w:tr>
      <w:tr w:rsidR="00711A0E" w:rsidRPr="00F42B1D" w14:paraId="7EC1E392" w14:textId="4EF204E2" w:rsidTr="00642951">
        <w:trPr>
          <w:trHeight w:val="300"/>
        </w:trPr>
        <w:tc>
          <w:tcPr>
            <w:cnfStyle w:val="001000000000" w:firstRow="0" w:lastRow="0" w:firstColumn="1" w:lastColumn="0" w:oddVBand="0" w:evenVBand="0" w:oddHBand="0" w:evenHBand="0" w:firstRowFirstColumn="0" w:firstRowLastColumn="0" w:lastRowFirstColumn="0" w:lastRowLastColumn="0"/>
            <w:tcW w:w="2977" w:type="dxa"/>
            <w:hideMark/>
          </w:tcPr>
          <w:p w14:paraId="5393CE19" w14:textId="02AFDD7F" w:rsidR="00711A0E" w:rsidRPr="00642951" w:rsidRDefault="00711A0E" w:rsidP="00642951">
            <w:pPr>
              <w:pStyle w:val="Tabletext1"/>
              <w:rPr>
                <w:b w:val="0"/>
                <w:bCs w:val="0"/>
              </w:rPr>
            </w:pPr>
            <w:r w:rsidRPr="00642951">
              <w:rPr>
                <w:b w:val="0"/>
                <w:bCs w:val="0"/>
              </w:rPr>
              <w:t xml:space="preserve">  # </w:t>
            </w:r>
            <w:proofErr w:type="gramStart"/>
            <w:r w:rsidRPr="00642951">
              <w:rPr>
                <w:b w:val="0"/>
                <w:bCs w:val="0"/>
              </w:rPr>
              <w:t>sedatives</w:t>
            </w:r>
            <w:proofErr w:type="gramEnd"/>
            <w:r w:rsidRPr="00642951">
              <w:rPr>
                <w:b w:val="0"/>
                <w:bCs w:val="0"/>
              </w:rPr>
              <w:t>, n=1-2, n (%)</w:t>
            </w:r>
          </w:p>
        </w:tc>
        <w:tc>
          <w:tcPr>
            <w:tcW w:w="1418" w:type="dxa"/>
          </w:tcPr>
          <w:p w14:paraId="4A39F0EB" w14:textId="509059C4" w:rsidR="00711A0E" w:rsidRDefault="00711A0E" w:rsidP="00642951">
            <w:pPr>
              <w:pStyle w:val="Tabletext1"/>
              <w:jc w:val="right"/>
              <w:cnfStyle w:val="000000000000" w:firstRow="0" w:lastRow="0" w:firstColumn="0" w:lastColumn="0" w:oddVBand="0" w:evenVBand="0" w:oddHBand="0" w:evenHBand="0" w:firstRowFirstColumn="0" w:firstRowLastColumn="0" w:lastRowFirstColumn="0" w:lastRowLastColumn="0"/>
            </w:pPr>
            <w:r>
              <w:t>52</w:t>
            </w:r>
          </w:p>
        </w:tc>
        <w:tc>
          <w:tcPr>
            <w:tcW w:w="1417" w:type="dxa"/>
            <w:noWrap/>
          </w:tcPr>
          <w:p w14:paraId="6856895E" w14:textId="51EB79A3" w:rsidR="00711A0E" w:rsidRPr="00C05DBF" w:rsidRDefault="00711A0E" w:rsidP="00642951">
            <w:pPr>
              <w:pStyle w:val="Tabletext1"/>
              <w:jc w:val="right"/>
              <w:cnfStyle w:val="000000000000" w:firstRow="0" w:lastRow="0" w:firstColumn="0" w:lastColumn="0" w:oddVBand="0" w:evenVBand="0" w:oddHBand="0" w:evenHBand="0" w:firstRowFirstColumn="0" w:firstRowLastColumn="0" w:lastRowFirstColumn="0" w:lastRowLastColumn="0"/>
            </w:pPr>
            <w:r>
              <w:t>43.3%</w:t>
            </w:r>
          </w:p>
        </w:tc>
        <w:tc>
          <w:tcPr>
            <w:tcW w:w="1985" w:type="dxa"/>
            <w:noWrap/>
            <w:hideMark/>
          </w:tcPr>
          <w:p w14:paraId="5AE0D7C1" w14:textId="6E56B9F8" w:rsidR="00711A0E" w:rsidRPr="00C05DBF" w:rsidRDefault="00711A0E" w:rsidP="00642951">
            <w:pPr>
              <w:pStyle w:val="Tabletext1"/>
              <w:jc w:val="right"/>
              <w:cnfStyle w:val="000000000000" w:firstRow="0" w:lastRow="0" w:firstColumn="0" w:lastColumn="0" w:oddVBand="0" w:evenVBand="0" w:oddHBand="0" w:evenHBand="0" w:firstRowFirstColumn="0" w:firstRowLastColumn="0" w:lastRowFirstColumn="0" w:lastRowLastColumn="0"/>
            </w:pPr>
            <w:r w:rsidRPr="00C05DBF">
              <w:t>52</w:t>
            </w:r>
          </w:p>
        </w:tc>
        <w:tc>
          <w:tcPr>
            <w:tcW w:w="1559" w:type="dxa"/>
          </w:tcPr>
          <w:p w14:paraId="0788E3C7" w14:textId="50267269" w:rsidR="00711A0E" w:rsidRPr="00C05DBF" w:rsidRDefault="00711A0E" w:rsidP="00642951">
            <w:pPr>
              <w:pStyle w:val="Tabletext1"/>
              <w:jc w:val="right"/>
              <w:cnfStyle w:val="000000000000" w:firstRow="0" w:lastRow="0" w:firstColumn="0" w:lastColumn="0" w:oddVBand="0" w:evenVBand="0" w:oddHBand="0" w:evenHBand="0" w:firstRowFirstColumn="0" w:firstRowLastColumn="0" w:lastRowFirstColumn="0" w:lastRowLastColumn="0"/>
            </w:pPr>
            <w:r>
              <w:t>40.6%</w:t>
            </w:r>
          </w:p>
        </w:tc>
      </w:tr>
      <w:tr w:rsidR="00711A0E" w:rsidRPr="00F42B1D" w14:paraId="6CE5DD93" w14:textId="119413F9" w:rsidTr="006429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7" w:type="dxa"/>
            <w:hideMark/>
          </w:tcPr>
          <w:p w14:paraId="6F445DC9" w14:textId="17A9A37F" w:rsidR="00711A0E" w:rsidRPr="00642951" w:rsidRDefault="00711A0E" w:rsidP="00642951">
            <w:pPr>
              <w:pStyle w:val="Tabletext1"/>
              <w:rPr>
                <w:b w:val="0"/>
                <w:bCs w:val="0"/>
              </w:rPr>
            </w:pPr>
            <w:r w:rsidRPr="00642951">
              <w:rPr>
                <w:b w:val="0"/>
                <w:bCs w:val="0"/>
              </w:rPr>
              <w:t xml:space="preserve">  # </w:t>
            </w:r>
            <w:proofErr w:type="gramStart"/>
            <w:r w:rsidRPr="00642951">
              <w:rPr>
                <w:b w:val="0"/>
                <w:bCs w:val="0"/>
              </w:rPr>
              <w:t>sedatives</w:t>
            </w:r>
            <w:proofErr w:type="gramEnd"/>
            <w:r w:rsidRPr="00642951">
              <w:rPr>
                <w:b w:val="0"/>
                <w:bCs w:val="0"/>
              </w:rPr>
              <w:t>, n=3+, n (%)</w:t>
            </w:r>
          </w:p>
        </w:tc>
        <w:tc>
          <w:tcPr>
            <w:tcW w:w="1418" w:type="dxa"/>
          </w:tcPr>
          <w:p w14:paraId="39D2FC68" w14:textId="4CD08798" w:rsidR="00711A0E" w:rsidRPr="00C05DBF" w:rsidRDefault="00711A0E" w:rsidP="00642951">
            <w:pPr>
              <w:pStyle w:val="Tabletext1"/>
              <w:jc w:val="right"/>
              <w:cnfStyle w:val="000000100000" w:firstRow="0" w:lastRow="0" w:firstColumn="0" w:lastColumn="0" w:oddVBand="0" w:evenVBand="0" w:oddHBand="1" w:evenHBand="0" w:firstRowFirstColumn="0" w:firstRowLastColumn="0" w:lastRowFirstColumn="0" w:lastRowLastColumn="0"/>
            </w:pPr>
            <w:r w:rsidRPr="00C05DBF">
              <w:t>52</w:t>
            </w:r>
          </w:p>
        </w:tc>
        <w:tc>
          <w:tcPr>
            <w:tcW w:w="1417" w:type="dxa"/>
            <w:noWrap/>
          </w:tcPr>
          <w:p w14:paraId="2CCECAB4" w14:textId="51A64ABD" w:rsidR="00711A0E" w:rsidRPr="00C05DBF" w:rsidRDefault="00711A0E" w:rsidP="00642951">
            <w:pPr>
              <w:pStyle w:val="Tabletext1"/>
              <w:jc w:val="right"/>
              <w:cnfStyle w:val="000000100000" w:firstRow="0" w:lastRow="0" w:firstColumn="0" w:lastColumn="0" w:oddVBand="0" w:evenVBand="0" w:oddHBand="1" w:evenHBand="0" w:firstRowFirstColumn="0" w:firstRowLastColumn="0" w:lastRowFirstColumn="0" w:lastRowLastColumn="0"/>
            </w:pPr>
            <w:r>
              <w:t>43.3%</w:t>
            </w:r>
          </w:p>
        </w:tc>
        <w:tc>
          <w:tcPr>
            <w:tcW w:w="1985" w:type="dxa"/>
            <w:noWrap/>
            <w:hideMark/>
          </w:tcPr>
          <w:p w14:paraId="14431769" w14:textId="1BCCD44B" w:rsidR="00711A0E" w:rsidRPr="00C05DBF" w:rsidRDefault="00711A0E" w:rsidP="00642951">
            <w:pPr>
              <w:pStyle w:val="Tabletext1"/>
              <w:jc w:val="right"/>
              <w:cnfStyle w:val="000000100000" w:firstRow="0" w:lastRow="0" w:firstColumn="0" w:lastColumn="0" w:oddVBand="0" w:evenVBand="0" w:oddHBand="1" w:evenHBand="0" w:firstRowFirstColumn="0" w:firstRowLastColumn="0" w:lastRowFirstColumn="0" w:lastRowLastColumn="0"/>
            </w:pPr>
            <w:r w:rsidRPr="00C05DBF">
              <w:t>55</w:t>
            </w:r>
          </w:p>
        </w:tc>
        <w:tc>
          <w:tcPr>
            <w:tcW w:w="1559" w:type="dxa"/>
          </w:tcPr>
          <w:p w14:paraId="1E7D797C" w14:textId="5EC2F9F1" w:rsidR="00711A0E" w:rsidRPr="00C05DBF" w:rsidRDefault="00711A0E" w:rsidP="00642951">
            <w:pPr>
              <w:pStyle w:val="Tabletext1"/>
              <w:jc w:val="right"/>
              <w:cnfStyle w:val="000000100000" w:firstRow="0" w:lastRow="0" w:firstColumn="0" w:lastColumn="0" w:oddVBand="0" w:evenVBand="0" w:oddHBand="1" w:evenHBand="0" w:firstRowFirstColumn="0" w:firstRowLastColumn="0" w:lastRowFirstColumn="0" w:lastRowLastColumn="0"/>
            </w:pPr>
            <w:r>
              <w:t>43.0%</w:t>
            </w:r>
          </w:p>
        </w:tc>
      </w:tr>
      <w:tr w:rsidR="00711A0E" w:rsidRPr="00F42B1D" w14:paraId="7BA9B0E6" w14:textId="77777777" w:rsidTr="00642951">
        <w:trPr>
          <w:trHeight w:val="300"/>
        </w:trPr>
        <w:tc>
          <w:tcPr>
            <w:cnfStyle w:val="001000000000" w:firstRow="0" w:lastRow="0" w:firstColumn="1" w:lastColumn="0" w:oddVBand="0" w:evenVBand="0" w:oddHBand="0" w:evenHBand="0" w:firstRowFirstColumn="0" w:firstRowLastColumn="0" w:lastRowFirstColumn="0" w:lastRowLastColumn="0"/>
            <w:tcW w:w="2977" w:type="dxa"/>
          </w:tcPr>
          <w:p w14:paraId="52C17CA0" w14:textId="26D64978" w:rsidR="00711A0E" w:rsidRPr="00642951" w:rsidRDefault="00711A0E" w:rsidP="00642951">
            <w:pPr>
              <w:pStyle w:val="Tabletext1"/>
              <w:rPr>
                <w:b w:val="0"/>
                <w:bCs w:val="0"/>
              </w:rPr>
            </w:pPr>
            <w:r w:rsidRPr="00642951">
              <w:rPr>
                <w:b w:val="0"/>
                <w:bCs w:val="0"/>
              </w:rPr>
              <w:t>Anticholinergic load (mean, SD)</w:t>
            </w:r>
          </w:p>
        </w:tc>
        <w:tc>
          <w:tcPr>
            <w:tcW w:w="1418" w:type="dxa"/>
          </w:tcPr>
          <w:p w14:paraId="64902ADD" w14:textId="3BB63F5B" w:rsidR="00711A0E" w:rsidRPr="006B5118" w:rsidRDefault="00711A0E" w:rsidP="00642951">
            <w:pPr>
              <w:pStyle w:val="Tabletext1"/>
              <w:jc w:val="right"/>
              <w:cnfStyle w:val="000000000000" w:firstRow="0" w:lastRow="0" w:firstColumn="0" w:lastColumn="0" w:oddVBand="0" w:evenVBand="0" w:oddHBand="0" w:evenHBand="0" w:firstRowFirstColumn="0" w:firstRowLastColumn="0" w:lastRowFirstColumn="0" w:lastRowLastColumn="0"/>
            </w:pPr>
            <w:r w:rsidRPr="006B5118">
              <w:t>2.16</w:t>
            </w:r>
          </w:p>
        </w:tc>
        <w:tc>
          <w:tcPr>
            <w:tcW w:w="1417" w:type="dxa"/>
            <w:noWrap/>
          </w:tcPr>
          <w:p w14:paraId="63D6EC7A" w14:textId="2BE8DFB5" w:rsidR="00711A0E" w:rsidRPr="006B5118" w:rsidRDefault="000F3E39" w:rsidP="00642951">
            <w:pPr>
              <w:pStyle w:val="Tabletext1"/>
              <w:jc w:val="right"/>
              <w:cnfStyle w:val="000000000000" w:firstRow="0" w:lastRow="0" w:firstColumn="0" w:lastColumn="0" w:oddVBand="0" w:evenVBand="0" w:oddHBand="0" w:evenHBand="0" w:firstRowFirstColumn="0" w:firstRowLastColumn="0" w:lastRowFirstColumn="0" w:lastRowLastColumn="0"/>
            </w:pPr>
            <w:r w:rsidRPr="006B5118">
              <w:t>(</w:t>
            </w:r>
            <w:r w:rsidR="00711A0E" w:rsidRPr="006B5118">
              <w:t>2.33</w:t>
            </w:r>
            <w:r w:rsidRPr="006B5118">
              <w:t>)</w:t>
            </w:r>
          </w:p>
        </w:tc>
        <w:tc>
          <w:tcPr>
            <w:tcW w:w="1985" w:type="dxa"/>
            <w:noWrap/>
          </w:tcPr>
          <w:p w14:paraId="7BB5E548" w14:textId="2CC8A801" w:rsidR="00711A0E" w:rsidRPr="006B5118" w:rsidRDefault="00711A0E" w:rsidP="00642951">
            <w:pPr>
              <w:pStyle w:val="Tabletext1"/>
              <w:jc w:val="right"/>
              <w:cnfStyle w:val="000000000000" w:firstRow="0" w:lastRow="0" w:firstColumn="0" w:lastColumn="0" w:oddVBand="0" w:evenVBand="0" w:oddHBand="0" w:evenHBand="0" w:firstRowFirstColumn="0" w:firstRowLastColumn="0" w:lastRowFirstColumn="0" w:lastRowLastColumn="0"/>
            </w:pPr>
            <w:r w:rsidRPr="006B5118">
              <w:t>1.93</w:t>
            </w:r>
          </w:p>
        </w:tc>
        <w:tc>
          <w:tcPr>
            <w:tcW w:w="1559" w:type="dxa"/>
          </w:tcPr>
          <w:p w14:paraId="0C2A06FA" w14:textId="0FF477C3" w:rsidR="00711A0E" w:rsidRPr="006B5118" w:rsidRDefault="000F3E39" w:rsidP="00642951">
            <w:pPr>
              <w:pStyle w:val="Tabletext1"/>
              <w:jc w:val="right"/>
              <w:cnfStyle w:val="000000000000" w:firstRow="0" w:lastRow="0" w:firstColumn="0" w:lastColumn="0" w:oddVBand="0" w:evenVBand="0" w:oddHBand="0" w:evenHBand="0" w:firstRowFirstColumn="0" w:firstRowLastColumn="0" w:lastRowFirstColumn="0" w:lastRowLastColumn="0"/>
            </w:pPr>
            <w:r w:rsidRPr="006B5118">
              <w:t>(</w:t>
            </w:r>
            <w:r w:rsidR="00711A0E" w:rsidRPr="006B5118">
              <w:t>2.29</w:t>
            </w:r>
            <w:r w:rsidRPr="006B5118">
              <w:t>)</w:t>
            </w:r>
          </w:p>
        </w:tc>
      </w:tr>
      <w:tr w:rsidR="00711A0E" w:rsidRPr="00F42B1D" w14:paraId="1222ADBA" w14:textId="637B8CFF" w:rsidTr="006429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7" w:type="dxa"/>
            <w:hideMark/>
          </w:tcPr>
          <w:p w14:paraId="1653BDBD" w14:textId="77777777" w:rsidR="00711A0E" w:rsidRPr="00642951" w:rsidRDefault="00711A0E" w:rsidP="00642951">
            <w:pPr>
              <w:pStyle w:val="Tabletext1"/>
              <w:rPr>
                <w:b w:val="0"/>
                <w:bCs w:val="0"/>
              </w:rPr>
            </w:pPr>
            <w:r w:rsidRPr="00642951">
              <w:rPr>
                <w:b w:val="0"/>
                <w:bCs w:val="0"/>
              </w:rPr>
              <w:lastRenderedPageBreak/>
              <w:t>Anticholinergic load categorised, n (%)</w:t>
            </w:r>
          </w:p>
        </w:tc>
        <w:tc>
          <w:tcPr>
            <w:tcW w:w="1418" w:type="dxa"/>
          </w:tcPr>
          <w:p w14:paraId="0BF4FF31" w14:textId="77777777" w:rsidR="00711A0E" w:rsidRPr="006B5118" w:rsidRDefault="00711A0E" w:rsidP="00642951">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417" w:type="dxa"/>
            <w:noWrap/>
          </w:tcPr>
          <w:p w14:paraId="25A2C039" w14:textId="09C95600" w:rsidR="00711A0E" w:rsidRPr="006B5118" w:rsidRDefault="00711A0E" w:rsidP="00642951">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985" w:type="dxa"/>
            <w:noWrap/>
            <w:hideMark/>
          </w:tcPr>
          <w:p w14:paraId="6FB51CE7" w14:textId="2B7CD1F2" w:rsidR="00711A0E" w:rsidRPr="006B5118" w:rsidRDefault="00711A0E" w:rsidP="00642951">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559" w:type="dxa"/>
          </w:tcPr>
          <w:p w14:paraId="6DF5AF8C" w14:textId="77777777" w:rsidR="00711A0E" w:rsidRPr="006B5118" w:rsidRDefault="00711A0E" w:rsidP="00642951">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711A0E" w:rsidRPr="00F42B1D" w14:paraId="594EF228" w14:textId="575D5682" w:rsidTr="00642951">
        <w:trPr>
          <w:trHeight w:val="300"/>
        </w:trPr>
        <w:tc>
          <w:tcPr>
            <w:cnfStyle w:val="001000000000" w:firstRow="0" w:lastRow="0" w:firstColumn="1" w:lastColumn="0" w:oddVBand="0" w:evenVBand="0" w:oddHBand="0" w:evenHBand="0" w:firstRowFirstColumn="0" w:firstRowLastColumn="0" w:lastRowFirstColumn="0" w:lastRowLastColumn="0"/>
            <w:tcW w:w="2977" w:type="dxa"/>
            <w:hideMark/>
          </w:tcPr>
          <w:p w14:paraId="576F69F2" w14:textId="77777777" w:rsidR="00711A0E" w:rsidRPr="00642951" w:rsidRDefault="00711A0E" w:rsidP="00642951">
            <w:pPr>
              <w:pStyle w:val="Tabletext1"/>
              <w:rPr>
                <w:b w:val="0"/>
                <w:bCs w:val="0"/>
              </w:rPr>
            </w:pPr>
            <w:r w:rsidRPr="00642951">
              <w:rPr>
                <w:b w:val="0"/>
                <w:bCs w:val="0"/>
              </w:rPr>
              <w:t xml:space="preserve">  n= 0, n (%)</w:t>
            </w:r>
          </w:p>
        </w:tc>
        <w:tc>
          <w:tcPr>
            <w:tcW w:w="1418" w:type="dxa"/>
          </w:tcPr>
          <w:p w14:paraId="6FC8E9A7" w14:textId="59A96524" w:rsidR="00711A0E" w:rsidRPr="006B5118" w:rsidRDefault="00711A0E" w:rsidP="00642951">
            <w:pPr>
              <w:pStyle w:val="Tabletext1"/>
              <w:jc w:val="right"/>
              <w:cnfStyle w:val="000000000000" w:firstRow="0" w:lastRow="0" w:firstColumn="0" w:lastColumn="0" w:oddVBand="0" w:evenVBand="0" w:oddHBand="0" w:evenHBand="0" w:firstRowFirstColumn="0" w:firstRowLastColumn="0" w:lastRowFirstColumn="0" w:lastRowLastColumn="0"/>
            </w:pPr>
            <w:r w:rsidRPr="006B5118">
              <w:t>40</w:t>
            </w:r>
          </w:p>
        </w:tc>
        <w:tc>
          <w:tcPr>
            <w:tcW w:w="1417" w:type="dxa"/>
            <w:noWrap/>
          </w:tcPr>
          <w:p w14:paraId="68405DA6" w14:textId="7B4EBFB0" w:rsidR="00711A0E" w:rsidRPr="006B5118" w:rsidRDefault="00711A0E" w:rsidP="00642951">
            <w:pPr>
              <w:pStyle w:val="Tabletext1"/>
              <w:jc w:val="right"/>
              <w:cnfStyle w:val="000000000000" w:firstRow="0" w:lastRow="0" w:firstColumn="0" w:lastColumn="0" w:oddVBand="0" w:evenVBand="0" w:oddHBand="0" w:evenHBand="0" w:firstRowFirstColumn="0" w:firstRowLastColumn="0" w:lastRowFirstColumn="0" w:lastRowLastColumn="0"/>
            </w:pPr>
            <w:r w:rsidRPr="006B5118">
              <w:t>33.3%</w:t>
            </w:r>
          </w:p>
        </w:tc>
        <w:tc>
          <w:tcPr>
            <w:tcW w:w="1985" w:type="dxa"/>
            <w:noWrap/>
            <w:hideMark/>
          </w:tcPr>
          <w:p w14:paraId="0855A95C" w14:textId="37A561F1" w:rsidR="00711A0E" w:rsidRPr="006B5118" w:rsidRDefault="00711A0E" w:rsidP="00642951">
            <w:pPr>
              <w:pStyle w:val="Tabletext1"/>
              <w:jc w:val="right"/>
              <w:cnfStyle w:val="000000000000" w:firstRow="0" w:lastRow="0" w:firstColumn="0" w:lastColumn="0" w:oddVBand="0" w:evenVBand="0" w:oddHBand="0" w:evenHBand="0" w:firstRowFirstColumn="0" w:firstRowLastColumn="0" w:lastRowFirstColumn="0" w:lastRowLastColumn="0"/>
            </w:pPr>
            <w:r w:rsidRPr="006B5118">
              <w:t>50</w:t>
            </w:r>
          </w:p>
        </w:tc>
        <w:tc>
          <w:tcPr>
            <w:tcW w:w="1559" w:type="dxa"/>
          </w:tcPr>
          <w:p w14:paraId="4A91EFD5" w14:textId="03E872E5" w:rsidR="00711A0E" w:rsidRPr="006B5118" w:rsidRDefault="00711A0E" w:rsidP="00642951">
            <w:pPr>
              <w:pStyle w:val="Tabletext1"/>
              <w:jc w:val="right"/>
              <w:cnfStyle w:val="000000000000" w:firstRow="0" w:lastRow="0" w:firstColumn="0" w:lastColumn="0" w:oddVBand="0" w:evenVBand="0" w:oddHBand="0" w:evenHBand="0" w:firstRowFirstColumn="0" w:firstRowLastColumn="0" w:lastRowFirstColumn="0" w:lastRowLastColumn="0"/>
            </w:pPr>
            <w:r w:rsidRPr="006B5118">
              <w:t>39.1%</w:t>
            </w:r>
          </w:p>
        </w:tc>
      </w:tr>
      <w:tr w:rsidR="00711A0E" w:rsidRPr="00F42B1D" w14:paraId="24B4D48C" w14:textId="6F99E92B" w:rsidTr="006429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7" w:type="dxa"/>
            <w:hideMark/>
          </w:tcPr>
          <w:p w14:paraId="44ACCA2A" w14:textId="77777777" w:rsidR="00711A0E" w:rsidRPr="00642951" w:rsidRDefault="00711A0E" w:rsidP="00642951">
            <w:pPr>
              <w:pStyle w:val="Tabletext1"/>
              <w:rPr>
                <w:b w:val="0"/>
                <w:bCs w:val="0"/>
              </w:rPr>
            </w:pPr>
            <w:r w:rsidRPr="00642951">
              <w:rPr>
                <w:b w:val="0"/>
                <w:bCs w:val="0"/>
              </w:rPr>
              <w:t xml:space="preserve">  n=1-2, n (%)</w:t>
            </w:r>
          </w:p>
        </w:tc>
        <w:tc>
          <w:tcPr>
            <w:tcW w:w="1418" w:type="dxa"/>
          </w:tcPr>
          <w:p w14:paraId="09AF7DE7" w14:textId="529A032C" w:rsidR="00711A0E" w:rsidRPr="006B5118" w:rsidRDefault="00711A0E" w:rsidP="00642951">
            <w:pPr>
              <w:pStyle w:val="Tabletext1"/>
              <w:jc w:val="right"/>
              <w:cnfStyle w:val="000000100000" w:firstRow="0" w:lastRow="0" w:firstColumn="0" w:lastColumn="0" w:oddVBand="0" w:evenVBand="0" w:oddHBand="1" w:evenHBand="0" w:firstRowFirstColumn="0" w:firstRowLastColumn="0" w:lastRowFirstColumn="0" w:lastRowLastColumn="0"/>
            </w:pPr>
            <w:r w:rsidRPr="006B5118">
              <w:t>32</w:t>
            </w:r>
          </w:p>
        </w:tc>
        <w:tc>
          <w:tcPr>
            <w:tcW w:w="1417" w:type="dxa"/>
            <w:noWrap/>
          </w:tcPr>
          <w:p w14:paraId="33D47ABC" w14:textId="171CBC53" w:rsidR="00711A0E" w:rsidRPr="006B5118" w:rsidRDefault="00711A0E" w:rsidP="00642951">
            <w:pPr>
              <w:pStyle w:val="Tabletext1"/>
              <w:jc w:val="right"/>
              <w:cnfStyle w:val="000000100000" w:firstRow="0" w:lastRow="0" w:firstColumn="0" w:lastColumn="0" w:oddVBand="0" w:evenVBand="0" w:oddHBand="1" w:evenHBand="0" w:firstRowFirstColumn="0" w:firstRowLastColumn="0" w:lastRowFirstColumn="0" w:lastRowLastColumn="0"/>
            </w:pPr>
            <w:r w:rsidRPr="006B5118">
              <w:t>26.7%</w:t>
            </w:r>
          </w:p>
        </w:tc>
        <w:tc>
          <w:tcPr>
            <w:tcW w:w="1985" w:type="dxa"/>
            <w:noWrap/>
            <w:hideMark/>
          </w:tcPr>
          <w:p w14:paraId="79755117" w14:textId="69984B67" w:rsidR="00711A0E" w:rsidRPr="006B5118" w:rsidRDefault="00711A0E" w:rsidP="00642951">
            <w:pPr>
              <w:pStyle w:val="Tabletext1"/>
              <w:jc w:val="right"/>
              <w:cnfStyle w:val="000000100000" w:firstRow="0" w:lastRow="0" w:firstColumn="0" w:lastColumn="0" w:oddVBand="0" w:evenVBand="0" w:oddHBand="1" w:evenHBand="0" w:firstRowFirstColumn="0" w:firstRowLastColumn="0" w:lastRowFirstColumn="0" w:lastRowLastColumn="0"/>
            </w:pPr>
            <w:r w:rsidRPr="006B5118">
              <w:t>39</w:t>
            </w:r>
          </w:p>
        </w:tc>
        <w:tc>
          <w:tcPr>
            <w:tcW w:w="1559" w:type="dxa"/>
          </w:tcPr>
          <w:p w14:paraId="3BA4023F" w14:textId="2C7B5D3A" w:rsidR="00711A0E" w:rsidRPr="006B5118" w:rsidRDefault="00711A0E" w:rsidP="00642951">
            <w:pPr>
              <w:pStyle w:val="Tabletext1"/>
              <w:jc w:val="right"/>
              <w:cnfStyle w:val="000000100000" w:firstRow="0" w:lastRow="0" w:firstColumn="0" w:lastColumn="0" w:oddVBand="0" w:evenVBand="0" w:oddHBand="1" w:evenHBand="0" w:firstRowFirstColumn="0" w:firstRowLastColumn="0" w:lastRowFirstColumn="0" w:lastRowLastColumn="0"/>
            </w:pPr>
            <w:r w:rsidRPr="006B5118">
              <w:t>30.5%</w:t>
            </w:r>
          </w:p>
        </w:tc>
      </w:tr>
      <w:tr w:rsidR="00711A0E" w:rsidRPr="00F42B1D" w14:paraId="30F5B047" w14:textId="6BDF6E66" w:rsidTr="00642951">
        <w:trPr>
          <w:trHeight w:val="300"/>
        </w:trPr>
        <w:tc>
          <w:tcPr>
            <w:cnfStyle w:val="001000000000" w:firstRow="0" w:lastRow="0" w:firstColumn="1" w:lastColumn="0" w:oddVBand="0" w:evenVBand="0" w:oddHBand="0" w:evenHBand="0" w:firstRowFirstColumn="0" w:firstRowLastColumn="0" w:lastRowFirstColumn="0" w:lastRowLastColumn="0"/>
            <w:tcW w:w="2977" w:type="dxa"/>
            <w:hideMark/>
          </w:tcPr>
          <w:p w14:paraId="484AB5A2" w14:textId="77777777" w:rsidR="00711A0E" w:rsidRPr="00642951" w:rsidRDefault="00711A0E" w:rsidP="00642951">
            <w:pPr>
              <w:pStyle w:val="Tabletext1"/>
              <w:rPr>
                <w:b w:val="0"/>
                <w:bCs w:val="0"/>
              </w:rPr>
            </w:pPr>
            <w:r w:rsidRPr="00642951">
              <w:rPr>
                <w:b w:val="0"/>
                <w:bCs w:val="0"/>
              </w:rPr>
              <w:t xml:space="preserve">  n=3+, n (%)</w:t>
            </w:r>
          </w:p>
        </w:tc>
        <w:tc>
          <w:tcPr>
            <w:tcW w:w="1418" w:type="dxa"/>
          </w:tcPr>
          <w:p w14:paraId="716F8350" w14:textId="79789ACE" w:rsidR="00711A0E" w:rsidRPr="006B5118" w:rsidRDefault="00711A0E" w:rsidP="00642951">
            <w:pPr>
              <w:pStyle w:val="Tabletext1"/>
              <w:jc w:val="right"/>
              <w:cnfStyle w:val="000000000000" w:firstRow="0" w:lastRow="0" w:firstColumn="0" w:lastColumn="0" w:oddVBand="0" w:evenVBand="0" w:oddHBand="0" w:evenHBand="0" w:firstRowFirstColumn="0" w:firstRowLastColumn="0" w:lastRowFirstColumn="0" w:lastRowLastColumn="0"/>
            </w:pPr>
            <w:r w:rsidRPr="006B5118">
              <w:t>48</w:t>
            </w:r>
          </w:p>
        </w:tc>
        <w:tc>
          <w:tcPr>
            <w:tcW w:w="1417" w:type="dxa"/>
            <w:noWrap/>
          </w:tcPr>
          <w:p w14:paraId="7526D939" w14:textId="44717985" w:rsidR="00711A0E" w:rsidRPr="006B5118" w:rsidRDefault="00711A0E" w:rsidP="00642951">
            <w:pPr>
              <w:pStyle w:val="Tabletext1"/>
              <w:jc w:val="right"/>
              <w:cnfStyle w:val="000000000000" w:firstRow="0" w:lastRow="0" w:firstColumn="0" w:lastColumn="0" w:oddVBand="0" w:evenVBand="0" w:oddHBand="0" w:evenHBand="0" w:firstRowFirstColumn="0" w:firstRowLastColumn="0" w:lastRowFirstColumn="0" w:lastRowLastColumn="0"/>
            </w:pPr>
            <w:r w:rsidRPr="006B5118">
              <w:t>40.0%</w:t>
            </w:r>
          </w:p>
        </w:tc>
        <w:tc>
          <w:tcPr>
            <w:tcW w:w="1985" w:type="dxa"/>
            <w:noWrap/>
            <w:hideMark/>
          </w:tcPr>
          <w:p w14:paraId="6E684395" w14:textId="77135BE4" w:rsidR="00711A0E" w:rsidRPr="006B5118" w:rsidRDefault="00711A0E" w:rsidP="00642951">
            <w:pPr>
              <w:pStyle w:val="Tabletext1"/>
              <w:jc w:val="right"/>
              <w:cnfStyle w:val="000000000000" w:firstRow="0" w:lastRow="0" w:firstColumn="0" w:lastColumn="0" w:oddVBand="0" w:evenVBand="0" w:oddHBand="0" w:evenHBand="0" w:firstRowFirstColumn="0" w:firstRowLastColumn="0" w:lastRowFirstColumn="0" w:lastRowLastColumn="0"/>
            </w:pPr>
            <w:r w:rsidRPr="006B5118">
              <w:t>39</w:t>
            </w:r>
          </w:p>
        </w:tc>
        <w:tc>
          <w:tcPr>
            <w:tcW w:w="1559" w:type="dxa"/>
          </w:tcPr>
          <w:p w14:paraId="29B67726" w14:textId="704DF576" w:rsidR="00711A0E" w:rsidRPr="006B5118" w:rsidRDefault="00711A0E" w:rsidP="00642951">
            <w:pPr>
              <w:pStyle w:val="Tabletext1"/>
              <w:jc w:val="right"/>
              <w:cnfStyle w:val="000000000000" w:firstRow="0" w:lastRow="0" w:firstColumn="0" w:lastColumn="0" w:oddVBand="0" w:evenVBand="0" w:oddHBand="0" w:evenHBand="0" w:firstRowFirstColumn="0" w:firstRowLastColumn="0" w:lastRowFirstColumn="0" w:lastRowLastColumn="0"/>
            </w:pPr>
            <w:r w:rsidRPr="006B5118">
              <w:t>30.5%</w:t>
            </w:r>
          </w:p>
        </w:tc>
      </w:tr>
    </w:tbl>
    <w:p w14:paraId="50BB7449" w14:textId="12B1F640" w:rsidR="00B13549" w:rsidRPr="00E90B8E" w:rsidRDefault="00B13549" w:rsidP="00897C5B">
      <w:pPr>
        <w:pStyle w:val="Caption"/>
      </w:pPr>
      <w:r w:rsidRPr="00E90B8E">
        <w:t xml:space="preserve">Table </w:t>
      </w:r>
      <w:r w:rsidR="00721224" w:rsidRPr="00E90B8E">
        <w:t>B-</w:t>
      </w:r>
      <w:r w:rsidR="00F91644">
        <w:t>5b</w:t>
      </w:r>
      <w:r w:rsidR="000627D2" w:rsidRPr="00E90B8E">
        <w:t xml:space="preserve">: </w:t>
      </w:r>
      <w:proofErr w:type="spellStart"/>
      <w:r w:rsidR="000627D2" w:rsidRPr="00E90B8E">
        <w:t>ReMInDAR</w:t>
      </w:r>
      <w:proofErr w:type="spellEnd"/>
      <w:r w:rsidR="000627D2" w:rsidRPr="00E90B8E">
        <w:t xml:space="preserve"> b</w:t>
      </w:r>
      <w:r w:rsidRPr="00E90B8E">
        <w:t xml:space="preserve">aseline cohort, </w:t>
      </w:r>
      <w:r w:rsidR="00711A0E">
        <w:t xml:space="preserve">medicine </w:t>
      </w:r>
      <w:r w:rsidRPr="00E90B8E">
        <w:t>descriptors for pa</w:t>
      </w:r>
      <w:r w:rsidR="00460B0D">
        <w:t>rticipants by intervention arm.</w:t>
      </w:r>
    </w:p>
    <w:p w14:paraId="4268FDA5" w14:textId="7EAFFB79" w:rsidR="00B13549" w:rsidRPr="000F3E39" w:rsidRDefault="00460B0D" w:rsidP="00897C5B">
      <w:pPr>
        <w:pStyle w:val="Caption"/>
      </w:pPr>
      <w:r>
        <w:t>*</w:t>
      </w:r>
      <w:r w:rsidRPr="00C05DBF">
        <w:t>Medicines</w:t>
      </w:r>
      <w:r>
        <w:t xml:space="preserve"> are</w:t>
      </w:r>
      <w:r w:rsidR="00A31EE8" w:rsidRPr="00C05DBF">
        <w:t xml:space="preserve"> unique at the level of generic name (ATC code)</w:t>
      </w:r>
    </w:p>
    <w:p w14:paraId="50D776B6" w14:textId="2A46B216" w:rsidR="009C0267" w:rsidRPr="00F42B1D" w:rsidRDefault="009C0267" w:rsidP="00857F40">
      <w:pPr>
        <w:pStyle w:val="Heading2-SectionB"/>
      </w:pPr>
      <w:bookmarkStart w:id="154" w:name="_Toc117758246"/>
      <w:r w:rsidRPr="00F42B1D">
        <w:t>Outcome Measures and Analysis</w:t>
      </w:r>
      <w:bookmarkEnd w:id="154"/>
    </w:p>
    <w:p w14:paraId="74F200CD" w14:textId="4362497E" w:rsidR="00AF058C" w:rsidRPr="00F42B1D" w:rsidRDefault="00AF058C" w:rsidP="00FF37D6">
      <w:pPr>
        <w:pStyle w:val="Heading3-SectionB6"/>
      </w:pPr>
      <w:bookmarkStart w:id="155" w:name="_Toc117758247"/>
      <w:r w:rsidRPr="00F42B1D">
        <w:t>Outcomes</w:t>
      </w:r>
      <w:bookmarkEnd w:id="155"/>
    </w:p>
    <w:p w14:paraId="19EF6606" w14:textId="55499F3D" w:rsidR="002D06A2" w:rsidRPr="00F42B1D" w:rsidRDefault="002D06A2" w:rsidP="007501B9">
      <w:r w:rsidRPr="00F42B1D">
        <w:t>The primary outcome was the reduction in medication-induced deterioration from baseline to twelve months, as measured by change in the frailty index.</w:t>
      </w:r>
      <w:r w:rsidRPr="00F42B1D">
        <w:fldChar w:fldCharType="begin"/>
      </w:r>
      <w:r w:rsidR="00C86345">
        <w:instrText xml:space="preserve"> ADDIN EN.CITE &lt;EndNote&gt;&lt;Cite&gt;&lt;Author&gt;Widagdo&lt;/Author&gt;&lt;Year&gt;2015&lt;/Year&gt;&lt;RecNum&gt;15&lt;/RecNum&gt;&lt;DisplayText&gt;(15)&lt;/DisplayText&gt;&lt;record&gt;&lt;rec-number&gt;15&lt;/rec-number&gt;&lt;foreign-keys&gt;&lt;key app="EN" db-id="9s5z5ped05vxdnede99vfsxhtzavzdzs2d5r" timestamp="1597381993"&gt;15&lt;/key&gt;&lt;/foreign-keys&gt;&lt;ref-type name="Journal Article"&gt;17&lt;/ref-type&gt;&lt;contributors&gt;&lt;authors&gt;&lt;author&gt;Widagdo, I. S.&lt;/author&gt;&lt;author&gt;Pratt, N.&lt;/author&gt;&lt;author&gt;Russell, M.&lt;/author&gt;&lt;author&gt;Roughead, E. E.&lt;/author&gt;&lt;/authors&gt;&lt;/contributors&gt;&lt;auth-address&gt;Quality Use of Medicines and Pharmacy Research Centre, Sansom Institute, School of Pharmacy and Medical Sciences, University of South Australia, Adelaide, SA, Australia.&amp;#xD;Occupational Therapy Board, Australian Health Practitioner Regulation Agency, Melbourne, VIC, Australia.&lt;/auth-address&gt;&lt;titles&gt;&lt;title&gt;Predictive performance of four frailty measures in an older Australian population&lt;/title&gt;&lt;secondary-title&gt;Age Ageing&lt;/secondary-title&gt;&lt;alt-title&gt;Age and ageing&lt;/alt-title&gt;&lt;/titles&gt;&lt;alt-periodical&gt;&lt;full-title&gt;Age and ageing&lt;/full-title&gt;&lt;/alt-periodical&gt;&lt;pages&gt;967-72&lt;/pages&gt;&lt;volume&gt;44&lt;/volume&gt;&lt;number&gt;6&lt;/number&gt;&lt;keywords&gt;&lt;keyword&gt;Aged&lt;/keyword&gt;&lt;keyword&gt;Aged, 80 and over&lt;/keyword&gt;&lt;keyword&gt;Australia/epidemiology&lt;/keyword&gt;&lt;keyword&gt;Female&lt;/keyword&gt;&lt;keyword&gt;Frail Elderly/*statistics &amp;amp; numerical data&lt;/keyword&gt;&lt;keyword&gt;Geriatric Assessment/*methods&lt;/keyword&gt;&lt;keyword&gt;Humans&lt;/keyword&gt;&lt;keyword&gt;Male&lt;/keyword&gt;&lt;keyword&gt;Reproducibility of Results&lt;/keyword&gt;&lt;keyword&gt;Retrospective Studies&lt;/keyword&gt;&lt;keyword&gt;Risk Factors&lt;/keyword&gt;&lt;keyword&gt;Sensitivity and Specificity&lt;/keyword&gt;&lt;/keywords&gt;&lt;dates&gt;&lt;year&gt;2015&lt;/year&gt;&lt;pub-dates&gt;&lt;date&gt;Nov&lt;/date&gt;&lt;/pub-dates&gt;&lt;/dates&gt;&lt;isbn&gt;0002-0729 (Print)&amp;#xD;0002-0729 (Linking)&lt;/isbn&gt;&lt;accession-num&gt;26504118&lt;/accession-num&gt;&lt;urls&gt;&lt;related-urls&gt;&lt;url&gt;http://www.ncbi.nlm.nih.gov/pubmed/26504118&lt;/url&gt;&lt;/related-urls&gt;&lt;/urls&gt;&lt;custom2&gt;4621238&lt;/custom2&gt;&lt;electronic-resource-num&gt;10.1093/ageing/afv144&lt;/electronic-resource-num&gt;&lt;/record&gt;&lt;/Cite&gt;&lt;/EndNote&gt;</w:instrText>
      </w:r>
      <w:r w:rsidRPr="00F42B1D">
        <w:fldChar w:fldCharType="separate"/>
      </w:r>
      <w:r w:rsidR="00C86345">
        <w:rPr>
          <w:noProof/>
        </w:rPr>
        <w:t>(</w:t>
      </w:r>
      <w:hyperlink w:anchor="_ENREF_15" w:tooltip="Widagdo, 2015 #15" w:history="1">
        <w:r w:rsidR="00EB6EA4">
          <w:rPr>
            <w:noProof/>
          </w:rPr>
          <w:t>15</w:t>
        </w:r>
      </w:hyperlink>
      <w:r w:rsidR="00C86345">
        <w:rPr>
          <w:noProof/>
        </w:rPr>
        <w:t>)</w:t>
      </w:r>
      <w:r w:rsidRPr="00F42B1D">
        <w:fldChar w:fldCharType="end"/>
      </w:r>
    </w:p>
    <w:p w14:paraId="1F19BFD8" w14:textId="77777777" w:rsidR="002D06A2" w:rsidRPr="00F42B1D" w:rsidRDefault="002D06A2" w:rsidP="00460B0D">
      <w:pPr>
        <w:pStyle w:val="Heading4"/>
        <w:spacing w:line="276" w:lineRule="auto"/>
      </w:pPr>
      <w:r w:rsidRPr="00F42B1D">
        <w:t>Secondary outcomes</w:t>
      </w:r>
    </w:p>
    <w:p w14:paraId="39E1783E" w14:textId="77777777" w:rsidR="002D06A2" w:rsidRPr="00F42B1D" w:rsidRDefault="002D06A2" w:rsidP="007501B9">
      <w:r w:rsidRPr="00F42B1D">
        <w:t>The secondary outcomes were:</w:t>
      </w:r>
    </w:p>
    <w:p w14:paraId="29D83C13" w14:textId="676D39D6" w:rsidR="002D06A2" w:rsidRPr="00F42B1D" w:rsidRDefault="002D06A2" w:rsidP="00853EEA">
      <w:pPr>
        <w:pStyle w:val="ListParagraph"/>
        <w:numPr>
          <w:ilvl w:val="0"/>
          <w:numId w:val="36"/>
        </w:numPr>
      </w:pPr>
      <w:r w:rsidRPr="00F42B1D">
        <w:t>Change in cognition scores</w:t>
      </w:r>
      <w:r>
        <w:t xml:space="preserve"> </w:t>
      </w:r>
      <w:r w:rsidRPr="00F42B1D">
        <w:t>assessed using the Montreal Cognitive Assessment (MoCA) test</w:t>
      </w:r>
      <w:r w:rsidRPr="00F42B1D">
        <w:fldChar w:fldCharType="begin"/>
      </w:r>
      <w:r w:rsidR="00EB6EA4">
        <w:instrText xml:space="preserve"> ADDIN EN.CITE &lt;EndNote&gt;&lt;Cite&gt;&lt;Author&gt;Nasreddine&lt;/Author&gt;&lt;Year&gt;2005&lt;/Year&gt;&lt;RecNum&gt;28&lt;/RecNum&gt;&lt;DisplayText&gt;(45)&lt;/DisplayText&gt;&lt;record&gt;&lt;rec-number&gt;28&lt;/rec-number&gt;&lt;foreign-keys&gt;&lt;key app="EN" db-id="9s5z5ped05vxdnede99vfsxhtzavzdzs2d5r" timestamp="1597381996"&gt;28&lt;/key&gt;&lt;/foreign-keys&gt;&lt;ref-type name="Journal Article"&gt;17&lt;/ref-type&gt;&lt;contributors&gt;&lt;authors&gt;&lt;author&gt;Nasreddine, Z. S.&lt;/author&gt;&lt;author&gt;Phillips, N. A.&lt;/author&gt;&lt;author&gt;Bedirian, V.&lt;/author&gt;&lt;author&gt;Charbonneau, S.&lt;/author&gt;&lt;author&gt;Whitehead, V.&lt;/author&gt;&lt;author&gt;Collin, I.&lt;/author&gt;&lt;author&gt;Cummings, J. L.&lt;/author&gt;&lt;author&gt;Chertkow, H.&lt;/author&gt;&lt;/authors&gt;&lt;/contributors&gt;&lt;auth-address&gt;Center for Clinical Research, Neurology Service, Hopital Charles LeMoyne, Quebec, Canada. ziadn@sympatico.ca&lt;/auth-address&gt;&lt;titles&gt;&lt;title&gt;The Montreal Cognitive Assessment, MoCA: a brief screening tool for mild cognitive impairment&lt;/title&gt;&lt;secondary-title&gt;J Am Geriatr Soc&lt;/secondary-title&gt;&lt;alt-title&gt;Journal of the American Geriatrics Society&lt;/alt-title&gt;&lt;/titles&gt;&lt;periodical&gt;&lt;full-title&gt;J Am Geriatr Soc&lt;/full-title&gt;&lt;/periodical&gt;&lt;alt-periodical&gt;&lt;full-title&gt;Journal of the American Geriatrics Society&lt;/full-title&gt;&lt;/alt-periodical&gt;&lt;pages&gt;695-9&lt;/pages&gt;&lt;volume&gt;53&lt;/volume&gt;&lt;number&gt;4&lt;/number&gt;&lt;edition&gt;2005/04/09&lt;/edition&gt;&lt;keywords&gt;&lt;keyword&gt;Aged&lt;/keyword&gt;&lt;keyword&gt;Alzheimer Disease/ diagnosis&lt;/keyword&gt;&lt;keyword&gt;Case-Control Studies&lt;/keyword&gt;&lt;keyword&gt;Cognition Disorders/ diagnosis&lt;/keyword&gt;&lt;keyword&gt;Female&lt;/keyword&gt;&lt;keyword&gt;Humans&lt;/keyword&gt;&lt;keyword&gt;Male&lt;/keyword&gt;&lt;keyword&gt;Neuropsychological Tests&lt;/keyword&gt;&lt;keyword&gt;Psychometrics&lt;/keyword&gt;&lt;keyword&gt;Quebec&lt;/keyword&gt;&lt;keyword&gt;Reproducibility of Results&lt;/keyword&gt;&lt;keyword&gt;Sensitivity and Specificity&lt;/keyword&gt;&lt;/keywords&gt;&lt;dates&gt;&lt;year&gt;2005&lt;/year&gt;&lt;pub-dates&gt;&lt;date&gt;Apr&lt;/date&gt;&lt;/pub-dates&gt;&lt;/dates&gt;&lt;isbn&gt;0002-8614 (Print)&amp;#xD;0002-8614 (Linking)&lt;/isbn&gt;&lt;accession-num&gt;15817019&lt;/accession-num&gt;&lt;urls&gt;&lt;/urls&gt;&lt;electronic-resource-num&gt;10.1111/j.1532-5415.2005.53221.x&lt;/electronic-resource-num&gt;&lt;remote-database-provider&gt;NLM&lt;/remote-database-provider&gt;&lt;language&gt;Eng&lt;/language&gt;&lt;/record&gt;&lt;/Cite&gt;&lt;/EndNote&gt;</w:instrText>
      </w:r>
      <w:r w:rsidRPr="00F42B1D">
        <w:fldChar w:fldCharType="separate"/>
      </w:r>
      <w:r w:rsidR="00EB6EA4">
        <w:rPr>
          <w:noProof/>
        </w:rPr>
        <w:t>(</w:t>
      </w:r>
      <w:hyperlink w:anchor="_ENREF_45" w:tooltip="Nasreddine, 2005 #28" w:history="1">
        <w:r w:rsidR="00EB6EA4">
          <w:rPr>
            <w:noProof/>
          </w:rPr>
          <w:t>45</w:t>
        </w:r>
      </w:hyperlink>
      <w:r w:rsidR="00EB6EA4">
        <w:rPr>
          <w:noProof/>
        </w:rPr>
        <w:t>)</w:t>
      </w:r>
      <w:r w:rsidRPr="00F42B1D">
        <w:fldChar w:fldCharType="end"/>
      </w:r>
      <w:r w:rsidR="00460B0D">
        <w:t>;</w:t>
      </w:r>
    </w:p>
    <w:p w14:paraId="02572A82" w14:textId="71F31572" w:rsidR="002D06A2" w:rsidRPr="00F42B1D" w:rsidRDefault="002D06A2" w:rsidP="00853EEA">
      <w:pPr>
        <w:pStyle w:val="ListParagraph"/>
        <w:numPr>
          <w:ilvl w:val="0"/>
          <w:numId w:val="36"/>
        </w:numPr>
      </w:pPr>
      <w:r w:rsidRPr="00F42B1D">
        <w:t>Change in 24-hour movement behaviour</w:t>
      </w:r>
      <w:r>
        <w:t xml:space="preserve"> </w:t>
      </w:r>
      <w:r w:rsidRPr="00F42B1D">
        <w:t xml:space="preserve">assessed using the </w:t>
      </w:r>
      <w:proofErr w:type="spellStart"/>
      <w:r w:rsidRPr="00F42B1D">
        <w:t>GENEActiv</w:t>
      </w:r>
      <w:proofErr w:type="spellEnd"/>
      <w:r w:rsidRPr="00F42B1D">
        <w:t xml:space="preserve"> </w:t>
      </w:r>
      <w:proofErr w:type="gramStart"/>
      <w:r w:rsidRPr="00F42B1D">
        <w:t>accelerometer</w:t>
      </w:r>
      <w:r w:rsidR="00460B0D">
        <w:t>;</w:t>
      </w:r>
      <w:proofErr w:type="gramEnd"/>
    </w:p>
    <w:p w14:paraId="43271AAD" w14:textId="055312B2" w:rsidR="002D06A2" w:rsidRPr="00F42B1D" w:rsidRDefault="002D06A2" w:rsidP="00853EEA">
      <w:pPr>
        <w:pStyle w:val="ListParagraph"/>
        <w:numPr>
          <w:ilvl w:val="0"/>
          <w:numId w:val="36"/>
        </w:numPr>
      </w:pPr>
      <w:r w:rsidRPr="00F42B1D">
        <w:t>Change in grip strength</w:t>
      </w:r>
      <w:r>
        <w:t xml:space="preserve"> assessed as the </w:t>
      </w:r>
      <w:r w:rsidRPr="00F42B1D">
        <w:t>best measurement of three scores measured using a handheld dynamometer (Jamar, Illinois,</w:t>
      </w:r>
      <w:r w:rsidR="00460B0D">
        <w:t xml:space="preserve"> USA) using the dominant </w:t>
      </w:r>
      <w:proofErr w:type="gramStart"/>
      <w:r w:rsidR="00460B0D">
        <w:t>hand;</w:t>
      </w:r>
      <w:proofErr w:type="gramEnd"/>
    </w:p>
    <w:p w14:paraId="390D7806" w14:textId="468768DB" w:rsidR="002D06A2" w:rsidRPr="00F42B1D" w:rsidRDefault="002D06A2" w:rsidP="00853EEA">
      <w:pPr>
        <w:pStyle w:val="ListParagraph"/>
        <w:numPr>
          <w:ilvl w:val="0"/>
          <w:numId w:val="36"/>
        </w:numPr>
      </w:pPr>
      <w:r w:rsidRPr="00F42B1D">
        <w:t>Change in weight</w:t>
      </w:r>
      <w:r>
        <w:t xml:space="preserve">, which was </w:t>
      </w:r>
      <w:r w:rsidRPr="00F42B1D">
        <w:t xml:space="preserve">extracted from the resident serial weight chart, which forms part of the </w:t>
      </w:r>
      <w:r w:rsidR="00460B0D">
        <w:t xml:space="preserve">Resident Care Assessment </w:t>
      </w:r>
      <w:proofErr w:type="gramStart"/>
      <w:r w:rsidR="00460B0D">
        <w:t>Record;</w:t>
      </w:r>
      <w:proofErr w:type="gramEnd"/>
    </w:p>
    <w:p w14:paraId="02103B39" w14:textId="0F04B1BD" w:rsidR="002D06A2" w:rsidRPr="00F42B1D" w:rsidRDefault="00460B0D" w:rsidP="00853EEA">
      <w:pPr>
        <w:pStyle w:val="ListParagraph"/>
        <w:numPr>
          <w:ilvl w:val="0"/>
          <w:numId w:val="36"/>
        </w:numPr>
      </w:pPr>
      <w:r>
        <w:t>Rate of adverse medicine events; and</w:t>
      </w:r>
    </w:p>
    <w:p w14:paraId="43BCA670" w14:textId="2D1B4E98" w:rsidR="002D06A2" w:rsidRPr="00F42B1D" w:rsidRDefault="002D06A2" w:rsidP="00853EEA">
      <w:pPr>
        <w:pStyle w:val="ListParagraph"/>
        <w:numPr>
          <w:ilvl w:val="0"/>
          <w:numId w:val="36"/>
        </w:numPr>
      </w:pPr>
      <w:r w:rsidRPr="00F42B1D">
        <w:t xml:space="preserve">Change in </w:t>
      </w:r>
      <w:proofErr w:type="gramStart"/>
      <w:r w:rsidRPr="00F42B1D">
        <w:t>health related</w:t>
      </w:r>
      <w:proofErr w:type="gramEnd"/>
      <w:r w:rsidRPr="00F42B1D">
        <w:t xml:space="preserve"> quality of life</w:t>
      </w:r>
      <w:r>
        <w:t xml:space="preserve"> assessed using EQ-5D</w:t>
      </w:r>
      <w:r w:rsidRPr="00F42B1D">
        <w:t>.</w:t>
      </w:r>
    </w:p>
    <w:p w14:paraId="3848BDAE" w14:textId="2CAA47BB" w:rsidR="00AF058C" w:rsidRDefault="00AF058C" w:rsidP="00FF37D6">
      <w:pPr>
        <w:pStyle w:val="Heading3-SectionB6"/>
      </w:pPr>
      <w:bookmarkStart w:id="156" w:name="_Toc117758248"/>
      <w:r w:rsidRPr="00F42B1D">
        <w:lastRenderedPageBreak/>
        <w:t>Quantitative analysis</w:t>
      </w:r>
      <w:bookmarkEnd w:id="156"/>
    </w:p>
    <w:p w14:paraId="14A848AE" w14:textId="086CB651" w:rsidR="002D06A2" w:rsidRPr="00F42B1D" w:rsidRDefault="002D06A2" w:rsidP="007501B9">
      <w:r w:rsidRPr="00F42B1D">
        <w:t>The trial analysis followed a pre-specified statistical analysis plan</w:t>
      </w:r>
      <w:r w:rsidR="007501B9">
        <w:t xml:space="preserve">. </w:t>
      </w:r>
      <w:r w:rsidRPr="00F42B1D">
        <w:t>Participants were analysed according to the treatment to which they were randomised using an intention-to-treat approach.</w:t>
      </w:r>
    </w:p>
    <w:p w14:paraId="16F8EF84" w14:textId="48A357A1" w:rsidR="002D06A2" w:rsidRPr="00F42B1D" w:rsidRDefault="002D06A2" w:rsidP="007501B9">
      <w:r w:rsidRPr="00F42B1D">
        <w:t xml:space="preserve">Analyses used mixed-effects </w:t>
      </w:r>
      <w:r>
        <w:t xml:space="preserve">repeated measures </w:t>
      </w:r>
      <w:r w:rsidRPr="00F42B1D">
        <w:t>models to account for correlated measurements from the same individual over time</w:t>
      </w:r>
      <w:r w:rsidR="007501B9">
        <w:t xml:space="preserve">. </w:t>
      </w:r>
      <w:r w:rsidRPr="00FC2115">
        <w:t xml:space="preserve">Although frailty index and other measures such as weight and MoCA had non-normal distributions, the modelled outcomes were changes from baseline, </w:t>
      </w:r>
      <w:r>
        <w:t xml:space="preserve">which were </w:t>
      </w:r>
      <w:r w:rsidRPr="00FC2115">
        <w:t xml:space="preserve">assumed to be normally distributed. </w:t>
      </w:r>
      <w:r w:rsidRPr="00F42B1D">
        <w:t>To test whether the outcomes differed between the intervention groups, models included fixed effects for treatment group, time point and an interaction term between treatment group and time point</w:t>
      </w:r>
      <w:r w:rsidR="007501B9">
        <w:t xml:space="preserve">. </w:t>
      </w:r>
      <w:r w:rsidRPr="00F42B1D">
        <w:t xml:space="preserve">Treatment effects were reported separately at </w:t>
      </w:r>
      <w:proofErr w:type="gramStart"/>
      <w:r w:rsidRPr="00F42B1D">
        <w:t>six and twelve months</w:t>
      </w:r>
      <w:proofErr w:type="gramEnd"/>
      <w:r w:rsidRPr="00F42B1D">
        <w:t xml:space="preserve"> post randomisation and statistical significance was assessed at the two-sided 0.05 level. Both unadjusted and adjusted analyses were performed, with the adjusted analyses including the randomisation stratification variables (aged care facility and gender) as covariates</w:t>
      </w:r>
      <w:r w:rsidR="007501B9">
        <w:t xml:space="preserve">. </w:t>
      </w:r>
      <w:r w:rsidRPr="00F42B1D">
        <w:t xml:space="preserve">If adjusting for a covariate prevented models from converging (for example, from small facilities), the covariate was </w:t>
      </w:r>
      <w:proofErr w:type="gramStart"/>
      <w:r w:rsidRPr="00F42B1D">
        <w:t>excluded</w:t>
      </w:r>
      <w:proofErr w:type="gramEnd"/>
      <w:r w:rsidRPr="00F42B1D">
        <w:t xml:space="preserve"> and this was noted in the reporting</w:t>
      </w:r>
      <w:r w:rsidR="007501B9">
        <w:t xml:space="preserve">. </w:t>
      </w:r>
      <w:r w:rsidRPr="00F42B1D">
        <w:t>Continuous outcomes were adjusted for baseline values</w:t>
      </w:r>
      <w:r w:rsidR="007501B9">
        <w:t xml:space="preserve">. </w:t>
      </w:r>
      <w:r w:rsidRPr="00F42B1D">
        <w:t>Conclusions on group differences were based on the adjusted analyses</w:t>
      </w:r>
      <w:r w:rsidR="007501B9">
        <w:t xml:space="preserve">. </w:t>
      </w:r>
      <w:r w:rsidRPr="00F42B1D">
        <w:t>Planned subgroup analyses of the primary outcome included gender, baseline frailty phenotype, and use of sedative and anticholinergic medications.</w:t>
      </w:r>
    </w:p>
    <w:p w14:paraId="6709462F" w14:textId="1167F52C" w:rsidR="002D06A2" w:rsidRPr="00F42B1D" w:rsidRDefault="002D06A2" w:rsidP="007501B9">
      <w:r w:rsidRPr="00F42B1D">
        <w:t>For continuous outcomes, linear regression models were used with no planned data transformations</w:t>
      </w:r>
      <w:r w:rsidR="007501B9">
        <w:t xml:space="preserve">. </w:t>
      </w:r>
      <w:r w:rsidRPr="00F42B1D">
        <w:t>For ordinal categorical outcomes, proportional odds models were used</w:t>
      </w:r>
      <w:r w:rsidR="007501B9">
        <w:t xml:space="preserve">. </w:t>
      </w:r>
      <w:r w:rsidRPr="00F42B1D">
        <w:t>Poisson or negative-binomial regression models were used for the count outcomes, as appropriate</w:t>
      </w:r>
      <w:r w:rsidR="007501B9">
        <w:t xml:space="preserve">. </w:t>
      </w:r>
      <w:r w:rsidRPr="00F42B1D">
        <w:t>If the mixed models fail</w:t>
      </w:r>
      <w:r>
        <w:t>ed</w:t>
      </w:r>
      <w:r w:rsidRPr="00F42B1D">
        <w:t xml:space="preserve"> to converge, generalised estimating equations were used instead</w:t>
      </w:r>
      <w:r w:rsidR="007501B9">
        <w:t xml:space="preserve">. </w:t>
      </w:r>
      <w:r w:rsidRPr="00FC2115">
        <w:t>The normality assumption was assessed using the model residuals.</w:t>
      </w:r>
      <w:r>
        <w:t xml:space="preserve"> </w:t>
      </w:r>
      <w:r w:rsidRPr="00CB7562">
        <w:t xml:space="preserve">Sensitivity analyses for defined subgroups, potential survivor bias, bias due to deaths and post-hoc imputation of results after </w:t>
      </w:r>
      <w:r>
        <w:t>COVID</w:t>
      </w:r>
      <w:r w:rsidRPr="00CB7562">
        <w:t xml:space="preserve">-19 lockdowns are further described in the respective </w:t>
      </w:r>
      <w:r w:rsidR="00460B0D">
        <w:t>analyses below and in Appendix E</w:t>
      </w:r>
      <w:r w:rsidR="007501B9">
        <w:t xml:space="preserve">. </w:t>
      </w:r>
      <w:r w:rsidRPr="00460B0D">
        <w:t>The</w:t>
      </w:r>
      <w:r w:rsidRPr="00F42B1D">
        <w:t xml:space="preserve"> full statistical analysis plan is in Appendix C</w:t>
      </w:r>
      <w:r>
        <w:t>2</w:t>
      </w:r>
      <w:r w:rsidRPr="00F42B1D">
        <w:t>.</w:t>
      </w:r>
    </w:p>
    <w:p w14:paraId="7A70257E" w14:textId="78D32403" w:rsidR="00214F7B" w:rsidRPr="00F42B1D" w:rsidRDefault="00214F7B" w:rsidP="00857F40">
      <w:pPr>
        <w:pStyle w:val="Heading2-SectionB"/>
      </w:pPr>
      <w:bookmarkStart w:id="157" w:name="_Toc117758249"/>
      <w:bookmarkStart w:id="158" w:name="_Toc122538326"/>
      <w:bookmarkStart w:id="159" w:name="_Toc143663862"/>
      <w:bookmarkStart w:id="160" w:name="_Ref144697268"/>
      <w:bookmarkStart w:id="161" w:name="_Ref144697275"/>
      <w:r w:rsidRPr="00F42B1D">
        <w:t xml:space="preserve">Results of the </w:t>
      </w:r>
      <w:proofErr w:type="spellStart"/>
      <w:r w:rsidR="00B13549" w:rsidRPr="00F42B1D">
        <w:t>ReMInDAR</w:t>
      </w:r>
      <w:proofErr w:type="spellEnd"/>
      <w:r w:rsidR="00B13549" w:rsidRPr="00F42B1D">
        <w:t xml:space="preserve"> trial</w:t>
      </w:r>
      <w:bookmarkEnd w:id="157"/>
    </w:p>
    <w:p w14:paraId="3B5B4EC8" w14:textId="590CA5BE" w:rsidR="00566F39" w:rsidRPr="00F42B1D" w:rsidRDefault="00566F39" w:rsidP="00FF37D6">
      <w:pPr>
        <w:pStyle w:val="Heading3-SectionB7"/>
      </w:pPr>
      <w:bookmarkStart w:id="162" w:name="_Toc49428977"/>
      <w:bookmarkStart w:id="163" w:name="_Toc117758250"/>
      <w:bookmarkEnd w:id="127"/>
      <w:bookmarkEnd w:id="128"/>
      <w:bookmarkEnd w:id="129"/>
      <w:bookmarkEnd w:id="158"/>
      <w:bookmarkEnd w:id="159"/>
      <w:bookmarkEnd w:id="160"/>
      <w:bookmarkEnd w:id="161"/>
      <w:r w:rsidRPr="00F42B1D">
        <w:t>Intervention delivery</w:t>
      </w:r>
      <w:bookmarkEnd w:id="162"/>
      <w:bookmarkEnd w:id="163"/>
    </w:p>
    <w:p w14:paraId="2539313A" w14:textId="12F45F37" w:rsidR="002D06A2" w:rsidRDefault="00566F39" w:rsidP="007501B9">
      <w:r w:rsidRPr="00F42B1D">
        <w:t xml:space="preserve">A total of 120 participants were randomised to the intervention arm of </w:t>
      </w:r>
      <w:proofErr w:type="spellStart"/>
      <w:r w:rsidRPr="00F42B1D">
        <w:t>ReMInDAR</w:t>
      </w:r>
      <w:proofErr w:type="spellEnd"/>
      <w:r w:rsidRPr="00F42B1D">
        <w:t>, however 5 participants died prior to commencement of the delivery of their service, leaving 115 participants who received pharmacist services</w:t>
      </w:r>
      <w:r w:rsidR="007501B9">
        <w:t xml:space="preserve">. </w:t>
      </w:r>
      <w:r w:rsidRPr="00F42B1D">
        <w:t xml:space="preserve">Pharmacists attempted to visit all participants for each of the planned sessions every 8 weeks over 1 year, however participant numbers </w:t>
      </w:r>
      <w:r w:rsidRPr="00F42B1D">
        <w:lastRenderedPageBreak/>
        <w:t xml:space="preserve">varied due to death and </w:t>
      </w:r>
      <w:r w:rsidRPr="00F42B1D">
        <w:rPr>
          <w:i/>
        </w:rPr>
        <w:t>ad hoc</w:t>
      </w:r>
      <w:r w:rsidRPr="00F42B1D">
        <w:t xml:space="preserve"> unavailability of the participant, as well as the inability to access facilities in person or via telephone during </w:t>
      </w:r>
      <w:r w:rsidR="006B0804">
        <w:t>COVID</w:t>
      </w:r>
      <w:r w:rsidRPr="00F42B1D">
        <w:t>-19 restrictions</w:t>
      </w:r>
      <w:r w:rsidR="007501B9">
        <w:t xml:space="preserve">. </w:t>
      </w:r>
    </w:p>
    <w:p w14:paraId="38EA19CF" w14:textId="3BF16D9F" w:rsidR="00566F39" w:rsidRPr="00F42B1D" w:rsidRDefault="00566F39" w:rsidP="007501B9">
      <w:r w:rsidRPr="00F42B1D">
        <w:t xml:space="preserve">Overall, 88 planned visits with intervention participants were affected by the </w:t>
      </w:r>
      <w:r w:rsidR="006B0804">
        <w:t>COVID</w:t>
      </w:r>
      <w:r w:rsidRPr="00F42B1D">
        <w:t>-19 restrictions, with 25 delayed, 7 undertaken via telephone, 21 constrained to a review of medication chart and care records only (no participant interview) and 35 unable to be undertaken</w:t>
      </w:r>
      <w:r w:rsidR="007501B9">
        <w:t xml:space="preserve">. </w:t>
      </w:r>
      <w:r w:rsidRPr="00F42B1D">
        <w:t>Delays have the potential to result in insufficient time for resolution of pr</w:t>
      </w:r>
      <w:r w:rsidR="00E90B8E">
        <w:t>oblems during the trial period.</w:t>
      </w:r>
    </w:p>
    <w:p w14:paraId="07ECFB29" w14:textId="18C62559" w:rsidR="00566F39" w:rsidRDefault="00566F39" w:rsidP="007501B9">
      <w:r w:rsidRPr="00F42B1D">
        <w:t xml:space="preserve">Overall, 575 individual pharmacist visits with residents were undertaken across the life of the </w:t>
      </w:r>
      <w:proofErr w:type="gramStart"/>
      <w:r w:rsidRPr="00F42B1D">
        <w:t>trial;</w:t>
      </w:r>
      <w:proofErr w:type="gramEnd"/>
      <w:r w:rsidRPr="00F42B1D">
        <w:t xml:space="preserve"> a median of 6 pharmacist sessions per person</w:t>
      </w:r>
      <w:r w:rsidR="007501B9">
        <w:t xml:space="preserve">. </w:t>
      </w:r>
      <w:r w:rsidRPr="00F42B1D">
        <w:t xml:space="preserve">For 572 of the 575 sessions, pharmacists recorded documentation (See Appendix </w:t>
      </w:r>
      <w:r w:rsidR="00E81714" w:rsidRPr="00F42B1D">
        <w:t>C</w:t>
      </w:r>
      <w:r w:rsidR="00C00BFC">
        <w:t>1</w:t>
      </w:r>
      <w:r w:rsidR="00E81714" w:rsidRPr="00F42B1D">
        <w:t xml:space="preserve"> </w:t>
      </w:r>
      <w:r w:rsidRPr="00F42B1D">
        <w:t>for example of pharmacist documentation record)</w:t>
      </w:r>
      <w:r w:rsidR="007501B9">
        <w:t xml:space="preserve">. </w:t>
      </w:r>
      <w:r w:rsidRPr="00F42B1D">
        <w:t xml:space="preserve">The documentation included notes on communications directed to the general practitioner, the nursing home staff or the resident as well as progress notes for the pharmacist’s ongoing review or inclusion in the </w:t>
      </w:r>
      <w:r w:rsidR="00D11D97" w:rsidRPr="00F42B1D">
        <w:t>resident</w:t>
      </w:r>
      <w:r w:rsidRPr="00F42B1D">
        <w:t xml:space="preserve"> care record (Figure </w:t>
      </w:r>
      <w:r w:rsidR="00721224" w:rsidRPr="00F42B1D">
        <w:t>B-</w:t>
      </w:r>
      <w:r w:rsidR="00460B0D">
        <w:t>6</w:t>
      </w:r>
      <w:r w:rsidR="00A05222" w:rsidRPr="00F42B1D">
        <w:t>).</w:t>
      </w:r>
    </w:p>
    <w:p w14:paraId="1944A6B8" w14:textId="419E118A" w:rsidR="00460B0D" w:rsidRPr="00460B0D" w:rsidRDefault="00460B0D" w:rsidP="007501B9">
      <w:pPr>
        <w:rPr>
          <w:color w:val="FFFFFF" w:themeColor="background1"/>
        </w:rPr>
      </w:pPr>
      <w:r>
        <w:br w:type="page"/>
      </w:r>
    </w:p>
    <w:p w14:paraId="54343788" w14:textId="54FA16AC" w:rsidR="00503243" w:rsidRDefault="00503243" w:rsidP="00897C5B">
      <w:pPr>
        <w:pStyle w:val="Caption"/>
      </w:pPr>
      <w:r w:rsidRPr="00F42B1D">
        <w:lastRenderedPageBreak/>
        <w:t>Figure B-</w:t>
      </w:r>
      <w:r w:rsidR="00460B0D">
        <w:t>6</w:t>
      </w:r>
      <w:r w:rsidRPr="00F42B1D">
        <w:t>: Pharmac</w:t>
      </w:r>
      <w:r>
        <w:t>ist documentation by recipient.</w:t>
      </w:r>
    </w:p>
    <w:p w14:paraId="63D16639" w14:textId="6E570765" w:rsidR="00503243" w:rsidRPr="00F42B1D" w:rsidRDefault="00503243" w:rsidP="00897C5B">
      <w:pPr>
        <w:pStyle w:val="Caption"/>
      </w:pPr>
      <w:r w:rsidRPr="00F42B1D">
        <w:rPr>
          <w:noProof/>
        </w:rPr>
        <w:drawing>
          <wp:inline distT="0" distB="0" distL="0" distR="0" wp14:anchorId="3A4D970F" wp14:editId="3BE5DE9D">
            <wp:extent cx="5591175" cy="3515360"/>
            <wp:effectExtent l="0" t="0" r="9525" b="8890"/>
            <wp:docPr id="63" name="Chart 63" descr="Figure B-4 is a pie chart illustrating the proportion of pharmacist case review documentation by recipient throughout the trial. The proportions were from highest to lowest:&#10;1) pharmacist progress notes or patient care record notes (52%), &#10;2) GP communications (27%),&#10;3) resident communications (16%), and &#10;4) RACF nursing staff communications (5%).&#10;" title="Pharmacist documentation by recipient."/>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96C0905" w14:textId="553F55EB" w:rsidR="00566F39" w:rsidRPr="00F42B1D" w:rsidRDefault="00566F39" w:rsidP="00FF37D6">
      <w:pPr>
        <w:pStyle w:val="Heading3-SectionB7"/>
      </w:pPr>
      <w:bookmarkStart w:id="164" w:name="_B6.2_Medication_related"/>
      <w:bookmarkStart w:id="165" w:name="_Toc49428978"/>
      <w:bookmarkStart w:id="166" w:name="_Toc117758251"/>
      <w:bookmarkEnd w:id="164"/>
      <w:r w:rsidRPr="00F42B1D">
        <w:t>Medication related problems</w:t>
      </w:r>
      <w:bookmarkEnd w:id="165"/>
      <w:bookmarkEnd w:id="166"/>
    </w:p>
    <w:p w14:paraId="42B73B52" w14:textId="676CDA0D" w:rsidR="00C95533" w:rsidRDefault="008015E0" w:rsidP="007501B9">
      <w:r>
        <w:t>In total 112</w:t>
      </w:r>
      <w:r w:rsidR="009812C6">
        <w:t xml:space="preserve"> (97%)</w:t>
      </w:r>
      <w:r>
        <w:t xml:space="preserve"> of the 115 people who received the service had at least one medicine related problem or symptom report identified</w:t>
      </w:r>
      <w:r w:rsidR="00B25392">
        <w:t xml:space="preserve"> (Table B-6)</w:t>
      </w:r>
      <w:r w:rsidR="007501B9">
        <w:t xml:space="preserve">. </w:t>
      </w:r>
      <w:r w:rsidR="00C23670" w:rsidRPr="00F42B1D">
        <w:t xml:space="preserve">In total, </w:t>
      </w:r>
      <w:r w:rsidR="00C23670">
        <w:t xml:space="preserve">pharmacists identified 673 </w:t>
      </w:r>
      <w:r w:rsidR="00C23670" w:rsidRPr="00F42B1D">
        <w:t xml:space="preserve">medicine related problems </w:t>
      </w:r>
      <w:r w:rsidR="00C23670">
        <w:t xml:space="preserve">or symptom reports; </w:t>
      </w:r>
      <w:r w:rsidR="00C23670" w:rsidRPr="00F42B1D">
        <w:t>(averaging six per person adjusted for follow-up time</w:t>
      </w:r>
      <w:r w:rsidR="009812C6">
        <w:t>)</w:t>
      </w:r>
      <w:r w:rsidR="007501B9">
        <w:t xml:space="preserve">. </w:t>
      </w:r>
      <w:r w:rsidR="009812C6">
        <w:t>The proportion of people with a problem or symptom report at each session was consistently above 60%, ranging from 79% in the first two sessions do</w:t>
      </w:r>
      <w:r w:rsidR="006876F6">
        <w:t>wn to 64% by the sixth session) (Figure B -7)</w:t>
      </w:r>
      <w:r w:rsidR="007501B9">
        <w:t xml:space="preserve">. </w:t>
      </w:r>
      <w:r>
        <w:t>Fifty percent of residents had five or more problems or symptoms identified across the study period (range 1 to 29)</w:t>
      </w:r>
      <w:r w:rsidR="007501B9">
        <w:t xml:space="preserve">. </w:t>
      </w:r>
      <w:r w:rsidR="000973D8">
        <w:t xml:space="preserve">During </w:t>
      </w:r>
      <w:proofErr w:type="gramStart"/>
      <w:r w:rsidR="000973D8">
        <w:t>the majority of</w:t>
      </w:r>
      <w:proofErr w:type="gramEnd"/>
      <w:r w:rsidR="000973D8">
        <w:t xml:space="preserve"> sessions one or two problems or symptom repo</w:t>
      </w:r>
      <w:r w:rsidR="00B25392">
        <w:t>rts per person were identified</w:t>
      </w:r>
      <w:r w:rsidR="006876F6">
        <w:t xml:space="preserve"> (Figure B-8)</w:t>
      </w:r>
      <w:r w:rsidR="00B25392">
        <w:t>.</w:t>
      </w:r>
    </w:p>
    <w:tbl>
      <w:tblPr>
        <w:tblStyle w:val="ListTable3"/>
        <w:tblW w:w="5000" w:type="pct"/>
        <w:tblLook w:val="04A0" w:firstRow="1" w:lastRow="0" w:firstColumn="1" w:lastColumn="0" w:noHBand="0" w:noVBand="1"/>
        <w:tblCaption w:val="Proportion of persons with a problem or symptom report at each session"/>
        <w:tblDescription w:val="Proportion of persons with a problem or symptom report at each session"/>
      </w:tblPr>
      <w:tblGrid>
        <w:gridCol w:w="4695"/>
        <w:gridCol w:w="721"/>
        <w:gridCol w:w="721"/>
        <w:gridCol w:w="721"/>
        <w:gridCol w:w="721"/>
        <w:gridCol w:w="721"/>
        <w:gridCol w:w="716"/>
      </w:tblGrid>
      <w:tr w:rsidR="009812C6" w:rsidRPr="00642951" w14:paraId="0CBC208E" w14:textId="77777777" w:rsidTr="00642951">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2603" w:type="pct"/>
            <w:noWrap/>
            <w:hideMark/>
          </w:tcPr>
          <w:p w14:paraId="596C2505" w14:textId="77777777" w:rsidR="009812C6" w:rsidRPr="00642951" w:rsidRDefault="009812C6" w:rsidP="00642951">
            <w:pPr>
              <w:pStyle w:val="TableHeader"/>
              <w:rPr>
                <w:b/>
                <w:bCs w:val="0"/>
              </w:rPr>
            </w:pPr>
            <w:bookmarkStart w:id="167" w:name="Title_1169" w:colFirst="0" w:colLast="0"/>
            <w:r w:rsidRPr="00642951">
              <w:rPr>
                <w:b/>
                <w:bCs w:val="0"/>
              </w:rPr>
              <w:t>Session number</w:t>
            </w:r>
            <w:bookmarkStart w:id="168" w:name="Title_41"/>
            <w:bookmarkEnd w:id="168"/>
          </w:p>
        </w:tc>
        <w:tc>
          <w:tcPr>
            <w:tcW w:w="400" w:type="pct"/>
            <w:hideMark/>
          </w:tcPr>
          <w:p w14:paraId="24D520FC" w14:textId="77777777" w:rsidR="009812C6" w:rsidRPr="00642951" w:rsidRDefault="009812C6" w:rsidP="00B734A6">
            <w:pPr>
              <w:pStyle w:val="TableHeader"/>
              <w:jc w:val="right"/>
              <w:cnfStyle w:val="100000000000" w:firstRow="1" w:lastRow="0" w:firstColumn="0" w:lastColumn="0" w:oddVBand="0" w:evenVBand="0" w:oddHBand="0" w:evenHBand="0" w:firstRowFirstColumn="0" w:firstRowLastColumn="0" w:lastRowFirstColumn="0" w:lastRowLastColumn="0"/>
              <w:rPr>
                <w:b/>
                <w:bCs w:val="0"/>
              </w:rPr>
            </w:pPr>
            <w:r w:rsidRPr="00642951">
              <w:rPr>
                <w:b/>
                <w:bCs w:val="0"/>
              </w:rPr>
              <w:t>1</w:t>
            </w:r>
          </w:p>
        </w:tc>
        <w:tc>
          <w:tcPr>
            <w:tcW w:w="400" w:type="pct"/>
            <w:hideMark/>
          </w:tcPr>
          <w:p w14:paraId="1F5F3A2B" w14:textId="77777777" w:rsidR="009812C6" w:rsidRPr="00642951" w:rsidRDefault="009812C6" w:rsidP="00B734A6">
            <w:pPr>
              <w:pStyle w:val="TableHeader"/>
              <w:jc w:val="right"/>
              <w:cnfStyle w:val="100000000000" w:firstRow="1" w:lastRow="0" w:firstColumn="0" w:lastColumn="0" w:oddVBand="0" w:evenVBand="0" w:oddHBand="0" w:evenHBand="0" w:firstRowFirstColumn="0" w:firstRowLastColumn="0" w:lastRowFirstColumn="0" w:lastRowLastColumn="0"/>
              <w:rPr>
                <w:b/>
                <w:bCs w:val="0"/>
              </w:rPr>
            </w:pPr>
            <w:r w:rsidRPr="00642951">
              <w:rPr>
                <w:b/>
                <w:bCs w:val="0"/>
              </w:rPr>
              <w:t>2</w:t>
            </w:r>
          </w:p>
        </w:tc>
        <w:tc>
          <w:tcPr>
            <w:tcW w:w="400" w:type="pct"/>
            <w:hideMark/>
          </w:tcPr>
          <w:p w14:paraId="23473633" w14:textId="77777777" w:rsidR="009812C6" w:rsidRPr="00642951" w:rsidRDefault="009812C6" w:rsidP="00B734A6">
            <w:pPr>
              <w:pStyle w:val="TableHeader"/>
              <w:jc w:val="right"/>
              <w:cnfStyle w:val="100000000000" w:firstRow="1" w:lastRow="0" w:firstColumn="0" w:lastColumn="0" w:oddVBand="0" w:evenVBand="0" w:oddHBand="0" w:evenHBand="0" w:firstRowFirstColumn="0" w:firstRowLastColumn="0" w:lastRowFirstColumn="0" w:lastRowLastColumn="0"/>
              <w:rPr>
                <w:b/>
                <w:bCs w:val="0"/>
              </w:rPr>
            </w:pPr>
            <w:r w:rsidRPr="00642951">
              <w:rPr>
                <w:b/>
                <w:bCs w:val="0"/>
              </w:rPr>
              <w:t>3</w:t>
            </w:r>
          </w:p>
        </w:tc>
        <w:tc>
          <w:tcPr>
            <w:tcW w:w="400" w:type="pct"/>
            <w:hideMark/>
          </w:tcPr>
          <w:p w14:paraId="7DF70D4D" w14:textId="77777777" w:rsidR="009812C6" w:rsidRPr="00642951" w:rsidRDefault="009812C6" w:rsidP="00B734A6">
            <w:pPr>
              <w:pStyle w:val="TableHeader"/>
              <w:jc w:val="right"/>
              <w:cnfStyle w:val="100000000000" w:firstRow="1" w:lastRow="0" w:firstColumn="0" w:lastColumn="0" w:oddVBand="0" w:evenVBand="0" w:oddHBand="0" w:evenHBand="0" w:firstRowFirstColumn="0" w:firstRowLastColumn="0" w:lastRowFirstColumn="0" w:lastRowLastColumn="0"/>
              <w:rPr>
                <w:b/>
                <w:bCs w:val="0"/>
              </w:rPr>
            </w:pPr>
            <w:r w:rsidRPr="00642951">
              <w:rPr>
                <w:b/>
                <w:bCs w:val="0"/>
              </w:rPr>
              <w:t>4</w:t>
            </w:r>
          </w:p>
        </w:tc>
        <w:tc>
          <w:tcPr>
            <w:tcW w:w="400" w:type="pct"/>
            <w:hideMark/>
          </w:tcPr>
          <w:p w14:paraId="09C64DD2" w14:textId="77777777" w:rsidR="009812C6" w:rsidRPr="00642951" w:rsidRDefault="009812C6" w:rsidP="00B734A6">
            <w:pPr>
              <w:pStyle w:val="TableHeader"/>
              <w:jc w:val="right"/>
              <w:cnfStyle w:val="100000000000" w:firstRow="1" w:lastRow="0" w:firstColumn="0" w:lastColumn="0" w:oddVBand="0" w:evenVBand="0" w:oddHBand="0" w:evenHBand="0" w:firstRowFirstColumn="0" w:firstRowLastColumn="0" w:lastRowFirstColumn="0" w:lastRowLastColumn="0"/>
              <w:rPr>
                <w:b/>
                <w:bCs w:val="0"/>
              </w:rPr>
            </w:pPr>
            <w:r w:rsidRPr="00642951">
              <w:rPr>
                <w:b/>
                <w:bCs w:val="0"/>
              </w:rPr>
              <w:t>5</w:t>
            </w:r>
          </w:p>
        </w:tc>
        <w:tc>
          <w:tcPr>
            <w:tcW w:w="398" w:type="pct"/>
            <w:hideMark/>
          </w:tcPr>
          <w:p w14:paraId="17A414BC" w14:textId="77777777" w:rsidR="009812C6" w:rsidRPr="00642951" w:rsidRDefault="009812C6" w:rsidP="00B734A6">
            <w:pPr>
              <w:pStyle w:val="TableHeader"/>
              <w:jc w:val="right"/>
              <w:cnfStyle w:val="100000000000" w:firstRow="1" w:lastRow="0" w:firstColumn="0" w:lastColumn="0" w:oddVBand="0" w:evenVBand="0" w:oddHBand="0" w:evenHBand="0" w:firstRowFirstColumn="0" w:firstRowLastColumn="0" w:lastRowFirstColumn="0" w:lastRowLastColumn="0"/>
              <w:rPr>
                <w:b/>
                <w:bCs w:val="0"/>
              </w:rPr>
            </w:pPr>
            <w:r w:rsidRPr="00642951">
              <w:rPr>
                <w:b/>
                <w:bCs w:val="0"/>
              </w:rPr>
              <w:t>6</w:t>
            </w:r>
          </w:p>
        </w:tc>
      </w:tr>
      <w:bookmarkEnd w:id="167"/>
      <w:tr w:rsidR="009812C6" w:rsidRPr="006876F6" w14:paraId="00C7BAB8" w14:textId="77777777" w:rsidTr="006429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03" w:type="pct"/>
            <w:noWrap/>
            <w:hideMark/>
          </w:tcPr>
          <w:p w14:paraId="28399A2A" w14:textId="7887B873" w:rsidR="009812C6" w:rsidRPr="006876F6" w:rsidRDefault="009812C6" w:rsidP="00B734A6">
            <w:pPr>
              <w:pStyle w:val="Tabletext1"/>
            </w:pPr>
            <w:r w:rsidRPr="006876F6">
              <w:t>Number of people who received a session</w:t>
            </w:r>
          </w:p>
        </w:tc>
        <w:tc>
          <w:tcPr>
            <w:tcW w:w="400" w:type="pct"/>
            <w:noWrap/>
            <w:hideMark/>
          </w:tcPr>
          <w:p w14:paraId="44DC0809" w14:textId="77777777" w:rsidR="009812C6" w:rsidRPr="006876F6" w:rsidRDefault="009812C6" w:rsidP="00B734A6">
            <w:pPr>
              <w:pStyle w:val="Tabletext1"/>
              <w:jc w:val="right"/>
              <w:cnfStyle w:val="000000100000" w:firstRow="0" w:lastRow="0" w:firstColumn="0" w:lastColumn="0" w:oddVBand="0" w:evenVBand="0" w:oddHBand="1" w:evenHBand="0" w:firstRowFirstColumn="0" w:firstRowLastColumn="0" w:lastRowFirstColumn="0" w:lastRowLastColumn="0"/>
            </w:pPr>
            <w:r w:rsidRPr="006876F6">
              <w:t>115</w:t>
            </w:r>
          </w:p>
        </w:tc>
        <w:tc>
          <w:tcPr>
            <w:tcW w:w="400" w:type="pct"/>
            <w:noWrap/>
            <w:hideMark/>
          </w:tcPr>
          <w:p w14:paraId="482D25C0" w14:textId="77777777" w:rsidR="009812C6" w:rsidRPr="006876F6" w:rsidRDefault="009812C6" w:rsidP="00B734A6">
            <w:pPr>
              <w:pStyle w:val="Tabletext1"/>
              <w:jc w:val="right"/>
              <w:cnfStyle w:val="000000100000" w:firstRow="0" w:lastRow="0" w:firstColumn="0" w:lastColumn="0" w:oddVBand="0" w:evenVBand="0" w:oddHBand="1" w:evenHBand="0" w:firstRowFirstColumn="0" w:firstRowLastColumn="0" w:lastRowFirstColumn="0" w:lastRowLastColumn="0"/>
            </w:pPr>
            <w:r w:rsidRPr="006876F6">
              <w:t>107</w:t>
            </w:r>
          </w:p>
        </w:tc>
        <w:tc>
          <w:tcPr>
            <w:tcW w:w="400" w:type="pct"/>
            <w:noWrap/>
            <w:hideMark/>
          </w:tcPr>
          <w:p w14:paraId="070E007C" w14:textId="77777777" w:rsidR="009812C6" w:rsidRPr="006876F6" w:rsidRDefault="009812C6" w:rsidP="00B734A6">
            <w:pPr>
              <w:pStyle w:val="Tabletext1"/>
              <w:jc w:val="right"/>
              <w:cnfStyle w:val="000000100000" w:firstRow="0" w:lastRow="0" w:firstColumn="0" w:lastColumn="0" w:oddVBand="0" w:evenVBand="0" w:oddHBand="1" w:evenHBand="0" w:firstRowFirstColumn="0" w:firstRowLastColumn="0" w:lastRowFirstColumn="0" w:lastRowLastColumn="0"/>
            </w:pPr>
            <w:r w:rsidRPr="006876F6">
              <w:t>105</w:t>
            </w:r>
          </w:p>
        </w:tc>
        <w:tc>
          <w:tcPr>
            <w:tcW w:w="400" w:type="pct"/>
            <w:noWrap/>
            <w:hideMark/>
          </w:tcPr>
          <w:p w14:paraId="3F353E55" w14:textId="77777777" w:rsidR="009812C6" w:rsidRPr="006876F6" w:rsidRDefault="009812C6" w:rsidP="00B734A6">
            <w:pPr>
              <w:pStyle w:val="Tabletext1"/>
              <w:jc w:val="right"/>
              <w:cnfStyle w:val="000000100000" w:firstRow="0" w:lastRow="0" w:firstColumn="0" w:lastColumn="0" w:oddVBand="0" w:evenVBand="0" w:oddHBand="1" w:evenHBand="0" w:firstRowFirstColumn="0" w:firstRowLastColumn="0" w:lastRowFirstColumn="0" w:lastRowLastColumn="0"/>
            </w:pPr>
            <w:r w:rsidRPr="006876F6">
              <w:t>96</w:t>
            </w:r>
          </w:p>
        </w:tc>
        <w:tc>
          <w:tcPr>
            <w:tcW w:w="400" w:type="pct"/>
            <w:noWrap/>
            <w:hideMark/>
          </w:tcPr>
          <w:p w14:paraId="78A51FF0" w14:textId="77777777" w:rsidR="009812C6" w:rsidRPr="006876F6" w:rsidRDefault="009812C6" w:rsidP="00B734A6">
            <w:pPr>
              <w:pStyle w:val="Tabletext1"/>
              <w:jc w:val="right"/>
              <w:cnfStyle w:val="000000100000" w:firstRow="0" w:lastRow="0" w:firstColumn="0" w:lastColumn="0" w:oddVBand="0" w:evenVBand="0" w:oddHBand="1" w:evenHBand="0" w:firstRowFirstColumn="0" w:firstRowLastColumn="0" w:lastRowFirstColumn="0" w:lastRowLastColumn="0"/>
            </w:pPr>
            <w:r w:rsidRPr="006876F6">
              <w:t>91</w:t>
            </w:r>
          </w:p>
        </w:tc>
        <w:tc>
          <w:tcPr>
            <w:tcW w:w="398" w:type="pct"/>
            <w:noWrap/>
            <w:hideMark/>
          </w:tcPr>
          <w:p w14:paraId="71C72AF4" w14:textId="77777777" w:rsidR="009812C6" w:rsidRPr="006876F6" w:rsidRDefault="009812C6" w:rsidP="00B734A6">
            <w:pPr>
              <w:pStyle w:val="Tabletext1"/>
              <w:jc w:val="right"/>
              <w:cnfStyle w:val="000000100000" w:firstRow="0" w:lastRow="0" w:firstColumn="0" w:lastColumn="0" w:oddVBand="0" w:evenVBand="0" w:oddHBand="1" w:evenHBand="0" w:firstRowFirstColumn="0" w:firstRowLastColumn="0" w:lastRowFirstColumn="0" w:lastRowLastColumn="0"/>
            </w:pPr>
            <w:r w:rsidRPr="006876F6">
              <w:t>55</w:t>
            </w:r>
          </w:p>
        </w:tc>
      </w:tr>
      <w:tr w:rsidR="009812C6" w:rsidRPr="006876F6" w14:paraId="0D8CCA1E" w14:textId="77777777" w:rsidTr="00642951">
        <w:trPr>
          <w:trHeight w:val="300"/>
        </w:trPr>
        <w:tc>
          <w:tcPr>
            <w:cnfStyle w:val="001000000000" w:firstRow="0" w:lastRow="0" w:firstColumn="1" w:lastColumn="0" w:oddVBand="0" w:evenVBand="0" w:oddHBand="0" w:evenHBand="0" w:firstRowFirstColumn="0" w:firstRowLastColumn="0" w:lastRowFirstColumn="0" w:lastRowLastColumn="0"/>
            <w:tcW w:w="2603" w:type="pct"/>
            <w:noWrap/>
            <w:hideMark/>
          </w:tcPr>
          <w:p w14:paraId="0952E3DD" w14:textId="77777777" w:rsidR="009812C6" w:rsidRPr="006876F6" w:rsidRDefault="009812C6" w:rsidP="00B734A6">
            <w:pPr>
              <w:pStyle w:val="Tabletext1"/>
            </w:pPr>
            <w:r w:rsidRPr="006876F6">
              <w:t>Percent with a problem or symptom report</w:t>
            </w:r>
          </w:p>
        </w:tc>
        <w:tc>
          <w:tcPr>
            <w:tcW w:w="400" w:type="pct"/>
            <w:noWrap/>
            <w:hideMark/>
          </w:tcPr>
          <w:p w14:paraId="4BFC3F8C" w14:textId="77777777" w:rsidR="009812C6" w:rsidRPr="006876F6" w:rsidRDefault="009812C6" w:rsidP="00B734A6">
            <w:pPr>
              <w:pStyle w:val="Tabletext1"/>
              <w:jc w:val="right"/>
              <w:cnfStyle w:val="000000000000" w:firstRow="0" w:lastRow="0" w:firstColumn="0" w:lastColumn="0" w:oddVBand="0" w:evenVBand="0" w:oddHBand="0" w:evenHBand="0" w:firstRowFirstColumn="0" w:firstRowLastColumn="0" w:lastRowFirstColumn="0" w:lastRowLastColumn="0"/>
            </w:pPr>
            <w:r w:rsidRPr="006876F6">
              <w:t>79%</w:t>
            </w:r>
          </w:p>
        </w:tc>
        <w:tc>
          <w:tcPr>
            <w:tcW w:w="400" w:type="pct"/>
            <w:noWrap/>
            <w:hideMark/>
          </w:tcPr>
          <w:p w14:paraId="271EADEC" w14:textId="77777777" w:rsidR="009812C6" w:rsidRPr="006876F6" w:rsidRDefault="009812C6" w:rsidP="00B734A6">
            <w:pPr>
              <w:pStyle w:val="Tabletext1"/>
              <w:jc w:val="right"/>
              <w:cnfStyle w:val="000000000000" w:firstRow="0" w:lastRow="0" w:firstColumn="0" w:lastColumn="0" w:oddVBand="0" w:evenVBand="0" w:oddHBand="0" w:evenHBand="0" w:firstRowFirstColumn="0" w:firstRowLastColumn="0" w:lastRowFirstColumn="0" w:lastRowLastColumn="0"/>
            </w:pPr>
            <w:r w:rsidRPr="006876F6">
              <w:t>79%</w:t>
            </w:r>
          </w:p>
        </w:tc>
        <w:tc>
          <w:tcPr>
            <w:tcW w:w="400" w:type="pct"/>
            <w:noWrap/>
            <w:hideMark/>
          </w:tcPr>
          <w:p w14:paraId="5F03009D" w14:textId="77777777" w:rsidR="009812C6" w:rsidRPr="006876F6" w:rsidRDefault="009812C6" w:rsidP="00B734A6">
            <w:pPr>
              <w:pStyle w:val="Tabletext1"/>
              <w:jc w:val="right"/>
              <w:cnfStyle w:val="000000000000" w:firstRow="0" w:lastRow="0" w:firstColumn="0" w:lastColumn="0" w:oddVBand="0" w:evenVBand="0" w:oddHBand="0" w:evenHBand="0" w:firstRowFirstColumn="0" w:firstRowLastColumn="0" w:lastRowFirstColumn="0" w:lastRowLastColumn="0"/>
            </w:pPr>
            <w:r w:rsidRPr="006876F6">
              <w:t>75%</w:t>
            </w:r>
          </w:p>
        </w:tc>
        <w:tc>
          <w:tcPr>
            <w:tcW w:w="400" w:type="pct"/>
            <w:noWrap/>
            <w:hideMark/>
          </w:tcPr>
          <w:p w14:paraId="113B64A0" w14:textId="77777777" w:rsidR="009812C6" w:rsidRPr="006876F6" w:rsidRDefault="009812C6" w:rsidP="00B734A6">
            <w:pPr>
              <w:pStyle w:val="Tabletext1"/>
              <w:jc w:val="right"/>
              <w:cnfStyle w:val="000000000000" w:firstRow="0" w:lastRow="0" w:firstColumn="0" w:lastColumn="0" w:oddVBand="0" w:evenVBand="0" w:oddHBand="0" w:evenHBand="0" w:firstRowFirstColumn="0" w:firstRowLastColumn="0" w:lastRowFirstColumn="0" w:lastRowLastColumn="0"/>
            </w:pPr>
            <w:r w:rsidRPr="006876F6">
              <w:t>73%</w:t>
            </w:r>
          </w:p>
        </w:tc>
        <w:tc>
          <w:tcPr>
            <w:tcW w:w="400" w:type="pct"/>
            <w:noWrap/>
            <w:hideMark/>
          </w:tcPr>
          <w:p w14:paraId="2E8FFC95" w14:textId="77777777" w:rsidR="009812C6" w:rsidRPr="006876F6" w:rsidRDefault="009812C6" w:rsidP="00B734A6">
            <w:pPr>
              <w:pStyle w:val="Tabletext1"/>
              <w:jc w:val="right"/>
              <w:cnfStyle w:val="000000000000" w:firstRow="0" w:lastRow="0" w:firstColumn="0" w:lastColumn="0" w:oddVBand="0" w:evenVBand="0" w:oddHBand="0" w:evenHBand="0" w:firstRowFirstColumn="0" w:firstRowLastColumn="0" w:lastRowFirstColumn="0" w:lastRowLastColumn="0"/>
            </w:pPr>
            <w:r w:rsidRPr="006876F6">
              <w:t>65%</w:t>
            </w:r>
          </w:p>
        </w:tc>
        <w:tc>
          <w:tcPr>
            <w:tcW w:w="398" w:type="pct"/>
            <w:noWrap/>
            <w:hideMark/>
          </w:tcPr>
          <w:p w14:paraId="64D9AB48" w14:textId="77777777" w:rsidR="009812C6" w:rsidRPr="006876F6" w:rsidRDefault="009812C6" w:rsidP="00B734A6">
            <w:pPr>
              <w:pStyle w:val="Tabletext1"/>
              <w:jc w:val="right"/>
              <w:cnfStyle w:val="000000000000" w:firstRow="0" w:lastRow="0" w:firstColumn="0" w:lastColumn="0" w:oddVBand="0" w:evenVBand="0" w:oddHBand="0" w:evenHBand="0" w:firstRowFirstColumn="0" w:firstRowLastColumn="0" w:lastRowFirstColumn="0" w:lastRowLastColumn="0"/>
            </w:pPr>
            <w:r w:rsidRPr="006876F6">
              <w:t>64%</w:t>
            </w:r>
          </w:p>
        </w:tc>
      </w:tr>
    </w:tbl>
    <w:p w14:paraId="1C9CC91E" w14:textId="14553CB6" w:rsidR="006876F6" w:rsidRDefault="009812C6" w:rsidP="00897C5B">
      <w:pPr>
        <w:pStyle w:val="Caption"/>
      </w:pPr>
      <w:r w:rsidRPr="00B25392">
        <w:t>Table</w:t>
      </w:r>
      <w:r w:rsidR="00B25392" w:rsidRPr="00B25392">
        <w:t>B-6</w:t>
      </w:r>
      <w:r w:rsidRPr="00B25392">
        <w:t>: Proportion of persons with a problem or symptom report at each session</w:t>
      </w:r>
    </w:p>
    <w:p w14:paraId="10E57877" w14:textId="4E9E56B4" w:rsidR="006876F6" w:rsidRDefault="006876F6" w:rsidP="007501B9">
      <w:r>
        <w:t>We analysed time to develop a new problem after session one and found that 50% had developed a new problem by the next session and 75% had a new problem by the subsequent session, this suggests the time between pharmacist reviews was appropriate at intervals of eight weeks.</w:t>
      </w:r>
    </w:p>
    <w:p w14:paraId="2B7112BB" w14:textId="4FF105DF" w:rsidR="006876F6" w:rsidRDefault="006876F6" w:rsidP="007501B9">
      <w:r>
        <w:lastRenderedPageBreak/>
        <w:t>Over 50% of the population had an adverse reaction or toxicity problem, 50% over or under-treatment, 57% required education or information for the resident or staff and for over 80% pharmacists made symptom reports</w:t>
      </w:r>
      <w:r w:rsidRPr="006876F6">
        <w:t xml:space="preserve"> (Figure B-9).</w:t>
      </w:r>
    </w:p>
    <w:p w14:paraId="3ECCB497" w14:textId="4FABD164" w:rsidR="001076DD" w:rsidRPr="00B734A6" w:rsidRDefault="00612340" w:rsidP="00B734A6">
      <w:hyperlink w:anchor="_I.9._alternative_text" w:history="1">
        <w:r w:rsidR="001076DD" w:rsidRPr="00B734A6">
          <w:rPr>
            <w:rStyle w:val="Hyperlink"/>
          </w:rPr>
          <w:t>Alternative text for figures</w:t>
        </w:r>
      </w:hyperlink>
    </w:p>
    <w:p w14:paraId="423213FC" w14:textId="389171EF" w:rsidR="009812C6" w:rsidRDefault="009812C6" w:rsidP="00897C5B">
      <w:pPr>
        <w:pStyle w:val="Caption"/>
      </w:pPr>
      <w:r w:rsidRPr="006876F6">
        <w:t>Figure</w:t>
      </w:r>
      <w:r w:rsidR="006876F6" w:rsidRPr="006876F6">
        <w:t xml:space="preserve"> B-7</w:t>
      </w:r>
      <w:r w:rsidRPr="006876F6">
        <w:t>: Number of problems or symptom reports per person per session</w:t>
      </w:r>
    </w:p>
    <w:p w14:paraId="572B9738" w14:textId="5474C1B0" w:rsidR="00330F4B" w:rsidRPr="00330F4B" w:rsidRDefault="00330F4B" w:rsidP="007501B9">
      <w:r>
        <w:rPr>
          <w:noProof/>
        </w:rPr>
        <w:drawing>
          <wp:inline distT="0" distB="0" distL="0" distR="0" wp14:anchorId="746448BD" wp14:editId="0D05D944">
            <wp:extent cx="5706110" cy="3176270"/>
            <wp:effectExtent l="0" t="0" r="8890" b="5080"/>
            <wp:docPr id="17" name="Picture 17" descr="Number of problems or symptom reports per person per session&#10;&#10;We analysed time to develop a new problem after session one and found that 50% had developed a new problem by the next session and 75% had a new problem by the subsequent session" title="Number of problems or symptom reports per person per s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06110" cy="3176270"/>
                    </a:xfrm>
                    <a:prstGeom prst="rect">
                      <a:avLst/>
                    </a:prstGeom>
                    <a:noFill/>
                  </pic:spPr>
                </pic:pic>
              </a:graphicData>
            </a:graphic>
          </wp:inline>
        </w:drawing>
      </w:r>
    </w:p>
    <w:p w14:paraId="61D6341B" w14:textId="48910592" w:rsidR="000973D8" w:rsidRDefault="000973D8" w:rsidP="00897C5B">
      <w:pPr>
        <w:pStyle w:val="Caption"/>
      </w:pPr>
      <w:r w:rsidRPr="006876F6">
        <w:t xml:space="preserve">Figure </w:t>
      </w:r>
      <w:r w:rsidR="006876F6" w:rsidRPr="006876F6">
        <w:t>B-8</w:t>
      </w:r>
      <w:r w:rsidRPr="006876F6">
        <w:t xml:space="preserve"> Probability to develop a new medicine related problem, by session</w:t>
      </w:r>
    </w:p>
    <w:p w14:paraId="4D3E3E5B" w14:textId="22A14D51" w:rsidR="00330F4B" w:rsidRDefault="00330F4B" w:rsidP="007501B9">
      <w:r>
        <w:rPr>
          <w:noProof/>
        </w:rPr>
        <w:drawing>
          <wp:inline distT="0" distB="0" distL="0" distR="0" wp14:anchorId="66A45CA3" wp14:editId="2E802EB2">
            <wp:extent cx="5695950" cy="3701482"/>
            <wp:effectExtent l="0" t="0" r="0" b="0"/>
            <wp:docPr id="16" name="Picture 16" descr="Probability to develop a new medicine related problem, by session&#10;&#10;We analysed time to develop a new problem after session one and found that 50% had developed a new problem by the next session and 75% had a new problem by the subsequent session" title="Probability to develop a new medicine related problem, by s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01137" cy="3704853"/>
                    </a:xfrm>
                    <a:prstGeom prst="rect">
                      <a:avLst/>
                    </a:prstGeom>
                    <a:noFill/>
                  </pic:spPr>
                </pic:pic>
              </a:graphicData>
            </a:graphic>
          </wp:inline>
        </w:drawing>
      </w:r>
    </w:p>
    <w:p w14:paraId="06E9BE47" w14:textId="0FDD2A54" w:rsidR="00C23670" w:rsidRDefault="00C23670" w:rsidP="00897C5B">
      <w:pPr>
        <w:pStyle w:val="Caption"/>
      </w:pPr>
      <w:r w:rsidRPr="008A4211">
        <w:lastRenderedPageBreak/>
        <w:t>Figure B-</w:t>
      </w:r>
      <w:r w:rsidR="008A4211" w:rsidRPr="008A4211">
        <w:t>9</w:t>
      </w:r>
      <w:r w:rsidRPr="008A4211">
        <w:t>: Proportion of the population with medicine related problems identified.</w:t>
      </w:r>
    </w:p>
    <w:p w14:paraId="44891900" w14:textId="746E47D2" w:rsidR="000973D8" w:rsidRPr="008A4211" w:rsidRDefault="008A4211" w:rsidP="007501B9">
      <w:r>
        <w:rPr>
          <w:noProof/>
        </w:rPr>
        <w:drawing>
          <wp:inline distT="0" distB="0" distL="0" distR="0" wp14:anchorId="27A3C861" wp14:editId="5A322BA8">
            <wp:extent cx="5742940" cy="3781425"/>
            <wp:effectExtent l="0" t="0" r="0" b="9525"/>
            <wp:docPr id="18" name="Picture 18" descr="Over 50% of the population had an adverse reaction or toxicity problem, 50% over or under-treatment, 57% required education or information for the resident or staff and for over 80% pharmacists made symptom reports. (Figure B-9)." title="Proportion of the population with medicine related problems ident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42940" cy="3781425"/>
                    </a:xfrm>
                    <a:prstGeom prst="rect">
                      <a:avLst/>
                    </a:prstGeom>
                    <a:noFill/>
                  </pic:spPr>
                </pic:pic>
              </a:graphicData>
            </a:graphic>
          </wp:inline>
        </w:drawing>
      </w:r>
    </w:p>
    <w:p w14:paraId="6DDB0A05" w14:textId="571DA77C" w:rsidR="00503C8B" w:rsidRPr="00A0710D" w:rsidRDefault="00503C8B" w:rsidP="005F0749">
      <w:pPr>
        <w:pStyle w:val="Heading3-SectionB7"/>
      </w:pPr>
      <w:bookmarkStart w:id="169" w:name="_Pharmacist_recommendations"/>
      <w:bookmarkStart w:id="170" w:name="_Toc117758252"/>
      <w:bookmarkEnd w:id="169"/>
      <w:r w:rsidRPr="00A0710D">
        <w:t>Pharmacist recommendations</w:t>
      </w:r>
      <w:bookmarkEnd w:id="170"/>
    </w:p>
    <w:p w14:paraId="1B7A79C8" w14:textId="62445AEA" w:rsidR="00B256BE" w:rsidRDefault="000973D8" w:rsidP="007501B9">
      <w:r>
        <w:t xml:space="preserve">Pharmacists made 309 recommendations to change or monitor </w:t>
      </w:r>
      <w:r w:rsidR="00034296">
        <w:t xml:space="preserve">a </w:t>
      </w:r>
      <w:r>
        <w:t>medicine use with a view to change</w:t>
      </w:r>
      <w:r w:rsidR="00034296">
        <w:t xml:space="preserve"> it</w:t>
      </w:r>
      <w:r>
        <w:t xml:space="preserve"> at a future session</w:t>
      </w:r>
      <w:r w:rsidR="007501B9">
        <w:t xml:space="preserve">. </w:t>
      </w:r>
      <w:r>
        <w:t>On 53% of occasions</w:t>
      </w:r>
      <w:r w:rsidR="00034296">
        <w:t>,</w:t>
      </w:r>
      <w:r>
        <w:t xml:space="preserve"> the recommendation was to decrease the dose or cease use, while on 17% of occasions it was to monitor with a view to change</w:t>
      </w:r>
      <w:r w:rsidR="007501B9">
        <w:t xml:space="preserve">. </w:t>
      </w:r>
      <w:r w:rsidR="00034296">
        <w:t>On</w:t>
      </w:r>
      <w:r>
        <w:t xml:space="preserve"> 18% of occasions</w:t>
      </w:r>
      <w:r w:rsidR="00034296">
        <w:t>,</w:t>
      </w:r>
      <w:r>
        <w:t xml:space="preserve"> a recommendation</w:t>
      </w:r>
      <w:r w:rsidR="00034296">
        <w:t xml:space="preserve"> was made </w:t>
      </w:r>
      <w:r>
        <w:t xml:space="preserve">to increase medicine use and </w:t>
      </w:r>
      <w:r w:rsidR="00034296">
        <w:t xml:space="preserve">on </w:t>
      </w:r>
      <w:r>
        <w:t>11% of occasions to stay the same</w:t>
      </w:r>
      <w:r w:rsidR="007501B9">
        <w:t xml:space="preserve">. </w:t>
      </w:r>
      <w:r>
        <w:t xml:space="preserve">At the level of the individual, pharmacists made recommendations to reduce medicine use </w:t>
      </w:r>
      <w:r w:rsidRPr="00B256BE">
        <w:t>for 61%</w:t>
      </w:r>
      <w:r w:rsidR="004A3D74" w:rsidRPr="00B256BE">
        <w:t xml:space="preserve"> of the population</w:t>
      </w:r>
      <w:r w:rsidRPr="00B256BE">
        <w:t xml:space="preserve">, while recommendations to increase use were made for 29% (Figure B </w:t>
      </w:r>
      <w:r w:rsidR="00B256BE" w:rsidRPr="00B256BE">
        <w:t>10</w:t>
      </w:r>
      <w:r w:rsidRPr="00B256BE">
        <w:t>)</w:t>
      </w:r>
      <w:r w:rsidR="007501B9">
        <w:t xml:space="preserve">. </w:t>
      </w:r>
      <w:r w:rsidR="00034296" w:rsidRPr="00B256BE">
        <w:t>The</w:t>
      </w:r>
      <w:r w:rsidR="00034296">
        <w:t xml:space="preserve"> classes accounting for over 60% of the recommendations for reduced use were opioids antipsychotics, sedative medicines, antidepressants, anti</w:t>
      </w:r>
      <w:r w:rsidR="008F282F">
        <w:t>-Parkinson</w:t>
      </w:r>
      <w:r w:rsidR="00034296">
        <w:t xml:space="preserve"> agents, proton pump inhibitors, diuretics (predominantly frusemide), and statins.</w:t>
      </w:r>
    </w:p>
    <w:p w14:paraId="36D9B9C9" w14:textId="77777777" w:rsidR="00075773" w:rsidRDefault="00075773" w:rsidP="007501B9">
      <w:r>
        <w:t>Examples of pharmacist recommendations and judgements include:</w:t>
      </w:r>
    </w:p>
    <w:p w14:paraId="59B9325A" w14:textId="77777777" w:rsidR="00075773" w:rsidRDefault="00075773" w:rsidP="007501B9">
      <w:r w:rsidRPr="002D0D5E">
        <w:t>"Nocturia is a likely contributing factor to poor sleep which may be manifesting as decreased cognitive function."</w:t>
      </w:r>
      <w:r>
        <w:t xml:space="preserve"> </w:t>
      </w:r>
      <w:r w:rsidRPr="00B256BE">
        <w:t>Since the re</w:t>
      </w:r>
      <w:r>
        <w:t xml:space="preserve">cent increase in </w:t>
      </w:r>
      <w:r w:rsidRPr="00B256BE">
        <w:t xml:space="preserve">Frusemide could be contributing to disrupted sleep time (nocturia)", </w:t>
      </w:r>
      <w:r>
        <w:t>pharmacist recommends review, which is accepted by GP.</w:t>
      </w:r>
    </w:p>
    <w:p w14:paraId="4FDEF441" w14:textId="49316648" w:rsidR="00B256BE" w:rsidRPr="00B734A6" w:rsidRDefault="00075773" w:rsidP="007501B9">
      <w:pPr>
        <w:rPr>
          <w:i/>
          <w:iCs/>
        </w:rPr>
      </w:pPr>
      <w:r>
        <w:t xml:space="preserve">In response to significant cognitive decline the pharmacist noted, </w:t>
      </w:r>
      <w:r w:rsidRPr="002D0D5E">
        <w:rPr>
          <w:i/>
        </w:rPr>
        <w:t>"Likely worsening of Parkinson's - possible dementia associated with Parkinson's"</w:t>
      </w:r>
      <w:r w:rsidR="007501B9">
        <w:t xml:space="preserve">. </w:t>
      </w:r>
      <w:r>
        <w:t xml:space="preserve">This patient was also taking </w:t>
      </w:r>
      <w:r>
        <w:lastRenderedPageBreak/>
        <w:t>quetiapine, which could be implicated in cognitive decline</w:t>
      </w:r>
      <w:r w:rsidR="007501B9">
        <w:t xml:space="preserve">. </w:t>
      </w:r>
      <w:r>
        <w:t xml:space="preserve">However, the pharmacist noted </w:t>
      </w:r>
      <w:r w:rsidRPr="002D0D5E">
        <w:rPr>
          <w:i/>
        </w:rPr>
        <w:t>"Although quetiapine is not ordinarily suitable for long-term use in the elderly for treatment of behavioural and psychological symptoms of dementia, the attempted dose reduction a few weeks ago was not successful, and for the time being, it is likely to be best to leave patient at the current quetiapine dose, particularly as patient reports sleeping well and feeling better"</w:t>
      </w:r>
      <w:r>
        <w:rPr>
          <w:i/>
        </w:rPr>
        <w:t>.</w:t>
      </w:r>
    </w:p>
    <w:p w14:paraId="4D68DDE4" w14:textId="3A032BE8" w:rsidR="00222853" w:rsidRDefault="00C95533" w:rsidP="00897C5B">
      <w:pPr>
        <w:pStyle w:val="Caption"/>
      </w:pPr>
      <w:r w:rsidRPr="00B256BE">
        <w:t>Figure B-</w:t>
      </w:r>
      <w:r w:rsidR="00B256BE" w:rsidRPr="00B256BE">
        <w:t>10</w:t>
      </w:r>
      <w:r w:rsidRPr="00B256BE">
        <w:t>: Proportion of the population with recommendations to change medicines.</w:t>
      </w:r>
    </w:p>
    <w:p w14:paraId="26B82359" w14:textId="3B50B898" w:rsidR="00B256BE" w:rsidRPr="00B256BE" w:rsidRDefault="00B256BE" w:rsidP="007501B9">
      <w:r>
        <w:rPr>
          <w:noProof/>
        </w:rPr>
        <w:drawing>
          <wp:inline distT="0" distB="0" distL="0" distR="0" wp14:anchorId="23E9E49A" wp14:editId="1F9AB107">
            <wp:extent cx="4960405" cy="2981739"/>
            <wp:effectExtent l="0" t="0" r="0" b="9525"/>
            <wp:docPr id="19" name="Picture 19" descr="On 53% of occasions, the recommendation was to decrease the dose or cease use, while on 17% of occasions it was to monitor with a view to change.  On 18% of occasions, a recommendation was made to increase medicine use and on 11% of occasions to stay the same.  At the level of the individual, pharmacists made recommendations to reduce medicine use for 61% of the population, while recommendations to increase use were made for 29%" title="Proportion of the population with recommendation to change medic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71777" cy="2988575"/>
                    </a:xfrm>
                    <a:prstGeom prst="rect">
                      <a:avLst/>
                    </a:prstGeom>
                    <a:noFill/>
                  </pic:spPr>
                </pic:pic>
              </a:graphicData>
            </a:graphic>
          </wp:inline>
        </w:drawing>
      </w:r>
    </w:p>
    <w:p w14:paraId="09F71459" w14:textId="79D007C9" w:rsidR="00EB6572" w:rsidRPr="00F42B1D" w:rsidRDefault="00EB6572" w:rsidP="00FF37D6">
      <w:pPr>
        <w:pStyle w:val="Heading3-SectionB7"/>
      </w:pPr>
      <w:bookmarkStart w:id="171" w:name="_Toc117758253"/>
      <w:r w:rsidRPr="00F42B1D">
        <w:t xml:space="preserve">Case studies </w:t>
      </w:r>
      <w:r w:rsidR="00503C8B">
        <w:t>of pharmacist sessions</w:t>
      </w:r>
      <w:bookmarkEnd w:id="171"/>
    </w:p>
    <w:p w14:paraId="66D444D0" w14:textId="431D60C4" w:rsidR="00EB6572" w:rsidRPr="00F42B1D" w:rsidRDefault="00034296" w:rsidP="007501B9">
      <w:r>
        <w:t>While individual sessions contributed to changes, the consistent sessional nature of the pharmacist service also provided opportunity for monitoring and change</w:t>
      </w:r>
      <w:r w:rsidR="007501B9">
        <w:t xml:space="preserve">. </w:t>
      </w:r>
      <w:r w:rsidR="00EB6572" w:rsidRPr="00F42B1D">
        <w:t xml:space="preserve">Qualitative case studies </w:t>
      </w:r>
      <w:r>
        <w:t xml:space="preserve">over the </w:t>
      </w:r>
      <w:r w:rsidR="00EB6572" w:rsidRPr="00F42B1D">
        <w:t xml:space="preserve">provide insights into the types of improvements in medication management and quality of life that the residents who participated in the </w:t>
      </w:r>
      <w:proofErr w:type="spellStart"/>
      <w:r w:rsidR="00EB6572" w:rsidRPr="00F42B1D">
        <w:t>ReMInDAR</w:t>
      </w:r>
      <w:proofErr w:type="spellEnd"/>
      <w:r w:rsidR="00EB6572" w:rsidRPr="00F42B1D">
        <w:t xml:space="preserve"> trial experienced</w:t>
      </w:r>
      <w:r>
        <w:t xml:space="preserve"> over the course of the trial</w:t>
      </w:r>
      <w:r w:rsidR="00EB6572" w:rsidRPr="00F42B1D">
        <w:t xml:space="preserve"> (names and circumstances have been changed but clinical issues are actual issues)</w:t>
      </w:r>
      <w:r w:rsidR="007501B9">
        <w:t xml:space="preserve">. </w:t>
      </w:r>
      <w:r w:rsidR="00EB6572" w:rsidRPr="00F42B1D">
        <w:t>Two case studies are briefly summarised below</w:t>
      </w:r>
      <w:r w:rsidR="007501B9">
        <w:t xml:space="preserve">. </w:t>
      </w:r>
      <w:r w:rsidR="00EB6572" w:rsidRPr="00F42B1D">
        <w:t>Eight full case studies are presented in detail in Section F1.</w:t>
      </w:r>
    </w:p>
    <w:p w14:paraId="7860DF63" w14:textId="77777777" w:rsidR="00EB6572" w:rsidRPr="00F42B1D" w:rsidRDefault="00EB6572" w:rsidP="00B256BE">
      <w:pPr>
        <w:pStyle w:val="Heading4"/>
        <w:spacing w:line="276" w:lineRule="auto"/>
      </w:pPr>
      <w:r w:rsidRPr="00F42B1D">
        <w:t>Barbara</w:t>
      </w:r>
    </w:p>
    <w:p w14:paraId="3766D486" w14:textId="5E6D6773" w:rsidR="00EB6572" w:rsidRPr="00656AC8" w:rsidRDefault="00EB6572" w:rsidP="007501B9">
      <w:r w:rsidRPr="00656AC8">
        <w:t xml:space="preserve">Barbara had returned from the hospital after recently have a stroke with </w:t>
      </w:r>
      <w:proofErr w:type="gramStart"/>
      <w:r w:rsidRPr="00656AC8">
        <w:t>a large number of</w:t>
      </w:r>
      <w:proofErr w:type="gramEnd"/>
      <w:r w:rsidRPr="00656AC8">
        <w:t xml:space="preserve"> new medications</w:t>
      </w:r>
      <w:r w:rsidR="007501B9">
        <w:t xml:space="preserve">. </w:t>
      </w:r>
      <w:r w:rsidRPr="00656AC8">
        <w:t xml:space="preserve">Barbara was still feeling very unwell after her stroke and could no longer complete the cognitive assessments for the </w:t>
      </w:r>
      <w:proofErr w:type="spellStart"/>
      <w:r w:rsidRPr="00656AC8">
        <w:t>ReMInDAR</w:t>
      </w:r>
      <w:proofErr w:type="spellEnd"/>
      <w:r w:rsidRPr="00656AC8">
        <w:t xml:space="preserve"> trial, which she had been able to complete prior to her stroke</w:t>
      </w:r>
      <w:r w:rsidR="007501B9">
        <w:t xml:space="preserve">. </w:t>
      </w:r>
      <w:r w:rsidRPr="00656AC8">
        <w:t>Her mood was very low.</w:t>
      </w:r>
    </w:p>
    <w:p w14:paraId="7EF3E062" w14:textId="77777777" w:rsidR="00EB6572" w:rsidRPr="00656AC8" w:rsidRDefault="00EB6572" w:rsidP="007501B9">
      <w:r w:rsidRPr="00656AC8">
        <w:lastRenderedPageBreak/>
        <w:t xml:space="preserve">The </w:t>
      </w:r>
      <w:proofErr w:type="spellStart"/>
      <w:r w:rsidRPr="00656AC8">
        <w:t>ReMInDAR</w:t>
      </w:r>
      <w:proofErr w:type="spellEnd"/>
      <w:r w:rsidRPr="00656AC8">
        <w:t xml:space="preserve"> pharmacist reviewed and reconciled Barbara’s medicine and identified medicines which had been ceased in the hospital but were still on the medication chart in the facility. </w:t>
      </w:r>
    </w:p>
    <w:p w14:paraId="6CF40948" w14:textId="3031E747" w:rsidR="00EB6572" w:rsidRPr="00656AC8" w:rsidRDefault="00EB6572" w:rsidP="007501B9">
      <w:r w:rsidRPr="00656AC8">
        <w:t>The pharmacist discussed Barbara’s concerns and the issue of gagging with her GP and as a result Barbara was taken off many of her tablets, the dose was reduced for some medications and some of her medications were changed to liquid forms</w:t>
      </w:r>
      <w:r w:rsidR="007501B9">
        <w:t xml:space="preserve">. </w:t>
      </w:r>
      <w:r w:rsidRPr="00656AC8">
        <w:rPr>
          <w:b/>
        </w:rPr>
        <w:t xml:space="preserve">Barbara’s spirit improved and she was once again able to complete the </w:t>
      </w:r>
      <w:r w:rsidR="00503C8B" w:rsidRPr="00656AC8">
        <w:rPr>
          <w:b/>
        </w:rPr>
        <w:t>cognitive assessments</w:t>
      </w:r>
      <w:r w:rsidRPr="00656AC8">
        <w:rPr>
          <w:b/>
        </w:rPr>
        <w:t>.</w:t>
      </w:r>
    </w:p>
    <w:p w14:paraId="69150EC2" w14:textId="77777777" w:rsidR="00EB6572" w:rsidRPr="00E90B8E" w:rsidRDefault="00EB6572" w:rsidP="00B256BE">
      <w:pPr>
        <w:pStyle w:val="Heading4"/>
        <w:spacing w:line="276" w:lineRule="auto"/>
      </w:pPr>
      <w:r w:rsidRPr="00E90B8E">
        <w:t>Betty</w:t>
      </w:r>
    </w:p>
    <w:p w14:paraId="67E40F33" w14:textId="5B54301B" w:rsidR="00EB6572" w:rsidRPr="00F42B1D" w:rsidRDefault="00EB6572" w:rsidP="007501B9">
      <w:r w:rsidRPr="00F42B1D">
        <w:t xml:space="preserve">The </w:t>
      </w:r>
      <w:proofErr w:type="spellStart"/>
      <w:r w:rsidRPr="00F42B1D">
        <w:t>ReMInDAR</w:t>
      </w:r>
      <w:proofErr w:type="spellEnd"/>
      <w:r w:rsidRPr="00F42B1D">
        <w:t xml:space="preserve"> pharmacist noted that Betty’s dose of pregabalin was increased from 225 mg twice a day to 300 mg twice a day due to pain in her right foot</w:t>
      </w:r>
      <w:r w:rsidR="007501B9">
        <w:t xml:space="preserve">. </w:t>
      </w:r>
      <w:r w:rsidRPr="00F42B1D">
        <w:t>She had also been given temazepam (10mg at night) to aid with sleep</w:t>
      </w:r>
      <w:r w:rsidR="007501B9">
        <w:t xml:space="preserve">. </w:t>
      </w:r>
      <w:r w:rsidRPr="00F42B1D">
        <w:rPr>
          <w:b/>
          <w:i/>
        </w:rPr>
        <w:t xml:space="preserve">Betty felt dizzy and complained of weight gain. </w:t>
      </w:r>
      <w:r w:rsidRPr="00F42B1D">
        <w:t>Her weight had increased by 5.5 kg within a month</w:t>
      </w:r>
      <w:r w:rsidR="007501B9">
        <w:t xml:space="preserve">. </w:t>
      </w:r>
      <w:r w:rsidRPr="00F42B1D">
        <w:t xml:space="preserve">The pharmacist discussed with Betty the potential for pregabalin to cause these side effects and the possibility of reducing the </w:t>
      </w:r>
      <w:proofErr w:type="spellStart"/>
      <w:r w:rsidRPr="00F42B1D">
        <w:t>pregablin</w:t>
      </w:r>
      <w:proofErr w:type="spellEnd"/>
      <w:r w:rsidRPr="00F42B1D">
        <w:t xml:space="preserve"> dose, however Betty was reluctant to reduce the dose due to her pain.</w:t>
      </w:r>
    </w:p>
    <w:p w14:paraId="332818DB" w14:textId="072DB2C0" w:rsidR="00EB6572" w:rsidRPr="00F42B1D" w:rsidRDefault="00EB6572" w:rsidP="007501B9">
      <w:r w:rsidRPr="00F42B1D">
        <w:rPr>
          <w:b/>
          <w:i/>
        </w:rPr>
        <w:t>Betty started to have falls</w:t>
      </w:r>
      <w:r w:rsidR="007501B9">
        <w:rPr>
          <w:b/>
          <w:i/>
        </w:rPr>
        <w:t xml:space="preserve">. </w:t>
      </w:r>
      <w:r w:rsidRPr="00F42B1D">
        <w:t>Four weeks later, Betty had a fall</w:t>
      </w:r>
      <w:r w:rsidR="007501B9">
        <w:t xml:space="preserve">. </w:t>
      </w:r>
      <w:r w:rsidRPr="00F42B1D">
        <w:t>Within six days, Betty had another fall in the bathroom and was admitted to the hospital</w:t>
      </w:r>
      <w:r w:rsidR="007501B9">
        <w:t xml:space="preserve">. </w:t>
      </w:r>
      <w:r w:rsidRPr="00F42B1D">
        <w:t>Betty had had two further falls and stated she was ‘losing strength’ in her legs</w:t>
      </w:r>
      <w:r w:rsidR="007501B9">
        <w:t xml:space="preserve">. </w:t>
      </w:r>
      <w:r w:rsidRPr="00F42B1D">
        <w:t xml:space="preserve">She was still on same medicine regimen; in addition, she had started perindopril 40mg daily. </w:t>
      </w:r>
    </w:p>
    <w:p w14:paraId="244E50AB" w14:textId="003FF6C4" w:rsidR="00F2234D" w:rsidRDefault="00EB6572" w:rsidP="007501B9">
      <w:r w:rsidRPr="00F42B1D">
        <w:t>Upon the pharmacist’s recommendation, the doctor decreased Betty’s pregabalin dose from 300mg twice a day to 250 mg twice a day</w:t>
      </w:r>
      <w:r w:rsidR="007501B9">
        <w:t xml:space="preserve">. </w:t>
      </w:r>
      <w:r w:rsidRPr="00503C8B">
        <w:rPr>
          <w:b/>
        </w:rPr>
        <w:t>Betty had not had any falls and her pregabalin dose was further reduced to 75mg twice a day</w:t>
      </w:r>
      <w:r w:rsidR="007501B9">
        <w:t xml:space="preserve">. </w:t>
      </w:r>
      <w:r w:rsidRPr="00F42B1D">
        <w:t xml:space="preserve">Betty indicated she would like to further decrease the pregabalin dose if she can, </w:t>
      </w:r>
      <w:proofErr w:type="gramStart"/>
      <w:r w:rsidRPr="00F42B1D">
        <w:t>as long as</w:t>
      </w:r>
      <w:proofErr w:type="gramEnd"/>
      <w:r w:rsidRPr="00F42B1D">
        <w:t xml:space="preserve"> her pain is under control.</w:t>
      </w:r>
    </w:p>
    <w:p w14:paraId="760D47D9" w14:textId="3CC7AE0B" w:rsidR="00553498" w:rsidRPr="00B9689B" w:rsidRDefault="00553498" w:rsidP="00FF37D6">
      <w:pPr>
        <w:pStyle w:val="Heading3-SectionB7"/>
      </w:pPr>
      <w:bookmarkStart w:id="172" w:name="_B6.3_Is_it"/>
      <w:bookmarkStart w:id="173" w:name="_Toc379118084"/>
      <w:bookmarkStart w:id="174" w:name="_Toc381796469"/>
      <w:bookmarkStart w:id="175" w:name="_Toc117758254"/>
      <w:bookmarkEnd w:id="172"/>
      <w:r w:rsidRPr="00B9689B">
        <w:t>Is it effective?</w:t>
      </w:r>
      <w:bookmarkEnd w:id="173"/>
      <w:bookmarkEnd w:id="174"/>
      <w:bookmarkEnd w:id="175"/>
    </w:p>
    <w:p w14:paraId="6CBE06A2" w14:textId="1B392194" w:rsidR="00553498" w:rsidRPr="00F42B1D" w:rsidRDefault="00EC44A1" w:rsidP="0091732C">
      <w:pPr>
        <w:pStyle w:val="Heading4"/>
      </w:pPr>
      <w:bookmarkStart w:id="176" w:name="_Toc395200782"/>
      <w:r w:rsidRPr="00F42B1D">
        <w:t>B</w:t>
      </w:r>
      <w:r w:rsidR="0091732C">
        <w:t>.7</w:t>
      </w:r>
      <w:r w:rsidRPr="00F42B1D">
        <w:t>.</w:t>
      </w:r>
      <w:r w:rsidR="005F0749">
        <w:t>5</w:t>
      </w:r>
      <w:r w:rsidR="0091732C">
        <w:t>.1</w:t>
      </w:r>
      <w:r w:rsidR="0091732C">
        <w:tab/>
      </w:r>
      <w:r w:rsidR="00553498" w:rsidRPr="00F42B1D">
        <w:t>Effectiveness Outcome 1</w:t>
      </w:r>
      <w:bookmarkEnd w:id="176"/>
      <w:r w:rsidR="00A648A2" w:rsidRPr="00F42B1D">
        <w:t xml:space="preserve"> (primary)</w:t>
      </w:r>
      <w:r w:rsidR="007D631C">
        <w:t xml:space="preserve"> </w:t>
      </w:r>
      <w:r w:rsidR="0091732C">
        <w:t>–</w:t>
      </w:r>
      <w:r w:rsidR="00A648A2" w:rsidRPr="00F42B1D">
        <w:t xml:space="preserve"> Frailty</w:t>
      </w:r>
    </w:p>
    <w:p w14:paraId="23D04256" w14:textId="2ACC8D96" w:rsidR="007E6DF7" w:rsidRPr="00F42B1D" w:rsidRDefault="00A648A2" w:rsidP="007501B9">
      <w:r w:rsidRPr="00B256BE">
        <w:t xml:space="preserve">The primary outcome for the trial was mean change in frailty </w:t>
      </w:r>
      <w:r w:rsidR="007D631C" w:rsidRPr="00B256BE">
        <w:t>index from baseline</w:t>
      </w:r>
      <w:r w:rsidR="007501B9">
        <w:t xml:space="preserve">. </w:t>
      </w:r>
      <w:r w:rsidR="003733C5" w:rsidRPr="00B256BE">
        <w:t>Table B-</w:t>
      </w:r>
      <w:r w:rsidR="00B256BE" w:rsidRPr="00B256BE">
        <w:t>7</w:t>
      </w:r>
      <w:r w:rsidR="003733C5" w:rsidRPr="00B256BE">
        <w:t xml:space="preserve"> and Figure B</w:t>
      </w:r>
      <w:r w:rsidR="00C0471A" w:rsidRPr="00B256BE">
        <w:t xml:space="preserve"> -</w:t>
      </w:r>
      <w:r w:rsidR="00B256BE">
        <w:t>11</w:t>
      </w:r>
      <w:r w:rsidR="008C0951" w:rsidRPr="00B256BE">
        <w:t xml:space="preserve"> </w:t>
      </w:r>
      <w:r w:rsidR="003A5B6E" w:rsidRPr="00B256BE">
        <w:t>show</w:t>
      </w:r>
      <w:r w:rsidR="003733C5" w:rsidRPr="00B256BE">
        <w:t xml:space="preserve"> the </w:t>
      </w:r>
      <w:r w:rsidR="007D631C" w:rsidRPr="00B256BE">
        <w:t>model estimates</w:t>
      </w:r>
      <w:r w:rsidR="003733C5" w:rsidRPr="00B256BE">
        <w:t xml:space="preserve">, which </w:t>
      </w:r>
      <w:r w:rsidR="007D631C" w:rsidRPr="00B256BE">
        <w:t xml:space="preserve">were </w:t>
      </w:r>
      <w:r w:rsidR="003733C5" w:rsidRPr="00B256BE">
        <w:t>not statistically si</w:t>
      </w:r>
      <w:r w:rsidR="008C0951" w:rsidRPr="00B256BE">
        <w:t>gnificant, across the two arms</w:t>
      </w:r>
      <w:r w:rsidR="007D631C" w:rsidRPr="00B256BE">
        <w:t xml:space="preserve"> at 6 and 12 months</w:t>
      </w:r>
      <w:r w:rsidR="008C0951" w:rsidRPr="00B256BE">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Caption w:val="Table B-5. Primary effectiveness outcome (frailty)"/>
        <w:tblDescription w:val="Frailty Results and statistical variation and confidence intervals for residents in both intervention and control arms at the 6 and 12 month assessment timepoints."/>
      </w:tblPr>
      <w:tblGrid>
        <w:gridCol w:w="1145"/>
        <w:gridCol w:w="739"/>
        <w:gridCol w:w="1127"/>
        <w:gridCol w:w="1137"/>
        <w:gridCol w:w="904"/>
        <w:gridCol w:w="875"/>
        <w:gridCol w:w="1267"/>
        <w:gridCol w:w="1230"/>
        <w:gridCol w:w="592"/>
      </w:tblGrid>
      <w:tr w:rsidR="00B734A6" w:rsidRPr="00B734A6" w14:paraId="4492AE54" w14:textId="77777777" w:rsidTr="00B734A6">
        <w:trPr>
          <w:tblHeader/>
          <w:jc w:val="center"/>
        </w:trPr>
        <w:tc>
          <w:tcPr>
            <w:tcW w:w="0" w:type="auto"/>
            <w:shd w:val="clear" w:color="auto" w:fill="000000" w:themeFill="text1"/>
            <w:tcMar>
              <w:left w:w="80" w:type="dxa"/>
              <w:right w:w="80" w:type="dxa"/>
            </w:tcMar>
          </w:tcPr>
          <w:p w14:paraId="078DB1C4" w14:textId="77777777" w:rsidR="001425A9" w:rsidRPr="00B734A6" w:rsidRDefault="001425A9" w:rsidP="00B734A6">
            <w:pPr>
              <w:pStyle w:val="TableHeader"/>
              <w:rPr>
                <w:rFonts w:ascii="Arial Narrow" w:hAnsi="Arial Narrow"/>
                <w:sz w:val="18"/>
                <w:szCs w:val="18"/>
              </w:rPr>
            </w:pPr>
            <w:bookmarkStart w:id="177" w:name="IDX"/>
            <w:bookmarkStart w:id="178" w:name="Title_4"/>
            <w:bookmarkEnd w:id="177"/>
            <w:bookmarkEnd w:id="178"/>
            <w:r w:rsidRPr="00B734A6">
              <w:rPr>
                <w:rFonts w:ascii="Arial Narrow" w:hAnsi="Arial Narrow"/>
                <w:sz w:val="18"/>
                <w:szCs w:val="18"/>
              </w:rPr>
              <w:lastRenderedPageBreak/>
              <w:t>Outcome*</w:t>
            </w:r>
          </w:p>
        </w:tc>
        <w:tc>
          <w:tcPr>
            <w:tcW w:w="0" w:type="auto"/>
            <w:shd w:val="clear" w:color="auto" w:fill="000000" w:themeFill="text1"/>
            <w:tcMar>
              <w:left w:w="80" w:type="dxa"/>
              <w:right w:w="80" w:type="dxa"/>
            </w:tcMar>
          </w:tcPr>
          <w:p w14:paraId="61E95B7B" w14:textId="77777777" w:rsidR="001425A9" w:rsidRPr="00B734A6" w:rsidRDefault="001425A9" w:rsidP="00B734A6">
            <w:pPr>
              <w:pStyle w:val="TableHeader"/>
              <w:rPr>
                <w:rFonts w:ascii="Arial Narrow" w:hAnsi="Arial Narrow"/>
                <w:sz w:val="18"/>
                <w:szCs w:val="18"/>
              </w:rPr>
            </w:pPr>
            <w:r w:rsidRPr="00B734A6">
              <w:rPr>
                <w:rFonts w:ascii="Arial Narrow" w:hAnsi="Arial Narrow"/>
                <w:sz w:val="18"/>
                <w:szCs w:val="18"/>
              </w:rPr>
              <w:t>Trial Stage</w:t>
            </w:r>
          </w:p>
        </w:tc>
        <w:tc>
          <w:tcPr>
            <w:tcW w:w="0" w:type="auto"/>
            <w:shd w:val="clear" w:color="auto" w:fill="000000" w:themeFill="text1"/>
            <w:tcMar>
              <w:left w:w="80" w:type="dxa"/>
              <w:right w:w="80" w:type="dxa"/>
            </w:tcMar>
          </w:tcPr>
          <w:p w14:paraId="779C03A7" w14:textId="2F7EB410" w:rsidR="001425A9" w:rsidRPr="00B734A6" w:rsidRDefault="001425A9" w:rsidP="00B734A6">
            <w:pPr>
              <w:pStyle w:val="TableHeader"/>
              <w:rPr>
                <w:rFonts w:ascii="Arial Narrow" w:hAnsi="Arial Narrow"/>
                <w:sz w:val="18"/>
                <w:szCs w:val="18"/>
              </w:rPr>
            </w:pPr>
            <w:r w:rsidRPr="00B734A6">
              <w:rPr>
                <w:rFonts w:ascii="Arial Narrow" w:hAnsi="Arial Narrow"/>
                <w:sz w:val="18"/>
                <w:szCs w:val="18"/>
              </w:rPr>
              <w:t>Intervention group***</w:t>
            </w:r>
            <w:r w:rsidR="00B97B89" w:rsidRPr="00B734A6">
              <w:rPr>
                <w:rFonts w:ascii="Arial Narrow" w:hAnsi="Arial Narrow"/>
                <w:sz w:val="18"/>
                <w:szCs w:val="18"/>
              </w:rPr>
              <w:t>,</w:t>
            </w:r>
          </w:p>
          <w:p w14:paraId="21FF03CD" w14:textId="77777777" w:rsidR="00B97B89" w:rsidRPr="00B734A6" w:rsidRDefault="00B97B89" w:rsidP="00B734A6">
            <w:pPr>
              <w:pStyle w:val="TableHeader"/>
              <w:rPr>
                <w:rFonts w:ascii="Arial Narrow" w:hAnsi="Arial Narrow"/>
                <w:sz w:val="18"/>
                <w:szCs w:val="18"/>
              </w:rPr>
            </w:pPr>
            <w:r w:rsidRPr="00B734A6">
              <w:rPr>
                <w:rFonts w:ascii="Arial Narrow" w:hAnsi="Arial Narrow"/>
                <w:sz w:val="18"/>
                <w:szCs w:val="18"/>
              </w:rPr>
              <w:t>Observed</w:t>
            </w:r>
          </w:p>
          <w:p w14:paraId="50676F20" w14:textId="208178AB" w:rsidR="001425A9" w:rsidRPr="00B734A6" w:rsidRDefault="001425A9" w:rsidP="00B734A6">
            <w:pPr>
              <w:pStyle w:val="TableHeader"/>
              <w:rPr>
                <w:rFonts w:ascii="Arial Narrow" w:hAnsi="Arial Narrow"/>
                <w:sz w:val="18"/>
                <w:szCs w:val="18"/>
              </w:rPr>
            </w:pPr>
            <w:r w:rsidRPr="00B734A6">
              <w:rPr>
                <w:rFonts w:ascii="Arial Narrow" w:hAnsi="Arial Narrow"/>
                <w:sz w:val="18"/>
                <w:szCs w:val="18"/>
              </w:rPr>
              <w:t>Mean Change</w:t>
            </w:r>
          </w:p>
        </w:tc>
        <w:tc>
          <w:tcPr>
            <w:tcW w:w="0" w:type="auto"/>
            <w:shd w:val="clear" w:color="auto" w:fill="000000" w:themeFill="text1"/>
          </w:tcPr>
          <w:p w14:paraId="732D79D1" w14:textId="44D10D51" w:rsidR="001425A9" w:rsidRPr="00B734A6" w:rsidRDefault="001425A9" w:rsidP="00B734A6">
            <w:pPr>
              <w:pStyle w:val="TableHeader"/>
              <w:rPr>
                <w:rFonts w:ascii="Arial Narrow" w:hAnsi="Arial Narrow"/>
                <w:sz w:val="18"/>
                <w:szCs w:val="18"/>
              </w:rPr>
            </w:pPr>
            <w:r w:rsidRPr="00B734A6">
              <w:rPr>
                <w:rFonts w:ascii="Arial Narrow" w:hAnsi="Arial Narrow"/>
                <w:sz w:val="18"/>
                <w:szCs w:val="18"/>
              </w:rPr>
              <w:t>Intervention group</w:t>
            </w:r>
            <w:r w:rsidR="00B97B89" w:rsidRPr="00B734A6">
              <w:rPr>
                <w:rFonts w:ascii="Arial Narrow" w:hAnsi="Arial Narrow"/>
                <w:sz w:val="18"/>
                <w:szCs w:val="18"/>
              </w:rPr>
              <w:t>,</w:t>
            </w:r>
          </w:p>
          <w:p w14:paraId="543A884C" w14:textId="74CA714D" w:rsidR="001425A9" w:rsidRPr="00B734A6" w:rsidRDefault="00B97B89" w:rsidP="00B734A6">
            <w:pPr>
              <w:pStyle w:val="TableHeader"/>
              <w:rPr>
                <w:rFonts w:ascii="Arial Narrow" w:hAnsi="Arial Narrow"/>
                <w:sz w:val="18"/>
                <w:szCs w:val="18"/>
              </w:rPr>
            </w:pPr>
            <w:r w:rsidRPr="00B734A6">
              <w:rPr>
                <w:rFonts w:ascii="Arial Narrow" w:hAnsi="Arial Narrow"/>
                <w:sz w:val="18"/>
                <w:szCs w:val="18"/>
              </w:rPr>
              <w:t>Observed Standard deviation (SD</w:t>
            </w:r>
            <w:r w:rsidR="001425A9" w:rsidRPr="00B734A6">
              <w:rPr>
                <w:rFonts w:ascii="Arial Narrow" w:hAnsi="Arial Narrow"/>
                <w:sz w:val="18"/>
                <w:szCs w:val="18"/>
              </w:rPr>
              <w:t xml:space="preserve">) </w:t>
            </w:r>
          </w:p>
        </w:tc>
        <w:tc>
          <w:tcPr>
            <w:tcW w:w="0" w:type="auto"/>
            <w:shd w:val="clear" w:color="auto" w:fill="000000" w:themeFill="text1"/>
            <w:tcMar>
              <w:left w:w="80" w:type="dxa"/>
              <w:right w:w="80" w:type="dxa"/>
            </w:tcMar>
          </w:tcPr>
          <w:p w14:paraId="51981989" w14:textId="23FE737D" w:rsidR="001425A9" w:rsidRPr="00B734A6" w:rsidRDefault="001425A9" w:rsidP="00B734A6">
            <w:pPr>
              <w:pStyle w:val="TableHeader"/>
              <w:rPr>
                <w:rFonts w:ascii="Arial Narrow" w:hAnsi="Arial Narrow"/>
                <w:sz w:val="18"/>
                <w:szCs w:val="18"/>
              </w:rPr>
            </w:pPr>
            <w:r w:rsidRPr="00B734A6">
              <w:rPr>
                <w:rFonts w:ascii="Arial Narrow" w:hAnsi="Arial Narrow"/>
                <w:sz w:val="18"/>
                <w:szCs w:val="18"/>
              </w:rPr>
              <w:t>Control group</w:t>
            </w:r>
            <w:r w:rsidR="00B97B89" w:rsidRPr="00B734A6">
              <w:rPr>
                <w:rFonts w:ascii="Arial Narrow" w:hAnsi="Arial Narrow"/>
                <w:sz w:val="18"/>
                <w:szCs w:val="18"/>
              </w:rPr>
              <w:t>,</w:t>
            </w:r>
          </w:p>
          <w:p w14:paraId="65B231F3" w14:textId="77777777" w:rsidR="00B97B89" w:rsidRPr="00B734A6" w:rsidRDefault="00B97B89" w:rsidP="00B734A6">
            <w:pPr>
              <w:pStyle w:val="TableHeader"/>
              <w:rPr>
                <w:rFonts w:ascii="Arial Narrow" w:hAnsi="Arial Narrow"/>
                <w:sz w:val="18"/>
                <w:szCs w:val="18"/>
              </w:rPr>
            </w:pPr>
            <w:r w:rsidRPr="00B734A6">
              <w:rPr>
                <w:rFonts w:ascii="Arial Narrow" w:hAnsi="Arial Narrow"/>
                <w:sz w:val="18"/>
                <w:szCs w:val="18"/>
              </w:rPr>
              <w:t>Observed</w:t>
            </w:r>
          </w:p>
          <w:p w14:paraId="2B1EF89E" w14:textId="4C07E392" w:rsidR="001425A9" w:rsidRPr="00B734A6" w:rsidRDefault="001425A9" w:rsidP="00B734A6">
            <w:pPr>
              <w:pStyle w:val="TableHeader"/>
              <w:rPr>
                <w:rFonts w:ascii="Arial Narrow" w:hAnsi="Arial Narrow"/>
                <w:sz w:val="18"/>
                <w:szCs w:val="18"/>
              </w:rPr>
            </w:pPr>
            <w:r w:rsidRPr="00B734A6">
              <w:rPr>
                <w:rFonts w:ascii="Arial Narrow" w:hAnsi="Arial Narrow"/>
                <w:sz w:val="18"/>
                <w:szCs w:val="18"/>
              </w:rPr>
              <w:t xml:space="preserve">Mean Change </w:t>
            </w:r>
          </w:p>
        </w:tc>
        <w:tc>
          <w:tcPr>
            <w:tcW w:w="0" w:type="auto"/>
            <w:shd w:val="clear" w:color="auto" w:fill="000000" w:themeFill="text1"/>
          </w:tcPr>
          <w:p w14:paraId="4947733A" w14:textId="0865CA0E" w:rsidR="001425A9" w:rsidRPr="00B734A6" w:rsidRDefault="001425A9" w:rsidP="00B734A6">
            <w:pPr>
              <w:pStyle w:val="TableHeader"/>
              <w:rPr>
                <w:rFonts w:ascii="Arial Narrow" w:hAnsi="Arial Narrow"/>
                <w:sz w:val="18"/>
                <w:szCs w:val="18"/>
              </w:rPr>
            </w:pPr>
            <w:r w:rsidRPr="00B734A6">
              <w:rPr>
                <w:rFonts w:ascii="Arial Narrow" w:hAnsi="Arial Narrow"/>
                <w:sz w:val="18"/>
                <w:szCs w:val="18"/>
              </w:rPr>
              <w:t>Control group****</w:t>
            </w:r>
          </w:p>
          <w:p w14:paraId="1FFFF494" w14:textId="0F818899" w:rsidR="00B97B89" w:rsidRPr="00B734A6" w:rsidRDefault="00B97B89" w:rsidP="00B734A6">
            <w:pPr>
              <w:pStyle w:val="TableHeader"/>
              <w:rPr>
                <w:rFonts w:ascii="Arial Narrow" w:hAnsi="Arial Narrow"/>
                <w:sz w:val="18"/>
                <w:szCs w:val="18"/>
              </w:rPr>
            </w:pPr>
            <w:r w:rsidRPr="00B734A6">
              <w:rPr>
                <w:rFonts w:ascii="Arial Narrow" w:hAnsi="Arial Narrow"/>
                <w:sz w:val="18"/>
                <w:szCs w:val="18"/>
              </w:rPr>
              <w:t>Observed</w:t>
            </w:r>
          </w:p>
          <w:p w14:paraId="23DE4B2C" w14:textId="30D6AAFE" w:rsidR="001425A9" w:rsidRPr="00B734A6" w:rsidRDefault="00B97B89" w:rsidP="00B734A6">
            <w:pPr>
              <w:pStyle w:val="TableHeader"/>
              <w:rPr>
                <w:rFonts w:ascii="Arial Narrow" w:hAnsi="Arial Narrow"/>
                <w:sz w:val="18"/>
                <w:szCs w:val="18"/>
              </w:rPr>
            </w:pPr>
            <w:r w:rsidRPr="00B734A6">
              <w:rPr>
                <w:rFonts w:ascii="Arial Narrow" w:hAnsi="Arial Narrow"/>
                <w:sz w:val="18"/>
                <w:szCs w:val="18"/>
              </w:rPr>
              <w:t>Standard Deviation (SD</w:t>
            </w:r>
            <w:r w:rsidR="001425A9" w:rsidRPr="00B734A6">
              <w:rPr>
                <w:rFonts w:ascii="Arial Narrow" w:hAnsi="Arial Narrow"/>
                <w:sz w:val="18"/>
                <w:szCs w:val="18"/>
              </w:rPr>
              <w:t>)</w:t>
            </w:r>
          </w:p>
        </w:tc>
        <w:tc>
          <w:tcPr>
            <w:tcW w:w="0" w:type="auto"/>
            <w:shd w:val="clear" w:color="auto" w:fill="000000" w:themeFill="text1"/>
            <w:tcMar>
              <w:left w:w="80" w:type="dxa"/>
              <w:right w:w="80" w:type="dxa"/>
            </w:tcMar>
          </w:tcPr>
          <w:p w14:paraId="0856836C" w14:textId="77777777" w:rsidR="00B97B89" w:rsidRPr="00B734A6" w:rsidRDefault="00B97B89" w:rsidP="00B734A6">
            <w:pPr>
              <w:pStyle w:val="TableHeader"/>
              <w:rPr>
                <w:rFonts w:ascii="Arial Narrow" w:hAnsi="Arial Narrow"/>
                <w:sz w:val="18"/>
                <w:szCs w:val="18"/>
              </w:rPr>
            </w:pPr>
            <w:r w:rsidRPr="00B734A6">
              <w:rPr>
                <w:rFonts w:ascii="Arial Narrow" w:hAnsi="Arial Narrow"/>
                <w:sz w:val="18"/>
                <w:szCs w:val="18"/>
              </w:rPr>
              <w:t>Modelled</w:t>
            </w:r>
          </w:p>
          <w:p w14:paraId="5E347EA4" w14:textId="5EBCB41C" w:rsidR="001425A9" w:rsidRPr="00B734A6" w:rsidRDefault="001425A9" w:rsidP="00B734A6">
            <w:pPr>
              <w:pStyle w:val="TableHeader"/>
              <w:rPr>
                <w:rFonts w:ascii="Arial Narrow" w:hAnsi="Arial Narrow"/>
                <w:sz w:val="18"/>
                <w:szCs w:val="18"/>
              </w:rPr>
            </w:pPr>
            <w:r w:rsidRPr="00B734A6">
              <w:rPr>
                <w:rFonts w:ascii="Arial Narrow" w:hAnsi="Arial Narrow"/>
                <w:sz w:val="18"/>
                <w:szCs w:val="18"/>
              </w:rPr>
              <w:t xml:space="preserve">Estimate = Intervention - Control </w:t>
            </w:r>
          </w:p>
        </w:tc>
        <w:tc>
          <w:tcPr>
            <w:tcW w:w="0" w:type="auto"/>
            <w:shd w:val="clear" w:color="auto" w:fill="000000" w:themeFill="text1"/>
          </w:tcPr>
          <w:p w14:paraId="50498D4B" w14:textId="77777777" w:rsidR="00B97B89" w:rsidRPr="00B734A6" w:rsidRDefault="00B97B89" w:rsidP="00B734A6">
            <w:pPr>
              <w:pStyle w:val="TableHeader"/>
              <w:rPr>
                <w:rFonts w:ascii="Arial Narrow" w:hAnsi="Arial Narrow"/>
                <w:sz w:val="18"/>
                <w:szCs w:val="18"/>
              </w:rPr>
            </w:pPr>
            <w:r w:rsidRPr="00B734A6">
              <w:rPr>
                <w:rFonts w:ascii="Arial Narrow" w:hAnsi="Arial Narrow"/>
                <w:sz w:val="18"/>
                <w:szCs w:val="18"/>
              </w:rPr>
              <w:t>Modelled</w:t>
            </w:r>
          </w:p>
          <w:p w14:paraId="25F3C1DF" w14:textId="737AFD05" w:rsidR="001425A9" w:rsidRPr="00B734A6" w:rsidRDefault="001425A9" w:rsidP="00B734A6">
            <w:pPr>
              <w:pStyle w:val="TableHeader"/>
              <w:rPr>
                <w:rFonts w:ascii="Arial Narrow" w:hAnsi="Arial Narrow"/>
                <w:sz w:val="18"/>
                <w:szCs w:val="18"/>
              </w:rPr>
            </w:pPr>
            <w:r w:rsidRPr="00B734A6">
              <w:rPr>
                <w:rFonts w:ascii="Arial Narrow" w:hAnsi="Arial Narrow"/>
                <w:sz w:val="18"/>
                <w:szCs w:val="18"/>
              </w:rPr>
              <w:t>Estimate = Intervention - Control (95% CI)</w:t>
            </w:r>
          </w:p>
        </w:tc>
        <w:tc>
          <w:tcPr>
            <w:tcW w:w="0" w:type="auto"/>
            <w:shd w:val="clear" w:color="auto" w:fill="000000" w:themeFill="text1"/>
            <w:tcMar>
              <w:left w:w="80" w:type="dxa"/>
              <w:right w:w="80" w:type="dxa"/>
            </w:tcMar>
          </w:tcPr>
          <w:p w14:paraId="1EEB5117" w14:textId="46DD6679" w:rsidR="001425A9" w:rsidRPr="00B734A6" w:rsidRDefault="001425A9" w:rsidP="00B734A6">
            <w:pPr>
              <w:pStyle w:val="TableHeader"/>
              <w:rPr>
                <w:rFonts w:ascii="Arial Narrow" w:hAnsi="Arial Narrow"/>
                <w:sz w:val="18"/>
                <w:szCs w:val="18"/>
              </w:rPr>
            </w:pPr>
            <w:r w:rsidRPr="00B734A6">
              <w:rPr>
                <w:rFonts w:ascii="Arial Narrow" w:hAnsi="Arial Narrow"/>
                <w:sz w:val="18"/>
                <w:szCs w:val="18"/>
              </w:rPr>
              <w:t>P-value</w:t>
            </w:r>
          </w:p>
        </w:tc>
      </w:tr>
      <w:tr w:rsidR="001425A9" w:rsidRPr="00B734A6" w14:paraId="34CBAE71" w14:textId="77777777" w:rsidTr="00B734A6">
        <w:trPr>
          <w:tblHeader/>
          <w:jc w:val="center"/>
        </w:trPr>
        <w:tc>
          <w:tcPr>
            <w:tcW w:w="0" w:type="auto"/>
            <w:shd w:val="clear" w:color="auto" w:fill="FFFFFF"/>
            <w:tcMar>
              <w:left w:w="80" w:type="dxa"/>
              <w:right w:w="80" w:type="dxa"/>
            </w:tcMar>
          </w:tcPr>
          <w:p w14:paraId="4A36B796" w14:textId="2ABB266E" w:rsidR="001425A9" w:rsidRPr="00B734A6" w:rsidRDefault="001425A9" w:rsidP="00B734A6">
            <w:pPr>
              <w:pStyle w:val="Tabletext1"/>
              <w:rPr>
                <w:rFonts w:ascii="Arial Narrow" w:hAnsi="Arial Narrow"/>
              </w:rPr>
            </w:pPr>
            <w:r w:rsidRPr="00B734A6">
              <w:rPr>
                <w:rFonts w:ascii="Arial Narrow" w:hAnsi="Arial Narrow"/>
              </w:rPr>
              <w:t>Frailty** Index</w:t>
            </w:r>
          </w:p>
        </w:tc>
        <w:tc>
          <w:tcPr>
            <w:tcW w:w="0" w:type="auto"/>
            <w:shd w:val="clear" w:color="auto" w:fill="FFFFFF"/>
            <w:tcMar>
              <w:left w:w="80" w:type="dxa"/>
              <w:right w:w="80" w:type="dxa"/>
            </w:tcMar>
          </w:tcPr>
          <w:p w14:paraId="302DE4FD" w14:textId="77777777" w:rsidR="001425A9" w:rsidRPr="00B734A6" w:rsidRDefault="001425A9" w:rsidP="00B734A6">
            <w:pPr>
              <w:pStyle w:val="Tabletext1"/>
              <w:rPr>
                <w:rFonts w:ascii="Arial Narrow" w:hAnsi="Arial Narrow"/>
              </w:rPr>
            </w:pPr>
            <w:r w:rsidRPr="00B734A6">
              <w:rPr>
                <w:rFonts w:ascii="Arial Narrow" w:hAnsi="Arial Narrow"/>
              </w:rPr>
              <w:t>6 Months</w:t>
            </w:r>
          </w:p>
        </w:tc>
        <w:tc>
          <w:tcPr>
            <w:tcW w:w="0" w:type="auto"/>
            <w:shd w:val="clear" w:color="auto" w:fill="FFFFFF"/>
            <w:tcMar>
              <w:left w:w="80" w:type="dxa"/>
              <w:right w:w="80" w:type="dxa"/>
            </w:tcMar>
            <w:vAlign w:val="center"/>
          </w:tcPr>
          <w:p w14:paraId="6BB67C2C" w14:textId="435F7901" w:rsidR="001425A9" w:rsidRPr="00B734A6" w:rsidRDefault="001425A9" w:rsidP="00B734A6">
            <w:pPr>
              <w:pStyle w:val="Tabletext1"/>
              <w:jc w:val="right"/>
              <w:rPr>
                <w:rFonts w:ascii="Arial Narrow" w:hAnsi="Arial Narrow"/>
              </w:rPr>
            </w:pPr>
            <w:r w:rsidRPr="00B734A6">
              <w:rPr>
                <w:rFonts w:ascii="Arial Narrow" w:hAnsi="Arial Narrow"/>
              </w:rPr>
              <w:t>0.040</w:t>
            </w:r>
            <w:r w:rsidRPr="00B734A6">
              <w:rPr>
                <w:rFonts w:ascii="Arial Narrow" w:hAnsi="Arial Narrow"/>
                <w:vertAlign w:val="superscript"/>
              </w:rPr>
              <w:t>1</w:t>
            </w:r>
          </w:p>
        </w:tc>
        <w:tc>
          <w:tcPr>
            <w:tcW w:w="0" w:type="auto"/>
            <w:shd w:val="clear" w:color="auto" w:fill="FFFFFF"/>
            <w:vAlign w:val="center"/>
          </w:tcPr>
          <w:p w14:paraId="5D4B5374" w14:textId="404A65B4" w:rsidR="001425A9" w:rsidRPr="00B734A6" w:rsidRDefault="001425A9" w:rsidP="00B734A6">
            <w:pPr>
              <w:pStyle w:val="Tabletext1"/>
              <w:jc w:val="right"/>
              <w:rPr>
                <w:rFonts w:ascii="Arial Narrow" w:hAnsi="Arial Narrow"/>
              </w:rPr>
            </w:pPr>
            <w:r w:rsidRPr="00B734A6">
              <w:rPr>
                <w:rFonts w:ascii="Arial Narrow" w:hAnsi="Arial Narrow"/>
              </w:rPr>
              <w:t>0.064</w:t>
            </w:r>
          </w:p>
        </w:tc>
        <w:tc>
          <w:tcPr>
            <w:tcW w:w="0" w:type="auto"/>
            <w:shd w:val="clear" w:color="auto" w:fill="FFFFFF"/>
            <w:tcMar>
              <w:left w:w="80" w:type="dxa"/>
              <w:right w:w="80" w:type="dxa"/>
            </w:tcMar>
            <w:vAlign w:val="center"/>
          </w:tcPr>
          <w:p w14:paraId="52C6A203" w14:textId="745BFCB3" w:rsidR="001425A9" w:rsidRPr="00B734A6" w:rsidRDefault="001425A9" w:rsidP="00B734A6">
            <w:pPr>
              <w:pStyle w:val="Tabletext1"/>
              <w:jc w:val="right"/>
              <w:rPr>
                <w:rFonts w:ascii="Arial Narrow" w:hAnsi="Arial Narrow"/>
              </w:rPr>
            </w:pPr>
            <w:r w:rsidRPr="00B734A6">
              <w:rPr>
                <w:rFonts w:ascii="Arial Narrow" w:hAnsi="Arial Narrow"/>
              </w:rPr>
              <w:t>0.044</w:t>
            </w:r>
          </w:p>
        </w:tc>
        <w:tc>
          <w:tcPr>
            <w:tcW w:w="0" w:type="auto"/>
            <w:shd w:val="clear" w:color="auto" w:fill="FFFFFF"/>
            <w:vAlign w:val="center"/>
          </w:tcPr>
          <w:p w14:paraId="0A614016" w14:textId="205DF527" w:rsidR="001425A9" w:rsidRPr="00B734A6" w:rsidRDefault="001425A9" w:rsidP="00B734A6">
            <w:pPr>
              <w:pStyle w:val="Tabletext1"/>
              <w:jc w:val="right"/>
              <w:rPr>
                <w:rFonts w:ascii="Arial Narrow" w:hAnsi="Arial Narrow"/>
              </w:rPr>
            </w:pPr>
            <w:r w:rsidRPr="00B734A6">
              <w:rPr>
                <w:rFonts w:ascii="Arial Narrow" w:hAnsi="Arial Narrow"/>
              </w:rPr>
              <w:t>0.062</w:t>
            </w:r>
          </w:p>
        </w:tc>
        <w:tc>
          <w:tcPr>
            <w:tcW w:w="0" w:type="auto"/>
            <w:shd w:val="clear" w:color="auto" w:fill="FFFFFF"/>
            <w:tcMar>
              <w:left w:w="80" w:type="dxa"/>
              <w:right w:w="80" w:type="dxa"/>
            </w:tcMar>
            <w:vAlign w:val="center"/>
          </w:tcPr>
          <w:p w14:paraId="29423B03" w14:textId="625C4670" w:rsidR="001425A9" w:rsidRPr="00B734A6" w:rsidRDefault="001425A9" w:rsidP="00B734A6">
            <w:pPr>
              <w:pStyle w:val="Tabletext1"/>
              <w:jc w:val="right"/>
              <w:rPr>
                <w:rFonts w:ascii="Arial Narrow" w:hAnsi="Arial Narrow"/>
              </w:rPr>
            </w:pPr>
            <w:r w:rsidRPr="00B734A6">
              <w:rPr>
                <w:rFonts w:ascii="Arial Narrow" w:hAnsi="Arial Narrow"/>
              </w:rPr>
              <w:t>-0.005</w:t>
            </w:r>
          </w:p>
        </w:tc>
        <w:tc>
          <w:tcPr>
            <w:tcW w:w="0" w:type="auto"/>
            <w:shd w:val="clear" w:color="auto" w:fill="FFFFFF"/>
            <w:vAlign w:val="center"/>
          </w:tcPr>
          <w:p w14:paraId="18CE8710" w14:textId="5A746F9C" w:rsidR="001425A9" w:rsidRPr="00B734A6" w:rsidRDefault="001425A9" w:rsidP="00B734A6">
            <w:pPr>
              <w:pStyle w:val="Tabletext1"/>
              <w:jc w:val="right"/>
              <w:rPr>
                <w:rFonts w:ascii="Arial Narrow" w:hAnsi="Arial Narrow"/>
              </w:rPr>
            </w:pPr>
            <w:r w:rsidRPr="00B734A6">
              <w:rPr>
                <w:rFonts w:ascii="Arial Narrow" w:hAnsi="Arial Narrow"/>
              </w:rPr>
              <w:t>-0.023, 0.013</w:t>
            </w:r>
          </w:p>
        </w:tc>
        <w:tc>
          <w:tcPr>
            <w:tcW w:w="0" w:type="auto"/>
            <w:shd w:val="clear" w:color="auto" w:fill="FFFFFF"/>
            <w:tcMar>
              <w:left w:w="80" w:type="dxa"/>
              <w:right w:w="80" w:type="dxa"/>
            </w:tcMar>
            <w:vAlign w:val="center"/>
          </w:tcPr>
          <w:p w14:paraId="6CDEA779" w14:textId="3F30DB89" w:rsidR="001425A9" w:rsidRPr="00B734A6" w:rsidRDefault="001425A9" w:rsidP="00B734A6">
            <w:pPr>
              <w:pStyle w:val="Tabletext1"/>
              <w:jc w:val="right"/>
              <w:rPr>
                <w:rFonts w:ascii="Arial Narrow" w:hAnsi="Arial Narrow"/>
              </w:rPr>
            </w:pPr>
            <w:r w:rsidRPr="00B734A6">
              <w:rPr>
                <w:rFonts w:ascii="Arial Narrow" w:hAnsi="Arial Narrow"/>
              </w:rPr>
              <w:t>0.606</w:t>
            </w:r>
          </w:p>
        </w:tc>
      </w:tr>
      <w:tr w:rsidR="001425A9" w:rsidRPr="00B734A6" w14:paraId="3AE272E3" w14:textId="77777777" w:rsidTr="00B734A6">
        <w:trPr>
          <w:tblHeader/>
          <w:jc w:val="center"/>
        </w:trPr>
        <w:tc>
          <w:tcPr>
            <w:tcW w:w="0" w:type="auto"/>
            <w:shd w:val="clear" w:color="auto" w:fill="FFFFFF"/>
            <w:tcMar>
              <w:left w:w="80" w:type="dxa"/>
              <w:right w:w="80" w:type="dxa"/>
            </w:tcMar>
          </w:tcPr>
          <w:p w14:paraId="04EFE4AB" w14:textId="596BBA71" w:rsidR="001425A9" w:rsidRPr="00B734A6" w:rsidRDefault="001425A9" w:rsidP="00B734A6">
            <w:pPr>
              <w:pStyle w:val="Tabletext1"/>
              <w:rPr>
                <w:rFonts w:ascii="Arial Narrow" w:hAnsi="Arial Narrow"/>
              </w:rPr>
            </w:pPr>
            <w:r w:rsidRPr="00B734A6">
              <w:rPr>
                <w:rFonts w:ascii="Arial Narrow" w:hAnsi="Arial Narrow"/>
              </w:rPr>
              <w:t>Frailty**Index</w:t>
            </w:r>
          </w:p>
        </w:tc>
        <w:tc>
          <w:tcPr>
            <w:tcW w:w="0" w:type="auto"/>
            <w:shd w:val="clear" w:color="auto" w:fill="FFFFFF"/>
            <w:tcMar>
              <w:left w:w="80" w:type="dxa"/>
              <w:right w:w="80" w:type="dxa"/>
            </w:tcMar>
          </w:tcPr>
          <w:p w14:paraId="02242FC5" w14:textId="77777777" w:rsidR="001425A9" w:rsidRPr="00B734A6" w:rsidRDefault="001425A9" w:rsidP="00B734A6">
            <w:pPr>
              <w:pStyle w:val="Tabletext1"/>
              <w:rPr>
                <w:rFonts w:ascii="Arial Narrow" w:hAnsi="Arial Narrow"/>
              </w:rPr>
            </w:pPr>
            <w:r w:rsidRPr="00B734A6">
              <w:rPr>
                <w:rFonts w:ascii="Arial Narrow" w:hAnsi="Arial Narrow"/>
              </w:rPr>
              <w:t>12 Months</w:t>
            </w:r>
          </w:p>
        </w:tc>
        <w:tc>
          <w:tcPr>
            <w:tcW w:w="0" w:type="auto"/>
            <w:shd w:val="clear" w:color="auto" w:fill="FFFFFF"/>
            <w:tcMar>
              <w:left w:w="80" w:type="dxa"/>
              <w:right w:w="80" w:type="dxa"/>
            </w:tcMar>
            <w:vAlign w:val="center"/>
          </w:tcPr>
          <w:p w14:paraId="41493C28" w14:textId="2B09B668" w:rsidR="001425A9" w:rsidRPr="00B734A6" w:rsidRDefault="001425A9" w:rsidP="00B734A6">
            <w:pPr>
              <w:pStyle w:val="Tabletext1"/>
              <w:jc w:val="right"/>
              <w:rPr>
                <w:rFonts w:ascii="Arial Narrow" w:hAnsi="Arial Narrow"/>
              </w:rPr>
            </w:pPr>
            <w:r w:rsidRPr="00B734A6">
              <w:rPr>
                <w:rFonts w:ascii="Arial Narrow" w:hAnsi="Arial Narrow"/>
              </w:rPr>
              <w:t>0.080</w:t>
            </w:r>
            <w:r w:rsidRPr="00B734A6">
              <w:rPr>
                <w:rFonts w:ascii="Arial Narrow" w:hAnsi="Arial Narrow"/>
                <w:vertAlign w:val="superscript"/>
              </w:rPr>
              <w:t>2</w:t>
            </w:r>
          </w:p>
        </w:tc>
        <w:tc>
          <w:tcPr>
            <w:tcW w:w="0" w:type="auto"/>
            <w:shd w:val="clear" w:color="auto" w:fill="FFFFFF"/>
            <w:vAlign w:val="center"/>
          </w:tcPr>
          <w:p w14:paraId="4048F015" w14:textId="2E5D8464" w:rsidR="001425A9" w:rsidRPr="00B734A6" w:rsidRDefault="001425A9" w:rsidP="00B734A6">
            <w:pPr>
              <w:pStyle w:val="Tabletext1"/>
              <w:jc w:val="right"/>
              <w:rPr>
                <w:rFonts w:ascii="Arial Narrow" w:hAnsi="Arial Narrow"/>
              </w:rPr>
            </w:pPr>
            <w:r w:rsidRPr="00B734A6">
              <w:rPr>
                <w:rFonts w:ascii="Arial Narrow" w:hAnsi="Arial Narrow"/>
              </w:rPr>
              <w:t>0.076</w:t>
            </w:r>
          </w:p>
        </w:tc>
        <w:tc>
          <w:tcPr>
            <w:tcW w:w="0" w:type="auto"/>
            <w:shd w:val="clear" w:color="auto" w:fill="FFFFFF"/>
            <w:tcMar>
              <w:left w:w="80" w:type="dxa"/>
              <w:right w:w="80" w:type="dxa"/>
            </w:tcMar>
            <w:vAlign w:val="center"/>
          </w:tcPr>
          <w:p w14:paraId="3195AF17" w14:textId="076DE729" w:rsidR="001425A9" w:rsidRPr="00B734A6" w:rsidRDefault="001425A9" w:rsidP="00B734A6">
            <w:pPr>
              <w:pStyle w:val="Tabletext1"/>
              <w:jc w:val="right"/>
              <w:rPr>
                <w:rFonts w:ascii="Arial Narrow" w:hAnsi="Arial Narrow"/>
              </w:rPr>
            </w:pPr>
            <w:r w:rsidRPr="00B734A6">
              <w:rPr>
                <w:rFonts w:ascii="Arial Narrow" w:hAnsi="Arial Narrow"/>
              </w:rPr>
              <w:t>0.089</w:t>
            </w:r>
          </w:p>
        </w:tc>
        <w:tc>
          <w:tcPr>
            <w:tcW w:w="0" w:type="auto"/>
            <w:shd w:val="clear" w:color="auto" w:fill="FFFFFF"/>
            <w:vAlign w:val="center"/>
          </w:tcPr>
          <w:p w14:paraId="021613C3" w14:textId="7F64E7CE" w:rsidR="001425A9" w:rsidRPr="00B734A6" w:rsidRDefault="001425A9" w:rsidP="00B734A6">
            <w:pPr>
              <w:pStyle w:val="Tabletext1"/>
              <w:jc w:val="right"/>
              <w:rPr>
                <w:rFonts w:ascii="Arial Narrow" w:hAnsi="Arial Narrow"/>
              </w:rPr>
            </w:pPr>
            <w:r w:rsidRPr="00B734A6">
              <w:rPr>
                <w:rFonts w:ascii="Arial Narrow" w:hAnsi="Arial Narrow"/>
              </w:rPr>
              <w:t>0.082</w:t>
            </w:r>
          </w:p>
        </w:tc>
        <w:tc>
          <w:tcPr>
            <w:tcW w:w="0" w:type="auto"/>
            <w:shd w:val="clear" w:color="auto" w:fill="FFFFFF"/>
            <w:tcMar>
              <w:left w:w="80" w:type="dxa"/>
              <w:right w:w="80" w:type="dxa"/>
            </w:tcMar>
            <w:vAlign w:val="center"/>
          </w:tcPr>
          <w:p w14:paraId="566AC6B1" w14:textId="21EA5512" w:rsidR="001425A9" w:rsidRPr="00B734A6" w:rsidRDefault="001425A9" w:rsidP="00B734A6">
            <w:pPr>
              <w:pStyle w:val="Tabletext1"/>
              <w:jc w:val="right"/>
              <w:rPr>
                <w:rFonts w:ascii="Arial Narrow" w:hAnsi="Arial Narrow"/>
              </w:rPr>
            </w:pPr>
            <w:r w:rsidRPr="00B734A6">
              <w:rPr>
                <w:rFonts w:ascii="Arial Narrow" w:hAnsi="Arial Narrow"/>
              </w:rPr>
              <w:t>-0.009</w:t>
            </w:r>
          </w:p>
        </w:tc>
        <w:tc>
          <w:tcPr>
            <w:tcW w:w="0" w:type="auto"/>
            <w:shd w:val="clear" w:color="auto" w:fill="FFFFFF"/>
            <w:vAlign w:val="center"/>
          </w:tcPr>
          <w:p w14:paraId="59CC802D" w14:textId="203483B2" w:rsidR="001425A9" w:rsidRPr="00B734A6" w:rsidRDefault="001425A9" w:rsidP="00B734A6">
            <w:pPr>
              <w:pStyle w:val="Tabletext1"/>
              <w:jc w:val="right"/>
              <w:rPr>
                <w:rFonts w:ascii="Arial Narrow" w:hAnsi="Arial Narrow"/>
              </w:rPr>
            </w:pPr>
            <w:r w:rsidRPr="00B734A6">
              <w:rPr>
                <w:rFonts w:ascii="Arial Narrow" w:hAnsi="Arial Narrow"/>
              </w:rPr>
              <w:t>-0.028, 0.009</w:t>
            </w:r>
          </w:p>
        </w:tc>
        <w:tc>
          <w:tcPr>
            <w:tcW w:w="0" w:type="auto"/>
            <w:shd w:val="clear" w:color="auto" w:fill="FFFFFF"/>
            <w:tcMar>
              <w:left w:w="80" w:type="dxa"/>
              <w:right w:w="80" w:type="dxa"/>
            </w:tcMar>
            <w:vAlign w:val="center"/>
          </w:tcPr>
          <w:p w14:paraId="59555D20" w14:textId="7C345F2E" w:rsidR="001425A9" w:rsidRPr="00B734A6" w:rsidRDefault="001425A9" w:rsidP="00B734A6">
            <w:pPr>
              <w:pStyle w:val="Tabletext1"/>
              <w:jc w:val="right"/>
              <w:rPr>
                <w:rFonts w:ascii="Arial Narrow" w:hAnsi="Arial Narrow"/>
              </w:rPr>
            </w:pPr>
            <w:r w:rsidRPr="00B734A6">
              <w:rPr>
                <w:rFonts w:ascii="Arial Narrow" w:hAnsi="Arial Narrow"/>
              </w:rPr>
              <w:t>0.320</w:t>
            </w:r>
          </w:p>
        </w:tc>
      </w:tr>
    </w:tbl>
    <w:p w14:paraId="14C542C9" w14:textId="72FA6D7C" w:rsidR="008C0951" w:rsidRPr="00C100A6" w:rsidRDefault="008C0951" w:rsidP="00897C5B">
      <w:pPr>
        <w:pStyle w:val="Caption"/>
      </w:pPr>
      <w:r w:rsidRPr="009A23B0">
        <w:t>Table B-</w:t>
      </w:r>
      <w:r w:rsidR="00B256BE">
        <w:t>7</w:t>
      </w:r>
      <w:r w:rsidRPr="009A23B0">
        <w:t>:</w:t>
      </w:r>
      <w:r w:rsidRPr="00C100A6">
        <w:t xml:space="preserve"> Frailty outcome</w:t>
      </w:r>
      <w:r w:rsidR="0061597B">
        <w:t>, change from baseline</w:t>
      </w:r>
      <w:r w:rsidRPr="00C100A6">
        <w:t>.</w:t>
      </w:r>
    </w:p>
    <w:p w14:paraId="652E8ADB" w14:textId="427CF712" w:rsidR="003733C5" w:rsidRDefault="003733C5" w:rsidP="00897C5B">
      <w:pPr>
        <w:pStyle w:val="Caption"/>
      </w:pPr>
      <w:r w:rsidRPr="00C100A6">
        <w:t>*Change from baseline, adjusted for baseline, gender and facility</w:t>
      </w:r>
      <w:r w:rsidR="002C26C0" w:rsidRPr="00C100A6">
        <w:t>. Observed values are mean (</w:t>
      </w:r>
      <w:r w:rsidR="001F584B" w:rsidRPr="00C100A6">
        <w:t>S</w:t>
      </w:r>
      <w:r w:rsidR="00B97B89">
        <w:t>D</w:t>
      </w:r>
      <w:r w:rsidR="002C26C0" w:rsidRPr="00C100A6">
        <w:t>).</w:t>
      </w:r>
    </w:p>
    <w:p w14:paraId="0FD35447" w14:textId="3FD8FDAD" w:rsidR="00767BE3" w:rsidRDefault="00767BE3" w:rsidP="00897C5B">
      <w:pPr>
        <w:pStyle w:val="Caption"/>
      </w:pPr>
      <w:r w:rsidRPr="007A6E9A">
        <w:t>** The Frailty index</w:t>
      </w:r>
      <w:r>
        <w:t xml:space="preserve"> primary outcome measure is based on a </w:t>
      </w:r>
      <w:proofErr w:type="gramStart"/>
      <w:r>
        <w:t>39 point</w:t>
      </w:r>
      <w:proofErr w:type="gramEnd"/>
      <w:r>
        <w:t xml:space="preserve"> assessment tool, where the </w:t>
      </w:r>
      <w:proofErr w:type="spellStart"/>
      <w:r>
        <w:t>sigmoidally</w:t>
      </w:r>
      <w:proofErr w:type="spellEnd"/>
      <w:r>
        <w:t xml:space="preserve"> distributed outcome scale ranges from 0 (not frail) to 1.0 (extreme frailty).</w:t>
      </w:r>
    </w:p>
    <w:p w14:paraId="02889B76" w14:textId="52A50918" w:rsidR="001425A9" w:rsidRDefault="001425A9" w:rsidP="00897C5B">
      <w:pPr>
        <w:pStyle w:val="Caption"/>
      </w:pPr>
      <w:r w:rsidRPr="001425A9">
        <w:t>***The number (n) used to calculate the mean for the intervention arm is n=105 for 6 months</w:t>
      </w:r>
      <w:r w:rsidRPr="00CE4AA3">
        <w:rPr>
          <w:vertAlign w:val="superscript"/>
        </w:rPr>
        <w:t>1</w:t>
      </w:r>
      <w:r w:rsidRPr="001425A9">
        <w:t>, and n= 97 for 12 months</w:t>
      </w:r>
      <w:r w:rsidRPr="001425A9">
        <w:rPr>
          <w:vertAlign w:val="superscript"/>
        </w:rPr>
        <w:t>2</w:t>
      </w:r>
      <w:r w:rsidRPr="001425A9">
        <w:t>.</w:t>
      </w:r>
    </w:p>
    <w:p w14:paraId="34CC68E4" w14:textId="1F48BF49" w:rsidR="00B256BE" w:rsidRPr="00D85146" w:rsidRDefault="001425A9" w:rsidP="00897C5B">
      <w:pPr>
        <w:pStyle w:val="Caption"/>
      </w:pPr>
      <w:r w:rsidRPr="00CE4AA3">
        <w:t>***</w:t>
      </w:r>
      <w:r>
        <w:t>*</w:t>
      </w:r>
      <w:r w:rsidRPr="00CE4AA3">
        <w:t xml:space="preserve">The number </w:t>
      </w:r>
      <w:r w:rsidRPr="001425A9">
        <w:t>(n) used to calculate the</w:t>
      </w:r>
      <w:r w:rsidRPr="00CE4AA3">
        <w:t xml:space="preserve"> mean for the </w:t>
      </w:r>
      <w:r>
        <w:t>control arm is n=119</w:t>
      </w:r>
      <w:r w:rsidRPr="00CE4AA3">
        <w:t xml:space="preserve"> for 6 months</w:t>
      </w:r>
      <w:r>
        <w:rPr>
          <w:vertAlign w:val="superscript"/>
        </w:rPr>
        <w:t>3</w:t>
      </w:r>
      <w:r>
        <w:t>, and n= 111</w:t>
      </w:r>
      <w:r w:rsidRPr="001425A9">
        <w:t xml:space="preserve"> for</w:t>
      </w:r>
      <w:r w:rsidRPr="00CE4AA3">
        <w:t xml:space="preserve"> 12 months</w:t>
      </w:r>
      <w:r>
        <w:rPr>
          <w:vertAlign w:val="superscript"/>
        </w:rPr>
        <w:t>4</w:t>
      </w:r>
      <w:r w:rsidRPr="00CE4AA3">
        <w:t>.</w:t>
      </w:r>
    </w:p>
    <w:p w14:paraId="2B8DDC2B" w14:textId="72538CDF" w:rsidR="009908B6" w:rsidRPr="00471C4A" w:rsidRDefault="009908B6" w:rsidP="00FB7ED1">
      <w:pPr>
        <w:pStyle w:val="hidden"/>
      </w:pPr>
    </w:p>
    <w:p w14:paraId="5BA2872D" w14:textId="77777777" w:rsidR="00F2234D" w:rsidRDefault="00F2234D" w:rsidP="007501B9">
      <w:pPr>
        <w:rPr>
          <w:color w:val="44546A" w:themeColor="text2"/>
        </w:rPr>
      </w:pPr>
      <w:r>
        <w:br w:type="page"/>
      </w:r>
    </w:p>
    <w:p w14:paraId="5096E007" w14:textId="690E10AC" w:rsidR="00FE517B" w:rsidRDefault="003733C5" w:rsidP="00897C5B">
      <w:pPr>
        <w:pStyle w:val="Caption"/>
      </w:pPr>
      <w:r w:rsidRPr="00B256BE">
        <w:lastRenderedPageBreak/>
        <w:t>Figure B-</w:t>
      </w:r>
      <w:r w:rsidR="00B256BE" w:rsidRPr="00B256BE">
        <w:t>11</w:t>
      </w:r>
      <w:r w:rsidRPr="00B256BE">
        <w:t>:</w:t>
      </w:r>
      <w:r w:rsidRPr="00C100A6">
        <w:t xml:space="preserve"> M</w:t>
      </w:r>
      <w:r w:rsidR="005A4973">
        <w:t>odelled</w:t>
      </w:r>
      <w:r w:rsidR="00F00D3B">
        <w:t>*</w:t>
      </w:r>
      <w:r w:rsidR="005A4973">
        <w:t xml:space="preserve"> m</w:t>
      </w:r>
      <w:r w:rsidRPr="00C100A6">
        <w:t>ean change in Frailty Index</w:t>
      </w:r>
      <w:r w:rsidR="005A4973">
        <w:t xml:space="preserve"> from baseline</w:t>
      </w:r>
      <w:r w:rsidRPr="00C100A6">
        <w:t xml:space="preserve"> in intervention and control arms.</w:t>
      </w:r>
    </w:p>
    <w:p w14:paraId="748A878C" w14:textId="308C4B35" w:rsidR="004856DE" w:rsidRPr="004856DE" w:rsidRDefault="004856DE" w:rsidP="007501B9">
      <w:r w:rsidRPr="004856DE">
        <w:rPr>
          <w:noProof/>
        </w:rPr>
        <w:drawing>
          <wp:inline distT="0" distB="0" distL="0" distR="0" wp14:anchorId="7123BC69" wp14:editId="431BD604">
            <wp:extent cx="4786685" cy="3945146"/>
            <wp:effectExtent l="0" t="0" r="1905" b="0"/>
            <wp:docPr id="6" name="Picture 6" descr="This figure represents  the modelled* mean change in Frailty Index from baseline in intervention and control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figure represents  the modelled* mean change in Frailty Index from baseline in intervention and control arm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786685" cy="3945146"/>
                    </a:xfrm>
                    <a:prstGeom prst="rect">
                      <a:avLst/>
                    </a:prstGeom>
                    <a:noFill/>
                    <a:ln>
                      <a:noFill/>
                    </a:ln>
                  </pic:spPr>
                </pic:pic>
              </a:graphicData>
            </a:graphic>
          </wp:inline>
        </w:drawing>
      </w:r>
    </w:p>
    <w:p w14:paraId="60F52595" w14:textId="4910DDC6" w:rsidR="00F00D3B" w:rsidRDefault="00F00D3B" w:rsidP="00897C5B">
      <w:pPr>
        <w:pStyle w:val="Caption"/>
      </w:pPr>
      <w:r w:rsidRPr="00F00D3B">
        <w:t>*8</w:t>
      </w:r>
      <w:r w:rsidR="00BE5A1E">
        <w:t>0</w:t>
      </w:r>
      <w:r w:rsidRPr="00F00D3B">
        <w:t>% confidence intervals for each group</w:t>
      </w:r>
      <w:r w:rsidR="00BE5A1E">
        <w:t xml:space="preserve"> are displayed for comparison purposes</w:t>
      </w:r>
      <w:r w:rsidR="004856DE">
        <w:t xml:space="preserve"> for the intervention and control arms</w:t>
      </w:r>
      <w:r w:rsidR="00BE5A1E">
        <w:t xml:space="preserve">. </w:t>
      </w:r>
      <w:r>
        <w:fldChar w:fldCharType="begin"/>
      </w:r>
      <w:r w:rsidR="00EB6EA4">
        <w:instrText xml:space="preserve"> ADDIN EN.CITE &lt;EndNote&gt;&lt;Cite&gt;&lt;Author&gt;Goldstein&lt;/Author&gt;&lt;Year&gt;1995&lt;/Year&gt;&lt;RecNum&gt;68&lt;/RecNum&gt;&lt;DisplayText&gt;(78)&lt;/DisplayText&gt;&lt;record&gt;&lt;rec-number&gt;68&lt;/rec-number&gt;&lt;foreign-keys&gt;&lt;key app="EN" db-id="9s5z5ped05vxdnede99vfsxhtzavzdzs2d5r" timestamp="1615428887"&gt;68&lt;/key&gt;&lt;/foreign-keys&gt;&lt;ref-type name="Journal Article"&gt;17&lt;/ref-type&gt;&lt;contributors&gt;&lt;authors&gt;&lt;author&gt;Goldstein, Harvey&lt;/author&gt;&lt;author&gt;Healy, Michael JR&lt;/author&gt;&lt;/authors&gt;&lt;/contributors&gt;&lt;titles&gt;&lt;title&gt;The graphical presentation of a collection of means&lt;/title&gt;&lt;secondary-title&gt;Journal of the Royal Statistical Society: Series A (Statistics in Society)&lt;/secondary-title&gt;&lt;/titles&gt;&lt;periodical&gt;&lt;full-title&gt;Journal of the Royal Statistical Society: Series A (Statistics in Society)&lt;/full-title&gt;&lt;/periodical&gt;&lt;pages&gt;175-177&lt;/pages&gt;&lt;volume&gt;158&lt;/volume&gt;&lt;number&gt;1&lt;/number&gt;&lt;dates&gt;&lt;year&gt;1995&lt;/year&gt;&lt;/dates&gt;&lt;isbn&gt;0964-1998&lt;/isbn&gt;&lt;urls&gt;&lt;/urls&gt;&lt;/record&gt;&lt;/Cite&gt;&lt;/EndNote&gt;</w:instrText>
      </w:r>
      <w:r>
        <w:fldChar w:fldCharType="separate"/>
      </w:r>
      <w:r w:rsidR="00EB6EA4">
        <w:rPr>
          <w:noProof/>
        </w:rPr>
        <w:t>(</w:t>
      </w:r>
      <w:hyperlink w:anchor="_ENREF_78" w:tooltip="Goldstein, 1995 #68" w:history="1">
        <w:r w:rsidR="00EB6EA4">
          <w:rPr>
            <w:noProof/>
          </w:rPr>
          <w:t>78</w:t>
        </w:r>
      </w:hyperlink>
      <w:r w:rsidR="00EB6EA4">
        <w:rPr>
          <w:noProof/>
        </w:rPr>
        <w:t>)</w:t>
      </w:r>
      <w:r>
        <w:fldChar w:fldCharType="end"/>
      </w:r>
    </w:p>
    <w:p w14:paraId="66FCD065" w14:textId="7F024D4C" w:rsidR="004856DE" w:rsidRPr="00F2234D" w:rsidRDefault="004856DE" w:rsidP="00897C5B">
      <w:pPr>
        <w:pStyle w:val="Caption"/>
      </w:pPr>
      <w:r>
        <w:t xml:space="preserve">The imputed results for Frailty outcome accounting </w:t>
      </w:r>
      <w:r w:rsidRPr="00F2234D">
        <w:t xml:space="preserve">for impacts of </w:t>
      </w:r>
      <w:r w:rsidR="006B0804" w:rsidRPr="00F2234D">
        <w:t>COVID</w:t>
      </w:r>
      <w:r w:rsidRPr="00F2234D">
        <w:t>-19 (</w:t>
      </w:r>
      <w:r w:rsidR="00C0471A" w:rsidRPr="00F2234D">
        <w:t>T</w:t>
      </w:r>
      <w:r w:rsidRPr="00F2234D">
        <w:t xml:space="preserve">able </w:t>
      </w:r>
      <w:r w:rsidR="00C0471A" w:rsidRPr="00F2234D">
        <w:t>B-</w:t>
      </w:r>
      <w:r w:rsidR="00F2234D" w:rsidRPr="00F2234D">
        <w:t>8</w:t>
      </w:r>
      <w:r w:rsidRPr="00F2234D">
        <w:t>) have been overlaid for visual comparison purposes only and may have slight statistical inaccuracies.</w:t>
      </w:r>
    </w:p>
    <w:p w14:paraId="7AC6DDA5" w14:textId="0E1919A2" w:rsidR="005A4973" w:rsidRPr="00F2234D" w:rsidRDefault="005A4973" w:rsidP="0091732C">
      <w:pPr>
        <w:pStyle w:val="Heading5"/>
      </w:pPr>
      <w:bookmarkStart w:id="179" w:name="_Impact_of_Covid-19"/>
      <w:bookmarkEnd w:id="179"/>
      <w:r w:rsidRPr="00F2234D">
        <w:t xml:space="preserve">Impact of </w:t>
      </w:r>
      <w:r w:rsidR="006B0804" w:rsidRPr="00F2234D">
        <w:t>COVID</w:t>
      </w:r>
      <w:r w:rsidRPr="00F2234D">
        <w:t>-19 access restrictions</w:t>
      </w:r>
    </w:p>
    <w:p w14:paraId="64C3D3EA" w14:textId="0A5A49E5" w:rsidR="004039DB" w:rsidRPr="00F2234D" w:rsidRDefault="004039DB" w:rsidP="007501B9">
      <w:r w:rsidRPr="00F2234D">
        <w:t xml:space="preserve">From </w:t>
      </w:r>
      <w:r w:rsidR="00EB6572" w:rsidRPr="00F2234D">
        <w:t xml:space="preserve">20 </w:t>
      </w:r>
      <w:r w:rsidRPr="00F2234D">
        <w:t xml:space="preserve">March 2020, access to residential aged care facilities were restricted due to </w:t>
      </w:r>
      <w:r w:rsidR="006B0804" w:rsidRPr="00F2234D">
        <w:t>COVID</w:t>
      </w:r>
      <w:r w:rsidRPr="00F2234D">
        <w:t>-19 and pharmacists were unable to implement the intervention</w:t>
      </w:r>
      <w:r w:rsidR="007501B9">
        <w:t xml:space="preserve">. </w:t>
      </w:r>
      <w:r w:rsidRPr="00F2234D">
        <w:t xml:space="preserve">These restrictions may have affected the difference in frailty trajectories between the two groups at the </w:t>
      </w:r>
      <w:proofErr w:type="gramStart"/>
      <w:r w:rsidRPr="00F2234D">
        <w:t>12 month</w:t>
      </w:r>
      <w:proofErr w:type="gramEnd"/>
      <w:r w:rsidRPr="00F2234D">
        <w:t xml:space="preserve"> time point</w:t>
      </w:r>
      <w:r w:rsidR="007501B9">
        <w:t xml:space="preserve">. </w:t>
      </w:r>
      <w:r w:rsidRPr="00F2234D">
        <w:t xml:space="preserve">To estimate the effect of the intervention on the primary outcome if </w:t>
      </w:r>
      <w:r w:rsidR="006B0804" w:rsidRPr="00F2234D">
        <w:t>COVID</w:t>
      </w:r>
      <w:r w:rsidRPr="00F2234D">
        <w:t xml:space="preserve">-19 restrictions had not occurred, a sensitivity analysis was conducted, imputing frailty index measurements taken after </w:t>
      </w:r>
      <w:r w:rsidR="006B0804" w:rsidRPr="00F2234D">
        <w:t>COVID</w:t>
      </w:r>
      <w:r w:rsidRPr="00F2234D">
        <w:t xml:space="preserve">-19 restrictions (see full methodology and analysis in Appendix </w:t>
      </w:r>
      <w:r w:rsidR="00E62636" w:rsidRPr="00F2234D">
        <w:t>E</w:t>
      </w:r>
      <w:r w:rsidRPr="00F2234D">
        <w:t>).</w:t>
      </w:r>
    </w:p>
    <w:p w14:paraId="09B98FB4" w14:textId="1935162F" w:rsidR="004039DB" w:rsidRDefault="004039DB" w:rsidP="007501B9">
      <w:r w:rsidRPr="00F2234D">
        <w:t xml:space="preserve">The point estimates for the primary outcome at 6 and 12 months were larger after excluding or imputing post </w:t>
      </w:r>
      <w:r w:rsidR="006B0804" w:rsidRPr="00F2234D">
        <w:t>COVID</w:t>
      </w:r>
      <w:r w:rsidRPr="00F2234D">
        <w:t>-19 measurements (Table B-</w:t>
      </w:r>
      <w:r w:rsidR="00F2234D" w:rsidRPr="00F2234D">
        <w:t>8</w:t>
      </w:r>
      <w:r w:rsidRPr="00F2234D">
        <w:t>)</w:t>
      </w:r>
      <w:r w:rsidR="007501B9">
        <w:t xml:space="preserve">. </w:t>
      </w:r>
      <w:r w:rsidRPr="00F2234D">
        <w:t>95% confidence intervals were narrower after imputation, but still contained zero</w:t>
      </w:r>
      <w:r w:rsidR="007501B9">
        <w:t xml:space="preserve">. </w:t>
      </w:r>
      <w:r w:rsidRPr="00F2234D">
        <w:t xml:space="preserve">However, the point estimate at 12 months after accounting for </w:t>
      </w:r>
      <w:r w:rsidR="006B0804" w:rsidRPr="00F2234D">
        <w:t>COVID</w:t>
      </w:r>
      <w:r w:rsidRPr="00F2234D">
        <w:t xml:space="preserve">-19 restrictions (-0.012) is close to the effect size of -0.015 used </w:t>
      </w:r>
      <w:r w:rsidRPr="00F2234D">
        <w:lastRenderedPageBreak/>
        <w:t xml:space="preserve">in the sample size calculation. </w:t>
      </w:r>
      <w:r w:rsidR="00F8616C" w:rsidRPr="00F2234D">
        <w:t xml:space="preserve">The imputed results for the frailty outcome accounting for impacts of </w:t>
      </w:r>
      <w:r w:rsidR="006B0804" w:rsidRPr="00F2234D">
        <w:t>COVID</w:t>
      </w:r>
      <w:r w:rsidR="00F8616C" w:rsidRPr="00F2234D">
        <w:t xml:space="preserve">-19 have been overlaid for visual comparison purposes only in Figure </w:t>
      </w:r>
      <w:r w:rsidR="00B828D3" w:rsidRPr="00F2234D">
        <w:t>B-</w:t>
      </w:r>
      <w:r w:rsidR="00F2234D" w:rsidRPr="00F2234D">
        <w:t>11</w:t>
      </w:r>
      <w:r w:rsidR="007501B9">
        <w:t xml:space="preserve">. </w:t>
      </w:r>
      <w:r w:rsidRPr="00F2234D">
        <w:t>These</w:t>
      </w:r>
      <w:r>
        <w:t xml:space="preserve"> results suggest that the treatment effect would have been closer to that expected </w:t>
      </w:r>
      <w:r w:rsidR="00EB6572">
        <w:t xml:space="preserve">from the intervention </w:t>
      </w:r>
      <w:r>
        <w:t xml:space="preserve">if </w:t>
      </w:r>
      <w:r w:rsidR="006B0804">
        <w:t>COVID</w:t>
      </w:r>
      <w:r>
        <w:t>-19 restrictions had not been implemented.</w:t>
      </w:r>
    </w:p>
    <w:tbl>
      <w:tblPr>
        <w:tblW w:w="0" w:type="auto"/>
        <w:tblCellMar>
          <w:left w:w="0" w:type="dxa"/>
          <w:right w:w="0" w:type="dxa"/>
        </w:tblCellMar>
        <w:tblLook w:val="0000" w:firstRow="0" w:lastRow="0" w:firstColumn="0" w:lastColumn="0" w:noHBand="0" w:noVBand="0"/>
        <w:tblCaption w:val="Imputation of Frailty outcome measurements after Covid-19 access restrictions"/>
        <w:tblDescription w:val="Post hoc analysis and imputation of impact of Covid-19 access restrictions on the control and intervention arms."/>
      </w:tblPr>
      <w:tblGrid>
        <w:gridCol w:w="1120"/>
        <w:gridCol w:w="896"/>
        <w:gridCol w:w="834"/>
        <w:gridCol w:w="955"/>
        <w:gridCol w:w="1005"/>
        <w:gridCol w:w="742"/>
        <w:gridCol w:w="649"/>
        <w:gridCol w:w="1206"/>
        <w:gridCol w:w="1047"/>
        <w:gridCol w:w="556"/>
      </w:tblGrid>
      <w:tr w:rsidR="009908B6" w:rsidRPr="00B734A6" w14:paraId="7307F7F3" w14:textId="77777777" w:rsidTr="00B734A6">
        <w:trPr>
          <w:cantSplit/>
          <w:tblHeader/>
        </w:trPr>
        <w:tc>
          <w:tcPr>
            <w:tcW w:w="0" w:type="auto"/>
            <w:tcBorders>
              <w:top w:val="single" w:sz="6" w:space="0" w:color="000000"/>
              <w:left w:val="single" w:sz="6" w:space="0" w:color="000000"/>
              <w:bottom w:val="single" w:sz="2" w:space="0" w:color="000000"/>
              <w:right w:val="nil"/>
            </w:tcBorders>
            <w:shd w:val="clear" w:color="auto" w:fill="000000" w:themeFill="text1"/>
            <w:tcMar>
              <w:left w:w="80" w:type="dxa"/>
              <w:right w:w="80" w:type="dxa"/>
            </w:tcMar>
          </w:tcPr>
          <w:p w14:paraId="2ECA9993" w14:textId="77777777" w:rsidR="009908B6" w:rsidRPr="00B734A6" w:rsidRDefault="009908B6" w:rsidP="00B734A6">
            <w:pPr>
              <w:pStyle w:val="TableHeader"/>
              <w:rPr>
                <w:rFonts w:ascii="Arial Narrow" w:hAnsi="Arial Narrow"/>
                <w:sz w:val="18"/>
                <w:szCs w:val="18"/>
              </w:rPr>
            </w:pPr>
            <w:bookmarkStart w:id="180" w:name="ColumnTitle_9"/>
            <w:r w:rsidRPr="00B734A6">
              <w:rPr>
                <w:rFonts w:ascii="Arial Narrow" w:hAnsi="Arial Narrow"/>
                <w:sz w:val="18"/>
                <w:szCs w:val="18"/>
              </w:rPr>
              <w:t>Outcome*</w:t>
            </w:r>
            <w:bookmarkStart w:id="181" w:name="Title_18"/>
            <w:bookmarkEnd w:id="181"/>
          </w:p>
        </w:tc>
        <w:tc>
          <w:tcPr>
            <w:tcW w:w="0" w:type="auto"/>
            <w:tcBorders>
              <w:top w:val="single" w:sz="6" w:space="0" w:color="000000"/>
              <w:left w:val="single" w:sz="2" w:space="0" w:color="000000"/>
              <w:bottom w:val="single" w:sz="2" w:space="0" w:color="000000"/>
              <w:right w:val="nil"/>
            </w:tcBorders>
            <w:shd w:val="clear" w:color="auto" w:fill="000000" w:themeFill="text1"/>
            <w:tcMar>
              <w:left w:w="80" w:type="dxa"/>
              <w:right w:w="80" w:type="dxa"/>
            </w:tcMar>
          </w:tcPr>
          <w:p w14:paraId="2962FD0B" w14:textId="4D2080FB" w:rsidR="000C006A" w:rsidRPr="00B734A6" w:rsidRDefault="009908B6" w:rsidP="00B734A6">
            <w:pPr>
              <w:pStyle w:val="TableHeader"/>
              <w:rPr>
                <w:rFonts w:ascii="Arial Narrow" w:hAnsi="Arial Narrow"/>
                <w:sz w:val="18"/>
                <w:szCs w:val="18"/>
              </w:rPr>
            </w:pPr>
            <w:proofErr w:type="spellStart"/>
            <w:r w:rsidRPr="00B734A6">
              <w:rPr>
                <w:rFonts w:ascii="Arial Narrow" w:hAnsi="Arial Narrow"/>
                <w:sz w:val="18"/>
                <w:szCs w:val="18"/>
              </w:rPr>
              <w:t>Intervent</w:t>
            </w:r>
            <w:proofErr w:type="spellEnd"/>
            <w:r w:rsidR="0089167F" w:rsidRPr="00B734A6">
              <w:rPr>
                <w:rFonts w:ascii="Arial Narrow" w:hAnsi="Arial Narrow"/>
                <w:sz w:val="18"/>
                <w:szCs w:val="18"/>
              </w:rPr>
              <w:t>-</w:t>
            </w:r>
            <w:r w:rsidRPr="00B734A6">
              <w:rPr>
                <w:rFonts w:ascii="Arial Narrow" w:hAnsi="Arial Narrow"/>
                <w:sz w:val="18"/>
                <w:szCs w:val="18"/>
              </w:rPr>
              <w:t>ion</w:t>
            </w:r>
            <w:r w:rsidR="000C006A" w:rsidRPr="00B734A6">
              <w:rPr>
                <w:rFonts w:ascii="Arial Narrow" w:hAnsi="Arial Narrow"/>
                <w:sz w:val="18"/>
                <w:szCs w:val="18"/>
              </w:rPr>
              <w:t>**</w:t>
            </w:r>
          </w:p>
          <w:p w14:paraId="187A395E" w14:textId="4F410719" w:rsidR="009908B6" w:rsidRPr="00B734A6" w:rsidRDefault="009908B6" w:rsidP="00B734A6">
            <w:pPr>
              <w:pStyle w:val="TableHeader"/>
              <w:rPr>
                <w:rFonts w:ascii="Arial Narrow" w:hAnsi="Arial Narrow"/>
                <w:sz w:val="18"/>
                <w:szCs w:val="18"/>
              </w:rPr>
            </w:pPr>
            <w:r w:rsidRPr="00B734A6">
              <w:rPr>
                <w:rFonts w:ascii="Arial Narrow" w:hAnsi="Arial Narrow"/>
                <w:sz w:val="18"/>
                <w:szCs w:val="18"/>
              </w:rPr>
              <w:t xml:space="preserve">Observed mean </w:t>
            </w:r>
          </w:p>
        </w:tc>
        <w:tc>
          <w:tcPr>
            <w:tcW w:w="0" w:type="auto"/>
            <w:tcBorders>
              <w:top w:val="single" w:sz="6" w:space="0" w:color="000000"/>
              <w:left w:val="single" w:sz="2" w:space="0" w:color="000000"/>
              <w:bottom w:val="single" w:sz="2" w:space="0" w:color="000000"/>
              <w:right w:val="single" w:sz="2" w:space="0" w:color="000000"/>
            </w:tcBorders>
            <w:shd w:val="clear" w:color="auto" w:fill="000000" w:themeFill="text1"/>
          </w:tcPr>
          <w:p w14:paraId="4C19B30D" w14:textId="7EF71CE7" w:rsidR="009908B6" w:rsidRPr="00B734A6" w:rsidRDefault="009908B6" w:rsidP="00B734A6">
            <w:pPr>
              <w:pStyle w:val="TableHeader"/>
              <w:rPr>
                <w:rFonts w:ascii="Arial Narrow" w:hAnsi="Arial Narrow"/>
                <w:sz w:val="18"/>
                <w:szCs w:val="18"/>
              </w:rPr>
            </w:pPr>
            <w:proofErr w:type="spellStart"/>
            <w:r w:rsidRPr="00B734A6">
              <w:rPr>
                <w:rFonts w:ascii="Arial Narrow" w:hAnsi="Arial Narrow"/>
                <w:sz w:val="18"/>
                <w:szCs w:val="18"/>
              </w:rPr>
              <w:t>Intervent</w:t>
            </w:r>
            <w:proofErr w:type="spellEnd"/>
            <w:r w:rsidR="0089167F" w:rsidRPr="00B734A6">
              <w:rPr>
                <w:rFonts w:ascii="Arial Narrow" w:hAnsi="Arial Narrow"/>
                <w:sz w:val="18"/>
                <w:szCs w:val="18"/>
              </w:rPr>
              <w:t>-</w:t>
            </w:r>
            <w:r w:rsidRPr="00B734A6">
              <w:rPr>
                <w:rFonts w:ascii="Arial Narrow" w:hAnsi="Arial Narrow"/>
                <w:sz w:val="18"/>
                <w:szCs w:val="18"/>
              </w:rPr>
              <w:t>ion variation (</w:t>
            </w:r>
            <w:r w:rsidR="009D1639" w:rsidRPr="00B734A6">
              <w:rPr>
                <w:rFonts w:ascii="Arial Narrow" w:hAnsi="Arial Narrow"/>
                <w:sz w:val="18"/>
                <w:szCs w:val="18"/>
              </w:rPr>
              <w:t>SE</w:t>
            </w:r>
            <w:r w:rsidRPr="00B734A6">
              <w:rPr>
                <w:rFonts w:ascii="Arial Narrow" w:hAnsi="Arial Narrow"/>
                <w:sz w:val="18"/>
                <w:szCs w:val="18"/>
              </w:rPr>
              <w:t>)</w:t>
            </w:r>
          </w:p>
        </w:tc>
        <w:tc>
          <w:tcPr>
            <w:tcW w:w="0" w:type="auto"/>
            <w:tcBorders>
              <w:top w:val="single" w:sz="6" w:space="0" w:color="000000"/>
              <w:left w:val="single" w:sz="2" w:space="0" w:color="000000"/>
              <w:bottom w:val="single" w:sz="2" w:space="0" w:color="000000"/>
              <w:right w:val="single" w:sz="2" w:space="0" w:color="000000"/>
            </w:tcBorders>
            <w:shd w:val="clear" w:color="auto" w:fill="000000" w:themeFill="text1"/>
          </w:tcPr>
          <w:p w14:paraId="1D31CA46" w14:textId="33DBEE62" w:rsidR="009908B6" w:rsidRPr="00B734A6" w:rsidRDefault="009908B6" w:rsidP="00B734A6">
            <w:pPr>
              <w:pStyle w:val="TableHeader"/>
              <w:rPr>
                <w:rFonts w:ascii="Arial Narrow" w:hAnsi="Arial Narrow"/>
                <w:sz w:val="18"/>
                <w:szCs w:val="18"/>
              </w:rPr>
            </w:pPr>
            <w:r w:rsidRPr="00B734A6">
              <w:rPr>
                <w:rFonts w:ascii="Arial Narrow" w:hAnsi="Arial Narrow"/>
                <w:sz w:val="18"/>
                <w:szCs w:val="18"/>
              </w:rPr>
              <w:t>Intervention number (n)</w:t>
            </w:r>
          </w:p>
        </w:tc>
        <w:tc>
          <w:tcPr>
            <w:tcW w:w="0" w:type="auto"/>
            <w:tcBorders>
              <w:top w:val="single" w:sz="6" w:space="0" w:color="000000"/>
              <w:left w:val="single" w:sz="2" w:space="0" w:color="000000"/>
              <w:bottom w:val="single" w:sz="2" w:space="0" w:color="000000"/>
              <w:right w:val="nil"/>
            </w:tcBorders>
            <w:shd w:val="clear" w:color="auto" w:fill="000000" w:themeFill="text1"/>
            <w:tcMar>
              <w:left w:w="80" w:type="dxa"/>
              <w:right w:w="80" w:type="dxa"/>
            </w:tcMar>
          </w:tcPr>
          <w:p w14:paraId="23F779E8" w14:textId="3D703437" w:rsidR="009908B6" w:rsidRPr="00B734A6" w:rsidRDefault="009908B6" w:rsidP="00B734A6">
            <w:pPr>
              <w:pStyle w:val="TableHeader"/>
              <w:rPr>
                <w:rFonts w:ascii="Arial Narrow" w:hAnsi="Arial Narrow"/>
                <w:sz w:val="18"/>
                <w:szCs w:val="18"/>
              </w:rPr>
            </w:pPr>
            <w:r w:rsidRPr="00B734A6">
              <w:rPr>
                <w:rFonts w:ascii="Arial Narrow" w:hAnsi="Arial Narrow"/>
                <w:sz w:val="18"/>
                <w:szCs w:val="18"/>
              </w:rPr>
              <w:t>Control</w:t>
            </w:r>
            <w:r w:rsidR="000C006A" w:rsidRPr="00B734A6">
              <w:rPr>
                <w:rFonts w:ascii="Arial Narrow" w:hAnsi="Arial Narrow"/>
                <w:sz w:val="18"/>
                <w:szCs w:val="18"/>
              </w:rPr>
              <w:t>***</w:t>
            </w:r>
            <w:r w:rsidR="0089167F" w:rsidRPr="00B734A6">
              <w:rPr>
                <w:rFonts w:ascii="Arial Narrow" w:hAnsi="Arial Narrow"/>
                <w:sz w:val="18"/>
                <w:szCs w:val="18"/>
              </w:rPr>
              <w:t xml:space="preserve"> </w:t>
            </w:r>
            <w:r w:rsidRPr="00B734A6">
              <w:rPr>
                <w:rFonts w:ascii="Arial Narrow" w:hAnsi="Arial Narrow"/>
                <w:sz w:val="18"/>
                <w:szCs w:val="18"/>
              </w:rPr>
              <w:t xml:space="preserve">Observed mean </w:t>
            </w:r>
          </w:p>
        </w:tc>
        <w:tc>
          <w:tcPr>
            <w:tcW w:w="0" w:type="auto"/>
            <w:tcBorders>
              <w:top w:val="single" w:sz="6" w:space="0" w:color="000000"/>
              <w:left w:val="single" w:sz="2" w:space="0" w:color="000000"/>
              <w:bottom w:val="single" w:sz="2" w:space="0" w:color="000000"/>
              <w:right w:val="single" w:sz="2" w:space="0" w:color="000000"/>
            </w:tcBorders>
            <w:shd w:val="clear" w:color="auto" w:fill="000000" w:themeFill="text1"/>
          </w:tcPr>
          <w:p w14:paraId="72E23EDC" w14:textId="7028C7A8" w:rsidR="009908B6" w:rsidRPr="00B734A6" w:rsidRDefault="009908B6" w:rsidP="00B734A6">
            <w:pPr>
              <w:pStyle w:val="TableHeader"/>
              <w:rPr>
                <w:rFonts w:ascii="Arial Narrow" w:hAnsi="Arial Narrow"/>
                <w:sz w:val="18"/>
                <w:szCs w:val="18"/>
              </w:rPr>
            </w:pPr>
            <w:r w:rsidRPr="00B734A6">
              <w:rPr>
                <w:rFonts w:ascii="Arial Narrow" w:hAnsi="Arial Narrow"/>
                <w:sz w:val="18"/>
                <w:szCs w:val="18"/>
              </w:rPr>
              <w:t>Control, variation (S</w:t>
            </w:r>
            <w:r w:rsidR="009D1639" w:rsidRPr="00B734A6">
              <w:rPr>
                <w:rFonts w:ascii="Arial Narrow" w:hAnsi="Arial Narrow"/>
                <w:sz w:val="18"/>
                <w:szCs w:val="18"/>
              </w:rPr>
              <w:t>E</w:t>
            </w:r>
            <w:r w:rsidRPr="00B734A6">
              <w:rPr>
                <w:rFonts w:ascii="Arial Narrow" w:hAnsi="Arial Narrow"/>
                <w:sz w:val="18"/>
                <w:szCs w:val="18"/>
              </w:rPr>
              <w:t>)</w:t>
            </w:r>
          </w:p>
        </w:tc>
        <w:tc>
          <w:tcPr>
            <w:tcW w:w="0" w:type="auto"/>
            <w:tcBorders>
              <w:top w:val="single" w:sz="6" w:space="0" w:color="000000"/>
              <w:left w:val="single" w:sz="2" w:space="0" w:color="000000"/>
              <w:bottom w:val="single" w:sz="2" w:space="0" w:color="000000"/>
              <w:right w:val="single" w:sz="2" w:space="0" w:color="000000"/>
            </w:tcBorders>
            <w:shd w:val="clear" w:color="auto" w:fill="000000" w:themeFill="text1"/>
          </w:tcPr>
          <w:p w14:paraId="23469752" w14:textId="2F2BAC6C" w:rsidR="009908B6" w:rsidRPr="00B734A6" w:rsidRDefault="009908B6" w:rsidP="00B734A6">
            <w:pPr>
              <w:pStyle w:val="TableHeader"/>
              <w:rPr>
                <w:rFonts w:ascii="Arial Narrow" w:hAnsi="Arial Narrow"/>
                <w:sz w:val="18"/>
                <w:szCs w:val="18"/>
              </w:rPr>
            </w:pPr>
            <w:r w:rsidRPr="00B734A6">
              <w:rPr>
                <w:rFonts w:ascii="Arial Narrow" w:hAnsi="Arial Narrow"/>
                <w:sz w:val="18"/>
                <w:szCs w:val="18"/>
              </w:rPr>
              <w:t>Control number (n)</w:t>
            </w:r>
          </w:p>
        </w:tc>
        <w:tc>
          <w:tcPr>
            <w:tcW w:w="0" w:type="auto"/>
            <w:tcBorders>
              <w:top w:val="single" w:sz="6" w:space="0" w:color="000000"/>
              <w:left w:val="single" w:sz="2" w:space="0" w:color="000000"/>
              <w:bottom w:val="single" w:sz="2" w:space="0" w:color="000000"/>
              <w:right w:val="nil"/>
            </w:tcBorders>
            <w:shd w:val="clear" w:color="auto" w:fill="000000" w:themeFill="text1"/>
            <w:tcMar>
              <w:left w:w="80" w:type="dxa"/>
              <w:right w:w="80" w:type="dxa"/>
            </w:tcMar>
          </w:tcPr>
          <w:p w14:paraId="680C79F1" w14:textId="1754FED8" w:rsidR="009908B6" w:rsidRPr="00B734A6" w:rsidRDefault="009908B6" w:rsidP="00B734A6">
            <w:pPr>
              <w:pStyle w:val="TableHeader"/>
              <w:rPr>
                <w:rFonts w:ascii="Arial Narrow" w:hAnsi="Arial Narrow"/>
                <w:sz w:val="18"/>
                <w:szCs w:val="18"/>
              </w:rPr>
            </w:pPr>
            <w:r w:rsidRPr="00B734A6">
              <w:rPr>
                <w:rFonts w:ascii="Arial Narrow" w:hAnsi="Arial Narrow"/>
                <w:sz w:val="18"/>
                <w:szCs w:val="18"/>
              </w:rPr>
              <w:t>Intervention-Control variation</w:t>
            </w:r>
          </w:p>
        </w:tc>
        <w:tc>
          <w:tcPr>
            <w:tcW w:w="0" w:type="auto"/>
            <w:tcBorders>
              <w:top w:val="single" w:sz="6" w:space="0" w:color="000000"/>
              <w:left w:val="single" w:sz="2" w:space="0" w:color="000000"/>
              <w:bottom w:val="single" w:sz="2" w:space="0" w:color="000000"/>
              <w:right w:val="single" w:sz="2" w:space="0" w:color="000000"/>
            </w:tcBorders>
            <w:shd w:val="clear" w:color="auto" w:fill="000000" w:themeFill="text1"/>
          </w:tcPr>
          <w:p w14:paraId="06389A14" w14:textId="32C17043" w:rsidR="009908B6" w:rsidRPr="00B734A6" w:rsidRDefault="009908B6" w:rsidP="00B734A6">
            <w:pPr>
              <w:pStyle w:val="TableHeader"/>
              <w:rPr>
                <w:rFonts w:ascii="Arial Narrow" w:hAnsi="Arial Narrow"/>
                <w:sz w:val="18"/>
                <w:szCs w:val="18"/>
              </w:rPr>
            </w:pPr>
            <w:r w:rsidRPr="00B734A6">
              <w:rPr>
                <w:rFonts w:ascii="Arial Narrow" w:hAnsi="Arial Narrow"/>
                <w:sz w:val="18"/>
                <w:szCs w:val="18"/>
              </w:rPr>
              <w:t>Intervention-Control (95% CI)</w:t>
            </w:r>
          </w:p>
        </w:tc>
        <w:tc>
          <w:tcPr>
            <w:tcW w:w="0" w:type="auto"/>
            <w:tcBorders>
              <w:top w:val="single" w:sz="6" w:space="0" w:color="000000"/>
              <w:left w:val="single" w:sz="2" w:space="0" w:color="000000"/>
              <w:bottom w:val="single" w:sz="2" w:space="0" w:color="000000"/>
              <w:right w:val="single" w:sz="6" w:space="0" w:color="000000"/>
            </w:tcBorders>
            <w:shd w:val="clear" w:color="auto" w:fill="000000" w:themeFill="text1"/>
            <w:tcMar>
              <w:left w:w="80" w:type="dxa"/>
              <w:right w:w="80" w:type="dxa"/>
            </w:tcMar>
          </w:tcPr>
          <w:p w14:paraId="41AF0963" w14:textId="45FEF495" w:rsidR="009908B6" w:rsidRPr="00B734A6" w:rsidRDefault="009908B6" w:rsidP="00B734A6">
            <w:pPr>
              <w:pStyle w:val="TableHeader"/>
              <w:rPr>
                <w:rFonts w:ascii="Arial Narrow" w:hAnsi="Arial Narrow"/>
                <w:sz w:val="18"/>
                <w:szCs w:val="18"/>
              </w:rPr>
            </w:pPr>
            <w:r w:rsidRPr="00B734A6">
              <w:rPr>
                <w:rFonts w:ascii="Arial Narrow" w:hAnsi="Arial Narrow"/>
                <w:sz w:val="18"/>
                <w:szCs w:val="18"/>
              </w:rPr>
              <w:t>P-</w:t>
            </w:r>
            <w:proofErr w:type="spellStart"/>
            <w:r w:rsidRPr="00B734A6">
              <w:rPr>
                <w:rFonts w:ascii="Arial Narrow" w:hAnsi="Arial Narrow"/>
                <w:sz w:val="18"/>
                <w:szCs w:val="18"/>
              </w:rPr>
              <w:t>val</w:t>
            </w:r>
            <w:proofErr w:type="spellEnd"/>
            <w:r w:rsidR="0089167F" w:rsidRPr="00B734A6">
              <w:rPr>
                <w:rFonts w:ascii="Arial Narrow" w:hAnsi="Arial Narrow"/>
                <w:sz w:val="18"/>
                <w:szCs w:val="18"/>
              </w:rPr>
              <w:t>-</w:t>
            </w:r>
            <w:proofErr w:type="spellStart"/>
            <w:r w:rsidRPr="00B734A6">
              <w:rPr>
                <w:rFonts w:ascii="Arial Narrow" w:hAnsi="Arial Narrow"/>
                <w:sz w:val="18"/>
                <w:szCs w:val="18"/>
              </w:rPr>
              <w:t>ue</w:t>
            </w:r>
            <w:proofErr w:type="spellEnd"/>
          </w:p>
        </w:tc>
      </w:tr>
      <w:bookmarkEnd w:id="180"/>
      <w:tr w:rsidR="009908B6" w:rsidRPr="00B734A6" w14:paraId="1159D66F" w14:textId="77777777" w:rsidTr="00B734A6">
        <w:trPr>
          <w:cantSplit/>
          <w:trHeight w:val="1042"/>
        </w:trPr>
        <w:tc>
          <w:tcPr>
            <w:tcW w:w="0" w:type="auto"/>
            <w:tcBorders>
              <w:top w:val="nil"/>
              <w:left w:val="single" w:sz="6" w:space="0" w:color="000000"/>
              <w:bottom w:val="single" w:sz="2" w:space="0" w:color="000000"/>
              <w:right w:val="nil"/>
            </w:tcBorders>
            <w:shd w:val="clear" w:color="auto" w:fill="FFFFFF"/>
            <w:tcMar>
              <w:left w:w="80" w:type="dxa"/>
              <w:right w:w="80" w:type="dxa"/>
            </w:tcMar>
          </w:tcPr>
          <w:p w14:paraId="09753D7E" w14:textId="355B181D" w:rsidR="009908B6" w:rsidRPr="00B734A6" w:rsidRDefault="009908B6" w:rsidP="00B734A6">
            <w:pPr>
              <w:pStyle w:val="Tabletext1"/>
              <w:rPr>
                <w:rFonts w:ascii="Arial Narrow" w:hAnsi="Arial Narrow"/>
                <w:sz w:val="18"/>
                <w:szCs w:val="18"/>
              </w:rPr>
            </w:pPr>
            <w:r w:rsidRPr="00B734A6">
              <w:rPr>
                <w:rFonts w:ascii="Arial Narrow" w:hAnsi="Arial Narrow"/>
                <w:sz w:val="18"/>
                <w:szCs w:val="18"/>
              </w:rPr>
              <w:t xml:space="preserve">Frailty Index, all participants </w:t>
            </w:r>
          </w:p>
        </w:tc>
        <w:tc>
          <w:tcPr>
            <w:tcW w:w="0" w:type="auto"/>
            <w:tcBorders>
              <w:top w:val="nil"/>
              <w:left w:val="single" w:sz="2" w:space="0" w:color="000000"/>
              <w:bottom w:val="single" w:sz="2" w:space="0" w:color="000000"/>
              <w:right w:val="nil"/>
            </w:tcBorders>
            <w:shd w:val="clear" w:color="auto" w:fill="FFFFFF"/>
            <w:tcMar>
              <w:left w:w="80" w:type="dxa"/>
              <w:right w:w="80" w:type="dxa"/>
            </w:tcMar>
          </w:tcPr>
          <w:p w14:paraId="2305B776" w14:textId="26BE571E" w:rsidR="009908B6" w:rsidRPr="00B734A6" w:rsidRDefault="009908B6" w:rsidP="00B734A6">
            <w:pPr>
              <w:pStyle w:val="Tabletext1"/>
              <w:jc w:val="right"/>
              <w:rPr>
                <w:rFonts w:ascii="Arial Narrow" w:hAnsi="Arial Narrow"/>
                <w:sz w:val="18"/>
                <w:szCs w:val="18"/>
              </w:rPr>
            </w:pPr>
            <w:r w:rsidRPr="00B734A6">
              <w:rPr>
                <w:rFonts w:ascii="Arial Narrow" w:hAnsi="Arial Narrow"/>
                <w:sz w:val="18"/>
                <w:szCs w:val="18"/>
              </w:rPr>
              <w:t>0.080</w:t>
            </w:r>
          </w:p>
        </w:tc>
        <w:tc>
          <w:tcPr>
            <w:tcW w:w="0" w:type="auto"/>
            <w:tcBorders>
              <w:top w:val="nil"/>
              <w:left w:val="single" w:sz="2" w:space="0" w:color="000000"/>
              <w:bottom w:val="single" w:sz="2" w:space="0" w:color="000000"/>
              <w:right w:val="single" w:sz="2" w:space="0" w:color="000000"/>
            </w:tcBorders>
            <w:shd w:val="clear" w:color="auto" w:fill="FFFFFF"/>
          </w:tcPr>
          <w:p w14:paraId="695B3EC2" w14:textId="506A584E" w:rsidR="009908B6" w:rsidRPr="00B734A6" w:rsidRDefault="009908B6" w:rsidP="00B734A6">
            <w:pPr>
              <w:pStyle w:val="Tabletext1"/>
              <w:jc w:val="right"/>
              <w:rPr>
                <w:rFonts w:ascii="Arial Narrow" w:hAnsi="Arial Narrow"/>
                <w:sz w:val="18"/>
                <w:szCs w:val="18"/>
              </w:rPr>
            </w:pPr>
            <w:r w:rsidRPr="00B734A6">
              <w:rPr>
                <w:rFonts w:ascii="Arial Narrow" w:hAnsi="Arial Narrow"/>
                <w:sz w:val="18"/>
                <w:szCs w:val="18"/>
              </w:rPr>
              <w:t>(0.076)</w:t>
            </w:r>
          </w:p>
        </w:tc>
        <w:tc>
          <w:tcPr>
            <w:tcW w:w="0" w:type="auto"/>
            <w:tcBorders>
              <w:top w:val="nil"/>
              <w:left w:val="single" w:sz="2" w:space="0" w:color="000000"/>
              <w:bottom w:val="single" w:sz="2" w:space="0" w:color="000000"/>
              <w:right w:val="single" w:sz="2" w:space="0" w:color="000000"/>
            </w:tcBorders>
            <w:shd w:val="clear" w:color="auto" w:fill="FFFFFF"/>
          </w:tcPr>
          <w:p w14:paraId="4C598D63" w14:textId="3ADCFA8E" w:rsidR="009908B6" w:rsidRPr="00B734A6" w:rsidRDefault="009908B6" w:rsidP="00B734A6">
            <w:pPr>
              <w:pStyle w:val="Tabletext1"/>
              <w:jc w:val="right"/>
              <w:rPr>
                <w:rFonts w:ascii="Arial Narrow" w:hAnsi="Arial Narrow"/>
                <w:sz w:val="18"/>
                <w:szCs w:val="18"/>
              </w:rPr>
            </w:pPr>
            <w:r w:rsidRPr="00B734A6">
              <w:rPr>
                <w:rFonts w:ascii="Arial Narrow" w:hAnsi="Arial Narrow"/>
                <w:sz w:val="18"/>
                <w:szCs w:val="18"/>
              </w:rPr>
              <w:t>97</w:t>
            </w:r>
          </w:p>
        </w:tc>
        <w:tc>
          <w:tcPr>
            <w:tcW w:w="0" w:type="auto"/>
            <w:tcBorders>
              <w:top w:val="nil"/>
              <w:left w:val="single" w:sz="2" w:space="0" w:color="000000"/>
              <w:bottom w:val="single" w:sz="2" w:space="0" w:color="000000"/>
              <w:right w:val="nil"/>
            </w:tcBorders>
            <w:shd w:val="clear" w:color="auto" w:fill="FFFFFF"/>
            <w:tcMar>
              <w:left w:w="80" w:type="dxa"/>
              <w:right w:w="80" w:type="dxa"/>
            </w:tcMar>
          </w:tcPr>
          <w:p w14:paraId="2D5BE057" w14:textId="6F20EEDD" w:rsidR="009908B6" w:rsidRPr="00B734A6" w:rsidRDefault="009908B6" w:rsidP="00B734A6">
            <w:pPr>
              <w:pStyle w:val="Tabletext1"/>
              <w:jc w:val="right"/>
              <w:rPr>
                <w:rFonts w:ascii="Arial Narrow" w:hAnsi="Arial Narrow"/>
                <w:sz w:val="18"/>
                <w:szCs w:val="18"/>
              </w:rPr>
            </w:pPr>
            <w:r w:rsidRPr="00B734A6">
              <w:rPr>
                <w:rFonts w:ascii="Arial Narrow" w:hAnsi="Arial Narrow"/>
                <w:sz w:val="18"/>
                <w:szCs w:val="18"/>
              </w:rPr>
              <w:t>0.089</w:t>
            </w:r>
          </w:p>
        </w:tc>
        <w:tc>
          <w:tcPr>
            <w:tcW w:w="0" w:type="auto"/>
            <w:tcBorders>
              <w:top w:val="nil"/>
              <w:left w:val="single" w:sz="2" w:space="0" w:color="000000"/>
              <w:bottom w:val="single" w:sz="2" w:space="0" w:color="000000"/>
              <w:right w:val="single" w:sz="2" w:space="0" w:color="000000"/>
            </w:tcBorders>
            <w:shd w:val="clear" w:color="auto" w:fill="FFFFFF"/>
          </w:tcPr>
          <w:p w14:paraId="48B01DF5" w14:textId="606AE772" w:rsidR="009908B6" w:rsidRPr="00B734A6" w:rsidRDefault="009908B6" w:rsidP="00B734A6">
            <w:pPr>
              <w:pStyle w:val="Tabletext1"/>
              <w:jc w:val="right"/>
              <w:rPr>
                <w:rFonts w:ascii="Arial Narrow" w:hAnsi="Arial Narrow"/>
                <w:sz w:val="18"/>
                <w:szCs w:val="18"/>
              </w:rPr>
            </w:pPr>
            <w:r w:rsidRPr="00B734A6">
              <w:rPr>
                <w:rFonts w:ascii="Arial Narrow" w:hAnsi="Arial Narrow"/>
                <w:sz w:val="18"/>
                <w:szCs w:val="18"/>
              </w:rPr>
              <w:t>(0.082)</w:t>
            </w:r>
          </w:p>
        </w:tc>
        <w:tc>
          <w:tcPr>
            <w:tcW w:w="0" w:type="auto"/>
            <w:tcBorders>
              <w:top w:val="nil"/>
              <w:left w:val="single" w:sz="2" w:space="0" w:color="000000"/>
              <w:bottom w:val="single" w:sz="2" w:space="0" w:color="000000"/>
              <w:right w:val="single" w:sz="2" w:space="0" w:color="000000"/>
            </w:tcBorders>
            <w:shd w:val="clear" w:color="auto" w:fill="FFFFFF"/>
          </w:tcPr>
          <w:p w14:paraId="217DFBEE" w14:textId="0467D93E" w:rsidR="009908B6" w:rsidRPr="00B734A6" w:rsidRDefault="009908B6" w:rsidP="00B734A6">
            <w:pPr>
              <w:pStyle w:val="Tabletext1"/>
              <w:jc w:val="right"/>
              <w:rPr>
                <w:rFonts w:ascii="Arial Narrow" w:hAnsi="Arial Narrow"/>
                <w:sz w:val="18"/>
                <w:szCs w:val="18"/>
              </w:rPr>
            </w:pPr>
            <w:r w:rsidRPr="00B734A6">
              <w:rPr>
                <w:rFonts w:ascii="Arial Narrow" w:hAnsi="Arial Narrow"/>
                <w:sz w:val="18"/>
                <w:szCs w:val="18"/>
              </w:rPr>
              <w:t>111</w:t>
            </w:r>
          </w:p>
        </w:tc>
        <w:tc>
          <w:tcPr>
            <w:tcW w:w="0" w:type="auto"/>
            <w:tcBorders>
              <w:top w:val="nil"/>
              <w:left w:val="single" w:sz="2" w:space="0" w:color="000000"/>
              <w:bottom w:val="single" w:sz="2" w:space="0" w:color="000000"/>
              <w:right w:val="nil"/>
            </w:tcBorders>
            <w:shd w:val="clear" w:color="auto" w:fill="FFFFFF"/>
            <w:tcMar>
              <w:left w:w="80" w:type="dxa"/>
              <w:right w:w="80" w:type="dxa"/>
            </w:tcMar>
          </w:tcPr>
          <w:p w14:paraId="38BA4578" w14:textId="5D7893BD" w:rsidR="009908B6" w:rsidRPr="00B734A6" w:rsidRDefault="009908B6" w:rsidP="00B734A6">
            <w:pPr>
              <w:pStyle w:val="Tabletext1"/>
              <w:jc w:val="right"/>
              <w:rPr>
                <w:rFonts w:ascii="Arial Narrow" w:hAnsi="Arial Narrow"/>
                <w:sz w:val="18"/>
                <w:szCs w:val="18"/>
              </w:rPr>
            </w:pPr>
            <w:r w:rsidRPr="00B734A6">
              <w:rPr>
                <w:rFonts w:ascii="Arial Narrow" w:hAnsi="Arial Narrow"/>
                <w:sz w:val="18"/>
                <w:szCs w:val="18"/>
              </w:rPr>
              <w:t>-0.009</w:t>
            </w:r>
          </w:p>
        </w:tc>
        <w:tc>
          <w:tcPr>
            <w:tcW w:w="0" w:type="auto"/>
            <w:tcBorders>
              <w:top w:val="nil"/>
              <w:left w:val="single" w:sz="2" w:space="0" w:color="000000"/>
              <w:bottom w:val="single" w:sz="2" w:space="0" w:color="000000"/>
              <w:right w:val="single" w:sz="2" w:space="0" w:color="000000"/>
            </w:tcBorders>
            <w:shd w:val="clear" w:color="auto" w:fill="FFFFFF"/>
          </w:tcPr>
          <w:p w14:paraId="591ADFC9" w14:textId="3A2EF2C2" w:rsidR="009908B6" w:rsidRPr="00B734A6" w:rsidRDefault="009908B6" w:rsidP="00B734A6">
            <w:pPr>
              <w:pStyle w:val="Tabletext1"/>
              <w:jc w:val="right"/>
              <w:rPr>
                <w:rFonts w:ascii="Arial Narrow" w:hAnsi="Arial Narrow"/>
                <w:sz w:val="18"/>
                <w:szCs w:val="18"/>
              </w:rPr>
            </w:pPr>
            <w:r w:rsidRPr="00B734A6">
              <w:rPr>
                <w:rFonts w:ascii="Arial Narrow" w:hAnsi="Arial Narrow"/>
                <w:sz w:val="18"/>
                <w:szCs w:val="18"/>
              </w:rPr>
              <w:t>(-0.028, 0.009)</w:t>
            </w:r>
          </w:p>
        </w:tc>
        <w:tc>
          <w:tcPr>
            <w:tcW w:w="0" w:type="auto"/>
            <w:tcBorders>
              <w:top w:val="nil"/>
              <w:left w:val="single" w:sz="2" w:space="0" w:color="000000"/>
              <w:bottom w:val="single" w:sz="2" w:space="0" w:color="000000"/>
              <w:right w:val="single" w:sz="6" w:space="0" w:color="000000"/>
            </w:tcBorders>
            <w:shd w:val="clear" w:color="auto" w:fill="FFFFFF"/>
            <w:tcMar>
              <w:left w:w="80" w:type="dxa"/>
              <w:right w:w="80" w:type="dxa"/>
            </w:tcMar>
          </w:tcPr>
          <w:p w14:paraId="5D07DA98" w14:textId="447BB6A6" w:rsidR="009908B6" w:rsidRPr="00B734A6" w:rsidRDefault="009908B6" w:rsidP="00B734A6">
            <w:pPr>
              <w:pStyle w:val="Tabletext1"/>
              <w:jc w:val="right"/>
              <w:rPr>
                <w:rFonts w:ascii="Arial Narrow" w:hAnsi="Arial Narrow"/>
                <w:sz w:val="18"/>
                <w:szCs w:val="18"/>
              </w:rPr>
            </w:pPr>
            <w:r w:rsidRPr="00B734A6">
              <w:rPr>
                <w:rFonts w:ascii="Arial Narrow" w:hAnsi="Arial Narrow"/>
                <w:sz w:val="18"/>
                <w:szCs w:val="18"/>
              </w:rPr>
              <w:t>0.320</w:t>
            </w:r>
          </w:p>
        </w:tc>
      </w:tr>
      <w:tr w:rsidR="009908B6" w:rsidRPr="00B734A6" w14:paraId="1986D52F" w14:textId="77777777" w:rsidTr="00B734A6">
        <w:trPr>
          <w:cantSplit/>
        </w:trPr>
        <w:tc>
          <w:tcPr>
            <w:tcW w:w="0" w:type="auto"/>
            <w:tcBorders>
              <w:top w:val="single" w:sz="2" w:space="0" w:color="000000"/>
              <w:left w:val="single" w:sz="6" w:space="0" w:color="000000"/>
              <w:bottom w:val="single" w:sz="4" w:space="0" w:color="auto"/>
              <w:right w:val="nil"/>
            </w:tcBorders>
            <w:shd w:val="clear" w:color="auto" w:fill="FFFFFF"/>
            <w:tcMar>
              <w:left w:w="80" w:type="dxa"/>
              <w:right w:w="80" w:type="dxa"/>
            </w:tcMar>
          </w:tcPr>
          <w:p w14:paraId="21C96522" w14:textId="4AAA7F28" w:rsidR="009908B6" w:rsidRPr="00B734A6" w:rsidRDefault="009908B6" w:rsidP="00B734A6">
            <w:pPr>
              <w:pStyle w:val="Tabletext1"/>
              <w:rPr>
                <w:rFonts w:ascii="Arial Narrow" w:hAnsi="Arial Narrow"/>
                <w:sz w:val="18"/>
                <w:szCs w:val="18"/>
              </w:rPr>
            </w:pPr>
            <w:r w:rsidRPr="00B734A6">
              <w:rPr>
                <w:rFonts w:ascii="Arial Narrow" w:hAnsi="Arial Narrow"/>
                <w:sz w:val="18"/>
                <w:szCs w:val="18"/>
              </w:rPr>
              <w:t xml:space="preserve">Frailty Index, excluding post </w:t>
            </w:r>
            <w:r w:rsidR="006B0804" w:rsidRPr="00B734A6">
              <w:rPr>
                <w:rFonts w:ascii="Arial Narrow" w:hAnsi="Arial Narrow"/>
                <w:sz w:val="18"/>
                <w:szCs w:val="18"/>
              </w:rPr>
              <w:t>COVID</w:t>
            </w:r>
            <w:r w:rsidRPr="00B734A6">
              <w:rPr>
                <w:rFonts w:ascii="Arial Narrow" w:hAnsi="Arial Narrow"/>
                <w:sz w:val="18"/>
                <w:szCs w:val="18"/>
              </w:rPr>
              <w:t xml:space="preserve"> </w:t>
            </w:r>
          </w:p>
        </w:tc>
        <w:tc>
          <w:tcPr>
            <w:tcW w:w="0" w:type="auto"/>
            <w:tcBorders>
              <w:top w:val="single" w:sz="2" w:space="0" w:color="000000"/>
              <w:left w:val="single" w:sz="2" w:space="0" w:color="000000"/>
              <w:bottom w:val="single" w:sz="4" w:space="0" w:color="auto"/>
              <w:right w:val="nil"/>
            </w:tcBorders>
            <w:shd w:val="clear" w:color="auto" w:fill="FFFFFF"/>
            <w:tcMar>
              <w:left w:w="80" w:type="dxa"/>
              <w:right w:w="80" w:type="dxa"/>
            </w:tcMar>
          </w:tcPr>
          <w:p w14:paraId="26D57E6C" w14:textId="75C89272" w:rsidR="009908B6" w:rsidRPr="00B734A6" w:rsidRDefault="009908B6" w:rsidP="00B734A6">
            <w:pPr>
              <w:pStyle w:val="Tabletext1"/>
              <w:jc w:val="right"/>
              <w:rPr>
                <w:rFonts w:ascii="Arial Narrow" w:hAnsi="Arial Narrow"/>
                <w:sz w:val="18"/>
                <w:szCs w:val="18"/>
              </w:rPr>
            </w:pPr>
            <w:r w:rsidRPr="00B734A6">
              <w:rPr>
                <w:rFonts w:ascii="Arial Narrow" w:hAnsi="Arial Narrow"/>
                <w:sz w:val="18"/>
                <w:szCs w:val="18"/>
              </w:rPr>
              <w:t>0.045</w:t>
            </w:r>
          </w:p>
        </w:tc>
        <w:tc>
          <w:tcPr>
            <w:tcW w:w="0" w:type="auto"/>
            <w:tcBorders>
              <w:top w:val="single" w:sz="2" w:space="0" w:color="000000"/>
              <w:left w:val="single" w:sz="2" w:space="0" w:color="000000"/>
              <w:bottom w:val="single" w:sz="4" w:space="0" w:color="auto"/>
              <w:right w:val="single" w:sz="2" w:space="0" w:color="000000"/>
            </w:tcBorders>
            <w:shd w:val="clear" w:color="auto" w:fill="FFFFFF"/>
          </w:tcPr>
          <w:p w14:paraId="0AC253B8" w14:textId="35216641" w:rsidR="009908B6" w:rsidRPr="00B734A6" w:rsidRDefault="009908B6" w:rsidP="00B734A6">
            <w:pPr>
              <w:pStyle w:val="Tabletext1"/>
              <w:jc w:val="right"/>
              <w:rPr>
                <w:rFonts w:ascii="Arial Narrow" w:hAnsi="Arial Narrow"/>
                <w:sz w:val="18"/>
                <w:szCs w:val="18"/>
              </w:rPr>
            </w:pPr>
            <w:r w:rsidRPr="00B734A6">
              <w:rPr>
                <w:rFonts w:ascii="Arial Narrow" w:hAnsi="Arial Narrow"/>
                <w:sz w:val="18"/>
                <w:szCs w:val="18"/>
              </w:rPr>
              <w:t>(0.065)</w:t>
            </w:r>
          </w:p>
        </w:tc>
        <w:tc>
          <w:tcPr>
            <w:tcW w:w="0" w:type="auto"/>
            <w:tcBorders>
              <w:top w:val="single" w:sz="2" w:space="0" w:color="000000"/>
              <w:left w:val="single" w:sz="2" w:space="0" w:color="000000"/>
              <w:bottom w:val="single" w:sz="4" w:space="0" w:color="auto"/>
              <w:right w:val="single" w:sz="2" w:space="0" w:color="000000"/>
            </w:tcBorders>
            <w:shd w:val="clear" w:color="auto" w:fill="FFFFFF"/>
          </w:tcPr>
          <w:p w14:paraId="5288D96A" w14:textId="0837F939" w:rsidR="009908B6" w:rsidRPr="00B734A6" w:rsidRDefault="009908B6" w:rsidP="00B734A6">
            <w:pPr>
              <w:pStyle w:val="Tabletext1"/>
              <w:jc w:val="right"/>
              <w:rPr>
                <w:rFonts w:ascii="Arial Narrow" w:hAnsi="Arial Narrow"/>
                <w:sz w:val="18"/>
                <w:szCs w:val="18"/>
              </w:rPr>
            </w:pPr>
            <w:r w:rsidRPr="00B734A6">
              <w:rPr>
                <w:rFonts w:ascii="Arial Narrow" w:hAnsi="Arial Narrow"/>
                <w:sz w:val="18"/>
                <w:szCs w:val="18"/>
              </w:rPr>
              <w:t>30</w:t>
            </w:r>
          </w:p>
        </w:tc>
        <w:tc>
          <w:tcPr>
            <w:tcW w:w="0" w:type="auto"/>
            <w:tcBorders>
              <w:top w:val="single" w:sz="2" w:space="0" w:color="000000"/>
              <w:left w:val="single" w:sz="2" w:space="0" w:color="000000"/>
              <w:bottom w:val="single" w:sz="4" w:space="0" w:color="auto"/>
              <w:right w:val="nil"/>
            </w:tcBorders>
            <w:shd w:val="clear" w:color="auto" w:fill="FFFFFF"/>
            <w:tcMar>
              <w:left w:w="80" w:type="dxa"/>
              <w:right w:w="80" w:type="dxa"/>
            </w:tcMar>
          </w:tcPr>
          <w:p w14:paraId="675FB9B7" w14:textId="2AA728FC" w:rsidR="009908B6" w:rsidRPr="00B734A6" w:rsidRDefault="009908B6" w:rsidP="00B734A6">
            <w:pPr>
              <w:pStyle w:val="Tabletext1"/>
              <w:jc w:val="right"/>
              <w:rPr>
                <w:rFonts w:ascii="Arial Narrow" w:hAnsi="Arial Narrow"/>
                <w:sz w:val="18"/>
                <w:szCs w:val="18"/>
              </w:rPr>
            </w:pPr>
            <w:r w:rsidRPr="00B734A6">
              <w:rPr>
                <w:rFonts w:ascii="Arial Narrow" w:hAnsi="Arial Narrow"/>
                <w:sz w:val="18"/>
                <w:szCs w:val="18"/>
              </w:rPr>
              <w:t>0.062</w:t>
            </w:r>
          </w:p>
        </w:tc>
        <w:tc>
          <w:tcPr>
            <w:tcW w:w="0" w:type="auto"/>
            <w:tcBorders>
              <w:top w:val="single" w:sz="2" w:space="0" w:color="000000"/>
              <w:left w:val="single" w:sz="2" w:space="0" w:color="000000"/>
              <w:bottom w:val="single" w:sz="4" w:space="0" w:color="auto"/>
              <w:right w:val="single" w:sz="2" w:space="0" w:color="000000"/>
            </w:tcBorders>
            <w:shd w:val="clear" w:color="auto" w:fill="FFFFFF"/>
          </w:tcPr>
          <w:p w14:paraId="14662C50" w14:textId="663B2EC9" w:rsidR="009908B6" w:rsidRPr="00B734A6" w:rsidRDefault="009908B6" w:rsidP="00B734A6">
            <w:pPr>
              <w:pStyle w:val="Tabletext1"/>
              <w:jc w:val="right"/>
              <w:rPr>
                <w:rFonts w:ascii="Arial Narrow" w:hAnsi="Arial Narrow"/>
                <w:sz w:val="18"/>
                <w:szCs w:val="18"/>
              </w:rPr>
            </w:pPr>
            <w:r w:rsidRPr="00B734A6">
              <w:rPr>
                <w:rFonts w:ascii="Arial Narrow" w:hAnsi="Arial Narrow"/>
                <w:sz w:val="18"/>
                <w:szCs w:val="18"/>
              </w:rPr>
              <w:t>(0.077)</w:t>
            </w:r>
          </w:p>
        </w:tc>
        <w:tc>
          <w:tcPr>
            <w:tcW w:w="0" w:type="auto"/>
            <w:tcBorders>
              <w:top w:val="single" w:sz="2" w:space="0" w:color="000000"/>
              <w:left w:val="single" w:sz="2" w:space="0" w:color="000000"/>
              <w:bottom w:val="single" w:sz="4" w:space="0" w:color="auto"/>
              <w:right w:val="single" w:sz="2" w:space="0" w:color="000000"/>
            </w:tcBorders>
            <w:shd w:val="clear" w:color="auto" w:fill="FFFFFF"/>
          </w:tcPr>
          <w:p w14:paraId="3E61D27F" w14:textId="454AC68C" w:rsidR="009908B6" w:rsidRPr="00B734A6" w:rsidRDefault="009908B6" w:rsidP="00B734A6">
            <w:pPr>
              <w:pStyle w:val="Tabletext1"/>
              <w:jc w:val="right"/>
              <w:rPr>
                <w:rFonts w:ascii="Arial Narrow" w:hAnsi="Arial Narrow"/>
                <w:sz w:val="18"/>
                <w:szCs w:val="18"/>
              </w:rPr>
            </w:pPr>
            <w:r w:rsidRPr="00B734A6">
              <w:rPr>
                <w:rFonts w:ascii="Arial Narrow" w:hAnsi="Arial Narrow"/>
                <w:sz w:val="18"/>
                <w:szCs w:val="18"/>
              </w:rPr>
              <w:t>32</w:t>
            </w:r>
          </w:p>
        </w:tc>
        <w:tc>
          <w:tcPr>
            <w:tcW w:w="0" w:type="auto"/>
            <w:tcBorders>
              <w:top w:val="single" w:sz="2" w:space="0" w:color="000000"/>
              <w:left w:val="single" w:sz="2" w:space="0" w:color="000000"/>
              <w:bottom w:val="single" w:sz="4" w:space="0" w:color="auto"/>
              <w:right w:val="nil"/>
            </w:tcBorders>
            <w:shd w:val="clear" w:color="auto" w:fill="FFFFFF"/>
            <w:tcMar>
              <w:left w:w="80" w:type="dxa"/>
              <w:right w:w="80" w:type="dxa"/>
            </w:tcMar>
          </w:tcPr>
          <w:p w14:paraId="5E64A26E" w14:textId="69DC11E7" w:rsidR="009908B6" w:rsidRPr="00B734A6" w:rsidRDefault="009908B6" w:rsidP="00B734A6">
            <w:pPr>
              <w:pStyle w:val="Tabletext1"/>
              <w:jc w:val="right"/>
              <w:rPr>
                <w:rFonts w:ascii="Arial Narrow" w:hAnsi="Arial Narrow"/>
                <w:sz w:val="18"/>
                <w:szCs w:val="18"/>
              </w:rPr>
            </w:pPr>
            <w:r w:rsidRPr="00B734A6">
              <w:rPr>
                <w:rFonts w:ascii="Arial Narrow" w:hAnsi="Arial Narrow"/>
                <w:sz w:val="18"/>
                <w:szCs w:val="18"/>
              </w:rPr>
              <w:t>-0.012</w:t>
            </w:r>
          </w:p>
        </w:tc>
        <w:tc>
          <w:tcPr>
            <w:tcW w:w="0" w:type="auto"/>
            <w:tcBorders>
              <w:top w:val="single" w:sz="2" w:space="0" w:color="000000"/>
              <w:left w:val="single" w:sz="2" w:space="0" w:color="000000"/>
              <w:bottom w:val="single" w:sz="4" w:space="0" w:color="auto"/>
              <w:right w:val="single" w:sz="2" w:space="0" w:color="000000"/>
            </w:tcBorders>
            <w:shd w:val="clear" w:color="auto" w:fill="FFFFFF"/>
          </w:tcPr>
          <w:p w14:paraId="0A24C3C7" w14:textId="7ABF2048" w:rsidR="009908B6" w:rsidRPr="00B734A6" w:rsidRDefault="009908B6" w:rsidP="00B734A6">
            <w:pPr>
              <w:pStyle w:val="Tabletext1"/>
              <w:jc w:val="right"/>
              <w:rPr>
                <w:rFonts w:ascii="Arial Narrow" w:hAnsi="Arial Narrow"/>
                <w:sz w:val="18"/>
                <w:szCs w:val="18"/>
              </w:rPr>
            </w:pPr>
            <w:r w:rsidRPr="00B734A6">
              <w:rPr>
                <w:rFonts w:ascii="Arial Narrow" w:hAnsi="Arial Narrow"/>
                <w:sz w:val="18"/>
                <w:szCs w:val="18"/>
              </w:rPr>
              <w:t>(-0.039, 0.016)</w:t>
            </w:r>
          </w:p>
        </w:tc>
        <w:tc>
          <w:tcPr>
            <w:tcW w:w="0" w:type="auto"/>
            <w:tcBorders>
              <w:top w:val="single" w:sz="2" w:space="0" w:color="000000"/>
              <w:left w:val="single" w:sz="2" w:space="0" w:color="000000"/>
              <w:bottom w:val="single" w:sz="4" w:space="0" w:color="auto"/>
              <w:right w:val="single" w:sz="6" w:space="0" w:color="000000"/>
            </w:tcBorders>
            <w:shd w:val="clear" w:color="auto" w:fill="FFFFFF"/>
            <w:tcMar>
              <w:left w:w="80" w:type="dxa"/>
              <w:right w:w="80" w:type="dxa"/>
            </w:tcMar>
          </w:tcPr>
          <w:p w14:paraId="55B846F4" w14:textId="770807EB" w:rsidR="009908B6" w:rsidRPr="00B734A6" w:rsidRDefault="009908B6" w:rsidP="00B734A6">
            <w:pPr>
              <w:pStyle w:val="Tabletext1"/>
              <w:jc w:val="right"/>
              <w:rPr>
                <w:rFonts w:ascii="Arial Narrow" w:hAnsi="Arial Narrow"/>
                <w:sz w:val="18"/>
                <w:szCs w:val="18"/>
              </w:rPr>
            </w:pPr>
            <w:r w:rsidRPr="00B734A6">
              <w:rPr>
                <w:rFonts w:ascii="Arial Narrow" w:hAnsi="Arial Narrow"/>
                <w:sz w:val="18"/>
                <w:szCs w:val="18"/>
              </w:rPr>
              <w:t>0.410</w:t>
            </w:r>
          </w:p>
        </w:tc>
      </w:tr>
      <w:tr w:rsidR="009908B6" w:rsidRPr="00B734A6" w14:paraId="32F4B7F3" w14:textId="77777777" w:rsidTr="00B734A6">
        <w:trPr>
          <w:cantSplit/>
        </w:trPr>
        <w:tc>
          <w:tcPr>
            <w:tcW w:w="0" w:type="auto"/>
            <w:tcBorders>
              <w:top w:val="single" w:sz="4" w:space="0" w:color="auto"/>
              <w:left w:val="single" w:sz="6" w:space="0" w:color="000000"/>
              <w:bottom w:val="single" w:sz="6" w:space="0" w:color="000000"/>
              <w:right w:val="nil"/>
            </w:tcBorders>
            <w:shd w:val="clear" w:color="auto" w:fill="FFFFFF"/>
            <w:tcMar>
              <w:left w:w="80" w:type="dxa"/>
              <w:right w:w="80" w:type="dxa"/>
            </w:tcMar>
          </w:tcPr>
          <w:p w14:paraId="3A4F128C" w14:textId="10BE0BF2" w:rsidR="009908B6" w:rsidRPr="00B734A6" w:rsidRDefault="009908B6" w:rsidP="00B734A6">
            <w:pPr>
              <w:pStyle w:val="Tabletext1"/>
              <w:rPr>
                <w:rFonts w:ascii="Arial Narrow" w:hAnsi="Arial Narrow"/>
                <w:sz w:val="18"/>
                <w:szCs w:val="18"/>
              </w:rPr>
            </w:pPr>
            <w:r w:rsidRPr="00B734A6">
              <w:rPr>
                <w:rFonts w:ascii="Arial Narrow" w:hAnsi="Arial Narrow"/>
                <w:sz w:val="18"/>
                <w:szCs w:val="18"/>
              </w:rPr>
              <w:t xml:space="preserve">Frailty Index, post </w:t>
            </w:r>
            <w:r w:rsidR="006B0804" w:rsidRPr="00B734A6">
              <w:rPr>
                <w:rFonts w:ascii="Arial Narrow" w:hAnsi="Arial Narrow"/>
                <w:sz w:val="18"/>
                <w:szCs w:val="18"/>
              </w:rPr>
              <w:t>COVID</w:t>
            </w:r>
            <w:r w:rsidRPr="00B734A6">
              <w:rPr>
                <w:rFonts w:ascii="Arial Narrow" w:hAnsi="Arial Narrow"/>
                <w:sz w:val="18"/>
                <w:szCs w:val="18"/>
              </w:rPr>
              <w:t xml:space="preserve"> imputed </w:t>
            </w:r>
          </w:p>
        </w:tc>
        <w:tc>
          <w:tcPr>
            <w:tcW w:w="0" w:type="auto"/>
            <w:tcBorders>
              <w:top w:val="single" w:sz="4" w:space="0" w:color="auto"/>
              <w:left w:val="single" w:sz="2" w:space="0" w:color="000000"/>
              <w:bottom w:val="single" w:sz="6" w:space="0" w:color="000000"/>
              <w:right w:val="nil"/>
            </w:tcBorders>
            <w:shd w:val="clear" w:color="auto" w:fill="FFFFFF"/>
            <w:tcMar>
              <w:left w:w="80" w:type="dxa"/>
              <w:right w:w="80" w:type="dxa"/>
            </w:tcMar>
          </w:tcPr>
          <w:p w14:paraId="10EFDA39" w14:textId="77777777" w:rsidR="009908B6" w:rsidRPr="00B734A6" w:rsidRDefault="009908B6" w:rsidP="00B734A6">
            <w:pPr>
              <w:pStyle w:val="Tabletext1"/>
              <w:jc w:val="right"/>
              <w:rPr>
                <w:rFonts w:ascii="Arial Narrow" w:hAnsi="Arial Narrow"/>
                <w:sz w:val="18"/>
                <w:szCs w:val="18"/>
              </w:rPr>
            </w:pPr>
            <w:r w:rsidRPr="00B734A6">
              <w:rPr>
                <w:rFonts w:ascii="Arial Narrow" w:hAnsi="Arial Narrow"/>
                <w:sz w:val="18"/>
                <w:szCs w:val="18"/>
              </w:rPr>
              <w:t>-</w:t>
            </w:r>
          </w:p>
        </w:tc>
        <w:tc>
          <w:tcPr>
            <w:tcW w:w="0" w:type="auto"/>
            <w:tcBorders>
              <w:top w:val="single" w:sz="4" w:space="0" w:color="auto"/>
              <w:left w:val="single" w:sz="2" w:space="0" w:color="000000"/>
              <w:bottom w:val="single" w:sz="6" w:space="0" w:color="000000"/>
              <w:right w:val="single" w:sz="2" w:space="0" w:color="000000"/>
            </w:tcBorders>
            <w:shd w:val="clear" w:color="auto" w:fill="FFFFFF"/>
          </w:tcPr>
          <w:p w14:paraId="4D1210C4" w14:textId="77777777" w:rsidR="009908B6" w:rsidRPr="00B734A6" w:rsidRDefault="009908B6" w:rsidP="00B734A6">
            <w:pPr>
              <w:pStyle w:val="Tabletext1"/>
              <w:jc w:val="right"/>
              <w:rPr>
                <w:rFonts w:ascii="Arial Narrow" w:hAnsi="Arial Narrow" w:cs="Thorndale AMT"/>
                <w:color w:val="000000"/>
                <w:sz w:val="18"/>
                <w:szCs w:val="18"/>
              </w:rPr>
            </w:pPr>
          </w:p>
        </w:tc>
        <w:tc>
          <w:tcPr>
            <w:tcW w:w="0" w:type="auto"/>
            <w:tcBorders>
              <w:top w:val="single" w:sz="4" w:space="0" w:color="auto"/>
              <w:left w:val="single" w:sz="2" w:space="0" w:color="000000"/>
              <w:bottom w:val="single" w:sz="6" w:space="0" w:color="000000"/>
              <w:right w:val="single" w:sz="2" w:space="0" w:color="000000"/>
            </w:tcBorders>
            <w:shd w:val="clear" w:color="auto" w:fill="FFFFFF"/>
          </w:tcPr>
          <w:p w14:paraId="739B8634" w14:textId="77777777" w:rsidR="009908B6" w:rsidRPr="00B734A6" w:rsidRDefault="009908B6" w:rsidP="00B734A6">
            <w:pPr>
              <w:pStyle w:val="Tabletext1"/>
              <w:jc w:val="right"/>
              <w:rPr>
                <w:rFonts w:ascii="Arial Narrow" w:hAnsi="Arial Narrow" w:cs="Thorndale AMT"/>
                <w:color w:val="000000"/>
                <w:sz w:val="18"/>
                <w:szCs w:val="18"/>
              </w:rPr>
            </w:pPr>
          </w:p>
        </w:tc>
        <w:tc>
          <w:tcPr>
            <w:tcW w:w="0" w:type="auto"/>
            <w:tcBorders>
              <w:top w:val="single" w:sz="4" w:space="0" w:color="auto"/>
              <w:left w:val="single" w:sz="2" w:space="0" w:color="000000"/>
              <w:bottom w:val="single" w:sz="6" w:space="0" w:color="000000"/>
              <w:right w:val="nil"/>
            </w:tcBorders>
            <w:shd w:val="clear" w:color="auto" w:fill="FFFFFF"/>
            <w:tcMar>
              <w:left w:w="80" w:type="dxa"/>
              <w:right w:w="80" w:type="dxa"/>
            </w:tcMar>
          </w:tcPr>
          <w:p w14:paraId="5C936B89" w14:textId="67098761" w:rsidR="009908B6" w:rsidRPr="00B734A6" w:rsidRDefault="009908B6" w:rsidP="00B734A6">
            <w:pPr>
              <w:pStyle w:val="Tabletext1"/>
              <w:jc w:val="right"/>
              <w:rPr>
                <w:rFonts w:ascii="Arial Narrow" w:hAnsi="Arial Narrow"/>
                <w:sz w:val="18"/>
                <w:szCs w:val="18"/>
              </w:rPr>
            </w:pPr>
            <w:r w:rsidRPr="00B734A6">
              <w:rPr>
                <w:rFonts w:ascii="Arial Narrow" w:hAnsi="Arial Narrow"/>
                <w:sz w:val="18"/>
                <w:szCs w:val="18"/>
              </w:rPr>
              <w:t>-</w:t>
            </w:r>
          </w:p>
        </w:tc>
        <w:tc>
          <w:tcPr>
            <w:tcW w:w="0" w:type="auto"/>
            <w:tcBorders>
              <w:top w:val="single" w:sz="4" w:space="0" w:color="auto"/>
              <w:left w:val="single" w:sz="2" w:space="0" w:color="000000"/>
              <w:bottom w:val="single" w:sz="6" w:space="0" w:color="000000"/>
              <w:right w:val="single" w:sz="2" w:space="0" w:color="000000"/>
            </w:tcBorders>
            <w:shd w:val="clear" w:color="auto" w:fill="FFFFFF"/>
          </w:tcPr>
          <w:p w14:paraId="6604A3BF" w14:textId="77777777" w:rsidR="009908B6" w:rsidRPr="00B734A6" w:rsidRDefault="009908B6" w:rsidP="00B734A6">
            <w:pPr>
              <w:pStyle w:val="Tabletext1"/>
              <w:jc w:val="right"/>
              <w:rPr>
                <w:rFonts w:ascii="Arial Narrow" w:hAnsi="Arial Narrow" w:cs="Thorndale AMT"/>
                <w:color w:val="000000"/>
                <w:sz w:val="18"/>
                <w:szCs w:val="18"/>
              </w:rPr>
            </w:pPr>
          </w:p>
        </w:tc>
        <w:tc>
          <w:tcPr>
            <w:tcW w:w="0" w:type="auto"/>
            <w:tcBorders>
              <w:top w:val="single" w:sz="4" w:space="0" w:color="auto"/>
              <w:left w:val="single" w:sz="2" w:space="0" w:color="000000"/>
              <w:bottom w:val="single" w:sz="6" w:space="0" w:color="000000"/>
              <w:right w:val="single" w:sz="2" w:space="0" w:color="000000"/>
            </w:tcBorders>
            <w:shd w:val="clear" w:color="auto" w:fill="FFFFFF"/>
          </w:tcPr>
          <w:p w14:paraId="107DF915" w14:textId="77777777" w:rsidR="009908B6" w:rsidRPr="00B734A6" w:rsidRDefault="009908B6" w:rsidP="00B734A6">
            <w:pPr>
              <w:pStyle w:val="Tabletext1"/>
              <w:jc w:val="right"/>
              <w:rPr>
                <w:rFonts w:ascii="Arial Narrow" w:hAnsi="Arial Narrow" w:cs="Thorndale AMT"/>
                <w:color w:val="000000"/>
                <w:sz w:val="18"/>
                <w:szCs w:val="18"/>
              </w:rPr>
            </w:pPr>
          </w:p>
        </w:tc>
        <w:tc>
          <w:tcPr>
            <w:tcW w:w="0" w:type="auto"/>
            <w:tcBorders>
              <w:top w:val="single" w:sz="4" w:space="0" w:color="auto"/>
              <w:left w:val="single" w:sz="2" w:space="0" w:color="000000"/>
              <w:bottom w:val="single" w:sz="6" w:space="0" w:color="000000"/>
              <w:right w:val="nil"/>
            </w:tcBorders>
            <w:shd w:val="clear" w:color="auto" w:fill="FFFFFF"/>
            <w:tcMar>
              <w:left w:w="80" w:type="dxa"/>
              <w:right w:w="80" w:type="dxa"/>
            </w:tcMar>
          </w:tcPr>
          <w:p w14:paraId="1E9154C4" w14:textId="3AA7BA43" w:rsidR="009908B6" w:rsidRPr="00B734A6" w:rsidRDefault="009908B6" w:rsidP="00B734A6">
            <w:pPr>
              <w:pStyle w:val="Tabletext1"/>
              <w:jc w:val="right"/>
              <w:rPr>
                <w:rFonts w:ascii="Arial Narrow" w:hAnsi="Arial Narrow"/>
                <w:sz w:val="18"/>
                <w:szCs w:val="18"/>
              </w:rPr>
            </w:pPr>
            <w:r w:rsidRPr="00B734A6">
              <w:rPr>
                <w:rFonts w:ascii="Arial Narrow" w:hAnsi="Arial Narrow"/>
                <w:sz w:val="18"/>
                <w:szCs w:val="18"/>
              </w:rPr>
              <w:t>-0.012</w:t>
            </w:r>
          </w:p>
        </w:tc>
        <w:tc>
          <w:tcPr>
            <w:tcW w:w="0" w:type="auto"/>
            <w:tcBorders>
              <w:top w:val="single" w:sz="4" w:space="0" w:color="auto"/>
              <w:left w:val="single" w:sz="2" w:space="0" w:color="000000"/>
              <w:bottom w:val="single" w:sz="6" w:space="0" w:color="000000"/>
              <w:right w:val="single" w:sz="2" w:space="0" w:color="000000"/>
            </w:tcBorders>
            <w:shd w:val="clear" w:color="auto" w:fill="FFFFFF"/>
          </w:tcPr>
          <w:p w14:paraId="5F6E5769" w14:textId="3A67093B" w:rsidR="009908B6" w:rsidRPr="00B734A6" w:rsidRDefault="009908B6" w:rsidP="00B734A6">
            <w:pPr>
              <w:pStyle w:val="Tabletext1"/>
              <w:jc w:val="right"/>
              <w:rPr>
                <w:rFonts w:ascii="Arial Narrow" w:hAnsi="Arial Narrow"/>
                <w:sz w:val="18"/>
                <w:szCs w:val="18"/>
              </w:rPr>
            </w:pPr>
            <w:r w:rsidRPr="00B734A6">
              <w:rPr>
                <w:rFonts w:ascii="Arial Narrow" w:hAnsi="Arial Narrow"/>
                <w:sz w:val="18"/>
                <w:szCs w:val="18"/>
              </w:rPr>
              <w:t>(-0.033, 0.009)</w:t>
            </w:r>
          </w:p>
        </w:tc>
        <w:tc>
          <w:tcPr>
            <w:tcW w:w="0" w:type="auto"/>
            <w:tcBorders>
              <w:top w:val="single" w:sz="4" w:space="0" w:color="auto"/>
              <w:left w:val="single" w:sz="2" w:space="0" w:color="000000"/>
              <w:bottom w:val="single" w:sz="6" w:space="0" w:color="000000"/>
              <w:right w:val="single" w:sz="6" w:space="0" w:color="000000"/>
            </w:tcBorders>
            <w:shd w:val="clear" w:color="auto" w:fill="FFFFFF"/>
            <w:tcMar>
              <w:left w:w="80" w:type="dxa"/>
              <w:right w:w="80" w:type="dxa"/>
            </w:tcMar>
          </w:tcPr>
          <w:p w14:paraId="486DAF8E" w14:textId="3F775115" w:rsidR="009908B6" w:rsidRPr="00B734A6" w:rsidRDefault="009908B6" w:rsidP="00B734A6">
            <w:pPr>
              <w:pStyle w:val="Tabletext1"/>
              <w:jc w:val="right"/>
              <w:rPr>
                <w:rFonts w:ascii="Arial Narrow" w:hAnsi="Arial Narrow"/>
                <w:sz w:val="18"/>
                <w:szCs w:val="18"/>
              </w:rPr>
            </w:pPr>
            <w:r w:rsidRPr="00B734A6">
              <w:rPr>
                <w:rFonts w:ascii="Arial Narrow" w:hAnsi="Arial Narrow"/>
                <w:sz w:val="18"/>
                <w:szCs w:val="18"/>
              </w:rPr>
              <w:t>0.270</w:t>
            </w:r>
          </w:p>
        </w:tc>
      </w:tr>
    </w:tbl>
    <w:p w14:paraId="17D5ED4D" w14:textId="595F18B5" w:rsidR="004039DB" w:rsidRPr="00E90B8E" w:rsidRDefault="004039DB" w:rsidP="00897C5B">
      <w:pPr>
        <w:pStyle w:val="Caption"/>
      </w:pPr>
      <w:r w:rsidRPr="00F2234D">
        <w:t>Table B-</w:t>
      </w:r>
      <w:r w:rsidR="00F2234D" w:rsidRPr="00F2234D">
        <w:t>8</w:t>
      </w:r>
      <w:r w:rsidRPr="00F2234D">
        <w:t>: Imputation</w:t>
      </w:r>
      <w:r>
        <w:t xml:space="preserve"> of Frailty measurements after </w:t>
      </w:r>
      <w:r w:rsidR="006B0804">
        <w:t>COVID</w:t>
      </w:r>
      <w:r>
        <w:t>-19 access restrictions.</w:t>
      </w:r>
    </w:p>
    <w:p w14:paraId="7141A530" w14:textId="46538DA1" w:rsidR="004039DB" w:rsidRDefault="004039DB" w:rsidP="00897C5B">
      <w:pPr>
        <w:pStyle w:val="Caption"/>
      </w:pPr>
      <w:r w:rsidRPr="004039DB">
        <w:t>*Change from baseline</w:t>
      </w:r>
      <w:r w:rsidR="00E3009C">
        <w:t xml:space="preserve"> to 12 months</w:t>
      </w:r>
      <w:r w:rsidRPr="004039DB">
        <w:t>, adjusted for baseline, gender and facility.</w:t>
      </w:r>
    </w:p>
    <w:p w14:paraId="7B4BCAFA" w14:textId="505162D7" w:rsidR="003733C5" w:rsidRPr="00F42B1D" w:rsidRDefault="00EC44A1" w:rsidP="0091732C">
      <w:pPr>
        <w:pStyle w:val="Heading4"/>
      </w:pPr>
      <w:bookmarkStart w:id="182" w:name="_B6.5_Effectiveness_Outcomes"/>
      <w:bookmarkStart w:id="183" w:name="_Toc395200783"/>
      <w:bookmarkEnd w:id="182"/>
      <w:r w:rsidRPr="00F42B1D">
        <w:t>B</w:t>
      </w:r>
      <w:r w:rsidR="0091732C">
        <w:t>.7.</w:t>
      </w:r>
      <w:r w:rsidR="005F0749">
        <w:t>5</w:t>
      </w:r>
      <w:r w:rsidR="0091732C">
        <w:t>.2</w:t>
      </w:r>
      <w:r w:rsidR="0091732C">
        <w:tab/>
      </w:r>
      <w:r w:rsidR="002D7C58" w:rsidRPr="00F42B1D">
        <w:t>Effectiv</w:t>
      </w:r>
      <w:r w:rsidR="00785138" w:rsidRPr="00F42B1D">
        <w:t>eness Outcomes</w:t>
      </w:r>
      <w:r w:rsidR="002D7C58" w:rsidRPr="00F42B1D">
        <w:t xml:space="preserve"> (secondary</w:t>
      </w:r>
      <w:r w:rsidR="00785138" w:rsidRPr="00F42B1D">
        <w:t xml:space="preserve"> outcomes</w:t>
      </w:r>
      <w:r w:rsidR="002D7C58" w:rsidRPr="00F42B1D">
        <w:t>)</w:t>
      </w:r>
    </w:p>
    <w:p w14:paraId="25B6D0A2" w14:textId="14ED73E8" w:rsidR="00C967F6" w:rsidRPr="00F42B1D" w:rsidRDefault="003733C5" w:rsidP="007501B9">
      <w:r w:rsidRPr="00F42B1D">
        <w:t>The</w:t>
      </w:r>
      <w:r w:rsidR="00E73DD8">
        <w:t xml:space="preserve"> values for</w:t>
      </w:r>
      <w:r w:rsidRPr="00F42B1D">
        <w:t xml:space="preserve"> secondary outcomes </w:t>
      </w:r>
      <w:r w:rsidRPr="00013EA0">
        <w:t>for the trial are presented in Table B-</w:t>
      </w:r>
      <w:r w:rsidR="00013EA0" w:rsidRPr="00013EA0">
        <w:t>9</w:t>
      </w:r>
      <w:r w:rsidR="00B828D3" w:rsidRPr="00013EA0">
        <w:t>a</w:t>
      </w:r>
      <w:r w:rsidR="007501B9">
        <w:t xml:space="preserve">. </w:t>
      </w:r>
      <w:r w:rsidRPr="00013EA0">
        <w:t xml:space="preserve">There was a statistically significant result for cognition, with an observed mean difference of </w:t>
      </w:r>
      <w:proofErr w:type="gramStart"/>
      <w:r w:rsidRPr="00013EA0">
        <w:t>1.36 point</w:t>
      </w:r>
      <w:proofErr w:type="gramEnd"/>
      <w:r w:rsidRPr="00013EA0">
        <w:t xml:space="preserve"> change at 12 months</w:t>
      </w:r>
      <w:r w:rsidR="007501B9">
        <w:t xml:space="preserve">. </w:t>
      </w:r>
      <w:r w:rsidR="007A6E9A" w:rsidRPr="00013EA0">
        <w:t>The guide to clinical interpretation of the assessment measures for the outcomes is provided in Table B-</w:t>
      </w:r>
      <w:r w:rsidR="00013EA0" w:rsidRPr="00013EA0">
        <w:t>9</w:t>
      </w:r>
      <w:r w:rsidR="00CC6BF4" w:rsidRPr="00013EA0">
        <w:t>b</w:t>
      </w:r>
      <w:r w:rsidR="007501B9">
        <w:t xml:space="preserve">. </w:t>
      </w:r>
      <w:r w:rsidRPr="00013EA0">
        <w:t>The estimated change in M</w:t>
      </w:r>
      <w:r w:rsidR="00D36143" w:rsidRPr="00013EA0">
        <w:t>o</w:t>
      </w:r>
      <w:r w:rsidRPr="00013EA0">
        <w:t>CA that is clinically significant is 2 point change</w:t>
      </w:r>
      <w:r w:rsidR="007A6E9A" w:rsidRPr="00013EA0">
        <w:t xml:space="preserve"> </w:t>
      </w:r>
      <w:r w:rsidR="007A6E9A" w:rsidRPr="00013EA0">
        <w:fldChar w:fldCharType="begin"/>
      </w:r>
      <w:r w:rsidR="00EB6EA4">
        <w:instrText xml:space="preserve"> ADDIN EN.CITE &lt;EndNote&gt;&lt;Cite&gt;&lt;Author&gt;Krishnan&lt;/Author&gt;&lt;Year&gt;2017&lt;/Year&gt;&lt;RecNum&gt;59&lt;/RecNum&gt;&lt;DisplayText&gt;(79)&lt;/DisplayText&gt;&lt;record&gt;&lt;rec-number&gt;59&lt;/rec-number&gt;&lt;foreign-keys&gt;&lt;key app="EN" db-id="9s5z5ped05vxdnede99vfsxhtzavzdzs2d5r" timestamp="1614142015"&gt;59&lt;/key&gt;&lt;/foreign-keys&gt;&lt;ref-type name="Journal Article"&gt;17&lt;/ref-type&gt;&lt;contributors&gt;&lt;authors&gt;&lt;author&gt;Krishnan, Kamini&lt;/author&gt;&lt;author&gt;Rossetti, Heidi&lt;/author&gt;&lt;author&gt;Hynan, Linda S&lt;/author&gt;&lt;author&gt;Carter, Kirstine&lt;/author&gt;&lt;author&gt;Falkowski, Jed&lt;/author&gt;&lt;author&gt;Lacritz, Laura&lt;/author&gt;&lt;author&gt;Cullum, C Munro&lt;/author&gt;&lt;author&gt;Weiner, Myron&lt;/author&gt;&lt;/authors&gt;&lt;/contributors&gt;&lt;titles&gt;&lt;title&gt;Changes in Montreal Cognitive Assessment scores over time&lt;/title&gt;&lt;secondary-title&gt;Assessment&lt;/secondary-title&gt;&lt;/titles&gt;&lt;periodical&gt;&lt;full-title&gt;Assessment&lt;/full-title&gt;&lt;/periodical&gt;&lt;pages&gt;772-777&lt;/pages&gt;&lt;volume&gt;24&lt;/volume&gt;&lt;number&gt;6&lt;/number&gt;&lt;dates&gt;&lt;year&gt;2017&lt;/year&gt;&lt;/dates&gt;&lt;isbn&gt;1073-1911&lt;/isbn&gt;&lt;urls&gt;&lt;/urls&gt;&lt;/record&gt;&lt;/Cite&gt;&lt;/EndNote&gt;</w:instrText>
      </w:r>
      <w:r w:rsidR="007A6E9A" w:rsidRPr="00013EA0">
        <w:fldChar w:fldCharType="separate"/>
      </w:r>
      <w:r w:rsidR="00EB6EA4">
        <w:rPr>
          <w:noProof/>
        </w:rPr>
        <w:t>(</w:t>
      </w:r>
      <w:hyperlink w:anchor="_ENREF_79" w:tooltip="Krishnan, 2017 #59" w:history="1">
        <w:r w:rsidR="00EB6EA4">
          <w:rPr>
            <w:noProof/>
          </w:rPr>
          <w:t>79</w:t>
        </w:r>
      </w:hyperlink>
      <w:r w:rsidR="00EB6EA4">
        <w:rPr>
          <w:noProof/>
        </w:rPr>
        <w:t>)</w:t>
      </w:r>
      <w:r w:rsidR="007A6E9A" w:rsidRPr="00013EA0">
        <w:fldChar w:fldCharType="end"/>
      </w:r>
      <w:r w:rsidR="007501B9">
        <w:t xml:space="preserve">. </w:t>
      </w:r>
      <w:r w:rsidR="00485094" w:rsidRPr="00013EA0">
        <w:t>The change in M</w:t>
      </w:r>
      <w:r w:rsidR="00D36143" w:rsidRPr="00013EA0">
        <w:t>o</w:t>
      </w:r>
      <w:r w:rsidR="00485094" w:rsidRPr="00013EA0">
        <w:t>CA in the control</w:t>
      </w:r>
      <w:r w:rsidR="00532C7E" w:rsidRPr="00013EA0">
        <w:t xml:space="preserve"> </w:t>
      </w:r>
      <w:r w:rsidR="00485094" w:rsidRPr="00013EA0">
        <w:t>group was over 3 points, a clinically significant decline, while the change in the intervention group less than 2 points</w:t>
      </w:r>
      <w:r w:rsidR="007501B9">
        <w:t xml:space="preserve">. </w:t>
      </w:r>
      <w:r w:rsidR="00532C7E" w:rsidRPr="00013EA0">
        <w:t>The change in w</w:t>
      </w:r>
      <w:r w:rsidRPr="00013EA0">
        <w:t xml:space="preserve">eight </w:t>
      </w:r>
      <w:r w:rsidR="003875C7" w:rsidRPr="00013EA0">
        <w:t>was</w:t>
      </w:r>
      <w:r w:rsidRPr="00013EA0">
        <w:t xml:space="preserve"> also statistically significantly different, with the control</w:t>
      </w:r>
      <w:r w:rsidRPr="00BE0587">
        <w:t xml:space="preserve"> arm gaining more weight than the intervention arm</w:t>
      </w:r>
      <w:r w:rsidR="003875C7" w:rsidRPr="00BE0587">
        <w:t>,</w:t>
      </w:r>
      <w:r w:rsidRPr="00BE0587">
        <w:t xml:space="preserve"> </w:t>
      </w:r>
      <w:r w:rsidR="00F03AD1" w:rsidRPr="00BE0587">
        <w:t>(1.34 kg)</w:t>
      </w:r>
      <w:r w:rsidR="007501B9">
        <w:t xml:space="preserve">. </w:t>
      </w:r>
      <w:r w:rsidR="00BE0587" w:rsidRPr="00BE0587">
        <w:t>Subgroup analysis indicated that the change in weight was variable across the subgroups and therefore, unlikely to be a clinical effect of the intervention</w:t>
      </w:r>
      <w:r w:rsidR="007501B9">
        <w:t xml:space="preserve">. </w:t>
      </w:r>
      <w:r w:rsidR="00633B63" w:rsidRPr="00BE0587">
        <w:t>The</w:t>
      </w:r>
      <w:r w:rsidR="00633B63">
        <w:t xml:space="preserve"> modelled change from baseline for both outcomes are shown </w:t>
      </w:r>
      <w:r w:rsidR="00633B63" w:rsidRPr="00013EA0">
        <w:t xml:space="preserve">graphically </w:t>
      </w:r>
      <w:r w:rsidR="00E73DD8" w:rsidRPr="00013EA0">
        <w:t>(Figure B-</w:t>
      </w:r>
      <w:r w:rsidR="00013EA0" w:rsidRPr="00013EA0">
        <w:t>11</w:t>
      </w:r>
      <w:r w:rsidR="00E73DD8" w:rsidRPr="00013EA0">
        <w:t xml:space="preserve"> and Figure B-</w:t>
      </w:r>
      <w:r w:rsidR="00013EA0" w:rsidRPr="00013EA0">
        <w:t>12</w:t>
      </w:r>
      <w:r w:rsidR="00E73DD8" w:rsidRPr="00013EA0">
        <w:t>).</w:t>
      </w:r>
    </w:p>
    <w:p w14:paraId="35AE9426" w14:textId="1D97E17E" w:rsidR="008506E9" w:rsidRDefault="00C967F6" w:rsidP="007501B9">
      <w:r w:rsidRPr="00F42B1D">
        <w:t xml:space="preserve">The secondary outcomes analysed for physical activity and sleep utilised data from the </w:t>
      </w:r>
      <w:proofErr w:type="spellStart"/>
      <w:r w:rsidRPr="00F42B1D">
        <w:t>GENEActiv</w:t>
      </w:r>
      <w:proofErr w:type="spellEnd"/>
      <w:r w:rsidRPr="00F42B1D">
        <w:t xml:space="preserve"> accelerometers</w:t>
      </w:r>
      <w:r w:rsidR="007501B9">
        <w:t xml:space="preserve">. </w:t>
      </w:r>
      <w:r w:rsidRPr="00F42B1D">
        <w:t xml:space="preserve">No significant results were </w:t>
      </w:r>
      <w:proofErr w:type="gramStart"/>
      <w:r w:rsidRPr="00F42B1D">
        <w:t>found,</w:t>
      </w:r>
      <w:proofErr w:type="gramEnd"/>
      <w:r w:rsidRPr="00F42B1D">
        <w:t xml:space="preserve"> however, the point estimates favoured the intervention arm for overall amount of time spent in moderate activity, the length of each bout of time of moderate or vigorous activity, sedentary behaviour and sleep efficiency</w:t>
      </w:r>
      <w:r w:rsidR="007501B9">
        <w:t xml:space="preserve">. </w:t>
      </w:r>
      <w:r w:rsidR="005360BB" w:rsidRPr="00F42B1D">
        <w:t>Clinically, the expect</w:t>
      </w:r>
      <w:r w:rsidR="00EB6572">
        <w:t>ed</w:t>
      </w:r>
      <w:r w:rsidR="005360BB" w:rsidRPr="00F42B1D">
        <w:t xml:space="preserve"> trajectory in this population is towards a decline in function </w:t>
      </w:r>
      <w:r w:rsidR="005360BB" w:rsidRPr="00F42B1D">
        <w:fldChar w:fldCharType="begin"/>
      </w:r>
      <w:r w:rsidR="00C86345">
        <w:instrText xml:space="preserve"> ADDIN EN.CITE &lt;EndNote&gt;&lt;Cite&gt;&lt;Author&gt;Parry&lt;/Author&gt;&lt;Year&gt;2019&lt;/Year&gt;&lt;RecNum&gt;48&lt;/RecNum&gt;&lt;DisplayText&gt;(1)&lt;/DisplayText&gt;&lt;record&gt;&lt;rec-number&gt;48&lt;/rec-number&gt;&lt;foreign-keys&gt;&lt;key app="EN" db-id="9s5z5ped05vxdnede99vfsxhtzavzdzs2d5r" timestamp="1603844729"&gt;48&lt;/key&gt;&lt;/foreign-keys&gt;&lt;ref-type name="Journal Article"&gt;17&lt;/ref-type&gt;&lt;contributors&gt;&lt;authors&gt;&lt;author&gt;Parry, Sharon&lt;/author&gt;&lt;author&gt;Chow, Marilyn&lt;/author&gt;&lt;author&gt;Batchelor, Frances&lt;/author&gt;&lt;author&gt;Fary, Robyn E&lt;/author&gt;&lt;/authors&gt;&lt;/contributors&gt;&lt;titles&gt;&lt;title&gt;Physical activity and sedentary behaviour in a residential aged care facility&lt;/title&gt;&lt;secondary-title&gt;Australasian journal on ageing&lt;/secondary-title&gt;&lt;/titles&gt;&lt;periodical&gt;&lt;full-title&gt;Australasian journal on ageing&lt;/full-title&gt;&lt;/periodical&gt;&lt;pages&gt;E12-E18&lt;/pages&gt;&lt;volume&gt;38&lt;/volume&gt;&lt;number&gt;1&lt;/number&gt;&lt;dates&gt;&lt;year&gt;2019&lt;/year&gt;&lt;/dates&gt;&lt;isbn&gt;1440-6381&lt;/isbn&gt;&lt;urls&gt;&lt;/urls&gt;&lt;/record&gt;&lt;/Cite&gt;&lt;/EndNote&gt;</w:instrText>
      </w:r>
      <w:r w:rsidR="005360BB" w:rsidRPr="00F42B1D">
        <w:fldChar w:fldCharType="separate"/>
      </w:r>
      <w:r w:rsidR="00C86345">
        <w:rPr>
          <w:noProof/>
        </w:rPr>
        <w:t>(</w:t>
      </w:r>
      <w:hyperlink w:anchor="_ENREF_1" w:tooltip="Parry, 2019 #48" w:history="1">
        <w:r w:rsidR="00EB6EA4">
          <w:rPr>
            <w:noProof/>
          </w:rPr>
          <w:t>1</w:t>
        </w:r>
      </w:hyperlink>
      <w:r w:rsidR="00C86345">
        <w:rPr>
          <w:noProof/>
        </w:rPr>
        <w:t>)</w:t>
      </w:r>
      <w:r w:rsidR="005360BB" w:rsidRPr="00F42B1D">
        <w:fldChar w:fldCharType="end"/>
      </w:r>
      <w:r w:rsidR="005360BB" w:rsidRPr="00F42B1D">
        <w:t xml:space="preserve">, so a trend upwards </w:t>
      </w:r>
      <w:r w:rsidR="00EB6572">
        <w:t>in function</w:t>
      </w:r>
      <w:r w:rsidR="005360BB" w:rsidRPr="00F42B1D">
        <w:t xml:space="preserve"> is favourable</w:t>
      </w:r>
      <w:r w:rsidR="007501B9">
        <w:t xml:space="preserve">. </w:t>
      </w:r>
      <w:r w:rsidRPr="00DD7C7C">
        <w:t xml:space="preserve">More than half the participants had their </w:t>
      </w:r>
      <w:proofErr w:type="gramStart"/>
      <w:r w:rsidRPr="00DD7C7C">
        <w:t xml:space="preserve">12 </w:t>
      </w:r>
      <w:r w:rsidRPr="00DD7C7C">
        <w:lastRenderedPageBreak/>
        <w:t>month</w:t>
      </w:r>
      <w:proofErr w:type="gramEnd"/>
      <w:r w:rsidRPr="00DD7C7C">
        <w:t xml:space="preserve"> follow-up measures assessed during the </w:t>
      </w:r>
      <w:r w:rsidR="006B0804">
        <w:t>COVID</w:t>
      </w:r>
      <w:r w:rsidRPr="00DD7C7C">
        <w:t>-19 restrictions which may have aff</w:t>
      </w:r>
      <w:r w:rsidR="00656AC8" w:rsidRPr="00DD7C7C">
        <w:t>ected this result at 12 months.</w:t>
      </w:r>
    </w:p>
    <w:p w14:paraId="45AA325D" w14:textId="77777777" w:rsidR="008506E9" w:rsidRDefault="008506E9" w:rsidP="007501B9"/>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Caption w:val="Table B-6. Secondary outcomes for Intervention and control arms"/>
        <w:tblDescription w:val="The results, number of residents and statistical variation for each secondary outcome is presented in the table for each trial arm at each of the 6 and 12 month assessment points."/>
      </w:tblPr>
      <w:tblGrid>
        <w:gridCol w:w="1370"/>
        <w:gridCol w:w="727"/>
        <w:gridCol w:w="1194"/>
        <w:gridCol w:w="1087"/>
        <w:gridCol w:w="1105"/>
        <w:gridCol w:w="970"/>
        <w:gridCol w:w="942"/>
        <w:gridCol w:w="999"/>
        <w:gridCol w:w="622"/>
      </w:tblGrid>
      <w:tr w:rsidR="00B734A6" w:rsidRPr="00FA38C7" w14:paraId="0E9CF61B" w14:textId="77777777" w:rsidTr="00FA38C7">
        <w:trPr>
          <w:cantSplit/>
          <w:tblHeader/>
          <w:jc w:val="center"/>
        </w:trPr>
        <w:tc>
          <w:tcPr>
            <w:tcW w:w="760" w:type="pct"/>
            <w:tcBorders>
              <w:bottom w:val="single" w:sz="4" w:space="0" w:color="auto"/>
            </w:tcBorders>
            <w:shd w:val="clear" w:color="auto" w:fill="000000" w:themeFill="text1"/>
            <w:tcMar>
              <w:left w:w="80" w:type="dxa"/>
              <w:right w:w="80" w:type="dxa"/>
            </w:tcMar>
          </w:tcPr>
          <w:p w14:paraId="42CA0272" w14:textId="77777777" w:rsidR="009A23B0" w:rsidRPr="00FA38C7" w:rsidRDefault="009A23B0" w:rsidP="00FA38C7">
            <w:pPr>
              <w:pStyle w:val="TableHeader"/>
              <w:rPr>
                <w:rFonts w:ascii="Arial Narrow" w:hAnsi="Arial Narrow"/>
              </w:rPr>
            </w:pPr>
            <w:r w:rsidRPr="00FA38C7">
              <w:rPr>
                <w:rFonts w:ascii="Arial Narrow" w:hAnsi="Arial Narrow"/>
              </w:rPr>
              <w:t>Outcome</w:t>
            </w:r>
          </w:p>
        </w:tc>
        <w:tc>
          <w:tcPr>
            <w:tcW w:w="403" w:type="pct"/>
            <w:shd w:val="clear" w:color="auto" w:fill="000000" w:themeFill="text1"/>
            <w:tcMar>
              <w:left w:w="80" w:type="dxa"/>
              <w:right w:w="80" w:type="dxa"/>
            </w:tcMar>
          </w:tcPr>
          <w:p w14:paraId="5ACCA19C" w14:textId="77777777" w:rsidR="009A23B0" w:rsidRPr="00FA38C7" w:rsidRDefault="009A23B0" w:rsidP="00FA38C7">
            <w:pPr>
              <w:pStyle w:val="TableHeader"/>
              <w:rPr>
                <w:rFonts w:ascii="Arial Narrow" w:hAnsi="Arial Narrow"/>
              </w:rPr>
            </w:pPr>
            <w:r w:rsidRPr="00FA38C7">
              <w:rPr>
                <w:rFonts w:ascii="Arial Narrow" w:hAnsi="Arial Narrow"/>
              </w:rPr>
              <w:t>Trial Stage</w:t>
            </w:r>
          </w:p>
        </w:tc>
        <w:tc>
          <w:tcPr>
            <w:tcW w:w="662" w:type="pct"/>
            <w:shd w:val="clear" w:color="auto" w:fill="000000" w:themeFill="text1"/>
            <w:tcMar>
              <w:left w:w="80" w:type="dxa"/>
              <w:right w:w="80" w:type="dxa"/>
            </w:tcMar>
          </w:tcPr>
          <w:p w14:paraId="7760C179" w14:textId="77777777" w:rsidR="009A23B0" w:rsidRPr="00FA38C7" w:rsidRDefault="009A23B0" w:rsidP="00FA38C7">
            <w:pPr>
              <w:pStyle w:val="TableHeader"/>
              <w:rPr>
                <w:rFonts w:ascii="Arial Narrow" w:hAnsi="Arial Narrow"/>
              </w:rPr>
            </w:pPr>
            <w:r w:rsidRPr="00FA38C7">
              <w:rPr>
                <w:rFonts w:ascii="Arial Narrow" w:hAnsi="Arial Narrow"/>
              </w:rPr>
              <w:t>Intervention group** (A)</w:t>
            </w:r>
          </w:p>
          <w:p w14:paraId="55EB3D0F" w14:textId="77777777" w:rsidR="009A23B0" w:rsidRPr="00FA38C7" w:rsidRDefault="009A23B0" w:rsidP="00FA38C7">
            <w:pPr>
              <w:pStyle w:val="TableHeader"/>
              <w:rPr>
                <w:rFonts w:ascii="Arial Narrow" w:hAnsi="Arial Narrow"/>
              </w:rPr>
            </w:pPr>
            <w:r w:rsidRPr="00FA38C7">
              <w:rPr>
                <w:rFonts w:ascii="Arial Narrow" w:hAnsi="Arial Narrow"/>
              </w:rPr>
              <w:t>Observed</w:t>
            </w:r>
          </w:p>
          <w:p w14:paraId="3C925D43" w14:textId="77777777" w:rsidR="009A23B0" w:rsidRPr="00FA38C7" w:rsidRDefault="009A23B0" w:rsidP="00FA38C7">
            <w:pPr>
              <w:pStyle w:val="TableHeader"/>
              <w:rPr>
                <w:rFonts w:ascii="Arial Narrow" w:hAnsi="Arial Narrow"/>
              </w:rPr>
            </w:pPr>
            <w:r w:rsidRPr="00FA38C7">
              <w:rPr>
                <w:rFonts w:ascii="Arial Narrow" w:hAnsi="Arial Narrow"/>
              </w:rPr>
              <w:t>Mean Change</w:t>
            </w:r>
          </w:p>
        </w:tc>
        <w:tc>
          <w:tcPr>
            <w:tcW w:w="603" w:type="pct"/>
            <w:shd w:val="clear" w:color="auto" w:fill="000000" w:themeFill="text1"/>
          </w:tcPr>
          <w:p w14:paraId="5610B3FF" w14:textId="77777777" w:rsidR="009A23B0" w:rsidRPr="00FA38C7" w:rsidRDefault="009A23B0" w:rsidP="00FA38C7">
            <w:pPr>
              <w:pStyle w:val="TableHeader"/>
              <w:rPr>
                <w:rFonts w:ascii="Arial Narrow" w:hAnsi="Arial Narrow"/>
              </w:rPr>
            </w:pPr>
            <w:r w:rsidRPr="00FA38C7">
              <w:rPr>
                <w:rFonts w:ascii="Arial Narrow" w:hAnsi="Arial Narrow"/>
              </w:rPr>
              <w:t>Intervention group (A)</w:t>
            </w:r>
          </w:p>
          <w:p w14:paraId="59D6239D" w14:textId="77777777" w:rsidR="009A23B0" w:rsidRPr="00FA38C7" w:rsidRDefault="009A23B0" w:rsidP="00FA38C7">
            <w:pPr>
              <w:pStyle w:val="TableHeader"/>
              <w:rPr>
                <w:rFonts w:ascii="Arial Narrow" w:hAnsi="Arial Narrow"/>
              </w:rPr>
            </w:pPr>
            <w:r w:rsidRPr="00FA38C7">
              <w:rPr>
                <w:rFonts w:ascii="Arial Narrow" w:hAnsi="Arial Narrow"/>
              </w:rPr>
              <w:t xml:space="preserve">Standard Deviation (SD) </w:t>
            </w:r>
          </w:p>
        </w:tc>
        <w:tc>
          <w:tcPr>
            <w:tcW w:w="613" w:type="pct"/>
            <w:shd w:val="clear" w:color="auto" w:fill="000000" w:themeFill="text1"/>
            <w:tcMar>
              <w:left w:w="80" w:type="dxa"/>
              <w:right w:w="80" w:type="dxa"/>
            </w:tcMar>
          </w:tcPr>
          <w:p w14:paraId="0721200C" w14:textId="77777777" w:rsidR="009A23B0" w:rsidRPr="00FA38C7" w:rsidRDefault="009A23B0" w:rsidP="00FA38C7">
            <w:pPr>
              <w:pStyle w:val="TableHeader"/>
              <w:rPr>
                <w:rFonts w:ascii="Arial Narrow" w:hAnsi="Arial Narrow"/>
              </w:rPr>
            </w:pPr>
            <w:r w:rsidRPr="00FA38C7">
              <w:rPr>
                <w:rFonts w:ascii="Arial Narrow" w:hAnsi="Arial Narrow"/>
              </w:rPr>
              <w:t>Control Group** (B)</w:t>
            </w:r>
          </w:p>
          <w:p w14:paraId="1CD70FF4" w14:textId="77777777" w:rsidR="009A23B0" w:rsidRPr="00FA38C7" w:rsidRDefault="009A23B0" w:rsidP="00FA38C7">
            <w:pPr>
              <w:pStyle w:val="TableHeader"/>
              <w:rPr>
                <w:rFonts w:ascii="Arial Narrow" w:hAnsi="Arial Narrow"/>
              </w:rPr>
            </w:pPr>
            <w:r w:rsidRPr="00FA38C7">
              <w:rPr>
                <w:rFonts w:ascii="Arial Narrow" w:hAnsi="Arial Narrow"/>
              </w:rPr>
              <w:t>Mean Change</w:t>
            </w:r>
          </w:p>
        </w:tc>
        <w:tc>
          <w:tcPr>
            <w:tcW w:w="538" w:type="pct"/>
            <w:shd w:val="clear" w:color="auto" w:fill="000000" w:themeFill="text1"/>
          </w:tcPr>
          <w:p w14:paraId="018BC1D6" w14:textId="77777777" w:rsidR="009A23B0" w:rsidRPr="00FA38C7" w:rsidRDefault="009A23B0" w:rsidP="00FA38C7">
            <w:pPr>
              <w:pStyle w:val="TableHeader"/>
              <w:rPr>
                <w:rFonts w:ascii="Arial Narrow" w:hAnsi="Arial Narrow"/>
              </w:rPr>
            </w:pPr>
            <w:r w:rsidRPr="00FA38C7">
              <w:rPr>
                <w:rFonts w:ascii="Arial Narrow" w:hAnsi="Arial Narrow"/>
              </w:rPr>
              <w:t>Control Group (B)</w:t>
            </w:r>
          </w:p>
          <w:p w14:paraId="6997D913" w14:textId="77777777" w:rsidR="009A23B0" w:rsidRPr="00FA38C7" w:rsidRDefault="009A23B0" w:rsidP="00FA38C7">
            <w:pPr>
              <w:pStyle w:val="TableHeader"/>
              <w:rPr>
                <w:rFonts w:ascii="Arial Narrow" w:hAnsi="Arial Narrow"/>
              </w:rPr>
            </w:pPr>
            <w:r w:rsidRPr="00FA38C7">
              <w:rPr>
                <w:rFonts w:ascii="Arial Narrow" w:hAnsi="Arial Narrow"/>
              </w:rPr>
              <w:t>Standard Deviation (SD))</w:t>
            </w:r>
          </w:p>
        </w:tc>
        <w:tc>
          <w:tcPr>
            <w:tcW w:w="522" w:type="pct"/>
            <w:shd w:val="clear" w:color="auto" w:fill="000000" w:themeFill="text1"/>
            <w:tcMar>
              <w:left w:w="80" w:type="dxa"/>
              <w:right w:w="80" w:type="dxa"/>
            </w:tcMar>
          </w:tcPr>
          <w:p w14:paraId="016F9FCC" w14:textId="77777777" w:rsidR="009A23B0" w:rsidRPr="00FA38C7" w:rsidRDefault="009A23B0" w:rsidP="00FA38C7">
            <w:pPr>
              <w:pStyle w:val="TableHeader"/>
              <w:rPr>
                <w:rFonts w:ascii="Arial Narrow" w:hAnsi="Arial Narrow"/>
              </w:rPr>
            </w:pPr>
            <w:r w:rsidRPr="00FA38C7">
              <w:rPr>
                <w:rFonts w:ascii="Arial Narrow" w:hAnsi="Arial Narrow"/>
              </w:rPr>
              <w:t>Modelled</w:t>
            </w:r>
          </w:p>
          <w:p w14:paraId="325217A6" w14:textId="77777777" w:rsidR="009A23B0" w:rsidRPr="00FA38C7" w:rsidRDefault="009A23B0" w:rsidP="00FA38C7">
            <w:pPr>
              <w:pStyle w:val="TableHeader"/>
              <w:rPr>
                <w:rFonts w:ascii="Arial Narrow" w:hAnsi="Arial Narrow"/>
              </w:rPr>
            </w:pPr>
            <w:r w:rsidRPr="00FA38C7">
              <w:rPr>
                <w:rFonts w:ascii="Arial Narrow" w:hAnsi="Arial Narrow"/>
              </w:rPr>
              <w:t>Estimate A-B</w:t>
            </w:r>
          </w:p>
        </w:tc>
        <w:tc>
          <w:tcPr>
            <w:tcW w:w="554" w:type="pct"/>
            <w:shd w:val="clear" w:color="auto" w:fill="000000" w:themeFill="text1"/>
          </w:tcPr>
          <w:p w14:paraId="1261FA2C" w14:textId="77777777" w:rsidR="009A23B0" w:rsidRPr="00FA38C7" w:rsidRDefault="009A23B0" w:rsidP="00FA38C7">
            <w:pPr>
              <w:pStyle w:val="TableHeader"/>
              <w:rPr>
                <w:rFonts w:ascii="Arial Narrow" w:hAnsi="Arial Narrow"/>
              </w:rPr>
            </w:pPr>
            <w:r w:rsidRPr="00FA38C7">
              <w:rPr>
                <w:rFonts w:ascii="Arial Narrow" w:hAnsi="Arial Narrow"/>
              </w:rPr>
              <w:t>Modelled</w:t>
            </w:r>
          </w:p>
          <w:p w14:paraId="53C7382C" w14:textId="77777777" w:rsidR="009A23B0" w:rsidRPr="00FA38C7" w:rsidRDefault="009A23B0" w:rsidP="00FA38C7">
            <w:pPr>
              <w:pStyle w:val="TableHeader"/>
              <w:rPr>
                <w:rFonts w:ascii="Arial Narrow" w:hAnsi="Arial Narrow"/>
              </w:rPr>
            </w:pPr>
            <w:r w:rsidRPr="00FA38C7">
              <w:rPr>
                <w:rFonts w:ascii="Arial Narrow" w:hAnsi="Arial Narrow"/>
              </w:rPr>
              <w:t>Estimate A-B</w:t>
            </w:r>
          </w:p>
          <w:p w14:paraId="1CC2CB70" w14:textId="77777777" w:rsidR="009A23B0" w:rsidRPr="00FA38C7" w:rsidRDefault="009A23B0" w:rsidP="00FA38C7">
            <w:pPr>
              <w:pStyle w:val="TableHeader"/>
              <w:rPr>
                <w:rFonts w:ascii="Arial Narrow" w:hAnsi="Arial Narrow"/>
              </w:rPr>
            </w:pPr>
            <w:r w:rsidRPr="00FA38C7">
              <w:rPr>
                <w:rFonts w:ascii="Arial Narrow" w:hAnsi="Arial Narrow"/>
              </w:rPr>
              <w:t xml:space="preserve">Variation </w:t>
            </w:r>
          </w:p>
          <w:p w14:paraId="78034294" w14:textId="77777777" w:rsidR="009A23B0" w:rsidRPr="00FA38C7" w:rsidRDefault="009A23B0" w:rsidP="00FA38C7">
            <w:pPr>
              <w:pStyle w:val="TableHeader"/>
              <w:rPr>
                <w:rFonts w:ascii="Arial Narrow" w:hAnsi="Arial Narrow"/>
              </w:rPr>
            </w:pPr>
            <w:r w:rsidRPr="00FA38C7">
              <w:rPr>
                <w:rFonts w:ascii="Arial Narrow" w:hAnsi="Arial Narrow"/>
              </w:rPr>
              <w:t>(95% CI)</w:t>
            </w:r>
          </w:p>
        </w:tc>
        <w:tc>
          <w:tcPr>
            <w:tcW w:w="345" w:type="pct"/>
            <w:shd w:val="clear" w:color="auto" w:fill="000000" w:themeFill="text1"/>
            <w:tcMar>
              <w:left w:w="80" w:type="dxa"/>
              <w:right w:w="80" w:type="dxa"/>
            </w:tcMar>
          </w:tcPr>
          <w:p w14:paraId="301E1F21" w14:textId="77777777" w:rsidR="009A23B0" w:rsidRPr="00FA38C7" w:rsidRDefault="009A23B0" w:rsidP="00FA38C7">
            <w:pPr>
              <w:pStyle w:val="TableHeader"/>
              <w:rPr>
                <w:rFonts w:ascii="Arial Narrow" w:hAnsi="Arial Narrow"/>
              </w:rPr>
            </w:pPr>
            <w:r w:rsidRPr="00FA38C7">
              <w:rPr>
                <w:rFonts w:ascii="Arial Narrow" w:hAnsi="Arial Narrow"/>
              </w:rPr>
              <w:t>P-value</w:t>
            </w:r>
          </w:p>
        </w:tc>
      </w:tr>
      <w:tr w:rsidR="00B734A6" w:rsidRPr="00FA38C7" w14:paraId="41D0DFC3" w14:textId="77777777" w:rsidTr="00FA38C7">
        <w:trPr>
          <w:cantSplit/>
          <w:jc w:val="center"/>
        </w:trPr>
        <w:tc>
          <w:tcPr>
            <w:tcW w:w="760" w:type="pct"/>
            <w:vMerge w:val="restart"/>
            <w:tcBorders>
              <w:top w:val="single" w:sz="4" w:space="0" w:color="auto"/>
              <w:left w:val="single" w:sz="4" w:space="0" w:color="auto"/>
              <w:right w:val="single" w:sz="4" w:space="0" w:color="auto"/>
            </w:tcBorders>
            <w:shd w:val="clear" w:color="auto" w:fill="FFFFFF"/>
            <w:tcMar>
              <w:left w:w="80" w:type="dxa"/>
              <w:right w:w="80" w:type="dxa"/>
            </w:tcMar>
          </w:tcPr>
          <w:p w14:paraId="369A175E" w14:textId="77777777" w:rsidR="00B734A6" w:rsidRPr="00FA38C7" w:rsidRDefault="00B734A6" w:rsidP="00FA38C7">
            <w:pPr>
              <w:pStyle w:val="Tabletext1"/>
              <w:rPr>
                <w:rFonts w:ascii="Arial Narrow" w:hAnsi="Arial Narrow"/>
                <w:b/>
                <w:bCs/>
              </w:rPr>
            </w:pPr>
            <w:r w:rsidRPr="00FA38C7">
              <w:rPr>
                <w:rFonts w:ascii="Arial Narrow" w:hAnsi="Arial Narrow"/>
                <w:b/>
                <w:bCs/>
              </w:rPr>
              <w:t>MoCA (0-30) *</w:t>
            </w:r>
          </w:p>
        </w:tc>
        <w:tc>
          <w:tcPr>
            <w:tcW w:w="403" w:type="pct"/>
            <w:tcBorders>
              <w:left w:val="single" w:sz="4" w:space="0" w:color="auto"/>
            </w:tcBorders>
            <w:shd w:val="clear" w:color="auto" w:fill="FFFFFF"/>
            <w:tcMar>
              <w:left w:w="80" w:type="dxa"/>
              <w:right w:w="80" w:type="dxa"/>
            </w:tcMar>
            <w:vAlign w:val="center"/>
          </w:tcPr>
          <w:p w14:paraId="507F3568" w14:textId="77777777" w:rsidR="00B734A6" w:rsidRPr="00FA38C7" w:rsidRDefault="00B734A6" w:rsidP="00B734A6">
            <w:pPr>
              <w:pStyle w:val="Tabletext1"/>
              <w:rPr>
                <w:rFonts w:ascii="Arial Narrow" w:hAnsi="Arial Narrow"/>
              </w:rPr>
            </w:pPr>
            <w:r w:rsidRPr="00FA38C7">
              <w:rPr>
                <w:rFonts w:ascii="Arial Narrow" w:hAnsi="Arial Narrow"/>
              </w:rPr>
              <w:t>6 Months</w:t>
            </w:r>
          </w:p>
        </w:tc>
        <w:tc>
          <w:tcPr>
            <w:tcW w:w="662" w:type="pct"/>
            <w:shd w:val="clear" w:color="auto" w:fill="FFFFFF"/>
            <w:tcMar>
              <w:left w:w="80" w:type="dxa"/>
              <w:right w:w="80" w:type="dxa"/>
            </w:tcMar>
            <w:vAlign w:val="center"/>
          </w:tcPr>
          <w:p w14:paraId="3B30C2D4" w14:textId="77777777" w:rsidR="00B734A6" w:rsidRPr="00FA38C7" w:rsidRDefault="00B734A6" w:rsidP="00FA38C7">
            <w:pPr>
              <w:pStyle w:val="Tabletext1"/>
              <w:jc w:val="right"/>
              <w:rPr>
                <w:rFonts w:ascii="Arial Narrow" w:hAnsi="Arial Narrow"/>
                <w:b/>
                <w:bCs/>
              </w:rPr>
            </w:pPr>
            <w:r w:rsidRPr="00FA38C7">
              <w:rPr>
                <w:rFonts w:ascii="Arial Narrow" w:hAnsi="Arial Narrow"/>
                <w:b/>
                <w:bCs/>
              </w:rPr>
              <w:t>-0.63</w:t>
            </w:r>
          </w:p>
        </w:tc>
        <w:tc>
          <w:tcPr>
            <w:tcW w:w="603" w:type="pct"/>
            <w:shd w:val="clear" w:color="auto" w:fill="FFFFFF"/>
            <w:vAlign w:val="center"/>
          </w:tcPr>
          <w:p w14:paraId="58AF1602" w14:textId="77777777" w:rsidR="00B734A6" w:rsidRPr="00FA38C7" w:rsidRDefault="00B734A6" w:rsidP="00FA38C7">
            <w:pPr>
              <w:pStyle w:val="Tabletext1"/>
              <w:jc w:val="right"/>
              <w:rPr>
                <w:rFonts w:ascii="Arial Narrow" w:hAnsi="Arial Narrow"/>
                <w:b/>
                <w:bCs/>
              </w:rPr>
            </w:pPr>
            <w:r w:rsidRPr="00FA38C7">
              <w:rPr>
                <w:rFonts w:ascii="Arial Narrow" w:hAnsi="Arial Narrow"/>
                <w:b/>
                <w:bCs/>
              </w:rPr>
              <w:t>(4.07)</w:t>
            </w:r>
          </w:p>
        </w:tc>
        <w:tc>
          <w:tcPr>
            <w:tcW w:w="613" w:type="pct"/>
            <w:shd w:val="clear" w:color="auto" w:fill="FFFFFF"/>
            <w:tcMar>
              <w:left w:w="80" w:type="dxa"/>
              <w:right w:w="80" w:type="dxa"/>
            </w:tcMar>
            <w:vAlign w:val="center"/>
          </w:tcPr>
          <w:p w14:paraId="4FEC2025" w14:textId="77777777" w:rsidR="00B734A6" w:rsidRPr="00FA38C7" w:rsidRDefault="00B734A6" w:rsidP="00FA38C7">
            <w:pPr>
              <w:pStyle w:val="Tabletext1"/>
              <w:jc w:val="right"/>
              <w:rPr>
                <w:rFonts w:ascii="Arial Narrow" w:hAnsi="Arial Narrow"/>
                <w:b/>
                <w:bCs/>
              </w:rPr>
            </w:pPr>
            <w:r w:rsidRPr="00FA38C7">
              <w:rPr>
                <w:rFonts w:ascii="Arial Narrow" w:hAnsi="Arial Narrow"/>
                <w:b/>
                <w:bCs/>
              </w:rPr>
              <w:t>-1.46</w:t>
            </w:r>
          </w:p>
        </w:tc>
        <w:tc>
          <w:tcPr>
            <w:tcW w:w="538" w:type="pct"/>
            <w:shd w:val="clear" w:color="auto" w:fill="FFFFFF"/>
            <w:vAlign w:val="center"/>
          </w:tcPr>
          <w:p w14:paraId="309A07FB" w14:textId="77777777" w:rsidR="00B734A6" w:rsidRPr="00FA38C7" w:rsidRDefault="00B734A6" w:rsidP="00FA38C7">
            <w:pPr>
              <w:pStyle w:val="Tabletext1"/>
              <w:jc w:val="right"/>
              <w:rPr>
                <w:rFonts w:ascii="Arial Narrow" w:hAnsi="Arial Narrow"/>
                <w:b/>
                <w:bCs/>
              </w:rPr>
            </w:pPr>
            <w:r w:rsidRPr="00FA38C7">
              <w:rPr>
                <w:rFonts w:ascii="Arial Narrow" w:hAnsi="Arial Narrow"/>
                <w:b/>
                <w:bCs/>
              </w:rPr>
              <w:t>(3.73)</w:t>
            </w:r>
          </w:p>
        </w:tc>
        <w:tc>
          <w:tcPr>
            <w:tcW w:w="522" w:type="pct"/>
            <w:shd w:val="clear" w:color="auto" w:fill="FFFFFF"/>
            <w:tcMar>
              <w:left w:w="80" w:type="dxa"/>
              <w:right w:w="80" w:type="dxa"/>
            </w:tcMar>
            <w:vAlign w:val="center"/>
          </w:tcPr>
          <w:p w14:paraId="2030E82D" w14:textId="77777777" w:rsidR="00B734A6" w:rsidRPr="00FA38C7" w:rsidRDefault="00B734A6" w:rsidP="00FA38C7">
            <w:pPr>
              <w:pStyle w:val="Tabletext1"/>
              <w:jc w:val="right"/>
              <w:rPr>
                <w:rFonts w:ascii="Arial Narrow" w:hAnsi="Arial Narrow"/>
                <w:b/>
                <w:bCs/>
              </w:rPr>
            </w:pPr>
            <w:r w:rsidRPr="00FA38C7">
              <w:rPr>
                <w:rFonts w:ascii="Arial Narrow" w:hAnsi="Arial Narrow"/>
                <w:b/>
                <w:bCs/>
              </w:rPr>
              <w:t>0.84</w:t>
            </w:r>
          </w:p>
        </w:tc>
        <w:tc>
          <w:tcPr>
            <w:tcW w:w="554" w:type="pct"/>
            <w:shd w:val="clear" w:color="auto" w:fill="FFFFFF"/>
            <w:vAlign w:val="center"/>
          </w:tcPr>
          <w:p w14:paraId="0F47BE79" w14:textId="77777777" w:rsidR="00B734A6" w:rsidRPr="00FA38C7" w:rsidRDefault="00B734A6" w:rsidP="00FA38C7">
            <w:pPr>
              <w:pStyle w:val="Tabletext1"/>
              <w:jc w:val="right"/>
              <w:rPr>
                <w:rFonts w:ascii="Arial Narrow" w:hAnsi="Arial Narrow"/>
                <w:b/>
                <w:bCs/>
              </w:rPr>
            </w:pPr>
            <w:r w:rsidRPr="00FA38C7">
              <w:rPr>
                <w:rFonts w:ascii="Arial Narrow" w:hAnsi="Arial Narrow"/>
                <w:b/>
                <w:bCs/>
              </w:rPr>
              <w:t>(-0.46, 2.13)</w:t>
            </w:r>
          </w:p>
        </w:tc>
        <w:tc>
          <w:tcPr>
            <w:tcW w:w="345" w:type="pct"/>
            <w:shd w:val="clear" w:color="auto" w:fill="FFFFFF"/>
            <w:tcMar>
              <w:left w:w="80" w:type="dxa"/>
              <w:right w:w="80" w:type="dxa"/>
            </w:tcMar>
            <w:vAlign w:val="center"/>
          </w:tcPr>
          <w:p w14:paraId="4E62DD4E" w14:textId="77777777" w:rsidR="00B734A6" w:rsidRPr="00FA38C7" w:rsidRDefault="00B734A6" w:rsidP="00FA38C7">
            <w:pPr>
              <w:pStyle w:val="Tabletext1"/>
              <w:jc w:val="right"/>
              <w:rPr>
                <w:rFonts w:ascii="Arial Narrow" w:hAnsi="Arial Narrow"/>
                <w:b/>
                <w:bCs/>
              </w:rPr>
            </w:pPr>
            <w:r w:rsidRPr="00FA38C7">
              <w:rPr>
                <w:rFonts w:ascii="Arial Narrow" w:hAnsi="Arial Narrow"/>
                <w:b/>
                <w:bCs/>
              </w:rPr>
              <w:t>0.204</w:t>
            </w:r>
          </w:p>
        </w:tc>
      </w:tr>
      <w:tr w:rsidR="00B734A6" w:rsidRPr="00FA38C7" w14:paraId="6869B710" w14:textId="77777777" w:rsidTr="00FA38C7">
        <w:trPr>
          <w:cantSplit/>
          <w:jc w:val="center"/>
        </w:trPr>
        <w:tc>
          <w:tcPr>
            <w:tcW w:w="760" w:type="pct"/>
            <w:vMerge/>
            <w:tcBorders>
              <w:left w:val="single" w:sz="4" w:space="0" w:color="auto"/>
              <w:bottom w:val="single" w:sz="4" w:space="0" w:color="auto"/>
              <w:right w:val="single" w:sz="4" w:space="0" w:color="auto"/>
            </w:tcBorders>
            <w:shd w:val="clear" w:color="auto" w:fill="FFFFFF"/>
            <w:tcMar>
              <w:left w:w="80" w:type="dxa"/>
              <w:right w:w="80" w:type="dxa"/>
            </w:tcMar>
          </w:tcPr>
          <w:p w14:paraId="0525214C" w14:textId="40791331" w:rsidR="00B734A6" w:rsidRPr="00FA38C7" w:rsidRDefault="00B734A6" w:rsidP="00FA38C7">
            <w:pPr>
              <w:pStyle w:val="Tabletext1"/>
              <w:rPr>
                <w:rFonts w:ascii="Arial Narrow" w:hAnsi="Arial Narrow"/>
                <w:b/>
                <w:bCs/>
              </w:rPr>
            </w:pPr>
          </w:p>
        </w:tc>
        <w:tc>
          <w:tcPr>
            <w:tcW w:w="403" w:type="pct"/>
            <w:tcBorders>
              <w:left w:val="single" w:sz="4" w:space="0" w:color="auto"/>
            </w:tcBorders>
            <w:shd w:val="clear" w:color="auto" w:fill="FFFFFF"/>
            <w:tcMar>
              <w:left w:w="80" w:type="dxa"/>
              <w:right w:w="80" w:type="dxa"/>
            </w:tcMar>
            <w:vAlign w:val="center"/>
          </w:tcPr>
          <w:p w14:paraId="7C7B11D5" w14:textId="77777777" w:rsidR="00B734A6" w:rsidRPr="00FA38C7" w:rsidRDefault="00B734A6" w:rsidP="00B734A6">
            <w:pPr>
              <w:pStyle w:val="Tabletext1"/>
              <w:rPr>
                <w:rFonts w:ascii="Arial Narrow" w:hAnsi="Arial Narrow"/>
              </w:rPr>
            </w:pPr>
            <w:r w:rsidRPr="00FA38C7">
              <w:rPr>
                <w:rFonts w:ascii="Arial Narrow" w:hAnsi="Arial Narrow"/>
              </w:rPr>
              <w:t>12 Months</w:t>
            </w:r>
          </w:p>
        </w:tc>
        <w:tc>
          <w:tcPr>
            <w:tcW w:w="662" w:type="pct"/>
            <w:shd w:val="clear" w:color="auto" w:fill="FFFFFF"/>
            <w:tcMar>
              <w:left w:w="80" w:type="dxa"/>
              <w:right w:w="80" w:type="dxa"/>
            </w:tcMar>
            <w:vAlign w:val="center"/>
          </w:tcPr>
          <w:p w14:paraId="1868258C" w14:textId="77777777" w:rsidR="00B734A6" w:rsidRPr="00FA38C7" w:rsidRDefault="00B734A6" w:rsidP="00FA38C7">
            <w:pPr>
              <w:pStyle w:val="Tabletext1"/>
              <w:jc w:val="right"/>
              <w:rPr>
                <w:rFonts w:ascii="Arial Narrow" w:hAnsi="Arial Narrow"/>
                <w:b/>
                <w:bCs/>
              </w:rPr>
            </w:pPr>
            <w:r w:rsidRPr="00FA38C7">
              <w:rPr>
                <w:rFonts w:ascii="Arial Narrow" w:hAnsi="Arial Narrow"/>
                <w:b/>
                <w:bCs/>
              </w:rPr>
              <w:t>-1.89</w:t>
            </w:r>
          </w:p>
        </w:tc>
        <w:tc>
          <w:tcPr>
            <w:tcW w:w="603" w:type="pct"/>
            <w:shd w:val="clear" w:color="auto" w:fill="FFFFFF"/>
            <w:vAlign w:val="center"/>
          </w:tcPr>
          <w:p w14:paraId="6E75276D" w14:textId="77777777" w:rsidR="00B734A6" w:rsidRPr="00FA38C7" w:rsidRDefault="00B734A6" w:rsidP="00FA38C7">
            <w:pPr>
              <w:pStyle w:val="Tabletext1"/>
              <w:jc w:val="right"/>
              <w:rPr>
                <w:rFonts w:ascii="Arial Narrow" w:hAnsi="Arial Narrow"/>
                <w:b/>
                <w:bCs/>
              </w:rPr>
            </w:pPr>
            <w:r w:rsidRPr="00FA38C7">
              <w:rPr>
                <w:rFonts w:ascii="Arial Narrow" w:hAnsi="Arial Narrow"/>
                <w:b/>
                <w:bCs/>
              </w:rPr>
              <w:t>(4.87)</w:t>
            </w:r>
          </w:p>
        </w:tc>
        <w:tc>
          <w:tcPr>
            <w:tcW w:w="613" w:type="pct"/>
            <w:shd w:val="clear" w:color="auto" w:fill="FFFFFF"/>
            <w:tcMar>
              <w:left w:w="80" w:type="dxa"/>
              <w:right w:w="80" w:type="dxa"/>
            </w:tcMar>
            <w:vAlign w:val="center"/>
          </w:tcPr>
          <w:p w14:paraId="1F7669F3" w14:textId="77777777" w:rsidR="00B734A6" w:rsidRPr="00FA38C7" w:rsidRDefault="00B734A6" w:rsidP="00FA38C7">
            <w:pPr>
              <w:pStyle w:val="Tabletext1"/>
              <w:jc w:val="right"/>
              <w:rPr>
                <w:rFonts w:ascii="Arial Narrow" w:hAnsi="Arial Narrow"/>
                <w:b/>
                <w:bCs/>
              </w:rPr>
            </w:pPr>
            <w:r w:rsidRPr="00FA38C7">
              <w:rPr>
                <w:rFonts w:ascii="Arial Narrow" w:hAnsi="Arial Narrow"/>
                <w:b/>
                <w:bCs/>
              </w:rPr>
              <w:t>-3.16</w:t>
            </w:r>
          </w:p>
        </w:tc>
        <w:tc>
          <w:tcPr>
            <w:tcW w:w="538" w:type="pct"/>
            <w:shd w:val="clear" w:color="auto" w:fill="FFFFFF"/>
            <w:vAlign w:val="center"/>
          </w:tcPr>
          <w:p w14:paraId="1CCB51BE" w14:textId="77777777" w:rsidR="00B734A6" w:rsidRPr="00FA38C7" w:rsidRDefault="00B734A6" w:rsidP="00FA38C7">
            <w:pPr>
              <w:pStyle w:val="Tabletext1"/>
              <w:jc w:val="right"/>
              <w:rPr>
                <w:rFonts w:ascii="Arial Narrow" w:hAnsi="Arial Narrow"/>
                <w:b/>
                <w:bCs/>
              </w:rPr>
            </w:pPr>
            <w:r w:rsidRPr="00FA38C7">
              <w:rPr>
                <w:rFonts w:ascii="Arial Narrow" w:hAnsi="Arial Narrow"/>
                <w:b/>
                <w:bCs/>
              </w:rPr>
              <w:t>(5.88)</w:t>
            </w:r>
          </w:p>
        </w:tc>
        <w:tc>
          <w:tcPr>
            <w:tcW w:w="522" w:type="pct"/>
            <w:shd w:val="clear" w:color="auto" w:fill="FFFFFF"/>
            <w:tcMar>
              <w:left w:w="80" w:type="dxa"/>
              <w:right w:w="80" w:type="dxa"/>
            </w:tcMar>
            <w:vAlign w:val="center"/>
          </w:tcPr>
          <w:p w14:paraId="3F0B9DEC" w14:textId="77777777" w:rsidR="00B734A6" w:rsidRPr="00FA38C7" w:rsidRDefault="00B734A6" w:rsidP="00FA38C7">
            <w:pPr>
              <w:pStyle w:val="Tabletext1"/>
              <w:jc w:val="right"/>
              <w:rPr>
                <w:rFonts w:ascii="Arial Narrow" w:hAnsi="Arial Narrow"/>
                <w:b/>
                <w:bCs/>
              </w:rPr>
            </w:pPr>
            <w:r w:rsidRPr="00FA38C7">
              <w:rPr>
                <w:rFonts w:ascii="Arial Narrow" w:hAnsi="Arial Narrow"/>
                <w:b/>
                <w:bCs/>
              </w:rPr>
              <w:t>1.36</w:t>
            </w:r>
          </w:p>
        </w:tc>
        <w:tc>
          <w:tcPr>
            <w:tcW w:w="554" w:type="pct"/>
            <w:shd w:val="clear" w:color="auto" w:fill="FFFFFF"/>
            <w:vAlign w:val="center"/>
          </w:tcPr>
          <w:p w14:paraId="3BB62D8B" w14:textId="77777777" w:rsidR="00B734A6" w:rsidRPr="00FA38C7" w:rsidRDefault="00B734A6" w:rsidP="00FA38C7">
            <w:pPr>
              <w:pStyle w:val="Tabletext1"/>
              <w:jc w:val="right"/>
              <w:rPr>
                <w:rFonts w:ascii="Arial Narrow" w:hAnsi="Arial Narrow"/>
                <w:b/>
                <w:bCs/>
              </w:rPr>
            </w:pPr>
            <w:r w:rsidRPr="00FA38C7">
              <w:rPr>
                <w:rFonts w:ascii="Arial Narrow" w:hAnsi="Arial Narrow"/>
                <w:b/>
                <w:bCs/>
              </w:rPr>
              <w:t xml:space="preserve"> (0.01, 2.72)</w:t>
            </w:r>
          </w:p>
        </w:tc>
        <w:tc>
          <w:tcPr>
            <w:tcW w:w="345" w:type="pct"/>
            <w:shd w:val="clear" w:color="auto" w:fill="FFFFFF"/>
            <w:tcMar>
              <w:left w:w="80" w:type="dxa"/>
              <w:right w:w="80" w:type="dxa"/>
            </w:tcMar>
            <w:vAlign w:val="center"/>
          </w:tcPr>
          <w:p w14:paraId="56FDF9EC" w14:textId="77777777" w:rsidR="00B734A6" w:rsidRPr="00FA38C7" w:rsidRDefault="00B734A6" w:rsidP="00FA38C7">
            <w:pPr>
              <w:pStyle w:val="Tabletext1"/>
              <w:jc w:val="right"/>
              <w:rPr>
                <w:rFonts w:ascii="Arial Narrow" w:hAnsi="Arial Narrow"/>
                <w:b/>
                <w:bCs/>
              </w:rPr>
            </w:pPr>
            <w:r w:rsidRPr="00FA38C7">
              <w:rPr>
                <w:rFonts w:ascii="Arial Narrow" w:hAnsi="Arial Narrow"/>
                <w:b/>
                <w:bCs/>
              </w:rPr>
              <w:t>0.048</w:t>
            </w:r>
          </w:p>
        </w:tc>
      </w:tr>
      <w:tr w:rsidR="00FA38C7" w:rsidRPr="00FA38C7" w14:paraId="7B2748FC" w14:textId="77777777" w:rsidTr="00FA38C7">
        <w:trPr>
          <w:cantSplit/>
          <w:jc w:val="center"/>
        </w:trPr>
        <w:tc>
          <w:tcPr>
            <w:tcW w:w="760" w:type="pct"/>
            <w:vMerge w:val="restart"/>
            <w:tcBorders>
              <w:top w:val="single" w:sz="4" w:space="0" w:color="auto"/>
            </w:tcBorders>
            <w:shd w:val="clear" w:color="auto" w:fill="FFFFFF"/>
            <w:tcMar>
              <w:left w:w="80" w:type="dxa"/>
              <w:right w:w="80" w:type="dxa"/>
            </w:tcMar>
          </w:tcPr>
          <w:p w14:paraId="3AA0C2F8" w14:textId="77777777" w:rsidR="00FA38C7" w:rsidRPr="00FA38C7" w:rsidRDefault="00FA38C7" w:rsidP="00FA38C7">
            <w:pPr>
              <w:pStyle w:val="Tabletext1"/>
              <w:rPr>
                <w:rFonts w:ascii="Arial Narrow" w:hAnsi="Arial Narrow"/>
                <w:b/>
                <w:bCs/>
              </w:rPr>
            </w:pPr>
            <w:r w:rsidRPr="00FA38C7">
              <w:rPr>
                <w:rFonts w:ascii="Arial Narrow" w:hAnsi="Arial Narrow"/>
                <w:b/>
                <w:bCs/>
              </w:rPr>
              <w:t>Weight*</w:t>
            </w:r>
          </w:p>
        </w:tc>
        <w:tc>
          <w:tcPr>
            <w:tcW w:w="403" w:type="pct"/>
            <w:shd w:val="clear" w:color="auto" w:fill="FFFFFF"/>
            <w:tcMar>
              <w:left w:w="80" w:type="dxa"/>
              <w:right w:w="80" w:type="dxa"/>
            </w:tcMar>
            <w:vAlign w:val="center"/>
          </w:tcPr>
          <w:p w14:paraId="44647BFC" w14:textId="77777777" w:rsidR="00FA38C7" w:rsidRPr="00FA38C7" w:rsidRDefault="00FA38C7" w:rsidP="00B734A6">
            <w:pPr>
              <w:pStyle w:val="Tabletext1"/>
              <w:rPr>
                <w:rFonts w:ascii="Arial Narrow" w:hAnsi="Arial Narrow"/>
              </w:rPr>
            </w:pPr>
            <w:r w:rsidRPr="00FA38C7">
              <w:rPr>
                <w:rFonts w:ascii="Arial Narrow" w:hAnsi="Arial Narrow"/>
              </w:rPr>
              <w:t>6 Months</w:t>
            </w:r>
          </w:p>
        </w:tc>
        <w:tc>
          <w:tcPr>
            <w:tcW w:w="662" w:type="pct"/>
            <w:shd w:val="clear" w:color="auto" w:fill="FFFFFF"/>
            <w:tcMar>
              <w:left w:w="80" w:type="dxa"/>
              <w:right w:w="80" w:type="dxa"/>
            </w:tcMar>
            <w:vAlign w:val="center"/>
          </w:tcPr>
          <w:p w14:paraId="5DF54EDB" w14:textId="77777777" w:rsidR="00FA38C7" w:rsidRPr="00FA38C7" w:rsidRDefault="00FA38C7" w:rsidP="00FA38C7">
            <w:pPr>
              <w:pStyle w:val="Tabletext1"/>
              <w:jc w:val="right"/>
              <w:rPr>
                <w:rFonts w:ascii="Arial Narrow" w:hAnsi="Arial Narrow"/>
                <w:b/>
                <w:bCs/>
              </w:rPr>
            </w:pPr>
            <w:r w:rsidRPr="00FA38C7">
              <w:rPr>
                <w:rFonts w:ascii="Arial Narrow" w:hAnsi="Arial Narrow"/>
                <w:b/>
                <w:bCs/>
              </w:rPr>
              <w:t>-0.13 kg</w:t>
            </w:r>
          </w:p>
        </w:tc>
        <w:tc>
          <w:tcPr>
            <w:tcW w:w="603" w:type="pct"/>
            <w:shd w:val="clear" w:color="auto" w:fill="FFFFFF"/>
            <w:vAlign w:val="center"/>
          </w:tcPr>
          <w:p w14:paraId="26DF1F5F" w14:textId="77777777" w:rsidR="00FA38C7" w:rsidRPr="00FA38C7" w:rsidRDefault="00FA38C7" w:rsidP="00FA38C7">
            <w:pPr>
              <w:pStyle w:val="Tabletext1"/>
              <w:jc w:val="right"/>
              <w:rPr>
                <w:rFonts w:ascii="Arial Narrow" w:hAnsi="Arial Narrow"/>
                <w:b/>
                <w:bCs/>
              </w:rPr>
            </w:pPr>
            <w:r w:rsidRPr="00FA38C7">
              <w:rPr>
                <w:rFonts w:ascii="Arial Narrow" w:hAnsi="Arial Narrow"/>
                <w:b/>
                <w:bCs/>
              </w:rPr>
              <w:t>(3.47)</w:t>
            </w:r>
          </w:p>
        </w:tc>
        <w:tc>
          <w:tcPr>
            <w:tcW w:w="613" w:type="pct"/>
            <w:shd w:val="clear" w:color="auto" w:fill="FFFFFF"/>
            <w:tcMar>
              <w:left w:w="80" w:type="dxa"/>
              <w:right w:w="80" w:type="dxa"/>
            </w:tcMar>
            <w:vAlign w:val="center"/>
          </w:tcPr>
          <w:p w14:paraId="58C343FF" w14:textId="77777777" w:rsidR="00FA38C7" w:rsidRPr="00FA38C7" w:rsidRDefault="00FA38C7" w:rsidP="00FA38C7">
            <w:pPr>
              <w:pStyle w:val="Tabletext1"/>
              <w:jc w:val="right"/>
              <w:rPr>
                <w:rFonts w:ascii="Arial Narrow" w:hAnsi="Arial Narrow"/>
                <w:b/>
                <w:bCs/>
              </w:rPr>
            </w:pPr>
            <w:r w:rsidRPr="00FA38C7">
              <w:rPr>
                <w:rFonts w:ascii="Arial Narrow" w:hAnsi="Arial Narrow"/>
                <w:b/>
                <w:bCs/>
              </w:rPr>
              <w:t>1.14 kg</w:t>
            </w:r>
          </w:p>
        </w:tc>
        <w:tc>
          <w:tcPr>
            <w:tcW w:w="538" w:type="pct"/>
            <w:shd w:val="clear" w:color="auto" w:fill="FFFFFF"/>
            <w:vAlign w:val="center"/>
          </w:tcPr>
          <w:p w14:paraId="56146839" w14:textId="77777777" w:rsidR="00FA38C7" w:rsidRPr="00FA38C7" w:rsidRDefault="00FA38C7" w:rsidP="00FA38C7">
            <w:pPr>
              <w:pStyle w:val="Tabletext1"/>
              <w:jc w:val="right"/>
              <w:rPr>
                <w:rFonts w:ascii="Arial Narrow" w:hAnsi="Arial Narrow"/>
                <w:b/>
                <w:bCs/>
              </w:rPr>
            </w:pPr>
            <w:r w:rsidRPr="00FA38C7">
              <w:rPr>
                <w:rFonts w:ascii="Arial Narrow" w:hAnsi="Arial Narrow"/>
                <w:b/>
                <w:bCs/>
              </w:rPr>
              <w:t>(4.10)</w:t>
            </w:r>
          </w:p>
        </w:tc>
        <w:tc>
          <w:tcPr>
            <w:tcW w:w="522" w:type="pct"/>
            <w:shd w:val="clear" w:color="auto" w:fill="FFFFFF"/>
            <w:tcMar>
              <w:left w:w="80" w:type="dxa"/>
              <w:right w:w="80" w:type="dxa"/>
            </w:tcMar>
            <w:vAlign w:val="center"/>
          </w:tcPr>
          <w:p w14:paraId="67EF43B2" w14:textId="77777777" w:rsidR="00FA38C7" w:rsidRPr="00FA38C7" w:rsidRDefault="00FA38C7" w:rsidP="00FA38C7">
            <w:pPr>
              <w:pStyle w:val="Tabletext1"/>
              <w:jc w:val="right"/>
              <w:rPr>
                <w:rFonts w:ascii="Arial Narrow" w:hAnsi="Arial Narrow"/>
                <w:b/>
                <w:bCs/>
              </w:rPr>
            </w:pPr>
            <w:r w:rsidRPr="00FA38C7">
              <w:rPr>
                <w:rFonts w:ascii="Arial Narrow" w:hAnsi="Arial Narrow"/>
                <w:b/>
                <w:bCs/>
              </w:rPr>
              <w:t>-1.31 kg</w:t>
            </w:r>
          </w:p>
        </w:tc>
        <w:tc>
          <w:tcPr>
            <w:tcW w:w="554" w:type="pct"/>
            <w:shd w:val="clear" w:color="auto" w:fill="FFFFFF"/>
            <w:vAlign w:val="center"/>
          </w:tcPr>
          <w:p w14:paraId="61050091" w14:textId="77777777" w:rsidR="00FA38C7" w:rsidRPr="00FA38C7" w:rsidRDefault="00FA38C7" w:rsidP="00FA38C7">
            <w:pPr>
              <w:pStyle w:val="Tabletext1"/>
              <w:jc w:val="right"/>
              <w:rPr>
                <w:rFonts w:ascii="Arial Narrow" w:hAnsi="Arial Narrow"/>
                <w:b/>
                <w:bCs/>
              </w:rPr>
            </w:pPr>
            <w:r w:rsidRPr="00FA38C7">
              <w:rPr>
                <w:rFonts w:ascii="Arial Narrow" w:hAnsi="Arial Narrow"/>
                <w:b/>
                <w:bCs/>
              </w:rPr>
              <w:t>( -2.54, -0.07)</w:t>
            </w:r>
          </w:p>
        </w:tc>
        <w:tc>
          <w:tcPr>
            <w:tcW w:w="345" w:type="pct"/>
            <w:shd w:val="clear" w:color="auto" w:fill="FFFFFF"/>
            <w:tcMar>
              <w:left w:w="80" w:type="dxa"/>
              <w:right w:w="80" w:type="dxa"/>
            </w:tcMar>
            <w:vAlign w:val="center"/>
          </w:tcPr>
          <w:p w14:paraId="17F3B303" w14:textId="77777777" w:rsidR="00FA38C7" w:rsidRPr="00FA38C7" w:rsidRDefault="00FA38C7" w:rsidP="00FA38C7">
            <w:pPr>
              <w:pStyle w:val="Tabletext1"/>
              <w:jc w:val="right"/>
              <w:rPr>
                <w:rFonts w:ascii="Arial Narrow" w:hAnsi="Arial Narrow"/>
                <w:b/>
                <w:bCs/>
              </w:rPr>
            </w:pPr>
            <w:r w:rsidRPr="00FA38C7">
              <w:rPr>
                <w:rFonts w:ascii="Arial Narrow" w:hAnsi="Arial Narrow"/>
                <w:b/>
                <w:bCs/>
              </w:rPr>
              <w:t>0.039</w:t>
            </w:r>
          </w:p>
        </w:tc>
      </w:tr>
      <w:tr w:rsidR="00FA38C7" w:rsidRPr="00FA38C7" w14:paraId="18F3C959" w14:textId="77777777" w:rsidTr="00FA38C7">
        <w:trPr>
          <w:cantSplit/>
          <w:jc w:val="center"/>
        </w:trPr>
        <w:tc>
          <w:tcPr>
            <w:tcW w:w="760" w:type="pct"/>
            <w:vMerge/>
            <w:tcBorders>
              <w:bottom w:val="single" w:sz="4" w:space="0" w:color="auto"/>
            </w:tcBorders>
            <w:shd w:val="clear" w:color="auto" w:fill="FFFFFF"/>
            <w:tcMar>
              <w:left w:w="80" w:type="dxa"/>
              <w:right w:w="80" w:type="dxa"/>
            </w:tcMar>
          </w:tcPr>
          <w:p w14:paraId="2D27F604" w14:textId="3E65979C" w:rsidR="00FA38C7" w:rsidRPr="00FA38C7" w:rsidRDefault="00FA38C7" w:rsidP="00FA38C7">
            <w:pPr>
              <w:pStyle w:val="Tabletext1"/>
              <w:rPr>
                <w:rFonts w:ascii="Arial Narrow" w:hAnsi="Arial Narrow"/>
                <w:b/>
                <w:bCs/>
              </w:rPr>
            </w:pPr>
          </w:p>
        </w:tc>
        <w:tc>
          <w:tcPr>
            <w:tcW w:w="403" w:type="pct"/>
            <w:shd w:val="clear" w:color="auto" w:fill="FFFFFF"/>
            <w:tcMar>
              <w:left w:w="80" w:type="dxa"/>
              <w:right w:w="80" w:type="dxa"/>
            </w:tcMar>
            <w:vAlign w:val="center"/>
          </w:tcPr>
          <w:p w14:paraId="7115C4B4" w14:textId="77777777" w:rsidR="00FA38C7" w:rsidRPr="00FA38C7" w:rsidRDefault="00FA38C7" w:rsidP="00B734A6">
            <w:pPr>
              <w:pStyle w:val="Tabletext1"/>
              <w:rPr>
                <w:rFonts w:ascii="Arial Narrow" w:hAnsi="Arial Narrow"/>
              </w:rPr>
            </w:pPr>
            <w:r w:rsidRPr="00FA38C7">
              <w:rPr>
                <w:rFonts w:ascii="Arial Narrow" w:hAnsi="Arial Narrow"/>
              </w:rPr>
              <w:t>12 Months</w:t>
            </w:r>
          </w:p>
        </w:tc>
        <w:tc>
          <w:tcPr>
            <w:tcW w:w="662" w:type="pct"/>
            <w:shd w:val="clear" w:color="auto" w:fill="FFFFFF"/>
            <w:tcMar>
              <w:left w:w="80" w:type="dxa"/>
              <w:right w:w="80" w:type="dxa"/>
            </w:tcMar>
            <w:vAlign w:val="center"/>
          </w:tcPr>
          <w:p w14:paraId="6B2811A4" w14:textId="77777777" w:rsidR="00FA38C7" w:rsidRPr="00FA38C7" w:rsidRDefault="00FA38C7" w:rsidP="00FA38C7">
            <w:pPr>
              <w:pStyle w:val="Tabletext1"/>
              <w:jc w:val="right"/>
              <w:rPr>
                <w:rFonts w:ascii="Arial Narrow" w:hAnsi="Arial Narrow"/>
                <w:b/>
                <w:bCs/>
              </w:rPr>
            </w:pPr>
            <w:r w:rsidRPr="00FA38C7">
              <w:rPr>
                <w:rFonts w:ascii="Arial Narrow" w:hAnsi="Arial Narrow"/>
                <w:b/>
                <w:bCs/>
              </w:rPr>
              <w:t>-0.21 kg</w:t>
            </w:r>
          </w:p>
        </w:tc>
        <w:tc>
          <w:tcPr>
            <w:tcW w:w="603" w:type="pct"/>
            <w:shd w:val="clear" w:color="auto" w:fill="FFFFFF"/>
            <w:vAlign w:val="center"/>
          </w:tcPr>
          <w:p w14:paraId="7B39C247" w14:textId="77777777" w:rsidR="00FA38C7" w:rsidRPr="00FA38C7" w:rsidRDefault="00FA38C7" w:rsidP="00FA38C7">
            <w:pPr>
              <w:pStyle w:val="Tabletext1"/>
              <w:jc w:val="right"/>
              <w:rPr>
                <w:rFonts w:ascii="Arial Narrow" w:hAnsi="Arial Narrow"/>
                <w:b/>
                <w:bCs/>
              </w:rPr>
            </w:pPr>
            <w:r w:rsidRPr="00FA38C7">
              <w:rPr>
                <w:rFonts w:ascii="Arial Narrow" w:hAnsi="Arial Narrow"/>
                <w:b/>
                <w:bCs/>
              </w:rPr>
              <w:t>(5.57)</w:t>
            </w:r>
          </w:p>
        </w:tc>
        <w:tc>
          <w:tcPr>
            <w:tcW w:w="613" w:type="pct"/>
            <w:shd w:val="clear" w:color="auto" w:fill="FFFFFF"/>
            <w:tcMar>
              <w:left w:w="80" w:type="dxa"/>
              <w:right w:w="80" w:type="dxa"/>
            </w:tcMar>
            <w:vAlign w:val="center"/>
          </w:tcPr>
          <w:p w14:paraId="71DF07D0" w14:textId="77777777" w:rsidR="00FA38C7" w:rsidRPr="00FA38C7" w:rsidRDefault="00FA38C7" w:rsidP="00FA38C7">
            <w:pPr>
              <w:pStyle w:val="Tabletext1"/>
              <w:jc w:val="right"/>
              <w:rPr>
                <w:rFonts w:ascii="Arial Narrow" w:hAnsi="Arial Narrow"/>
                <w:b/>
                <w:bCs/>
              </w:rPr>
            </w:pPr>
            <w:r w:rsidRPr="00FA38C7">
              <w:rPr>
                <w:rFonts w:ascii="Arial Narrow" w:hAnsi="Arial Narrow"/>
                <w:b/>
                <w:bCs/>
              </w:rPr>
              <w:t>0.85 kg</w:t>
            </w:r>
          </w:p>
        </w:tc>
        <w:tc>
          <w:tcPr>
            <w:tcW w:w="538" w:type="pct"/>
            <w:shd w:val="clear" w:color="auto" w:fill="FFFFFF"/>
            <w:vAlign w:val="center"/>
          </w:tcPr>
          <w:p w14:paraId="143BB7AB" w14:textId="77777777" w:rsidR="00FA38C7" w:rsidRPr="00FA38C7" w:rsidRDefault="00FA38C7" w:rsidP="00FA38C7">
            <w:pPr>
              <w:pStyle w:val="Tabletext1"/>
              <w:jc w:val="right"/>
              <w:rPr>
                <w:rFonts w:ascii="Arial Narrow" w:hAnsi="Arial Narrow"/>
                <w:b/>
                <w:bCs/>
              </w:rPr>
            </w:pPr>
            <w:r w:rsidRPr="00FA38C7">
              <w:rPr>
                <w:rFonts w:ascii="Arial Narrow" w:hAnsi="Arial Narrow"/>
                <w:b/>
                <w:bCs/>
              </w:rPr>
              <w:t>(5.22)</w:t>
            </w:r>
          </w:p>
        </w:tc>
        <w:tc>
          <w:tcPr>
            <w:tcW w:w="522" w:type="pct"/>
            <w:shd w:val="clear" w:color="auto" w:fill="FFFFFF"/>
            <w:tcMar>
              <w:left w:w="80" w:type="dxa"/>
              <w:right w:w="80" w:type="dxa"/>
            </w:tcMar>
            <w:vAlign w:val="center"/>
          </w:tcPr>
          <w:p w14:paraId="5201CD66" w14:textId="77777777" w:rsidR="00FA38C7" w:rsidRPr="00FA38C7" w:rsidRDefault="00FA38C7" w:rsidP="00FA38C7">
            <w:pPr>
              <w:pStyle w:val="Tabletext1"/>
              <w:jc w:val="right"/>
              <w:rPr>
                <w:rFonts w:ascii="Arial Narrow" w:hAnsi="Arial Narrow"/>
                <w:b/>
                <w:bCs/>
              </w:rPr>
            </w:pPr>
            <w:r w:rsidRPr="00FA38C7">
              <w:rPr>
                <w:rFonts w:ascii="Arial Narrow" w:hAnsi="Arial Narrow"/>
                <w:b/>
                <w:bCs/>
              </w:rPr>
              <w:t>-1.34 kg</w:t>
            </w:r>
          </w:p>
        </w:tc>
        <w:tc>
          <w:tcPr>
            <w:tcW w:w="554" w:type="pct"/>
            <w:shd w:val="clear" w:color="auto" w:fill="FFFFFF"/>
            <w:vAlign w:val="center"/>
          </w:tcPr>
          <w:p w14:paraId="2A319753" w14:textId="77777777" w:rsidR="00FA38C7" w:rsidRPr="00FA38C7" w:rsidRDefault="00FA38C7" w:rsidP="00FA38C7">
            <w:pPr>
              <w:pStyle w:val="Tabletext1"/>
              <w:jc w:val="right"/>
              <w:rPr>
                <w:rFonts w:ascii="Arial Narrow" w:hAnsi="Arial Narrow"/>
                <w:b/>
                <w:bCs/>
              </w:rPr>
            </w:pPr>
            <w:r w:rsidRPr="00FA38C7">
              <w:rPr>
                <w:rFonts w:ascii="Arial Narrow" w:hAnsi="Arial Narrow"/>
                <w:b/>
                <w:bCs/>
              </w:rPr>
              <w:t>( -2.60, -0.09)</w:t>
            </w:r>
          </w:p>
        </w:tc>
        <w:tc>
          <w:tcPr>
            <w:tcW w:w="345" w:type="pct"/>
            <w:shd w:val="clear" w:color="auto" w:fill="FFFFFF"/>
            <w:tcMar>
              <w:left w:w="80" w:type="dxa"/>
              <w:right w:w="80" w:type="dxa"/>
            </w:tcMar>
            <w:vAlign w:val="center"/>
          </w:tcPr>
          <w:p w14:paraId="4B8719C0" w14:textId="77777777" w:rsidR="00FA38C7" w:rsidRPr="00FA38C7" w:rsidRDefault="00FA38C7" w:rsidP="00FA38C7">
            <w:pPr>
              <w:pStyle w:val="Tabletext1"/>
              <w:jc w:val="right"/>
              <w:rPr>
                <w:rFonts w:ascii="Arial Narrow" w:hAnsi="Arial Narrow"/>
                <w:b/>
                <w:bCs/>
              </w:rPr>
            </w:pPr>
            <w:r w:rsidRPr="00FA38C7">
              <w:rPr>
                <w:rFonts w:ascii="Arial Narrow" w:hAnsi="Arial Narrow"/>
                <w:b/>
                <w:bCs/>
              </w:rPr>
              <w:t>0.035</w:t>
            </w:r>
          </w:p>
        </w:tc>
      </w:tr>
      <w:tr w:rsidR="00FA38C7" w:rsidRPr="00FA38C7" w14:paraId="70816A5C" w14:textId="77777777" w:rsidTr="00FA38C7">
        <w:trPr>
          <w:cantSplit/>
          <w:jc w:val="center"/>
        </w:trPr>
        <w:tc>
          <w:tcPr>
            <w:tcW w:w="760" w:type="pct"/>
            <w:vMerge w:val="restart"/>
            <w:shd w:val="clear" w:color="auto" w:fill="FFFFFF"/>
            <w:tcMar>
              <w:left w:w="80" w:type="dxa"/>
              <w:right w:w="80" w:type="dxa"/>
            </w:tcMar>
          </w:tcPr>
          <w:p w14:paraId="5B8012B4" w14:textId="77777777" w:rsidR="00FA38C7" w:rsidRPr="00FA38C7" w:rsidRDefault="00FA38C7" w:rsidP="00FA38C7">
            <w:pPr>
              <w:pStyle w:val="Tabletext1"/>
              <w:rPr>
                <w:rFonts w:ascii="Arial Narrow" w:hAnsi="Arial Narrow"/>
                <w:b/>
                <w:bCs/>
              </w:rPr>
            </w:pPr>
            <w:r w:rsidRPr="00FA38C7">
              <w:rPr>
                <w:rFonts w:ascii="Arial Narrow" w:hAnsi="Arial Narrow"/>
                <w:b/>
                <w:bCs/>
              </w:rPr>
              <w:t>Grip Strength*</w:t>
            </w:r>
          </w:p>
        </w:tc>
        <w:tc>
          <w:tcPr>
            <w:tcW w:w="403" w:type="pct"/>
            <w:shd w:val="clear" w:color="auto" w:fill="FFFFFF"/>
            <w:tcMar>
              <w:left w:w="80" w:type="dxa"/>
              <w:right w:w="80" w:type="dxa"/>
            </w:tcMar>
            <w:vAlign w:val="center"/>
          </w:tcPr>
          <w:p w14:paraId="5B5A6625" w14:textId="77777777" w:rsidR="00FA38C7" w:rsidRPr="00FA38C7" w:rsidRDefault="00FA38C7" w:rsidP="00B734A6">
            <w:pPr>
              <w:pStyle w:val="Tabletext1"/>
              <w:rPr>
                <w:rFonts w:ascii="Arial Narrow" w:hAnsi="Arial Narrow"/>
              </w:rPr>
            </w:pPr>
            <w:r w:rsidRPr="00FA38C7">
              <w:rPr>
                <w:rFonts w:ascii="Arial Narrow" w:hAnsi="Arial Narrow"/>
              </w:rPr>
              <w:t>6 Months</w:t>
            </w:r>
          </w:p>
        </w:tc>
        <w:tc>
          <w:tcPr>
            <w:tcW w:w="662" w:type="pct"/>
            <w:shd w:val="clear" w:color="auto" w:fill="FFFFFF"/>
            <w:tcMar>
              <w:left w:w="80" w:type="dxa"/>
              <w:right w:w="80" w:type="dxa"/>
            </w:tcMar>
            <w:vAlign w:val="center"/>
          </w:tcPr>
          <w:p w14:paraId="360D82B7" w14:textId="77777777" w:rsidR="00FA38C7" w:rsidRPr="00FA38C7" w:rsidRDefault="00FA38C7" w:rsidP="00FA38C7">
            <w:pPr>
              <w:pStyle w:val="Tabletext1"/>
              <w:jc w:val="right"/>
              <w:rPr>
                <w:rFonts w:ascii="Arial Narrow" w:hAnsi="Arial Narrow"/>
              </w:rPr>
            </w:pPr>
            <w:r w:rsidRPr="00FA38C7">
              <w:rPr>
                <w:rFonts w:ascii="Arial Narrow" w:hAnsi="Arial Narrow"/>
              </w:rPr>
              <w:t>0.17 kg</w:t>
            </w:r>
          </w:p>
        </w:tc>
        <w:tc>
          <w:tcPr>
            <w:tcW w:w="603" w:type="pct"/>
            <w:shd w:val="clear" w:color="auto" w:fill="FFFFFF"/>
            <w:vAlign w:val="center"/>
          </w:tcPr>
          <w:p w14:paraId="3F5C8830" w14:textId="77777777" w:rsidR="00FA38C7" w:rsidRPr="00FA38C7" w:rsidRDefault="00FA38C7" w:rsidP="00FA38C7">
            <w:pPr>
              <w:pStyle w:val="Tabletext1"/>
              <w:jc w:val="right"/>
              <w:rPr>
                <w:rFonts w:ascii="Arial Narrow" w:hAnsi="Arial Narrow"/>
              </w:rPr>
            </w:pPr>
            <w:r w:rsidRPr="00FA38C7">
              <w:rPr>
                <w:rFonts w:ascii="Arial Narrow" w:hAnsi="Arial Narrow"/>
              </w:rPr>
              <w:t>(3.91)</w:t>
            </w:r>
          </w:p>
        </w:tc>
        <w:tc>
          <w:tcPr>
            <w:tcW w:w="613" w:type="pct"/>
            <w:shd w:val="clear" w:color="auto" w:fill="FFFFFF"/>
            <w:tcMar>
              <w:left w:w="80" w:type="dxa"/>
              <w:right w:w="80" w:type="dxa"/>
            </w:tcMar>
            <w:vAlign w:val="center"/>
          </w:tcPr>
          <w:p w14:paraId="5BE16DE1" w14:textId="77777777" w:rsidR="00FA38C7" w:rsidRPr="00FA38C7" w:rsidRDefault="00FA38C7" w:rsidP="00FA38C7">
            <w:pPr>
              <w:pStyle w:val="Tabletext1"/>
              <w:jc w:val="right"/>
              <w:rPr>
                <w:rFonts w:ascii="Arial Narrow" w:hAnsi="Arial Narrow"/>
              </w:rPr>
            </w:pPr>
            <w:r w:rsidRPr="00FA38C7">
              <w:rPr>
                <w:rFonts w:ascii="Arial Narrow" w:hAnsi="Arial Narrow"/>
              </w:rPr>
              <w:t>0.32 kg</w:t>
            </w:r>
          </w:p>
        </w:tc>
        <w:tc>
          <w:tcPr>
            <w:tcW w:w="538" w:type="pct"/>
            <w:shd w:val="clear" w:color="auto" w:fill="FFFFFF"/>
            <w:vAlign w:val="center"/>
          </w:tcPr>
          <w:p w14:paraId="724145C6" w14:textId="77777777" w:rsidR="00FA38C7" w:rsidRPr="00FA38C7" w:rsidRDefault="00FA38C7" w:rsidP="00FA38C7">
            <w:pPr>
              <w:pStyle w:val="Tabletext1"/>
              <w:jc w:val="right"/>
              <w:rPr>
                <w:rFonts w:ascii="Arial Narrow" w:hAnsi="Arial Narrow"/>
              </w:rPr>
            </w:pPr>
            <w:r w:rsidRPr="00FA38C7">
              <w:rPr>
                <w:rFonts w:ascii="Arial Narrow" w:hAnsi="Arial Narrow"/>
              </w:rPr>
              <w:t>(3.51)</w:t>
            </w:r>
          </w:p>
        </w:tc>
        <w:tc>
          <w:tcPr>
            <w:tcW w:w="522" w:type="pct"/>
            <w:shd w:val="clear" w:color="auto" w:fill="FFFFFF"/>
            <w:tcMar>
              <w:left w:w="80" w:type="dxa"/>
              <w:right w:w="80" w:type="dxa"/>
            </w:tcMar>
            <w:vAlign w:val="center"/>
          </w:tcPr>
          <w:p w14:paraId="4D1EB27E" w14:textId="77777777" w:rsidR="00FA38C7" w:rsidRPr="00FA38C7" w:rsidRDefault="00FA38C7" w:rsidP="00FA38C7">
            <w:pPr>
              <w:pStyle w:val="Tabletext1"/>
              <w:jc w:val="right"/>
              <w:rPr>
                <w:rFonts w:ascii="Arial Narrow" w:hAnsi="Arial Narrow"/>
              </w:rPr>
            </w:pPr>
            <w:r w:rsidRPr="00FA38C7">
              <w:rPr>
                <w:rFonts w:ascii="Arial Narrow" w:hAnsi="Arial Narrow"/>
              </w:rPr>
              <w:t>-0.37 kg</w:t>
            </w:r>
          </w:p>
        </w:tc>
        <w:tc>
          <w:tcPr>
            <w:tcW w:w="554" w:type="pct"/>
            <w:shd w:val="clear" w:color="auto" w:fill="FFFFFF"/>
            <w:vAlign w:val="center"/>
          </w:tcPr>
          <w:p w14:paraId="2DB26577" w14:textId="77777777" w:rsidR="00FA38C7" w:rsidRPr="00FA38C7" w:rsidRDefault="00FA38C7" w:rsidP="00FA38C7">
            <w:pPr>
              <w:pStyle w:val="Tabletext1"/>
              <w:jc w:val="right"/>
              <w:rPr>
                <w:rFonts w:ascii="Arial Narrow" w:hAnsi="Arial Narrow"/>
              </w:rPr>
            </w:pPr>
            <w:r w:rsidRPr="00FA38C7">
              <w:rPr>
                <w:rFonts w:ascii="Arial Narrow" w:hAnsi="Arial Narrow"/>
              </w:rPr>
              <w:t>( -1.44, 0.70)</w:t>
            </w:r>
          </w:p>
        </w:tc>
        <w:tc>
          <w:tcPr>
            <w:tcW w:w="345" w:type="pct"/>
            <w:shd w:val="clear" w:color="auto" w:fill="FFFFFF"/>
            <w:tcMar>
              <w:left w:w="80" w:type="dxa"/>
              <w:right w:w="80" w:type="dxa"/>
            </w:tcMar>
            <w:vAlign w:val="center"/>
          </w:tcPr>
          <w:p w14:paraId="2FEB49F8" w14:textId="77777777" w:rsidR="00FA38C7" w:rsidRPr="00FA38C7" w:rsidRDefault="00FA38C7" w:rsidP="00FA38C7">
            <w:pPr>
              <w:pStyle w:val="Tabletext1"/>
              <w:jc w:val="right"/>
              <w:rPr>
                <w:rFonts w:ascii="Arial Narrow" w:hAnsi="Arial Narrow"/>
              </w:rPr>
            </w:pPr>
            <w:r w:rsidRPr="00FA38C7">
              <w:rPr>
                <w:rFonts w:ascii="Arial Narrow" w:hAnsi="Arial Narrow"/>
              </w:rPr>
              <w:t>0.495</w:t>
            </w:r>
          </w:p>
        </w:tc>
      </w:tr>
      <w:tr w:rsidR="00FA38C7" w:rsidRPr="00FA38C7" w14:paraId="548B42F4" w14:textId="77777777" w:rsidTr="00FA38C7">
        <w:trPr>
          <w:cantSplit/>
          <w:jc w:val="center"/>
        </w:trPr>
        <w:tc>
          <w:tcPr>
            <w:tcW w:w="760" w:type="pct"/>
            <w:vMerge/>
            <w:tcBorders>
              <w:bottom w:val="single" w:sz="4" w:space="0" w:color="auto"/>
            </w:tcBorders>
            <w:shd w:val="clear" w:color="auto" w:fill="FFFFFF"/>
            <w:tcMar>
              <w:left w:w="80" w:type="dxa"/>
              <w:right w:w="80" w:type="dxa"/>
            </w:tcMar>
          </w:tcPr>
          <w:p w14:paraId="2FDA3F43" w14:textId="5A761C2E" w:rsidR="00FA38C7" w:rsidRPr="00FA38C7" w:rsidRDefault="00FA38C7" w:rsidP="00FA38C7">
            <w:pPr>
              <w:pStyle w:val="Tabletext1"/>
              <w:rPr>
                <w:rFonts w:ascii="Arial Narrow" w:hAnsi="Arial Narrow"/>
                <w:b/>
                <w:bCs/>
              </w:rPr>
            </w:pPr>
          </w:p>
        </w:tc>
        <w:tc>
          <w:tcPr>
            <w:tcW w:w="403" w:type="pct"/>
            <w:shd w:val="clear" w:color="auto" w:fill="FFFFFF"/>
            <w:tcMar>
              <w:left w:w="80" w:type="dxa"/>
              <w:right w:w="80" w:type="dxa"/>
            </w:tcMar>
            <w:vAlign w:val="center"/>
          </w:tcPr>
          <w:p w14:paraId="62B9C049" w14:textId="77777777" w:rsidR="00FA38C7" w:rsidRPr="00FA38C7" w:rsidRDefault="00FA38C7" w:rsidP="00B734A6">
            <w:pPr>
              <w:pStyle w:val="Tabletext1"/>
              <w:rPr>
                <w:rFonts w:ascii="Arial Narrow" w:hAnsi="Arial Narrow"/>
              </w:rPr>
            </w:pPr>
            <w:r w:rsidRPr="00FA38C7">
              <w:rPr>
                <w:rFonts w:ascii="Arial Narrow" w:hAnsi="Arial Narrow"/>
              </w:rPr>
              <w:t>12 Months</w:t>
            </w:r>
          </w:p>
        </w:tc>
        <w:tc>
          <w:tcPr>
            <w:tcW w:w="662" w:type="pct"/>
            <w:shd w:val="clear" w:color="auto" w:fill="FFFFFF"/>
            <w:tcMar>
              <w:left w:w="80" w:type="dxa"/>
              <w:right w:w="80" w:type="dxa"/>
            </w:tcMar>
            <w:vAlign w:val="center"/>
          </w:tcPr>
          <w:p w14:paraId="0B128D49" w14:textId="77777777" w:rsidR="00FA38C7" w:rsidRPr="00FA38C7" w:rsidRDefault="00FA38C7" w:rsidP="00FA38C7">
            <w:pPr>
              <w:pStyle w:val="Tabletext1"/>
              <w:jc w:val="right"/>
              <w:rPr>
                <w:rFonts w:ascii="Arial Narrow" w:hAnsi="Arial Narrow"/>
              </w:rPr>
            </w:pPr>
            <w:r w:rsidRPr="00FA38C7">
              <w:rPr>
                <w:rFonts w:ascii="Arial Narrow" w:hAnsi="Arial Narrow"/>
              </w:rPr>
              <w:t>0.53 kg</w:t>
            </w:r>
          </w:p>
        </w:tc>
        <w:tc>
          <w:tcPr>
            <w:tcW w:w="603" w:type="pct"/>
            <w:shd w:val="clear" w:color="auto" w:fill="FFFFFF"/>
            <w:vAlign w:val="center"/>
          </w:tcPr>
          <w:p w14:paraId="61C2D80C" w14:textId="77777777" w:rsidR="00FA38C7" w:rsidRPr="00FA38C7" w:rsidRDefault="00FA38C7" w:rsidP="00FA38C7">
            <w:pPr>
              <w:pStyle w:val="Tabletext1"/>
              <w:jc w:val="right"/>
              <w:rPr>
                <w:rFonts w:ascii="Arial Narrow" w:hAnsi="Arial Narrow"/>
              </w:rPr>
            </w:pPr>
            <w:r w:rsidRPr="00FA38C7">
              <w:rPr>
                <w:rFonts w:ascii="Arial Narrow" w:hAnsi="Arial Narrow"/>
              </w:rPr>
              <w:t>(4.53)</w:t>
            </w:r>
          </w:p>
        </w:tc>
        <w:tc>
          <w:tcPr>
            <w:tcW w:w="613" w:type="pct"/>
            <w:shd w:val="clear" w:color="auto" w:fill="FFFFFF"/>
            <w:tcMar>
              <w:left w:w="80" w:type="dxa"/>
              <w:right w:w="80" w:type="dxa"/>
            </w:tcMar>
            <w:vAlign w:val="center"/>
          </w:tcPr>
          <w:p w14:paraId="0AE73CD9" w14:textId="77777777" w:rsidR="00FA38C7" w:rsidRPr="00FA38C7" w:rsidRDefault="00FA38C7" w:rsidP="00FA38C7">
            <w:pPr>
              <w:pStyle w:val="Tabletext1"/>
              <w:jc w:val="right"/>
              <w:rPr>
                <w:rFonts w:ascii="Arial Narrow" w:hAnsi="Arial Narrow"/>
              </w:rPr>
            </w:pPr>
            <w:r w:rsidRPr="00FA38C7">
              <w:rPr>
                <w:rFonts w:ascii="Arial Narrow" w:hAnsi="Arial Narrow"/>
              </w:rPr>
              <w:t>-0.15 kg</w:t>
            </w:r>
          </w:p>
        </w:tc>
        <w:tc>
          <w:tcPr>
            <w:tcW w:w="538" w:type="pct"/>
            <w:shd w:val="clear" w:color="auto" w:fill="FFFFFF"/>
            <w:vAlign w:val="center"/>
          </w:tcPr>
          <w:p w14:paraId="6416074E" w14:textId="77777777" w:rsidR="00FA38C7" w:rsidRPr="00FA38C7" w:rsidRDefault="00FA38C7" w:rsidP="00FA38C7">
            <w:pPr>
              <w:pStyle w:val="Tabletext1"/>
              <w:jc w:val="right"/>
              <w:rPr>
                <w:rFonts w:ascii="Arial Narrow" w:hAnsi="Arial Narrow"/>
              </w:rPr>
            </w:pPr>
            <w:r w:rsidRPr="00FA38C7">
              <w:rPr>
                <w:rFonts w:ascii="Arial Narrow" w:hAnsi="Arial Narrow"/>
              </w:rPr>
              <w:t>(4.07)</w:t>
            </w:r>
          </w:p>
        </w:tc>
        <w:tc>
          <w:tcPr>
            <w:tcW w:w="522" w:type="pct"/>
            <w:shd w:val="clear" w:color="auto" w:fill="FFFFFF"/>
            <w:tcMar>
              <w:left w:w="80" w:type="dxa"/>
              <w:right w:w="80" w:type="dxa"/>
            </w:tcMar>
            <w:vAlign w:val="center"/>
          </w:tcPr>
          <w:p w14:paraId="3C231733" w14:textId="77777777" w:rsidR="00FA38C7" w:rsidRPr="00FA38C7" w:rsidRDefault="00FA38C7" w:rsidP="00FA38C7">
            <w:pPr>
              <w:pStyle w:val="Tabletext1"/>
              <w:jc w:val="right"/>
              <w:rPr>
                <w:rFonts w:ascii="Arial Narrow" w:hAnsi="Arial Narrow"/>
              </w:rPr>
            </w:pPr>
            <w:r w:rsidRPr="00FA38C7">
              <w:rPr>
                <w:rFonts w:ascii="Arial Narrow" w:hAnsi="Arial Narrow"/>
              </w:rPr>
              <w:t>0.47 kg</w:t>
            </w:r>
          </w:p>
        </w:tc>
        <w:tc>
          <w:tcPr>
            <w:tcW w:w="554" w:type="pct"/>
            <w:shd w:val="clear" w:color="auto" w:fill="FFFFFF"/>
            <w:vAlign w:val="center"/>
          </w:tcPr>
          <w:p w14:paraId="293DCD88" w14:textId="77777777" w:rsidR="00FA38C7" w:rsidRPr="00FA38C7" w:rsidRDefault="00FA38C7" w:rsidP="00FA38C7">
            <w:pPr>
              <w:pStyle w:val="Tabletext1"/>
              <w:jc w:val="right"/>
              <w:rPr>
                <w:rFonts w:ascii="Arial Narrow" w:hAnsi="Arial Narrow"/>
              </w:rPr>
            </w:pPr>
            <w:r w:rsidRPr="00FA38C7">
              <w:rPr>
                <w:rFonts w:ascii="Arial Narrow" w:hAnsi="Arial Narrow"/>
              </w:rPr>
              <w:t>( -0.71, 1.66)</w:t>
            </w:r>
          </w:p>
        </w:tc>
        <w:tc>
          <w:tcPr>
            <w:tcW w:w="345" w:type="pct"/>
            <w:shd w:val="clear" w:color="auto" w:fill="FFFFFF"/>
            <w:tcMar>
              <w:left w:w="80" w:type="dxa"/>
              <w:right w:w="80" w:type="dxa"/>
            </w:tcMar>
            <w:vAlign w:val="center"/>
          </w:tcPr>
          <w:p w14:paraId="43029141" w14:textId="77777777" w:rsidR="00FA38C7" w:rsidRPr="00FA38C7" w:rsidRDefault="00FA38C7" w:rsidP="00FA38C7">
            <w:pPr>
              <w:pStyle w:val="Tabletext1"/>
              <w:jc w:val="right"/>
              <w:rPr>
                <w:rFonts w:ascii="Arial Narrow" w:hAnsi="Arial Narrow"/>
              </w:rPr>
            </w:pPr>
            <w:r w:rsidRPr="00FA38C7">
              <w:rPr>
                <w:rFonts w:ascii="Arial Narrow" w:hAnsi="Arial Narrow"/>
              </w:rPr>
              <w:t>0.433</w:t>
            </w:r>
          </w:p>
        </w:tc>
      </w:tr>
      <w:tr w:rsidR="00FA38C7" w:rsidRPr="00FA38C7" w14:paraId="75EF9D1A" w14:textId="77777777" w:rsidTr="00FA38C7">
        <w:trPr>
          <w:cantSplit/>
          <w:jc w:val="center"/>
        </w:trPr>
        <w:tc>
          <w:tcPr>
            <w:tcW w:w="760" w:type="pct"/>
            <w:vMerge w:val="restart"/>
            <w:shd w:val="clear" w:color="auto" w:fill="FFFFFF"/>
            <w:tcMar>
              <w:left w:w="80" w:type="dxa"/>
              <w:right w:w="80" w:type="dxa"/>
            </w:tcMar>
          </w:tcPr>
          <w:p w14:paraId="7D946A65" w14:textId="77777777" w:rsidR="00FA38C7" w:rsidRPr="00FA38C7" w:rsidRDefault="00FA38C7" w:rsidP="00FA38C7">
            <w:pPr>
              <w:pStyle w:val="Tabletext1"/>
              <w:rPr>
                <w:rFonts w:ascii="Arial Narrow" w:hAnsi="Arial Narrow"/>
                <w:b/>
                <w:bCs/>
              </w:rPr>
            </w:pPr>
            <w:r w:rsidRPr="00FA38C7">
              <w:rPr>
                <w:rFonts w:ascii="Arial Narrow" w:hAnsi="Arial Narrow"/>
                <w:b/>
                <w:bCs/>
              </w:rPr>
              <w:t>EQ-5D*</w:t>
            </w:r>
          </w:p>
        </w:tc>
        <w:tc>
          <w:tcPr>
            <w:tcW w:w="403" w:type="pct"/>
            <w:shd w:val="clear" w:color="auto" w:fill="FFFFFF"/>
            <w:tcMar>
              <w:left w:w="80" w:type="dxa"/>
              <w:right w:w="80" w:type="dxa"/>
            </w:tcMar>
            <w:vAlign w:val="center"/>
          </w:tcPr>
          <w:p w14:paraId="41C2AA24" w14:textId="77777777" w:rsidR="00FA38C7" w:rsidRPr="00FA38C7" w:rsidRDefault="00FA38C7" w:rsidP="00B734A6">
            <w:pPr>
              <w:pStyle w:val="Tabletext1"/>
              <w:rPr>
                <w:rFonts w:ascii="Arial Narrow" w:hAnsi="Arial Narrow"/>
              </w:rPr>
            </w:pPr>
            <w:r w:rsidRPr="00FA38C7">
              <w:rPr>
                <w:rFonts w:ascii="Arial Narrow" w:hAnsi="Arial Narrow"/>
              </w:rPr>
              <w:t>6 Months</w:t>
            </w:r>
          </w:p>
        </w:tc>
        <w:tc>
          <w:tcPr>
            <w:tcW w:w="662" w:type="pct"/>
            <w:shd w:val="clear" w:color="auto" w:fill="FFFFFF"/>
            <w:tcMar>
              <w:left w:w="80" w:type="dxa"/>
              <w:right w:w="80" w:type="dxa"/>
            </w:tcMar>
            <w:vAlign w:val="center"/>
          </w:tcPr>
          <w:p w14:paraId="6405EDE2" w14:textId="77777777" w:rsidR="00FA38C7" w:rsidRPr="00FA38C7" w:rsidRDefault="00FA38C7" w:rsidP="00FA38C7">
            <w:pPr>
              <w:pStyle w:val="Tabletext1"/>
              <w:jc w:val="right"/>
              <w:rPr>
                <w:rFonts w:ascii="Arial Narrow" w:hAnsi="Arial Narrow"/>
              </w:rPr>
            </w:pPr>
            <w:r w:rsidRPr="00FA38C7">
              <w:rPr>
                <w:rFonts w:ascii="Arial Narrow" w:hAnsi="Arial Narrow"/>
              </w:rPr>
              <w:t>-0.118</w:t>
            </w:r>
          </w:p>
        </w:tc>
        <w:tc>
          <w:tcPr>
            <w:tcW w:w="603" w:type="pct"/>
            <w:shd w:val="clear" w:color="auto" w:fill="FFFFFF"/>
            <w:vAlign w:val="center"/>
          </w:tcPr>
          <w:p w14:paraId="5283E9E4" w14:textId="77777777" w:rsidR="00FA38C7" w:rsidRPr="00FA38C7" w:rsidRDefault="00FA38C7" w:rsidP="00FA38C7">
            <w:pPr>
              <w:pStyle w:val="Tabletext1"/>
              <w:jc w:val="right"/>
              <w:rPr>
                <w:rFonts w:ascii="Arial Narrow" w:hAnsi="Arial Narrow"/>
              </w:rPr>
            </w:pPr>
            <w:r w:rsidRPr="00FA38C7">
              <w:rPr>
                <w:rFonts w:ascii="Arial Narrow" w:hAnsi="Arial Narrow"/>
              </w:rPr>
              <w:t>(0.304)</w:t>
            </w:r>
          </w:p>
        </w:tc>
        <w:tc>
          <w:tcPr>
            <w:tcW w:w="613" w:type="pct"/>
            <w:shd w:val="clear" w:color="auto" w:fill="FFFFFF"/>
            <w:tcMar>
              <w:left w:w="80" w:type="dxa"/>
              <w:right w:w="80" w:type="dxa"/>
            </w:tcMar>
            <w:vAlign w:val="center"/>
          </w:tcPr>
          <w:p w14:paraId="29B0B429" w14:textId="77777777" w:rsidR="00FA38C7" w:rsidRPr="00FA38C7" w:rsidRDefault="00FA38C7" w:rsidP="00FA38C7">
            <w:pPr>
              <w:pStyle w:val="Tabletext1"/>
              <w:jc w:val="right"/>
              <w:rPr>
                <w:rFonts w:ascii="Arial Narrow" w:hAnsi="Arial Narrow"/>
              </w:rPr>
            </w:pPr>
            <w:r w:rsidRPr="00FA38C7">
              <w:rPr>
                <w:rFonts w:ascii="Arial Narrow" w:hAnsi="Arial Narrow"/>
              </w:rPr>
              <w:t>-0.063</w:t>
            </w:r>
          </w:p>
        </w:tc>
        <w:tc>
          <w:tcPr>
            <w:tcW w:w="538" w:type="pct"/>
            <w:shd w:val="clear" w:color="auto" w:fill="FFFFFF"/>
            <w:vAlign w:val="center"/>
          </w:tcPr>
          <w:p w14:paraId="7AFC44AF" w14:textId="77777777" w:rsidR="00FA38C7" w:rsidRPr="00FA38C7" w:rsidRDefault="00FA38C7" w:rsidP="00FA38C7">
            <w:pPr>
              <w:pStyle w:val="Tabletext1"/>
              <w:jc w:val="right"/>
              <w:rPr>
                <w:rFonts w:ascii="Arial Narrow" w:hAnsi="Arial Narrow"/>
              </w:rPr>
            </w:pPr>
            <w:r w:rsidRPr="00FA38C7">
              <w:rPr>
                <w:rFonts w:ascii="Arial Narrow" w:hAnsi="Arial Narrow"/>
              </w:rPr>
              <w:t>(0.304)</w:t>
            </w:r>
          </w:p>
        </w:tc>
        <w:tc>
          <w:tcPr>
            <w:tcW w:w="522" w:type="pct"/>
            <w:shd w:val="clear" w:color="auto" w:fill="FFFFFF"/>
            <w:tcMar>
              <w:left w:w="80" w:type="dxa"/>
              <w:right w:w="80" w:type="dxa"/>
            </w:tcMar>
            <w:vAlign w:val="center"/>
          </w:tcPr>
          <w:p w14:paraId="3AE3EBD4" w14:textId="77777777" w:rsidR="00FA38C7" w:rsidRPr="00FA38C7" w:rsidRDefault="00FA38C7" w:rsidP="00FA38C7">
            <w:pPr>
              <w:pStyle w:val="Tabletext1"/>
              <w:jc w:val="right"/>
              <w:rPr>
                <w:rFonts w:ascii="Arial Narrow" w:hAnsi="Arial Narrow"/>
              </w:rPr>
            </w:pPr>
            <w:r w:rsidRPr="00FA38C7">
              <w:rPr>
                <w:rFonts w:ascii="Arial Narrow" w:hAnsi="Arial Narrow"/>
              </w:rPr>
              <w:t>-0.043</w:t>
            </w:r>
          </w:p>
        </w:tc>
        <w:tc>
          <w:tcPr>
            <w:tcW w:w="554" w:type="pct"/>
            <w:shd w:val="clear" w:color="auto" w:fill="FFFFFF"/>
            <w:vAlign w:val="center"/>
          </w:tcPr>
          <w:p w14:paraId="54DB0067" w14:textId="77777777" w:rsidR="00FA38C7" w:rsidRPr="00FA38C7" w:rsidRDefault="00FA38C7" w:rsidP="00FA38C7">
            <w:pPr>
              <w:pStyle w:val="Tabletext1"/>
              <w:jc w:val="right"/>
              <w:rPr>
                <w:rFonts w:ascii="Arial Narrow" w:hAnsi="Arial Narrow"/>
              </w:rPr>
            </w:pPr>
            <w:r w:rsidRPr="00FA38C7">
              <w:rPr>
                <w:rFonts w:ascii="Arial Narrow" w:hAnsi="Arial Narrow"/>
              </w:rPr>
              <w:t xml:space="preserve"> (-0.121, 0.035)</w:t>
            </w:r>
          </w:p>
        </w:tc>
        <w:tc>
          <w:tcPr>
            <w:tcW w:w="345" w:type="pct"/>
            <w:shd w:val="clear" w:color="auto" w:fill="FFFFFF"/>
            <w:tcMar>
              <w:left w:w="80" w:type="dxa"/>
              <w:right w:w="80" w:type="dxa"/>
            </w:tcMar>
            <w:vAlign w:val="center"/>
          </w:tcPr>
          <w:p w14:paraId="70AB47D5" w14:textId="77777777" w:rsidR="00FA38C7" w:rsidRPr="00FA38C7" w:rsidRDefault="00FA38C7" w:rsidP="00FA38C7">
            <w:pPr>
              <w:pStyle w:val="Tabletext1"/>
              <w:jc w:val="right"/>
              <w:rPr>
                <w:rFonts w:ascii="Arial Narrow" w:hAnsi="Arial Narrow"/>
              </w:rPr>
            </w:pPr>
            <w:r w:rsidRPr="00FA38C7">
              <w:rPr>
                <w:rFonts w:ascii="Arial Narrow" w:hAnsi="Arial Narrow"/>
              </w:rPr>
              <w:t>0.280</w:t>
            </w:r>
          </w:p>
        </w:tc>
      </w:tr>
      <w:tr w:rsidR="00FA38C7" w:rsidRPr="00FA38C7" w14:paraId="26295C0B" w14:textId="77777777" w:rsidTr="00FA38C7">
        <w:trPr>
          <w:cantSplit/>
          <w:jc w:val="center"/>
        </w:trPr>
        <w:tc>
          <w:tcPr>
            <w:tcW w:w="760" w:type="pct"/>
            <w:vMerge/>
            <w:tcBorders>
              <w:bottom w:val="single" w:sz="4" w:space="0" w:color="auto"/>
            </w:tcBorders>
            <w:shd w:val="clear" w:color="auto" w:fill="FFFFFF"/>
            <w:tcMar>
              <w:left w:w="80" w:type="dxa"/>
              <w:right w:w="80" w:type="dxa"/>
            </w:tcMar>
          </w:tcPr>
          <w:p w14:paraId="046AEFDA" w14:textId="0023E8C2" w:rsidR="00FA38C7" w:rsidRPr="00FA38C7" w:rsidRDefault="00FA38C7" w:rsidP="00FA38C7">
            <w:pPr>
              <w:pStyle w:val="Tabletext1"/>
              <w:rPr>
                <w:rFonts w:ascii="Arial Narrow" w:hAnsi="Arial Narrow"/>
                <w:b/>
                <w:bCs/>
              </w:rPr>
            </w:pPr>
          </w:p>
        </w:tc>
        <w:tc>
          <w:tcPr>
            <w:tcW w:w="403" w:type="pct"/>
            <w:shd w:val="clear" w:color="auto" w:fill="FFFFFF"/>
            <w:tcMar>
              <w:left w:w="80" w:type="dxa"/>
              <w:right w:w="80" w:type="dxa"/>
            </w:tcMar>
            <w:vAlign w:val="center"/>
          </w:tcPr>
          <w:p w14:paraId="158025FC" w14:textId="77777777" w:rsidR="00FA38C7" w:rsidRPr="00FA38C7" w:rsidRDefault="00FA38C7" w:rsidP="00B734A6">
            <w:pPr>
              <w:pStyle w:val="Tabletext1"/>
              <w:rPr>
                <w:rFonts w:ascii="Arial Narrow" w:hAnsi="Arial Narrow"/>
              </w:rPr>
            </w:pPr>
            <w:r w:rsidRPr="00FA38C7">
              <w:rPr>
                <w:rFonts w:ascii="Arial Narrow" w:hAnsi="Arial Narrow"/>
              </w:rPr>
              <w:t>12 Months</w:t>
            </w:r>
          </w:p>
        </w:tc>
        <w:tc>
          <w:tcPr>
            <w:tcW w:w="662" w:type="pct"/>
            <w:shd w:val="clear" w:color="auto" w:fill="FFFFFF"/>
            <w:tcMar>
              <w:left w:w="80" w:type="dxa"/>
              <w:right w:w="80" w:type="dxa"/>
            </w:tcMar>
            <w:vAlign w:val="center"/>
          </w:tcPr>
          <w:p w14:paraId="703DF954" w14:textId="77777777" w:rsidR="00FA38C7" w:rsidRPr="00FA38C7" w:rsidRDefault="00FA38C7" w:rsidP="00FA38C7">
            <w:pPr>
              <w:pStyle w:val="Tabletext1"/>
              <w:jc w:val="right"/>
              <w:rPr>
                <w:rFonts w:ascii="Arial Narrow" w:hAnsi="Arial Narrow"/>
              </w:rPr>
            </w:pPr>
            <w:r w:rsidRPr="00FA38C7">
              <w:rPr>
                <w:rFonts w:ascii="Arial Narrow" w:hAnsi="Arial Narrow"/>
              </w:rPr>
              <w:t>-0.199</w:t>
            </w:r>
          </w:p>
        </w:tc>
        <w:tc>
          <w:tcPr>
            <w:tcW w:w="603" w:type="pct"/>
            <w:shd w:val="clear" w:color="auto" w:fill="FFFFFF"/>
            <w:vAlign w:val="center"/>
          </w:tcPr>
          <w:p w14:paraId="149301FB" w14:textId="77777777" w:rsidR="00FA38C7" w:rsidRPr="00FA38C7" w:rsidRDefault="00FA38C7" w:rsidP="00FA38C7">
            <w:pPr>
              <w:pStyle w:val="Tabletext1"/>
              <w:jc w:val="right"/>
              <w:rPr>
                <w:rFonts w:ascii="Arial Narrow" w:hAnsi="Arial Narrow"/>
              </w:rPr>
            </w:pPr>
            <w:r w:rsidRPr="00FA38C7">
              <w:rPr>
                <w:rFonts w:ascii="Arial Narrow" w:hAnsi="Arial Narrow"/>
              </w:rPr>
              <w:t>(0.339)</w:t>
            </w:r>
          </w:p>
        </w:tc>
        <w:tc>
          <w:tcPr>
            <w:tcW w:w="613" w:type="pct"/>
            <w:shd w:val="clear" w:color="auto" w:fill="FFFFFF"/>
            <w:tcMar>
              <w:left w:w="80" w:type="dxa"/>
              <w:right w:w="80" w:type="dxa"/>
            </w:tcMar>
            <w:vAlign w:val="center"/>
          </w:tcPr>
          <w:p w14:paraId="66BFB467" w14:textId="77777777" w:rsidR="00FA38C7" w:rsidRPr="00FA38C7" w:rsidRDefault="00FA38C7" w:rsidP="00FA38C7">
            <w:pPr>
              <w:pStyle w:val="Tabletext1"/>
              <w:jc w:val="right"/>
              <w:rPr>
                <w:rFonts w:ascii="Arial Narrow" w:hAnsi="Arial Narrow"/>
              </w:rPr>
            </w:pPr>
            <w:r w:rsidRPr="00FA38C7">
              <w:rPr>
                <w:rFonts w:ascii="Arial Narrow" w:hAnsi="Arial Narrow"/>
              </w:rPr>
              <w:t>-0.159</w:t>
            </w:r>
          </w:p>
        </w:tc>
        <w:tc>
          <w:tcPr>
            <w:tcW w:w="538" w:type="pct"/>
            <w:shd w:val="clear" w:color="auto" w:fill="FFFFFF"/>
            <w:vAlign w:val="center"/>
          </w:tcPr>
          <w:p w14:paraId="6378B26D" w14:textId="77777777" w:rsidR="00FA38C7" w:rsidRPr="00FA38C7" w:rsidRDefault="00FA38C7" w:rsidP="00FA38C7">
            <w:pPr>
              <w:pStyle w:val="Tabletext1"/>
              <w:jc w:val="right"/>
              <w:rPr>
                <w:rFonts w:ascii="Arial Narrow" w:hAnsi="Arial Narrow"/>
              </w:rPr>
            </w:pPr>
            <w:r w:rsidRPr="00FA38C7">
              <w:rPr>
                <w:rFonts w:ascii="Arial Narrow" w:hAnsi="Arial Narrow"/>
              </w:rPr>
              <w:t>(0.329)</w:t>
            </w:r>
          </w:p>
        </w:tc>
        <w:tc>
          <w:tcPr>
            <w:tcW w:w="522" w:type="pct"/>
            <w:shd w:val="clear" w:color="auto" w:fill="FFFFFF"/>
            <w:tcMar>
              <w:left w:w="80" w:type="dxa"/>
              <w:right w:w="80" w:type="dxa"/>
            </w:tcMar>
            <w:vAlign w:val="center"/>
          </w:tcPr>
          <w:p w14:paraId="2861E5BA" w14:textId="77777777" w:rsidR="00FA38C7" w:rsidRPr="00FA38C7" w:rsidRDefault="00FA38C7" w:rsidP="00FA38C7">
            <w:pPr>
              <w:pStyle w:val="Tabletext1"/>
              <w:jc w:val="right"/>
              <w:rPr>
                <w:rFonts w:ascii="Arial Narrow" w:hAnsi="Arial Narrow"/>
              </w:rPr>
            </w:pPr>
            <w:r w:rsidRPr="00FA38C7">
              <w:rPr>
                <w:rFonts w:ascii="Arial Narrow" w:hAnsi="Arial Narrow"/>
              </w:rPr>
              <w:t>-0.023</w:t>
            </w:r>
          </w:p>
        </w:tc>
        <w:tc>
          <w:tcPr>
            <w:tcW w:w="554" w:type="pct"/>
            <w:shd w:val="clear" w:color="auto" w:fill="FFFFFF"/>
            <w:vAlign w:val="center"/>
          </w:tcPr>
          <w:p w14:paraId="4EB6DA26" w14:textId="77777777" w:rsidR="00FA38C7" w:rsidRPr="00FA38C7" w:rsidRDefault="00FA38C7" w:rsidP="00FA38C7">
            <w:pPr>
              <w:pStyle w:val="Tabletext1"/>
              <w:jc w:val="right"/>
              <w:rPr>
                <w:rFonts w:ascii="Arial Narrow" w:hAnsi="Arial Narrow"/>
              </w:rPr>
            </w:pPr>
            <w:r w:rsidRPr="00FA38C7">
              <w:rPr>
                <w:rFonts w:ascii="Arial Narrow" w:hAnsi="Arial Narrow"/>
              </w:rPr>
              <w:t>( -0.110, 0.050)</w:t>
            </w:r>
          </w:p>
        </w:tc>
        <w:tc>
          <w:tcPr>
            <w:tcW w:w="345" w:type="pct"/>
            <w:shd w:val="clear" w:color="auto" w:fill="FFFFFF"/>
            <w:tcMar>
              <w:left w:w="80" w:type="dxa"/>
              <w:right w:w="80" w:type="dxa"/>
            </w:tcMar>
            <w:vAlign w:val="center"/>
          </w:tcPr>
          <w:p w14:paraId="57DBCBE1" w14:textId="77777777" w:rsidR="00FA38C7" w:rsidRPr="00FA38C7" w:rsidRDefault="00FA38C7" w:rsidP="00FA38C7">
            <w:pPr>
              <w:pStyle w:val="Tabletext1"/>
              <w:jc w:val="right"/>
              <w:rPr>
                <w:rFonts w:ascii="Arial Narrow" w:hAnsi="Arial Narrow"/>
              </w:rPr>
            </w:pPr>
            <w:r w:rsidRPr="00FA38C7">
              <w:rPr>
                <w:rFonts w:ascii="Arial Narrow" w:hAnsi="Arial Narrow"/>
              </w:rPr>
              <w:t>0.566</w:t>
            </w:r>
          </w:p>
        </w:tc>
      </w:tr>
      <w:tr w:rsidR="00FA38C7" w:rsidRPr="00FA38C7" w14:paraId="2BBFBC29" w14:textId="77777777" w:rsidTr="00FA38C7">
        <w:trPr>
          <w:cantSplit/>
          <w:jc w:val="center"/>
        </w:trPr>
        <w:tc>
          <w:tcPr>
            <w:tcW w:w="760" w:type="pct"/>
            <w:vMerge w:val="restart"/>
            <w:shd w:val="clear" w:color="auto" w:fill="FFFFFF"/>
            <w:tcMar>
              <w:left w:w="80" w:type="dxa"/>
              <w:right w:w="80" w:type="dxa"/>
            </w:tcMar>
          </w:tcPr>
          <w:p w14:paraId="0342CDE1" w14:textId="77777777" w:rsidR="00FA38C7" w:rsidRPr="00FA38C7" w:rsidRDefault="00FA38C7" w:rsidP="00FA38C7">
            <w:pPr>
              <w:pStyle w:val="Tabletext1"/>
              <w:rPr>
                <w:rFonts w:ascii="Arial Narrow" w:hAnsi="Arial Narrow"/>
                <w:b/>
                <w:bCs/>
              </w:rPr>
            </w:pPr>
            <w:r w:rsidRPr="00FA38C7">
              <w:rPr>
                <w:rFonts w:ascii="Arial Narrow" w:hAnsi="Arial Narrow"/>
                <w:b/>
                <w:bCs/>
              </w:rPr>
              <w:t>Sleep Efficiency*</w:t>
            </w:r>
          </w:p>
        </w:tc>
        <w:tc>
          <w:tcPr>
            <w:tcW w:w="403" w:type="pct"/>
            <w:shd w:val="clear" w:color="auto" w:fill="FFFFFF"/>
            <w:tcMar>
              <w:left w:w="80" w:type="dxa"/>
              <w:right w:w="80" w:type="dxa"/>
            </w:tcMar>
            <w:vAlign w:val="center"/>
          </w:tcPr>
          <w:p w14:paraId="34E0F021" w14:textId="77777777" w:rsidR="00FA38C7" w:rsidRPr="00FA38C7" w:rsidRDefault="00FA38C7" w:rsidP="00B734A6">
            <w:pPr>
              <w:pStyle w:val="Tabletext1"/>
              <w:rPr>
                <w:rFonts w:ascii="Arial Narrow" w:hAnsi="Arial Narrow"/>
              </w:rPr>
            </w:pPr>
            <w:r w:rsidRPr="00FA38C7">
              <w:rPr>
                <w:rFonts w:ascii="Arial Narrow" w:hAnsi="Arial Narrow"/>
              </w:rPr>
              <w:t>6 Months</w:t>
            </w:r>
          </w:p>
        </w:tc>
        <w:tc>
          <w:tcPr>
            <w:tcW w:w="662" w:type="pct"/>
            <w:shd w:val="clear" w:color="auto" w:fill="FFFFFF"/>
            <w:tcMar>
              <w:left w:w="80" w:type="dxa"/>
              <w:right w:w="80" w:type="dxa"/>
            </w:tcMar>
            <w:vAlign w:val="center"/>
          </w:tcPr>
          <w:p w14:paraId="3468EF18" w14:textId="77777777" w:rsidR="00FA38C7" w:rsidRPr="00FA38C7" w:rsidRDefault="00FA38C7" w:rsidP="00FA38C7">
            <w:pPr>
              <w:pStyle w:val="Tabletext1"/>
              <w:jc w:val="right"/>
              <w:rPr>
                <w:rFonts w:ascii="Arial Narrow" w:hAnsi="Arial Narrow"/>
              </w:rPr>
            </w:pPr>
            <w:r w:rsidRPr="00FA38C7">
              <w:rPr>
                <w:rFonts w:ascii="Arial Narrow" w:hAnsi="Arial Narrow"/>
              </w:rPr>
              <w:t>-2.82%</w:t>
            </w:r>
          </w:p>
        </w:tc>
        <w:tc>
          <w:tcPr>
            <w:tcW w:w="603" w:type="pct"/>
            <w:shd w:val="clear" w:color="auto" w:fill="FFFFFF"/>
            <w:vAlign w:val="center"/>
          </w:tcPr>
          <w:p w14:paraId="38A932AD" w14:textId="77777777" w:rsidR="00FA38C7" w:rsidRPr="00FA38C7" w:rsidRDefault="00FA38C7" w:rsidP="00FA38C7">
            <w:pPr>
              <w:pStyle w:val="Tabletext1"/>
              <w:jc w:val="right"/>
              <w:rPr>
                <w:rFonts w:ascii="Arial Narrow" w:hAnsi="Arial Narrow"/>
              </w:rPr>
            </w:pPr>
            <w:r w:rsidRPr="00FA38C7">
              <w:rPr>
                <w:rFonts w:ascii="Arial Narrow" w:hAnsi="Arial Narrow"/>
              </w:rPr>
              <w:t>(20.80)</w:t>
            </w:r>
          </w:p>
        </w:tc>
        <w:tc>
          <w:tcPr>
            <w:tcW w:w="613" w:type="pct"/>
            <w:shd w:val="clear" w:color="auto" w:fill="FFFFFF"/>
            <w:tcMar>
              <w:left w:w="80" w:type="dxa"/>
              <w:right w:w="80" w:type="dxa"/>
            </w:tcMar>
            <w:vAlign w:val="center"/>
          </w:tcPr>
          <w:p w14:paraId="4E09F136" w14:textId="77777777" w:rsidR="00FA38C7" w:rsidRPr="00FA38C7" w:rsidRDefault="00FA38C7" w:rsidP="00FA38C7">
            <w:pPr>
              <w:pStyle w:val="Tabletext1"/>
              <w:jc w:val="right"/>
              <w:rPr>
                <w:rFonts w:ascii="Arial Narrow" w:hAnsi="Arial Narrow"/>
              </w:rPr>
            </w:pPr>
            <w:r w:rsidRPr="00FA38C7">
              <w:rPr>
                <w:rFonts w:ascii="Arial Narrow" w:hAnsi="Arial Narrow"/>
              </w:rPr>
              <w:t>-3.10%</w:t>
            </w:r>
          </w:p>
        </w:tc>
        <w:tc>
          <w:tcPr>
            <w:tcW w:w="538" w:type="pct"/>
            <w:shd w:val="clear" w:color="auto" w:fill="FFFFFF"/>
            <w:vAlign w:val="center"/>
          </w:tcPr>
          <w:p w14:paraId="6E7780B4" w14:textId="77777777" w:rsidR="00FA38C7" w:rsidRPr="00FA38C7" w:rsidRDefault="00FA38C7" w:rsidP="00FA38C7">
            <w:pPr>
              <w:pStyle w:val="Tabletext1"/>
              <w:jc w:val="right"/>
              <w:rPr>
                <w:rFonts w:ascii="Arial Narrow" w:hAnsi="Arial Narrow"/>
              </w:rPr>
            </w:pPr>
            <w:r w:rsidRPr="00FA38C7">
              <w:rPr>
                <w:rFonts w:ascii="Arial Narrow" w:hAnsi="Arial Narrow"/>
              </w:rPr>
              <w:t>(19.14)</w:t>
            </w:r>
          </w:p>
        </w:tc>
        <w:tc>
          <w:tcPr>
            <w:tcW w:w="522" w:type="pct"/>
            <w:shd w:val="clear" w:color="auto" w:fill="FFFFFF"/>
            <w:tcMar>
              <w:left w:w="80" w:type="dxa"/>
              <w:right w:w="80" w:type="dxa"/>
            </w:tcMar>
            <w:vAlign w:val="center"/>
          </w:tcPr>
          <w:p w14:paraId="79915C4B" w14:textId="77777777" w:rsidR="00FA38C7" w:rsidRPr="00FA38C7" w:rsidRDefault="00FA38C7" w:rsidP="00FA38C7">
            <w:pPr>
              <w:pStyle w:val="Tabletext1"/>
              <w:jc w:val="right"/>
              <w:rPr>
                <w:rFonts w:ascii="Arial Narrow" w:hAnsi="Arial Narrow"/>
              </w:rPr>
            </w:pPr>
            <w:r w:rsidRPr="00FA38C7">
              <w:rPr>
                <w:rFonts w:ascii="Arial Narrow" w:hAnsi="Arial Narrow"/>
              </w:rPr>
              <w:t>1.30%</w:t>
            </w:r>
          </w:p>
        </w:tc>
        <w:tc>
          <w:tcPr>
            <w:tcW w:w="554" w:type="pct"/>
            <w:shd w:val="clear" w:color="auto" w:fill="FFFFFF"/>
            <w:vAlign w:val="center"/>
          </w:tcPr>
          <w:p w14:paraId="588EA075" w14:textId="77777777" w:rsidR="00FA38C7" w:rsidRPr="00FA38C7" w:rsidRDefault="00FA38C7" w:rsidP="00FA38C7">
            <w:pPr>
              <w:pStyle w:val="Tabletext1"/>
              <w:jc w:val="right"/>
              <w:rPr>
                <w:rFonts w:ascii="Arial Narrow" w:hAnsi="Arial Narrow"/>
              </w:rPr>
            </w:pPr>
            <w:r w:rsidRPr="00FA38C7">
              <w:rPr>
                <w:rFonts w:ascii="Arial Narrow" w:hAnsi="Arial Narrow"/>
              </w:rPr>
              <w:t xml:space="preserve"> (-5.03, 7.62)</w:t>
            </w:r>
          </w:p>
        </w:tc>
        <w:tc>
          <w:tcPr>
            <w:tcW w:w="345" w:type="pct"/>
            <w:shd w:val="clear" w:color="auto" w:fill="FFFFFF"/>
            <w:tcMar>
              <w:left w:w="80" w:type="dxa"/>
              <w:right w:w="80" w:type="dxa"/>
            </w:tcMar>
            <w:vAlign w:val="center"/>
          </w:tcPr>
          <w:p w14:paraId="72AE820A" w14:textId="77777777" w:rsidR="00FA38C7" w:rsidRPr="00FA38C7" w:rsidRDefault="00FA38C7" w:rsidP="00FA38C7">
            <w:pPr>
              <w:pStyle w:val="Tabletext1"/>
              <w:jc w:val="right"/>
              <w:rPr>
                <w:rFonts w:ascii="Arial Narrow" w:hAnsi="Arial Narrow"/>
              </w:rPr>
            </w:pPr>
            <w:r w:rsidRPr="00FA38C7">
              <w:rPr>
                <w:rFonts w:ascii="Arial Narrow" w:hAnsi="Arial Narrow"/>
              </w:rPr>
              <w:t>0.682</w:t>
            </w:r>
          </w:p>
        </w:tc>
      </w:tr>
      <w:tr w:rsidR="00FA38C7" w:rsidRPr="00FA38C7" w14:paraId="03DF0311" w14:textId="77777777" w:rsidTr="00FA38C7">
        <w:trPr>
          <w:cantSplit/>
          <w:jc w:val="center"/>
        </w:trPr>
        <w:tc>
          <w:tcPr>
            <w:tcW w:w="760" w:type="pct"/>
            <w:vMerge/>
            <w:tcBorders>
              <w:bottom w:val="single" w:sz="4" w:space="0" w:color="auto"/>
            </w:tcBorders>
            <w:shd w:val="clear" w:color="auto" w:fill="FFFFFF"/>
            <w:tcMar>
              <w:left w:w="80" w:type="dxa"/>
              <w:right w:w="80" w:type="dxa"/>
            </w:tcMar>
          </w:tcPr>
          <w:p w14:paraId="75A2348D" w14:textId="5FCAE134" w:rsidR="00FA38C7" w:rsidRPr="00FA38C7" w:rsidRDefault="00FA38C7" w:rsidP="00FA38C7">
            <w:pPr>
              <w:pStyle w:val="Tabletext1"/>
              <w:rPr>
                <w:rFonts w:ascii="Arial Narrow" w:hAnsi="Arial Narrow"/>
                <w:b/>
                <w:bCs/>
              </w:rPr>
            </w:pPr>
          </w:p>
        </w:tc>
        <w:tc>
          <w:tcPr>
            <w:tcW w:w="403" w:type="pct"/>
            <w:shd w:val="clear" w:color="auto" w:fill="FFFFFF"/>
            <w:tcMar>
              <w:left w:w="80" w:type="dxa"/>
              <w:right w:w="80" w:type="dxa"/>
            </w:tcMar>
            <w:vAlign w:val="center"/>
          </w:tcPr>
          <w:p w14:paraId="6AC7063F" w14:textId="77777777" w:rsidR="00FA38C7" w:rsidRPr="00FA38C7" w:rsidRDefault="00FA38C7" w:rsidP="00B734A6">
            <w:pPr>
              <w:pStyle w:val="Tabletext1"/>
              <w:rPr>
                <w:rFonts w:ascii="Arial Narrow" w:hAnsi="Arial Narrow"/>
              </w:rPr>
            </w:pPr>
            <w:r w:rsidRPr="00FA38C7">
              <w:rPr>
                <w:rFonts w:ascii="Arial Narrow" w:hAnsi="Arial Narrow"/>
              </w:rPr>
              <w:t>12 Months</w:t>
            </w:r>
          </w:p>
        </w:tc>
        <w:tc>
          <w:tcPr>
            <w:tcW w:w="662" w:type="pct"/>
            <w:shd w:val="clear" w:color="auto" w:fill="FFFFFF"/>
            <w:tcMar>
              <w:left w:w="80" w:type="dxa"/>
              <w:right w:w="80" w:type="dxa"/>
            </w:tcMar>
            <w:vAlign w:val="center"/>
          </w:tcPr>
          <w:p w14:paraId="704796FF" w14:textId="77777777" w:rsidR="00FA38C7" w:rsidRPr="00FA38C7" w:rsidRDefault="00FA38C7" w:rsidP="00FA38C7">
            <w:pPr>
              <w:pStyle w:val="Tabletext1"/>
              <w:jc w:val="right"/>
              <w:rPr>
                <w:rFonts w:ascii="Arial Narrow" w:hAnsi="Arial Narrow"/>
              </w:rPr>
            </w:pPr>
            <w:r w:rsidRPr="00FA38C7">
              <w:rPr>
                <w:rFonts w:ascii="Arial Narrow" w:hAnsi="Arial Narrow"/>
              </w:rPr>
              <w:t>4.49%</w:t>
            </w:r>
          </w:p>
        </w:tc>
        <w:tc>
          <w:tcPr>
            <w:tcW w:w="603" w:type="pct"/>
            <w:shd w:val="clear" w:color="auto" w:fill="FFFFFF"/>
            <w:vAlign w:val="center"/>
          </w:tcPr>
          <w:p w14:paraId="05789513" w14:textId="77777777" w:rsidR="00FA38C7" w:rsidRPr="00FA38C7" w:rsidRDefault="00FA38C7" w:rsidP="00FA38C7">
            <w:pPr>
              <w:pStyle w:val="Tabletext1"/>
              <w:jc w:val="right"/>
              <w:rPr>
                <w:rFonts w:ascii="Arial Narrow" w:hAnsi="Arial Narrow"/>
              </w:rPr>
            </w:pPr>
            <w:r w:rsidRPr="00FA38C7">
              <w:rPr>
                <w:rFonts w:ascii="Arial Narrow" w:hAnsi="Arial Narrow"/>
              </w:rPr>
              <w:t>(17.86)</w:t>
            </w:r>
          </w:p>
        </w:tc>
        <w:tc>
          <w:tcPr>
            <w:tcW w:w="613" w:type="pct"/>
            <w:shd w:val="clear" w:color="auto" w:fill="FFFFFF"/>
            <w:tcMar>
              <w:left w:w="80" w:type="dxa"/>
              <w:right w:w="80" w:type="dxa"/>
            </w:tcMar>
            <w:vAlign w:val="center"/>
          </w:tcPr>
          <w:p w14:paraId="7DFBA4AF" w14:textId="77777777" w:rsidR="00FA38C7" w:rsidRPr="00FA38C7" w:rsidRDefault="00FA38C7" w:rsidP="00FA38C7">
            <w:pPr>
              <w:pStyle w:val="Tabletext1"/>
              <w:jc w:val="right"/>
              <w:rPr>
                <w:rFonts w:ascii="Arial Narrow" w:hAnsi="Arial Narrow"/>
              </w:rPr>
            </w:pPr>
            <w:r w:rsidRPr="00FA38C7">
              <w:rPr>
                <w:rFonts w:ascii="Arial Narrow" w:hAnsi="Arial Narrow"/>
              </w:rPr>
              <w:t>0.01%</w:t>
            </w:r>
          </w:p>
        </w:tc>
        <w:tc>
          <w:tcPr>
            <w:tcW w:w="538" w:type="pct"/>
            <w:shd w:val="clear" w:color="auto" w:fill="FFFFFF"/>
            <w:vAlign w:val="center"/>
          </w:tcPr>
          <w:p w14:paraId="39E9C2EA" w14:textId="77777777" w:rsidR="00FA38C7" w:rsidRPr="00FA38C7" w:rsidRDefault="00FA38C7" w:rsidP="00FA38C7">
            <w:pPr>
              <w:pStyle w:val="Tabletext1"/>
              <w:jc w:val="right"/>
              <w:rPr>
                <w:rFonts w:ascii="Arial Narrow" w:hAnsi="Arial Narrow"/>
              </w:rPr>
            </w:pPr>
            <w:r w:rsidRPr="00FA38C7">
              <w:rPr>
                <w:rFonts w:ascii="Arial Narrow" w:hAnsi="Arial Narrow"/>
              </w:rPr>
              <w:t>(16.05)</w:t>
            </w:r>
          </w:p>
        </w:tc>
        <w:tc>
          <w:tcPr>
            <w:tcW w:w="522" w:type="pct"/>
            <w:shd w:val="clear" w:color="auto" w:fill="FFFFFF"/>
            <w:tcMar>
              <w:left w:w="80" w:type="dxa"/>
              <w:right w:w="80" w:type="dxa"/>
            </w:tcMar>
            <w:vAlign w:val="center"/>
          </w:tcPr>
          <w:p w14:paraId="57E74FDE" w14:textId="77777777" w:rsidR="00FA38C7" w:rsidRPr="00FA38C7" w:rsidRDefault="00FA38C7" w:rsidP="00FA38C7">
            <w:pPr>
              <w:pStyle w:val="Tabletext1"/>
              <w:jc w:val="right"/>
              <w:rPr>
                <w:rFonts w:ascii="Arial Narrow" w:hAnsi="Arial Narrow"/>
              </w:rPr>
            </w:pPr>
            <w:r w:rsidRPr="00FA38C7">
              <w:rPr>
                <w:rFonts w:ascii="Arial Narrow" w:hAnsi="Arial Narrow"/>
              </w:rPr>
              <w:t>2.66%</w:t>
            </w:r>
          </w:p>
        </w:tc>
        <w:tc>
          <w:tcPr>
            <w:tcW w:w="554" w:type="pct"/>
            <w:shd w:val="clear" w:color="auto" w:fill="FFFFFF"/>
            <w:vAlign w:val="center"/>
          </w:tcPr>
          <w:p w14:paraId="5FEFCEB7" w14:textId="77777777" w:rsidR="00FA38C7" w:rsidRPr="00FA38C7" w:rsidRDefault="00FA38C7" w:rsidP="00FA38C7">
            <w:pPr>
              <w:pStyle w:val="Tabletext1"/>
              <w:jc w:val="right"/>
              <w:rPr>
                <w:rFonts w:ascii="Arial Narrow" w:hAnsi="Arial Narrow"/>
              </w:rPr>
            </w:pPr>
            <w:r w:rsidRPr="00FA38C7">
              <w:rPr>
                <w:rFonts w:ascii="Arial Narrow" w:hAnsi="Arial Narrow"/>
              </w:rPr>
              <w:t xml:space="preserve"> (-4.92, 10.24)</w:t>
            </w:r>
          </w:p>
        </w:tc>
        <w:tc>
          <w:tcPr>
            <w:tcW w:w="345" w:type="pct"/>
            <w:shd w:val="clear" w:color="auto" w:fill="FFFFFF"/>
            <w:tcMar>
              <w:left w:w="80" w:type="dxa"/>
              <w:right w:w="80" w:type="dxa"/>
            </w:tcMar>
            <w:vAlign w:val="center"/>
          </w:tcPr>
          <w:p w14:paraId="0DDA1EDF" w14:textId="77777777" w:rsidR="00FA38C7" w:rsidRPr="00FA38C7" w:rsidRDefault="00FA38C7" w:rsidP="00FA38C7">
            <w:pPr>
              <w:pStyle w:val="Tabletext1"/>
              <w:jc w:val="right"/>
              <w:rPr>
                <w:rFonts w:ascii="Arial Narrow" w:hAnsi="Arial Narrow"/>
              </w:rPr>
            </w:pPr>
            <w:r w:rsidRPr="00FA38C7">
              <w:rPr>
                <w:rFonts w:ascii="Arial Narrow" w:hAnsi="Arial Narrow"/>
              </w:rPr>
              <w:t>0.484</w:t>
            </w:r>
          </w:p>
        </w:tc>
      </w:tr>
      <w:tr w:rsidR="00FA38C7" w:rsidRPr="00FA38C7" w14:paraId="40C72E11" w14:textId="77777777" w:rsidTr="00FA38C7">
        <w:trPr>
          <w:cantSplit/>
          <w:jc w:val="center"/>
        </w:trPr>
        <w:tc>
          <w:tcPr>
            <w:tcW w:w="760" w:type="pct"/>
            <w:vMerge w:val="restart"/>
            <w:shd w:val="clear" w:color="auto" w:fill="FFFFFF"/>
            <w:tcMar>
              <w:left w:w="80" w:type="dxa"/>
              <w:right w:w="80" w:type="dxa"/>
            </w:tcMar>
          </w:tcPr>
          <w:p w14:paraId="1D85638B" w14:textId="77777777" w:rsidR="00FA38C7" w:rsidRPr="00FA38C7" w:rsidRDefault="00FA38C7" w:rsidP="00FA38C7">
            <w:pPr>
              <w:pStyle w:val="Tabletext1"/>
              <w:rPr>
                <w:rFonts w:ascii="Arial Narrow" w:hAnsi="Arial Narrow"/>
                <w:b/>
                <w:bCs/>
              </w:rPr>
            </w:pPr>
            <w:r w:rsidRPr="00FA38C7">
              <w:rPr>
                <w:rFonts w:ascii="Arial Narrow" w:hAnsi="Arial Narrow"/>
                <w:b/>
                <w:bCs/>
              </w:rPr>
              <w:t>Sleep Time*</w:t>
            </w:r>
          </w:p>
        </w:tc>
        <w:tc>
          <w:tcPr>
            <w:tcW w:w="403" w:type="pct"/>
            <w:shd w:val="clear" w:color="auto" w:fill="FFFFFF"/>
            <w:tcMar>
              <w:left w:w="80" w:type="dxa"/>
              <w:right w:w="80" w:type="dxa"/>
            </w:tcMar>
            <w:vAlign w:val="center"/>
          </w:tcPr>
          <w:p w14:paraId="21488019" w14:textId="77777777" w:rsidR="00FA38C7" w:rsidRPr="00FA38C7" w:rsidRDefault="00FA38C7" w:rsidP="00B734A6">
            <w:pPr>
              <w:pStyle w:val="Tabletext1"/>
              <w:rPr>
                <w:rFonts w:ascii="Arial Narrow" w:hAnsi="Arial Narrow"/>
              </w:rPr>
            </w:pPr>
            <w:r w:rsidRPr="00FA38C7">
              <w:rPr>
                <w:rFonts w:ascii="Arial Narrow" w:hAnsi="Arial Narrow"/>
              </w:rPr>
              <w:t>6 Months</w:t>
            </w:r>
          </w:p>
        </w:tc>
        <w:tc>
          <w:tcPr>
            <w:tcW w:w="662" w:type="pct"/>
            <w:shd w:val="clear" w:color="auto" w:fill="FFFFFF"/>
            <w:tcMar>
              <w:left w:w="80" w:type="dxa"/>
              <w:right w:w="80" w:type="dxa"/>
            </w:tcMar>
            <w:vAlign w:val="center"/>
          </w:tcPr>
          <w:p w14:paraId="75670630" w14:textId="77777777" w:rsidR="00FA38C7" w:rsidRPr="00FA38C7" w:rsidRDefault="00FA38C7" w:rsidP="00FA38C7">
            <w:pPr>
              <w:pStyle w:val="Tabletext1"/>
              <w:jc w:val="right"/>
              <w:rPr>
                <w:rFonts w:ascii="Arial Narrow" w:hAnsi="Arial Narrow"/>
              </w:rPr>
            </w:pPr>
            <w:r w:rsidRPr="00FA38C7">
              <w:rPr>
                <w:rFonts w:ascii="Arial Narrow" w:hAnsi="Arial Narrow"/>
              </w:rPr>
              <w:t>-15.75 mins</w:t>
            </w:r>
          </w:p>
        </w:tc>
        <w:tc>
          <w:tcPr>
            <w:tcW w:w="603" w:type="pct"/>
            <w:shd w:val="clear" w:color="auto" w:fill="FFFFFF"/>
            <w:vAlign w:val="center"/>
          </w:tcPr>
          <w:p w14:paraId="0C6547BE" w14:textId="77777777" w:rsidR="00FA38C7" w:rsidRPr="00FA38C7" w:rsidRDefault="00FA38C7" w:rsidP="00FA38C7">
            <w:pPr>
              <w:pStyle w:val="Tabletext1"/>
              <w:jc w:val="right"/>
              <w:rPr>
                <w:rFonts w:ascii="Arial Narrow" w:hAnsi="Arial Narrow"/>
              </w:rPr>
            </w:pPr>
            <w:r w:rsidRPr="00FA38C7">
              <w:rPr>
                <w:rFonts w:ascii="Arial Narrow" w:hAnsi="Arial Narrow"/>
              </w:rPr>
              <w:t>(75.23)</w:t>
            </w:r>
          </w:p>
        </w:tc>
        <w:tc>
          <w:tcPr>
            <w:tcW w:w="613" w:type="pct"/>
            <w:shd w:val="clear" w:color="auto" w:fill="FFFFFF"/>
            <w:tcMar>
              <w:left w:w="80" w:type="dxa"/>
              <w:right w:w="80" w:type="dxa"/>
            </w:tcMar>
            <w:vAlign w:val="center"/>
          </w:tcPr>
          <w:p w14:paraId="247DF182" w14:textId="77777777" w:rsidR="00FA38C7" w:rsidRPr="00FA38C7" w:rsidRDefault="00FA38C7" w:rsidP="00FA38C7">
            <w:pPr>
              <w:pStyle w:val="Tabletext1"/>
              <w:jc w:val="right"/>
              <w:rPr>
                <w:rFonts w:ascii="Arial Narrow" w:hAnsi="Arial Narrow"/>
              </w:rPr>
            </w:pPr>
            <w:r w:rsidRPr="00FA38C7">
              <w:rPr>
                <w:rFonts w:ascii="Arial Narrow" w:hAnsi="Arial Narrow"/>
              </w:rPr>
              <w:t>-22.68 mins</w:t>
            </w:r>
          </w:p>
        </w:tc>
        <w:tc>
          <w:tcPr>
            <w:tcW w:w="538" w:type="pct"/>
            <w:shd w:val="clear" w:color="auto" w:fill="FFFFFF"/>
            <w:vAlign w:val="center"/>
          </w:tcPr>
          <w:p w14:paraId="0EA6C585" w14:textId="77777777" w:rsidR="00FA38C7" w:rsidRPr="00FA38C7" w:rsidRDefault="00FA38C7" w:rsidP="00FA38C7">
            <w:pPr>
              <w:pStyle w:val="Tabletext1"/>
              <w:jc w:val="right"/>
              <w:rPr>
                <w:rFonts w:ascii="Arial Narrow" w:hAnsi="Arial Narrow"/>
              </w:rPr>
            </w:pPr>
            <w:r w:rsidRPr="00FA38C7">
              <w:rPr>
                <w:rFonts w:ascii="Arial Narrow" w:hAnsi="Arial Narrow"/>
              </w:rPr>
              <w:t>(86.40)</w:t>
            </w:r>
          </w:p>
        </w:tc>
        <w:tc>
          <w:tcPr>
            <w:tcW w:w="522" w:type="pct"/>
            <w:shd w:val="clear" w:color="auto" w:fill="FFFFFF"/>
            <w:tcMar>
              <w:left w:w="80" w:type="dxa"/>
              <w:right w:w="80" w:type="dxa"/>
            </w:tcMar>
            <w:vAlign w:val="center"/>
          </w:tcPr>
          <w:p w14:paraId="2EF4491F" w14:textId="77777777" w:rsidR="00FA38C7" w:rsidRPr="00FA38C7" w:rsidRDefault="00FA38C7" w:rsidP="00FA38C7">
            <w:pPr>
              <w:pStyle w:val="Tabletext1"/>
              <w:jc w:val="right"/>
              <w:rPr>
                <w:rFonts w:ascii="Arial Narrow" w:hAnsi="Arial Narrow"/>
              </w:rPr>
            </w:pPr>
            <w:r w:rsidRPr="00FA38C7">
              <w:rPr>
                <w:rFonts w:ascii="Arial Narrow" w:hAnsi="Arial Narrow"/>
              </w:rPr>
              <w:t>5.24 mins</w:t>
            </w:r>
          </w:p>
        </w:tc>
        <w:tc>
          <w:tcPr>
            <w:tcW w:w="554" w:type="pct"/>
            <w:shd w:val="clear" w:color="auto" w:fill="FFFFFF"/>
            <w:vAlign w:val="center"/>
          </w:tcPr>
          <w:p w14:paraId="6CA600E0" w14:textId="77777777" w:rsidR="00FA38C7" w:rsidRPr="00FA38C7" w:rsidRDefault="00FA38C7" w:rsidP="00FA38C7">
            <w:pPr>
              <w:pStyle w:val="Tabletext1"/>
              <w:jc w:val="right"/>
              <w:rPr>
                <w:rFonts w:ascii="Arial Narrow" w:hAnsi="Arial Narrow"/>
              </w:rPr>
            </w:pPr>
            <w:r w:rsidRPr="00FA38C7">
              <w:rPr>
                <w:rFonts w:ascii="Arial Narrow" w:hAnsi="Arial Narrow"/>
              </w:rPr>
              <w:t>(-20.88, 31.37)</w:t>
            </w:r>
          </w:p>
        </w:tc>
        <w:tc>
          <w:tcPr>
            <w:tcW w:w="345" w:type="pct"/>
            <w:shd w:val="clear" w:color="auto" w:fill="FFFFFF"/>
            <w:tcMar>
              <w:left w:w="80" w:type="dxa"/>
              <w:right w:w="80" w:type="dxa"/>
            </w:tcMar>
            <w:vAlign w:val="center"/>
          </w:tcPr>
          <w:p w14:paraId="377C90AE" w14:textId="77777777" w:rsidR="00FA38C7" w:rsidRPr="00FA38C7" w:rsidRDefault="00FA38C7" w:rsidP="00FA38C7">
            <w:pPr>
              <w:pStyle w:val="Tabletext1"/>
              <w:jc w:val="right"/>
              <w:rPr>
                <w:rFonts w:ascii="Arial Narrow" w:hAnsi="Arial Narrow"/>
              </w:rPr>
            </w:pPr>
            <w:r w:rsidRPr="00FA38C7">
              <w:rPr>
                <w:rFonts w:ascii="Arial Narrow" w:hAnsi="Arial Narrow"/>
              </w:rPr>
              <w:t>0.689</w:t>
            </w:r>
          </w:p>
        </w:tc>
      </w:tr>
      <w:tr w:rsidR="00FA38C7" w:rsidRPr="00FA38C7" w14:paraId="77E922F0" w14:textId="77777777" w:rsidTr="00FA38C7">
        <w:trPr>
          <w:cantSplit/>
          <w:jc w:val="center"/>
        </w:trPr>
        <w:tc>
          <w:tcPr>
            <w:tcW w:w="760" w:type="pct"/>
            <w:vMerge/>
            <w:tcBorders>
              <w:bottom w:val="single" w:sz="4" w:space="0" w:color="auto"/>
            </w:tcBorders>
            <w:shd w:val="clear" w:color="auto" w:fill="FFFFFF"/>
            <w:tcMar>
              <w:left w:w="80" w:type="dxa"/>
              <w:right w:w="80" w:type="dxa"/>
            </w:tcMar>
          </w:tcPr>
          <w:p w14:paraId="343F0743" w14:textId="052E81F4" w:rsidR="00FA38C7" w:rsidRPr="00FA38C7" w:rsidRDefault="00FA38C7" w:rsidP="00FA38C7">
            <w:pPr>
              <w:pStyle w:val="Tabletext1"/>
              <w:rPr>
                <w:rFonts w:ascii="Arial Narrow" w:hAnsi="Arial Narrow"/>
                <w:b/>
                <w:bCs/>
              </w:rPr>
            </w:pPr>
          </w:p>
        </w:tc>
        <w:tc>
          <w:tcPr>
            <w:tcW w:w="403" w:type="pct"/>
            <w:shd w:val="clear" w:color="auto" w:fill="FFFFFF"/>
            <w:tcMar>
              <w:left w:w="80" w:type="dxa"/>
              <w:right w:w="80" w:type="dxa"/>
            </w:tcMar>
            <w:vAlign w:val="center"/>
          </w:tcPr>
          <w:p w14:paraId="71065AF2" w14:textId="77777777" w:rsidR="00FA38C7" w:rsidRPr="00FA38C7" w:rsidRDefault="00FA38C7" w:rsidP="00B734A6">
            <w:pPr>
              <w:pStyle w:val="Tabletext1"/>
              <w:rPr>
                <w:rFonts w:ascii="Arial Narrow" w:hAnsi="Arial Narrow"/>
              </w:rPr>
            </w:pPr>
            <w:r w:rsidRPr="00FA38C7">
              <w:rPr>
                <w:rFonts w:ascii="Arial Narrow" w:hAnsi="Arial Narrow"/>
              </w:rPr>
              <w:t>12 Months</w:t>
            </w:r>
          </w:p>
        </w:tc>
        <w:tc>
          <w:tcPr>
            <w:tcW w:w="662" w:type="pct"/>
            <w:shd w:val="clear" w:color="auto" w:fill="FFFFFF"/>
            <w:tcMar>
              <w:left w:w="80" w:type="dxa"/>
              <w:right w:w="80" w:type="dxa"/>
            </w:tcMar>
            <w:vAlign w:val="center"/>
          </w:tcPr>
          <w:p w14:paraId="1BDBEC4E" w14:textId="77777777" w:rsidR="00FA38C7" w:rsidRPr="00FA38C7" w:rsidRDefault="00FA38C7" w:rsidP="00FA38C7">
            <w:pPr>
              <w:pStyle w:val="Tabletext1"/>
              <w:jc w:val="right"/>
              <w:rPr>
                <w:rFonts w:ascii="Arial Narrow" w:hAnsi="Arial Narrow"/>
              </w:rPr>
            </w:pPr>
            <w:r w:rsidRPr="00FA38C7">
              <w:rPr>
                <w:rFonts w:ascii="Arial Narrow" w:hAnsi="Arial Narrow"/>
              </w:rPr>
              <w:t>-9.66 mins</w:t>
            </w:r>
          </w:p>
        </w:tc>
        <w:tc>
          <w:tcPr>
            <w:tcW w:w="603" w:type="pct"/>
            <w:shd w:val="clear" w:color="auto" w:fill="FFFFFF"/>
            <w:vAlign w:val="center"/>
          </w:tcPr>
          <w:p w14:paraId="5F051F83" w14:textId="77777777" w:rsidR="00FA38C7" w:rsidRPr="00FA38C7" w:rsidRDefault="00FA38C7" w:rsidP="00FA38C7">
            <w:pPr>
              <w:pStyle w:val="Tabletext1"/>
              <w:jc w:val="right"/>
              <w:rPr>
                <w:rFonts w:ascii="Arial Narrow" w:hAnsi="Arial Narrow"/>
              </w:rPr>
            </w:pPr>
            <w:r w:rsidRPr="00FA38C7">
              <w:rPr>
                <w:rFonts w:ascii="Arial Narrow" w:hAnsi="Arial Narrow"/>
              </w:rPr>
              <w:t>(59.65)</w:t>
            </w:r>
          </w:p>
        </w:tc>
        <w:tc>
          <w:tcPr>
            <w:tcW w:w="613" w:type="pct"/>
            <w:shd w:val="clear" w:color="auto" w:fill="FFFFFF"/>
            <w:tcMar>
              <w:left w:w="80" w:type="dxa"/>
              <w:right w:w="80" w:type="dxa"/>
            </w:tcMar>
            <w:vAlign w:val="center"/>
          </w:tcPr>
          <w:p w14:paraId="6296C0C0" w14:textId="77777777" w:rsidR="00FA38C7" w:rsidRPr="00FA38C7" w:rsidRDefault="00FA38C7" w:rsidP="00FA38C7">
            <w:pPr>
              <w:pStyle w:val="Tabletext1"/>
              <w:jc w:val="right"/>
              <w:rPr>
                <w:rFonts w:ascii="Arial Narrow" w:hAnsi="Arial Narrow"/>
              </w:rPr>
            </w:pPr>
            <w:r w:rsidRPr="00FA38C7">
              <w:rPr>
                <w:rFonts w:ascii="Arial Narrow" w:hAnsi="Arial Narrow"/>
              </w:rPr>
              <w:t>-7.99 mins</w:t>
            </w:r>
          </w:p>
        </w:tc>
        <w:tc>
          <w:tcPr>
            <w:tcW w:w="538" w:type="pct"/>
            <w:shd w:val="clear" w:color="auto" w:fill="FFFFFF"/>
            <w:vAlign w:val="center"/>
          </w:tcPr>
          <w:p w14:paraId="4C6D6FA0" w14:textId="77777777" w:rsidR="00FA38C7" w:rsidRPr="00FA38C7" w:rsidRDefault="00FA38C7" w:rsidP="00FA38C7">
            <w:pPr>
              <w:pStyle w:val="Tabletext1"/>
              <w:jc w:val="right"/>
              <w:rPr>
                <w:rFonts w:ascii="Arial Narrow" w:hAnsi="Arial Narrow"/>
              </w:rPr>
            </w:pPr>
            <w:r w:rsidRPr="00FA38C7">
              <w:rPr>
                <w:rFonts w:ascii="Arial Narrow" w:hAnsi="Arial Narrow"/>
              </w:rPr>
              <w:t>(79.38)</w:t>
            </w:r>
          </w:p>
        </w:tc>
        <w:tc>
          <w:tcPr>
            <w:tcW w:w="522" w:type="pct"/>
            <w:shd w:val="clear" w:color="auto" w:fill="FFFFFF"/>
            <w:tcMar>
              <w:left w:w="80" w:type="dxa"/>
              <w:right w:w="80" w:type="dxa"/>
            </w:tcMar>
            <w:vAlign w:val="center"/>
          </w:tcPr>
          <w:p w14:paraId="1D6019DB" w14:textId="77777777" w:rsidR="00FA38C7" w:rsidRPr="00FA38C7" w:rsidRDefault="00FA38C7" w:rsidP="00FA38C7">
            <w:pPr>
              <w:pStyle w:val="Tabletext1"/>
              <w:jc w:val="right"/>
              <w:rPr>
                <w:rFonts w:ascii="Arial Narrow" w:hAnsi="Arial Narrow"/>
              </w:rPr>
            </w:pPr>
            <w:r w:rsidRPr="00FA38C7">
              <w:rPr>
                <w:rFonts w:ascii="Arial Narrow" w:hAnsi="Arial Narrow"/>
              </w:rPr>
              <w:t>-1.84 mins</w:t>
            </w:r>
          </w:p>
        </w:tc>
        <w:tc>
          <w:tcPr>
            <w:tcW w:w="554" w:type="pct"/>
            <w:shd w:val="clear" w:color="auto" w:fill="FFFFFF"/>
            <w:vAlign w:val="center"/>
          </w:tcPr>
          <w:p w14:paraId="0ACC9A0A" w14:textId="77777777" w:rsidR="00FA38C7" w:rsidRPr="00FA38C7" w:rsidRDefault="00FA38C7" w:rsidP="00FA38C7">
            <w:pPr>
              <w:pStyle w:val="Tabletext1"/>
              <w:jc w:val="right"/>
              <w:rPr>
                <w:rFonts w:ascii="Arial Narrow" w:hAnsi="Arial Narrow"/>
              </w:rPr>
            </w:pPr>
            <w:r w:rsidRPr="00FA38C7">
              <w:rPr>
                <w:rFonts w:ascii="Arial Narrow" w:hAnsi="Arial Narrow"/>
              </w:rPr>
              <w:t>(-32.72, 29.03)</w:t>
            </w:r>
          </w:p>
        </w:tc>
        <w:tc>
          <w:tcPr>
            <w:tcW w:w="345" w:type="pct"/>
            <w:shd w:val="clear" w:color="auto" w:fill="FFFFFF"/>
            <w:tcMar>
              <w:left w:w="80" w:type="dxa"/>
              <w:right w:w="80" w:type="dxa"/>
            </w:tcMar>
            <w:vAlign w:val="center"/>
          </w:tcPr>
          <w:p w14:paraId="663E1CF0" w14:textId="77777777" w:rsidR="00FA38C7" w:rsidRPr="00FA38C7" w:rsidRDefault="00FA38C7" w:rsidP="00FA38C7">
            <w:pPr>
              <w:pStyle w:val="Tabletext1"/>
              <w:jc w:val="right"/>
              <w:rPr>
                <w:rFonts w:ascii="Arial Narrow" w:hAnsi="Arial Narrow"/>
              </w:rPr>
            </w:pPr>
            <w:r w:rsidRPr="00FA38C7">
              <w:rPr>
                <w:rFonts w:ascii="Arial Narrow" w:hAnsi="Arial Narrow"/>
              </w:rPr>
              <w:t>0.905</w:t>
            </w:r>
          </w:p>
        </w:tc>
      </w:tr>
      <w:tr w:rsidR="00FA38C7" w:rsidRPr="00FA38C7" w14:paraId="48937899" w14:textId="77777777" w:rsidTr="00FA38C7">
        <w:trPr>
          <w:cantSplit/>
          <w:jc w:val="center"/>
        </w:trPr>
        <w:tc>
          <w:tcPr>
            <w:tcW w:w="760" w:type="pct"/>
            <w:vMerge w:val="restart"/>
            <w:shd w:val="clear" w:color="auto" w:fill="FFFFFF"/>
            <w:tcMar>
              <w:left w:w="80" w:type="dxa"/>
              <w:right w:w="80" w:type="dxa"/>
            </w:tcMar>
          </w:tcPr>
          <w:p w14:paraId="45EE45C7" w14:textId="77777777" w:rsidR="00FA38C7" w:rsidRPr="00FA38C7" w:rsidRDefault="00FA38C7" w:rsidP="00FA38C7">
            <w:pPr>
              <w:pStyle w:val="Tabletext1"/>
              <w:rPr>
                <w:rFonts w:ascii="Arial Narrow" w:hAnsi="Arial Narrow"/>
                <w:b/>
                <w:bCs/>
              </w:rPr>
            </w:pPr>
            <w:r w:rsidRPr="00FA38C7">
              <w:rPr>
                <w:rFonts w:ascii="Arial Narrow" w:hAnsi="Arial Narrow"/>
                <w:b/>
                <w:bCs/>
              </w:rPr>
              <w:t>Sedentary Time*</w:t>
            </w:r>
          </w:p>
        </w:tc>
        <w:tc>
          <w:tcPr>
            <w:tcW w:w="403" w:type="pct"/>
            <w:shd w:val="clear" w:color="auto" w:fill="FFFFFF"/>
            <w:tcMar>
              <w:left w:w="80" w:type="dxa"/>
              <w:right w:w="80" w:type="dxa"/>
            </w:tcMar>
            <w:vAlign w:val="center"/>
          </w:tcPr>
          <w:p w14:paraId="60F7AF0B" w14:textId="77777777" w:rsidR="00FA38C7" w:rsidRPr="00FA38C7" w:rsidRDefault="00FA38C7" w:rsidP="00B734A6">
            <w:pPr>
              <w:pStyle w:val="Tabletext1"/>
              <w:rPr>
                <w:rFonts w:ascii="Arial Narrow" w:hAnsi="Arial Narrow"/>
              </w:rPr>
            </w:pPr>
            <w:r w:rsidRPr="00FA38C7">
              <w:rPr>
                <w:rFonts w:ascii="Arial Narrow" w:hAnsi="Arial Narrow"/>
              </w:rPr>
              <w:t>6 Months</w:t>
            </w:r>
          </w:p>
        </w:tc>
        <w:tc>
          <w:tcPr>
            <w:tcW w:w="662" w:type="pct"/>
            <w:shd w:val="clear" w:color="auto" w:fill="FFFFFF"/>
            <w:tcMar>
              <w:left w:w="80" w:type="dxa"/>
              <w:right w:w="80" w:type="dxa"/>
            </w:tcMar>
            <w:vAlign w:val="center"/>
          </w:tcPr>
          <w:p w14:paraId="19032B57" w14:textId="77777777" w:rsidR="00FA38C7" w:rsidRPr="00FA38C7" w:rsidRDefault="00FA38C7" w:rsidP="00FA38C7">
            <w:pPr>
              <w:pStyle w:val="Tabletext1"/>
              <w:jc w:val="right"/>
              <w:rPr>
                <w:rFonts w:ascii="Arial Narrow" w:hAnsi="Arial Narrow"/>
              </w:rPr>
            </w:pPr>
            <w:r w:rsidRPr="00FA38C7">
              <w:rPr>
                <w:rFonts w:ascii="Arial Narrow" w:hAnsi="Arial Narrow"/>
              </w:rPr>
              <w:t>11.82 mins</w:t>
            </w:r>
          </w:p>
        </w:tc>
        <w:tc>
          <w:tcPr>
            <w:tcW w:w="603" w:type="pct"/>
            <w:shd w:val="clear" w:color="auto" w:fill="FFFFFF"/>
            <w:vAlign w:val="center"/>
          </w:tcPr>
          <w:p w14:paraId="29A26320" w14:textId="77777777" w:rsidR="00FA38C7" w:rsidRPr="00FA38C7" w:rsidRDefault="00FA38C7" w:rsidP="00FA38C7">
            <w:pPr>
              <w:pStyle w:val="Tabletext1"/>
              <w:jc w:val="right"/>
              <w:rPr>
                <w:rFonts w:ascii="Arial Narrow" w:hAnsi="Arial Narrow"/>
              </w:rPr>
            </w:pPr>
            <w:r w:rsidRPr="00FA38C7">
              <w:rPr>
                <w:rFonts w:ascii="Arial Narrow" w:hAnsi="Arial Narrow"/>
              </w:rPr>
              <w:t>(75.43)</w:t>
            </w:r>
          </w:p>
        </w:tc>
        <w:tc>
          <w:tcPr>
            <w:tcW w:w="613" w:type="pct"/>
            <w:shd w:val="clear" w:color="auto" w:fill="FFFFFF"/>
            <w:tcMar>
              <w:left w:w="80" w:type="dxa"/>
              <w:right w:w="80" w:type="dxa"/>
            </w:tcMar>
            <w:vAlign w:val="center"/>
          </w:tcPr>
          <w:p w14:paraId="55C19725" w14:textId="77777777" w:rsidR="00FA38C7" w:rsidRPr="00FA38C7" w:rsidRDefault="00FA38C7" w:rsidP="00FA38C7">
            <w:pPr>
              <w:pStyle w:val="Tabletext1"/>
              <w:jc w:val="right"/>
              <w:rPr>
                <w:rFonts w:ascii="Arial Narrow" w:hAnsi="Arial Narrow"/>
              </w:rPr>
            </w:pPr>
            <w:r w:rsidRPr="00FA38C7">
              <w:rPr>
                <w:rFonts w:ascii="Arial Narrow" w:hAnsi="Arial Narrow"/>
              </w:rPr>
              <w:t>21.54 mins</w:t>
            </w:r>
          </w:p>
        </w:tc>
        <w:tc>
          <w:tcPr>
            <w:tcW w:w="538" w:type="pct"/>
            <w:shd w:val="clear" w:color="auto" w:fill="FFFFFF"/>
            <w:vAlign w:val="center"/>
          </w:tcPr>
          <w:p w14:paraId="7ED03C15" w14:textId="77777777" w:rsidR="00FA38C7" w:rsidRPr="00FA38C7" w:rsidRDefault="00FA38C7" w:rsidP="00FA38C7">
            <w:pPr>
              <w:pStyle w:val="Tabletext1"/>
              <w:jc w:val="right"/>
              <w:rPr>
                <w:rFonts w:ascii="Arial Narrow" w:hAnsi="Arial Narrow"/>
              </w:rPr>
            </w:pPr>
            <w:r w:rsidRPr="00FA38C7">
              <w:rPr>
                <w:rFonts w:ascii="Arial Narrow" w:hAnsi="Arial Narrow"/>
              </w:rPr>
              <w:t>(89.28)</w:t>
            </w:r>
          </w:p>
        </w:tc>
        <w:tc>
          <w:tcPr>
            <w:tcW w:w="522" w:type="pct"/>
            <w:shd w:val="clear" w:color="auto" w:fill="FFFFFF"/>
            <w:tcMar>
              <w:left w:w="80" w:type="dxa"/>
              <w:right w:w="80" w:type="dxa"/>
            </w:tcMar>
            <w:vAlign w:val="center"/>
          </w:tcPr>
          <w:p w14:paraId="159DE313" w14:textId="77777777" w:rsidR="00FA38C7" w:rsidRPr="00FA38C7" w:rsidRDefault="00FA38C7" w:rsidP="00FA38C7">
            <w:pPr>
              <w:pStyle w:val="Tabletext1"/>
              <w:jc w:val="right"/>
              <w:rPr>
                <w:rFonts w:ascii="Arial Narrow" w:hAnsi="Arial Narrow"/>
              </w:rPr>
            </w:pPr>
            <w:r w:rsidRPr="00FA38C7">
              <w:rPr>
                <w:rFonts w:ascii="Arial Narrow" w:hAnsi="Arial Narrow"/>
              </w:rPr>
              <w:t>-12.38 mins</w:t>
            </w:r>
          </w:p>
        </w:tc>
        <w:tc>
          <w:tcPr>
            <w:tcW w:w="554" w:type="pct"/>
            <w:shd w:val="clear" w:color="auto" w:fill="FFFFFF"/>
            <w:vAlign w:val="center"/>
          </w:tcPr>
          <w:p w14:paraId="651D03AD" w14:textId="77777777" w:rsidR="00FA38C7" w:rsidRPr="00FA38C7" w:rsidRDefault="00FA38C7" w:rsidP="00FA38C7">
            <w:pPr>
              <w:pStyle w:val="Tabletext1"/>
              <w:jc w:val="right"/>
              <w:rPr>
                <w:rFonts w:ascii="Arial Narrow" w:hAnsi="Arial Narrow"/>
              </w:rPr>
            </w:pPr>
            <w:r w:rsidRPr="00FA38C7">
              <w:rPr>
                <w:rFonts w:ascii="Arial Narrow" w:hAnsi="Arial Narrow"/>
              </w:rPr>
              <w:t>( -48.21, 23.45)</w:t>
            </w:r>
          </w:p>
        </w:tc>
        <w:tc>
          <w:tcPr>
            <w:tcW w:w="345" w:type="pct"/>
            <w:shd w:val="clear" w:color="auto" w:fill="FFFFFF"/>
            <w:tcMar>
              <w:left w:w="80" w:type="dxa"/>
              <w:right w:w="80" w:type="dxa"/>
            </w:tcMar>
            <w:vAlign w:val="center"/>
          </w:tcPr>
          <w:p w14:paraId="2522F165" w14:textId="77777777" w:rsidR="00FA38C7" w:rsidRPr="00FA38C7" w:rsidRDefault="00FA38C7" w:rsidP="00FA38C7">
            <w:pPr>
              <w:pStyle w:val="Tabletext1"/>
              <w:jc w:val="right"/>
              <w:rPr>
                <w:rFonts w:ascii="Arial Narrow" w:hAnsi="Arial Narrow"/>
              </w:rPr>
            </w:pPr>
            <w:r w:rsidRPr="00FA38C7">
              <w:rPr>
                <w:rFonts w:ascii="Arial Narrow" w:hAnsi="Arial Narrow"/>
              </w:rPr>
              <w:t>0.492</w:t>
            </w:r>
          </w:p>
        </w:tc>
      </w:tr>
      <w:tr w:rsidR="00FA38C7" w:rsidRPr="00FA38C7" w14:paraId="756A886E" w14:textId="77777777" w:rsidTr="00FA38C7">
        <w:trPr>
          <w:cantSplit/>
          <w:jc w:val="center"/>
        </w:trPr>
        <w:tc>
          <w:tcPr>
            <w:tcW w:w="760" w:type="pct"/>
            <w:vMerge/>
            <w:tcBorders>
              <w:bottom w:val="single" w:sz="4" w:space="0" w:color="auto"/>
            </w:tcBorders>
            <w:shd w:val="clear" w:color="auto" w:fill="FFFFFF"/>
            <w:tcMar>
              <w:left w:w="80" w:type="dxa"/>
              <w:right w:w="80" w:type="dxa"/>
            </w:tcMar>
          </w:tcPr>
          <w:p w14:paraId="5C86554E" w14:textId="643C1CFE" w:rsidR="00FA38C7" w:rsidRPr="00FA38C7" w:rsidRDefault="00FA38C7" w:rsidP="00FA38C7">
            <w:pPr>
              <w:pStyle w:val="Tabletext1"/>
              <w:rPr>
                <w:rFonts w:ascii="Arial Narrow" w:hAnsi="Arial Narrow"/>
                <w:b/>
                <w:bCs/>
              </w:rPr>
            </w:pPr>
          </w:p>
        </w:tc>
        <w:tc>
          <w:tcPr>
            <w:tcW w:w="403" w:type="pct"/>
            <w:shd w:val="clear" w:color="auto" w:fill="FFFFFF"/>
            <w:tcMar>
              <w:left w:w="80" w:type="dxa"/>
              <w:right w:w="80" w:type="dxa"/>
            </w:tcMar>
            <w:vAlign w:val="center"/>
          </w:tcPr>
          <w:p w14:paraId="2883755E" w14:textId="77777777" w:rsidR="00FA38C7" w:rsidRPr="00FA38C7" w:rsidRDefault="00FA38C7" w:rsidP="00B734A6">
            <w:pPr>
              <w:pStyle w:val="Tabletext1"/>
              <w:rPr>
                <w:rFonts w:ascii="Arial Narrow" w:hAnsi="Arial Narrow"/>
              </w:rPr>
            </w:pPr>
            <w:r w:rsidRPr="00FA38C7">
              <w:rPr>
                <w:rFonts w:ascii="Arial Narrow" w:hAnsi="Arial Narrow"/>
              </w:rPr>
              <w:t>12 Months</w:t>
            </w:r>
          </w:p>
        </w:tc>
        <w:tc>
          <w:tcPr>
            <w:tcW w:w="662" w:type="pct"/>
            <w:shd w:val="clear" w:color="auto" w:fill="FFFFFF"/>
            <w:tcMar>
              <w:left w:w="80" w:type="dxa"/>
              <w:right w:w="80" w:type="dxa"/>
            </w:tcMar>
            <w:vAlign w:val="center"/>
          </w:tcPr>
          <w:p w14:paraId="563A5D6E" w14:textId="77777777" w:rsidR="00FA38C7" w:rsidRPr="00FA38C7" w:rsidRDefault="00FA38C7" w:rsidP="00FA38C7">
            <w:pPr>
              <w:pStyle w:val="Tabletext1"/>
              <w:jc w:val="right"/>
              <w:rPr>
                <w:rFonts w:ascii="Arial Narrow" w:hAnsi="Arial Narrow"/>
              </w:rPr>
            </w:pPr>
            <w:r w:rsidRPr="00FA38C7">
              <w:rPr>
                <w:rFonts w:ascii="Arial Narrow" w:hAnsi="Arial Narrow"/>
              </w:rPr>
              <w:t>-7.68 mins</w:t>
            </w:r>
          </w:p>
        </w:tc>
        <w:tc>
          <w:tcPr>
            <w:tcW w:w="603" w:type="pct"/>
            <w:shd w:val="clear" w:color="auto" w:fill="FFFFFF"/>
            <w:vAlign w:val="center"/>
          </w:tcPr>
          <w:p w14:paraId="181F2D57" w14:textId="77777777" w:rsidR="00FA38C7" w:rsidRPr="00FA38C7" w:rsidRDefault="00FA38C7" w:rsidP="00FA38C7">
            <w:pPr>
              <w:pStyle w:val="Tabletext1"/>
              <w:jc w:val="right"/>
              <w:rPr>
                <w:rFonts w:ascii="Arial Narrow" w:hAnsi="Arial Narrow"/>
              </w:rPr>
            </w:pPr>
            <w:r w:rsidRPr="00FA38C7">
              <w:rPr>
                <w:rFonts w:ascii="Arial Narrow" w:hAnsi="Arial Narrow"/>
              </w:rPr>
              <w:t>(90.93)</w:t>
            </w:r>
          </w:p>
        </w:tc>
        <w:tc>
          <w:tcPr>
            <w:tcW w:w="613" w:type="pct"/>
            <w:shd w:val="clear" w:color="auto" w:fill="FFFFFF"/>
            <w:tcMar>
              <w:left w:w="80" w:type="dxa"/>
              <w:right w:w="80" w:type="dxa"/>
            </w:tcMar>
            <w:vAlign w:val="center"/>
          </w:tcPr>
          <w:p w14:paraId="7F1B170D" w14:textId="77777777" w:rsidR="00FA38C7" w:rsidRPr="00FA38C7" w:rsidRDefault="00FA38C7" w:rsidP="00FA38C7">
            <w:pPr>
              <w:pStyle w:val="Tabletext1"/>
              <w:jc w:val="right"/>
              <w:rPr>
                <w:rFonts w:ascii="Arial Narrow" w:hAnsi="Arial Narrow"/>
              </w:rPr>
            </w:pPr>
            <w:r w:rsidRPr="00FA38C7">
              <w:rPr>
                <w:rFonts w:ascii="Arial Narrow" w:hAnsi="Arial Narrow"/>
              </w:rPr>
              <w:t>-5.04 mins</w:t>
            </w:r>
          </w:p>
        </w:tc>
        <w:tc>
          <w:tcPr>
            <w:tcW w:w="538" w:type="pct"/>
            <w:shd w:val="clear" w:color="auto" w:fill="FFFFFF"/>
            <w:vAlign w:val="center"/>
          </w:tcPr>
          <w:p w14:paraId="4D50539E" w14:textId="77777777" w:rsidR="00FA38C7" w:rsidRPr="00FA38C7" w:rsidRDefault="00FA38C7" w:rsidP="00FA38C7">
            <w:pPr>
              <w:pStyle w:val="Tabletext1"/>
              <w:jc w:val="right"/>
              <w:rPr>
                <w:rFonts w:ascii="Arial Narrow" w:hAnsi="Arial Narrow"/>
              </w:rPr>
            </w:pPr>
            <w:r w:rsidRPr="00FA38C7">
              <w:rPr>
                <w:rFonts w:ascii="Arial Narrow" w:hAnsi="Arial Narrow"/>
              </w:rPr>
              <w:t>(85.20)</w:t>
            </w:r>
          </w:p>
        </w:tc>
        <w:tc>
          <w:tcPr>
            <w:tcW w:w="522" w:type="pct"/>
            <w:shd w:val="clear" w:color="auto" w:fill="FFFFFF"/>
            <w:tcMar>
              <w:left w:w="80" w:type="dxa"/>
              <w:right w:w="80" w:type="dxa"/>
            </w:tcMar>
            <w:vAlign w:val="center"/>
          </w:tcPr>
          <w:p w14:paraId="1DA4C505" w14:textId="77777777" w:rsidR="00FA38C7" w:rsidRPr="00FA38C7" w:rsidRDefault="00FA38C7" w:rsidP="00FA38C7">
            <w:pPr>
              <w:pStyle w:val="Tabletext1"/>
              <w:jc w:val="right"/>
              <w:rPr>
                <w:rFonts w:ascii="Arial Narrow" w:hAnsi="Arial Narrow"/>
              </w:rPr>
            </w:pPr>
            <w:r w:rsidRPr="00FA38C7">
              <w:rPr>
                <w:rFonts w:ascii="Arial Narrow" w:hAnsi="Arial Narrow"/>
              </w:rPr>
              <w:t>-4.96 mins</w:t>
            </w:r>
          </w:p>
        </w:tc>
        <w:tc>
          <w:tcPr>
            <w:tcW w:w="554" w:type="pct"/>
            <w:shd w:val="clear" w:color="auto" w:fill="FFFFFF"/>
            <w:vAlign w:val="center"/>
          </w:tcPr>
          <w:p w14:paraId="55270484" w14:textId="77777777" w:rsidR="00FA38C7" w:rsidRPr="00FA38C7" w:rsidRDefault="00FA38C7" w:rsidP="00FA38C7">
            <w:pPr>
              <w:pStyle w:val="Tabletext1"/>
              <w:jc w:val="right"/>
              <w:rPr>
                <w:rFonts w:ascii="Arial Narrow" w:hAnsi="Arial Narrow"/>
              </w:rPr>
            </w:pPr>
            <w:r w:rsidRPr="00FA38C7">
              <w:rPr>
                <w:rFonts w:ascii="Arial Narrow" w:hAnsi="Arial Narrow"/>
              </w:rPr>
              <w:t>( -45.83, 35.91)</w:t>
            </w:r>
          </w:p>
        </w:tc>
        <w:tc>
          <w:tcPr>
            <w:tcW w:w="345" w:type="pct"/>
            <w:shd w:val="clear" w:color="auto" w:fill="FFFFFF"/>
            <w:tcMar>
              <w:left w:w="80" w:type="dxa"/>
              <w:right w:w="80" w:type="dxa"/>
            </w:tcMar>
            <w:vAlign w:val="center"/>
          </w:tcPr>
          <w:p w14:paraId="54E52287" w14:textId="77777777" w:rsidR="00FA38C7" w:rsidRPr="00FA38C7" w:rsidRDefault="00FA38C7" w:rsidP="00FA38C7">
            <w:pPr>
              <w:pStyle w:val="Tabletext1"/>
              <w:jc w:val="right"/>
              <w:rPr>
                <w:rFonts w:ascii="Arial Narrow" w:hAnsi="Arial Narrow"/>
              </w:rPr>
            </w:pPr>
            <w:r w:rsidRPr="00FA38C7">
              <w:rPr>
                <w:rFonts w:ascii="Arial Narrow" w:hAnsi="Arial Narrow"/>
              </w:rPr>
              <w:t>0.809</w:t>
            </w:r>
          </w:p>
        </w:tc>
      </w:tr>
      <w:tr w:rsidR="00FA38C7" w:rsidRPr="00FA38C7" w14:paraId="43CA10B4" w14:textId="77777777" w:rsidTr="00FA38C7">
        <w:trPr>
          <w:cantSplit/>
          <w:jc w:val="center"/>
        </w:trPr>
        <w:tc>
          <w:tcPr>
            <w:tcW w:w="760" w:type="pct"/>
            <w:vMerge w:val="restart"/>
            <w:shd w:val="clear" w:color="auto" w:fill="FFFFFF"/>
            <w:tcMar>
              <w:left w:w="80" w:type="dxa"/>
              <w:right w:w="80" w:type="dxa"/>
            </w:tcMar>
          </w:tcPr>
          <w:p w14:paraId="1300D9AD" w14:textId="77777777" w:rsidR="00FA38C7" w:rsidRPr="00FA38C7" w:rsidRDefault="00FA38C7" w:rsidP="00FA38C7">
            <w:pPr>
              <w:pStyle w:val="Tabletext1"/>
              <w:rPr>
                <w:rFonts w:ascii="Arial Narrow" w:hAnsi="Arial Narrow"/>
                <w:b/>
                <w:bCs/>
              </w:rPr>
            </w:pPr>
            <w:r w:rsidRPr="00FA38C7">
              <w:rPr>
                <w:rFonts w:ascii="Arial Narrow" w:hAnsi="Arial Narrow"/>
                <w:b/>
                <w:bCs/>
              </w:rPr>
              <w:t>Light Activity*</w:t>
            </w:r>
          </w:p>
        </w:tc>
        <w:tc>
          <w:tcPr>
            <w:tcW w:w="403" w:type="pct"/>
            <w:shd w:val="clear" w:color="auto" w:fill="FFFFFF"/>
            <w:tcMar>
              <w:left w:w="80" w:type="dxa"/>
              <w:right w:w="80" w:type="dxa"/>
            </w:tcMar>
            <w:vAlign w:val="center"/>
          </w:tcPr>
          <w:p w14:paraId="22AB831D" w14:textId="77777777" w:rsidR="00FA38C7" w:rsidRPr="00FA38C7" w:rsidRDefault="00FA38C7" w:rsidP="00B734A6">
            <w:pPr>
              <w:pStyle w:val="Tabletext1"/>
              <w:rPr>
                <w:rFonts w:ascii="Arial Narrow" w:hAnsi="Arial Narrow"/>
              </w:rPr>
            </w:pPr>
            <w:r w:rsidRPr="00FA38C7">
              <w:rPr>
                <w:rFonts w:ascii="Arial Narrow" w:hAnsi="Arial Narrow"/>
              </w:rPr>
              <w:t>6 Months</w:t>
            </w:r>
          </w:p>
        </w:tc>
        <w:tc>
          <w:tcPr>
            <w:tcW w:w="662" w:type="pct"/>
            <w:shd w:val="clear" w:color="auto" w:fill="FFFFFF"/>
            <w:tcMar>
              <w:left w:w="80" w:type="dxa"/>
              <w:right w:w="80" w:type="dxa"/>
            </w:tcMar>
            <w:vAlign w:val="center"/>
          </w:tcPr>
          <w:p w14:paraId="28D1AB08" w14:textId="77777777" w:rsidR="00FA38C7" w:rsidRPr="00FA38C7" w:rsidRDefault="00FA38C7" w:rsidP="00FA38C7">
            <w:pPr>
              <w:pStyle w:val="Tabletext1"/>
              <w:jc w:val="right"/>
              <w:rPr>
                <w:rFonts w:ascii="Arial Narrow" w:hAnsi="Arial Narrow"/>
              </w:rPr>
            </w:pPr>
            <w:r w:rsidRPr="00FA38C7">
              <w:rPr>
                <w:rFonts w:ascii="Arial Narrow" w:hAnsi="Arial Narrow"/>
              </w:rPr>
              <w:t>-5.19 mins</w:t>
            </w:r>
          </w:p>
        </w:tc>
        <w:tc>
          <w:tcPr>
            <w:tcW w:w="603" w:type="pct"/>
            <w:shd w:val="clear" w:color="auto" w:fill="FFFFFF"/>
            <w:vAlign w:val="center"/>
          </w:tcPr>
          <w:p w14:paraId="0E9B0DED" w14:textId="77777777" w:rsidR="00FA38C7" w:rsidRPr="00FA38C7" w:rsidRDefault="00FA38C7" w:rsidP="00FA38C7">
            <w:pPr>
              <w:pStyle w:val="Tabletext1"/>
              <w:jc w:val="right"/>
              <w:rPr>
                <w:rFonts w:ascii="Arial Narrow" w:hAnsi="Arial Narrow"/>
              </w:rPr>
            </w:pPr>
            <w:r w:rsidRPr="00FA38C7">
              <w:rPr>
                <w:rFonts w:ascii="Arial Narrow" w:hAnsi="Arial Narrow"/>
              </w:rPr>
              <w:t>(21.07)</w:t>
            </w:r>
          </w:p>
        </w:tc>
        <w:tc>
          <w:tcPr>
            <w:tcW w:w="613" w:type="pct"/>
            <w:shd w:val="clear" w:color="auto" w:fill="FFFFFF"/>
            <w:tcMar>
              <w:left w:w="80" w:type="dxa"/>
              <w:right w:w="80" w:type="dxa"/>
            </w:tcMar>
            <w:vAlign w:val="center"/>
          </w:tcPr>
          <w:p w14:paraId="6D720387" w14:textId="77777777" w:rsidR="00FA38C7" w:rsidRPr="00FA38C7" w:rsidRDefault="00FA38C7" w:rsidP="00FA38C7">
            <w:pPr>
              <w:pStyle w:val="Tabletext1"/>
              <w:jc w:val="right"/>
              <w:rPr>
                <w:rFonts w:ascii="Arial Narrow" w:hAnsi="Arial Narrow"/>
              </w:rPr>
            </w:pPr>
            <w:r w:rsidRPr="00FA38C7">
              <w:rPr>
                <w:rFonts w:ascii="Arial Narrow" w:hAnsi="Arial Narrow"/>
              </w:rPr>
              <w:t>-2.79 mins</w:t>
            </w:r>
          </w:p>
        </w:tc>
        <w:tc>
          <w:tcPr>
            <w:tcW w:w="538" w:type="pct"/>
            <w:shd w:val="clear" w:color="auto" w:fill="FFFFFF"/>
            <w:vAlign w:val="center"/>
          </w:tcPr>
          <w:p w14:paraId="49FE485B" w14:textId="77777777" w:rsidR="00FA38C7" w:rsidRPr="00FA38C7" w:rsidRDefault="00FA38C7" w:rsidP="00FA38C7">
            <w:pPr>
              <w:pStyle w:val="Tabletext1"/>
              <w:jc w:val="right"/>
              <w:rPr>
                <w:rFonts w:ascii="Arial Narrow" w:hAnsi="Arial Narrow"/>
              </w:rPr>
            </w:pPr>
            <w:r w:rsidRPr="00FA38C7">
              <w:rPr>
                <w:rFonts w:ascii="Arial Narrow" w:hAnsi="Arial Narrow"/>
              </w:rPr>
              <w:t>(32.32)</w:t>
            </w:r>
          </w:p>
        </w:tc>
        <w:tc>
          <w:tcPr>
            <w:tcW w:w="522" w:type="pct"/>
            <w:shd w:val="clear" w:color="auto" w:fill="FFFFFF"/>
            <w:tcMar>
              <w:left w:w="80" w:type="dxa"/>
              <w:right w:w="80" w:type="dxa"/>
            </w:tcMar>
            <w:vAlign w:val="center"/>
          </w:tcPr>
          <w:p w14:paraId="3B2A9DB5" w14:textId="77777777" w:rsidR="00FA38C7" w:rsidRPr="00FA38C7" w:rsidRDefault="00FA38C7" w:rsidP="00FA38C7">
            <w:pPr>
              <w:pStyle w:val="Tabletext1"/>
              <w:jc w:val="right"/>
              <w:rPr>
                <w:rFonts w:ascii="Arial Narrow" w:hAnsi="Arial Narrow"/>
              </w:rPr>
            </w:pPr>
            <w:r w:rsidRPr="00FA38C7">
              <w:rPr>
                <w:rFonts w:ascii="Arial Narrow" w:hAnsi="Arial Narrow"/>
              </w:rPr>
              <w:t>-6.04 mins</w:t>
            </w:r>
          </w:p>
        </w:tc>
        <w:tc>
          <w:tcPr>
            <w:tcW w:w="554" w:type="pct"/>
            <w:shd w:val="clear" w:color="auto" w:fill="FFFFFF"/>
            <w:vAlign w:val="center"/>
          </w:tcPr>
          <w:p w14:paraId="6CF0E9A4" w14:textId="77777777" w:rsidR="00FA38C7" w:rsidRPr="00FA38C7" w:rsidRDefault="00FA38C7" w:rsidP="00FA38C7">
            <w:pPr>
              <w:pStyle w:val="Tabletext1"/>
              <w:jc w:val="right"/>
              <w:rPr>
                <w:rFonts w:ascii="Arial Narrow" w:hAnsi="Arial Narrow"/>
              </w:rPr>
            </w:pPr>
            <w:r w:rsidRPr="00FA38C7">
              <w:rPr>
                <w:rFonts w:ascii="Arial Narrow" w:hAnsi="Arial Narrow"/>
              </w:rPr>
              <w:t>(-20.87, 8.80)</w:t>
            </w:r>
          </w:p>
        </w:tc>
        <w:tc>
          <w:tcPr>
            <w:tcW w:w="345" w:type="pct"/>
            <w:shd w:val="clear" w:color="auto" w:fill="FFFFFF"/>
            <w:tcMar>
              <w:left w:w="80" w:type="dxa"/>
              <w:right w:w="80" w:type="dxa"/>
            </w:tcMar>
            <w:vAlign w:val="center"/>
          </w:tcPr>
          <w:p w14:paraId="71401DF4" w14:textId="77777777" w:rsidR="00FA38C7" w:rsidRPr="00FA38C7" w:rsidRDefault="00FA38C7" w:rsidP="00FA38C7">
            <w:pPr>
              <w:pStyle w:val="Tabletext1"/>
              <w:jc w:val="right"/>
              <w:rPr>
                <w:rFonts w:ascii="Arial Narrow" w:hAnsi="Arial Narrow"/>
              </w:rPr>
            </w:pPr>
            <w:r w:rsidRPr="00FA38C7">
              <w:rPr>
                <w:rFonts w:ascii="Arial Narrow" w:hAnsi="Arial Narrow"/>
              </w:rPr>
              <w:t>0.419</w:t>
            </w:r>
          </w:p>
        </w:tc>
      </w:tr>
      <w:tr w:rsidR="00FA38C7" w:rsidRPr="00FA38C7" w14:paraId="36B3599F" w14:textId="77777777" w:rsidTr="00FA38C7">
        <w:trPr>
          <w:cantSplit/>
          <w:jc w:val="center"/>
        </w:trPr>
        <w:tc>
          <w:tcPr>
            <w:tcW w:w="760" w:type="pct"/>
            <w:vMerge/>
            <w:tcBorders>
              <w:bottom w:val="single" w:sz="4" w:space="0" w:color="auto"/>
            </w:tcBorders>
            <w:shd w:val="clear" w:color="auto" w:fill="FFFFFF"/>
            <w:tcMar>
              <w:left w:w="80" w:type="dxa"/>
              <w:right w:w="80" w:type="dxa"/>
            </w:tcMar>
          </w:tcPr>
          <w:p w14:paraId="39EF94FE" w14:textId="713134AE" w:rsidR="00FA38C7" w:rsidRPr="00FA38C7" w:rsidRDefault="00FA38C7" w:rsidP="00FA38C7">
            <w:pPr>
              <w:pStyle w:val="Tabletext1"/>
              <w:rPr>
                <w:rFonts w:ascii="Arial Narrow" w:hAnsi="Arial Narrow"/>
                <w:b/>
                <w:bCs/>
              </w:rPr>
            </w:pPr>
          </w:p>
        </w:tc>
        <w:tc>
          <w:tcPr>
            <w:tcW w:w="403" w:type="pct"/>
            <w:shd w:val="clear" w:color="auto" w:fill="FFFFFF"/>
            <w:tcMar>
              <w:left w:w="80" w:type="dxa"/>
              <w:right w:w="80" w:type="dxa"/>
            </w:tcMar>
            <w:vAlign w:val="center"/>
          </w:tcPr>
          <w:p w14:paraId="3733B8AE" w14:textId="77777777" w:rsidR="00FA38C7" w:rsidRPr="00FA38C7" w:rsidRDefault="00FA38C7" w:rsidP="00B734A6">
            <w:pPr>
              <w:pStyle w:val="Tabletext1"/>
              <w:rPr>
                <w:rFonts w:ascii="Arial Narrow" w:hAnsi="Arial Narrow"/>
              </w:rPr>
            </w:pPr>
            <w:r w:rsidRPr="00FA38C7">
              <w:rPr>
                <w:rFonts w:ascii="Arial Narrow" w:hAnsi="Arial Narrow"/>
              </w:rPr>
              <w:t>12 Months</w:t>
            </w:r>
          </w:p>
        </w:tc>
        <w:tc>
          <w:tcPr>
            <w:tcW w:w="662" w:type="pct"/>
            <w:shd w:val="clear" w:color="auto" w:fill="FFFFFF"/>
            <w:tcMar>
              <w:left w:w="80" w:type="dxa"/>
              <w:right w:w="80" w:type="dxa"/>
            </w:tcMar>
            <w:vAlign w:val="center"/>
          </w:tcPr>
          <w:p w14:paraId="5640ADF9" w14:textId="77777777" w:rsidR="00FA38C7" w:rsidRPr="00FA38C7" w:rsidRDefault="00FA38C7" w:rsidP="00FA38C7">
            <w:pPr>
              <w:pStyle w:val="Tabletext1"/>
              <w:jc w:val="right"/>
              <w:rPr>
                <w:rFonts w:ascii="Arial Narrow" w:hAnsi="Arial Narrow"/>
              </w:rPr>
            </w:pPr>
            <w:r w:rsidRPr="00FA38C7">
              <w:rPr>
                <w:rFonts w:ascii="Arial Narrow" w:hAnsi="Arial Narrow"/>
              </w:rPr>
              <w:t>1.70 mins</w:t>
            </w:r>
          </w:p>
        </w:tc>
        <w:tc>
          <w:tcPr>
            <w:tcW w:w="603" w:type="pct"/>
            <w:shd w:val="clear" w:color="auto" w:fill="FFFFFF"/>
            <w:vAlign w:val="center"/>
          </w:tcPr>
          <w:p w14:paraId="0A5EFD3B" w14:textId="77777777" w:rsidR="00FA38C7" w:rsidRPr="00FA38C7" w:rsidRDefault="00FA38C7" w:rsidP="00FA38C7">
            <w:pPr>
              <w:pStyle w:val="Tabletext1"/>
              <w:jc w:val="right"/>
              <w:rPr>
                <w:rFonts w:ascii="Arial Narrow" w:hAnsi="Arial Narrow"/>
              </w:rPr>
            </w:pPr>
            <w:r w:rsidRPr="00FA38C7">
              <w:rPr>
                <w:rFonts w:ascii="Arial Narrow" w:hAnsi="Arial Narrow"/>
              </w:rPr>
              <w:t>(37.14)</w:t>
            </w:r>
          </w:p>
        </w:tc>
        <w:tc>
          <w:tcPr>
            <w:tcW w:w="613" w:type="pct"/>
            <w:shd w:val="clear" w:color="auto" w:fill="FFFFFF"/>
            <w:tcMar>
              <w:left w:w="80" w:type="dxa"/>
              <w:right w:w="80" w:type="dxa"/>
            </w:tcMar>
            <w:vAlign w:val="center"/>
          </w:tcPr>
          <w:p w14:paraId="792576C1" w14:textId="77777777" w:rsidR="00FA38C7" w:rsidRPr="00FA38C7" w:rsidRDefault="00FA38C7" w:rsidP="00FA38C7">
            <w:pPr>
              <w:pStyle w:val="Tabletext1"/>
              <w:jc w:val="right"/>
              <w:rPr>
                <w:rFonts w:ascii="Arial Narrow" w:hAnsi="Arial Narrow"/>
              </w:rPr>
            </w:pPr>
            <w:r w:rsidRPr="00FA38C7">
              <w:rPr>
                <w:rFonts w:ascii="Arial Narrow" w:hAnsi="Arial Narrow"/>
              </w:rPr>
              <w:t>4.71 mins</w:t>
            </w:r>
          </w:p>
        </w:tc>
        <w:tc>
          <w:tcPr>
            <w:tcW w:w="538" w:type="pct"/>
            <w:shd w:val="clear" w:color="auto" w:fill="FFFFFF"/>
            <w:vAlign w:val="center"/>
          </w:tcPr>
          <w:p w14:paraId="2D49BE67" w14:textId="77777777" w:rsidR="00FA38C7" w:rsidRPr="00FA38C7" w:rsidRDefault="00FA38C7" w:rsidP="00FA38C7">
            <w:pPr>
              <w:pStyle w:val="Tabletext1"/>
              <w:jc w:val="right"/>
              <w:rPr>
                <w:rFonts w:ascii="Arial Narrow" w:hAnsi="Arial Narrow"/>
              </w:rPr>
            </w:pPr>
            <w:r w:rsidRPr="00FA38C7">
              <w:rPr>
                <w:rFonts w:ascii="Arial Narrow" w:hAnsi="Arial Narrow"/>
              </w:rPr>
              <w:t>(39.78)</w:t>
            </w:r>
          </w:p>
        </w:tc>
        <w:tc>
          <w:tcPr>
            <w:tcW w:w="522" w:type="pct"/>
            <w:shd w:val="clear" w:color="auto" w:fill="FFFFFF"/>
            <w:tcMar>
              <w:left w:w="80" w:type="dxa"/>
              <w:right w:w="80" w:type="dxa"/>
            </w:tcMar>
            <w:vAlign w:val="center"/>
          </w:tcPr>
          <w:p w14:paraId="011A4BAA" w14:textId="77777777" w:rsidR="00FA38C7" w:rsidRPr="00FA38C7" w:rsidRDefault="00FA38C7" w:rsidP="00FA38C7">
            <w:pPr>
              <w:pStyle w:val="Tabletext1"/>
              <w:jc w:val="right"/>
              <w:rPr>
                <w:rFonts w:ascii="Arial Narrow" w:hAnsi="Arial Narrow"/>
              </w:rPr>
            </w:pPr>
            <w:r w:rsidRPr="00FA38C7">
              <w:rPr>
                <w:rFonts w:ascii="Arial Narrow" w:hAnsi="Arial Narrow"/>
              </w:rPr>
              <w:t>-4.71 mins</w:t>
            </w:r>
          </w:p>
        </w:tc>
        <w:tc>
          <w:tcPr>
            <w:tcW w:w="554" w:type="pct"/>
            <w:shd w:val="clear" w:color="auto" w:fill="FFFFFF"/>
            <w:vAlign w:val="center"/>
          </w:tcPr>
          <w:p w14:paraId="68D56EDB" w14:textId="77777777" w:rsidR="00FA38C7" w:rsidRPr="00FA38C7" w:rsidRDefault="00FA38C7" w:rsidP="00FA38C7">
            <w:pPr>
              <w:pStyle w:val="Tabletext1"/>
              <w:jc w:val="right"/>
              <w:rPr>
                <w:rFonts w:ascii="Arial Narrow" w:hAnsi="Arial Narrow"/>
              </w:rPr>
            </w:pPr>
            <w:r w:rsidRPr="00FA38C7">
              <w:rPr>
                <w:rFonts w:ascii="Arial Narrow" w:hAnsi="Arial Narrow"/>
              </w:rPr>
              <w:t>(-22.12, 12.70)</w:t>
            </w:r>
          </w:p>
        </w:tc>
        <w:tc>
          <w:tcPr>
            <w:tcW w:w="345" w:type="pct"/>
            <w:shd w:val="clear" w:color="auto" w:fill="FFFFFF"/>
            <w:tcMar>
              <w:left w:w="80" w:type="dxa"/>
              <w:right w:w="80" w:type="dxa"/>
            </w:tcMar>
            <w:vAlign w:val="center"/>
          </w:tcPr>
          <w:p w14:paraId="5F0AA6F1" w14:textId="77777777" w:rsidR="00FA38C7" w:rsidRPr="00FA38C7" w:rsidRDefault="00FA38C7" w:rsidP="00FA38C7">
            <w:pPr>
              <w:pStyle w:val="Tabletext1"/>
              <w:jc w:val="right"/>
              <w:rPr>
                <w:rFonts w:ascii="Arial Narrow" w:hAnsi="Arial Narrow"/>
              </w:rPr>
            </w:pPr>
            <w:r w:rsidRPr="00FA38C7">
              <w:rPr>
                <w:rFonts w:ascii="Arial Narrow" w:hAnsi="Arial Narrow"/>
              </w:rPr>
              <w:t>0.590</w:t>
            </w:r>
          </w:p>
        </w:tc>
      </w:tr>
      <w:tr w:rsidR="00FA38C7" w:rsidRPr="00FA38C7" w14:paraId="7E908C82" w14:textId="77777777" w:rsidTr="00FA38C7">
        <w:trPr>
          <w:cantSplit/>
          <w:jc w:val="center"/>
        </w:trPr>
        <w:tc>
          <w:tcPr>
            <w:tcW w:w="760" w:type="pct"/>
            <w:vMerge w:val="restart"/>
            <w:shd w:val="clear" w:color="auto" w:fill="FFFFFF"/>
            <w:tcMar>
              <w:left w:w="80" w:type="dxa"/>
              <w:right w:w="80" w:type="dxa"/>
            </w:tcMar>
          </w:tcPr>
          <w:p w14:paraId="1981FC16" w14:textId="77777777" w:rsidR="00FA38C7" w:rsidRPr="00FA38C7" w:rsidRDefault="00FA38C7" w:rsidP="00FA38C7">
            <w:pPr>
              <w:pStyle w:val="Tabletext1"/>
              <w:rPr>
                <w:rFonts w:ascii="Arial Narrow" w:hAnsi="Arial Narrow"/>
                <w:b/>
                <w:bCs/>
              </w:rPr>
            </w:pPr>
            <w:r w:rsidRPr="00FA38C7">
              <w:rPr>
                <w:rFonts w:ascii="Arial Narrow" w:hAnsi="Arial Narrow"/>
                <w:b/>
                <w:bCs/>
              </w:rPr>
              <w:t>Moderate Activity*</w:t>
            </w:r>
          </w:p>
        </w:tc>
        <w:tc>
          <w:tcPr>
            <w:tcW w:w="403" w:type="pct"/>
            <w:shd w:val="clear" w:color="auto" w:fill="FFFFFF"/>
            <w:tcMar>
              <w:left w:w="80" w:type="dxa"/>
              <w:right w:w="80" w:type="dxa"/>
            </w:tcMar>
            <w:vAlign w:val="center"/>
          </w:tcPr>
          <w:p w14:paraId="2AB08ADF" w14:textId="77777777" w:rsidR="00FA38C7" w:rsidRPr="00FA38C7" w:rsidRDefault="00FA38C7" w:rsidP="00B734A6">
            <w:pPr>
              <w:pStyle w:val="Tabletext1"/>
              <w:rPr>
                <w:rFonts w:ascii="Arial Narrow" w:hAnsi="Arial Narrow"/>
              </w:rPr>
            </w:pPr>
            <w:r w:rsidRPr="00FA38C7">
              <w:rPr>
                <w:rFonts w:ascii="Arial Narrow" w:hAnsi="Arial Narrow"/>
              </w:rPr>
              <w:t>6 Months</w:t>
            </w:r>
          </w:p>
        </w:tc>
        <w:tc>
          <w:tcPr>
            <w:tcW w:w="662" w:type="pct"/>
            <w:shd w:val="clear" w:color="auto" w:fill="FFFFFF"/>
            <w:tcMar>
              <w:left w:w="80" w:type="dxa"/>
              <w:right w:w="80" w:type="dxa"/>
            </w:tcMar>
            <w:vAlign w:val="center"/>
          </w:tcPr>
          <w:p w14:paraId="51CC4D4D" w14:textId="77777777" w:rsidR="00FA38C7" w:rsidRPr="00FA38C7" w:rsidRDefault="00FA38C7" w:rsidP="00FA38C7">
            <w:pPr>
              <w:pStyle w:val="Tabletext1"/>
              <w:jc w:val="right"/>
              <w:rPr>
                <w:rFonts w:ascii="Arial Narrow" w:hAnsi="Arial Narrow"/>
              </w:rPr>
            </w:pPr>
            <w:r w:rsidRPr="00FA38C7">
              <w:rPr>
                <w:rFonts w:ascii="Arial Narrow" w:hAnsi="Arial Narrow"/>
              </w:rPr>
              <w:t>0.16 mins</w:t>
            </w:r>
          </w:p>
        </w:tc>
        <w:tc>
          <w:tcPr>
            <w:tcW w:w="603" w:type="pct"/>
            <w:shd w:val="clear" w:color="auto" w:fill="FFFFFF"/>
            <w:vAlign w:val="center"/>
          </w:tcPr>
          <w:p w14:paraId="25BE56F8" w14:textId="77777777" w:rsidR="00FA38C7" w:rsidRPr="00FA38C7" w:rsidRDefault="00FA38C7" w:rsidP="00FA38C7">
            <w:pPr>
              <w:pStyle w:val="Tabletext1"/>
              <w:jc w:val="right"/>
              <w:rPr>
                <w:rFonts w:ascii="Arial Narrow" w:hAnsi="Arial Narrow"/>
              </w:rPr>
            </w:pPr>
            <w:r w:rsidRPr="00FA38C7">
              <w:rPr>
                <w:rFonts w:ascii="Arial Narrow" w:hAnsi="Arial Narrow"/>
              </w:rPr>
              <w:t>(23.54)</w:t>
            </w:r>
          </w:p>
        </w:tc>
        <w:tc>
          <w:tcPr>
            <w:tcW w:w="613" w:type="pct"/>
            <w:shd w:val="clear" w:color="auto" w:fill="FFFFFF"/>
            <w:tcMar>
              <w:left w:w="80" w:type="dxa"/>
              <w:right w:w="80" w:type="dxa"/>
            </w:tcMar>
            <w:vAlign w:val="center"/>
          </w:tcPr>
          <w:p w14:paraId="121B3353" w14:textId="77777777" w:rsidR="00FA38C7" w:rsidRPr="00FA38C7" w:rsidRDefault="00FA38C7" w:rsidP="00FA38C7">
            <w:pPr>
              <w:pStyle w:val="Tabletext1"/>
              <w:jc w:val="right"/>
              <w:rPr>
                <w:rFonts w:ascii="Arial Narrow" w:hAnsi="Arial Narrow"/>
              </w:rPr>
            </w:pPr>
            <w:r w:rsidRPr="00FA38C7">
              <w:rPr>
                <w:rFonts w:ascii="Arial Narrow" w:hAnsi="Arial Narrow"/>
              </w:rPr>
              <w:t>-1.62 mins</w:t>
            </w:r>
          </w:p>
        </w:tc>
        <w:tc>
          <w:tcPr>
            <w:tcW w:w="538" w:type="pct"/>
            <w:shd w:val="clear" w:color="auto" w:fill="FFFFFF"/>
            <w:vAlign w:val="center"/>
          </w:tcPr>
          <w:p w14:paraId="388CB8B7" w14:textId="77777777" w:rsidR="00FA38C7" w:rsidRPr="00FA38C7" w:rsidRDefault="00FA38C7" w:rsidP="00FA38C7">
            <w:pPr>
              <w:pStyle w:val="Tabletext1"/>
              <w:jc w:val="right"/>
              <w:rPr>
                <w:rFonts w:ascii="Arial Narrow" w:hAnsi="Arial Narrow"/>
              </w:rPr>
            </w:pPr>
            <w:r w:rsidRPr="00FA38C7">
              <w:rPr>
                <w:rFonts w:ascii="Arial Narrow" w:hAnsi="Arial Narrow"/>
              </w:rPr>
              <w:t>(29.81)</w:t>
            </w:r>
          </w:p>
        </w:tc>
        <w:tc>
          <w:tcPr>
            <w:tcW w:w="522" w:type="pct"/>
            <w:shd w:val="clear" w:color="auto" w:fill="FFFFFF"/>
            <w:tcMar>
              <w:left w:w="80" w:type="dxa"/>
              <w:right w:w="80" w:type="dxa"/>
            </w:tcMar>
            <w:vAlign w:val="center"/>
          </w:tcPr>
          <w:p w14:paraId="09971BDA" w14:textId="77777777" w:rsidR="00FA38C7" w:rsidRPr="00FA38C7" w:rsidRDefault="00FA38C7" w:rsidP="00FA38C7">
            <w:pPr>
              <w:pStyle w:val="Tabletext1"/>
              <w:jc w:val="right"/>
              <w:rPr>
                <w:rFonts w:ascii="Arial Narrow" w:hAnsi="Arial Narrow"/>
              </w:rPr>
            </w:pPr>
            <w:r w:rsidRPr="00FA38C7">
              <w:rPr>
                <w:rFonts w:ascii="Arial Narrow" w:hAnsi="Arial Narrow"/>
              </w:rPr>
              <w:t>2.16 mins</w:t>
            </w:r>
          </w:p>
        </w:tc>
        <w:tc>
          <w:tcPr>
            <w:tcW w:w="554" w:type="pct"/>
            <w:shd w:val="clear" w:color="auto" w:fill="FFFFFF"/>
            <w:vAlign w:val="center"/>
          </w:tcPr>
          <w:p w14:paraId="051425BC" w14:textId="77777777" w:rsidR="00FA38C7" w:rsidRPr="00FA38C7" w:rsidRDefault="00FA38C7" w:rsidP="00FA38C7">
            <w:pPr>
              <w:pStyle w:val="Tabletext1"/>
              <w:jc w:val="right"/>
              <w:rPr>
                <w:rFonts w:ascii="Arial Narrow" w:hAnsi="Arial Narrow"/>
              </w:rPr>
            </w:pPr>
            <w:r w:rsidRPr="00FA38C7">
              <w:rPr>
                <w:rFonts w:ascii="Arial Narrow" w:hAnsi="Arial Narrow"/>
              </w:rPr>
              <w:t>(-11.29, 15.61)</w:t>
            </w:r>
          </w:p>
        </w:tc>
        <w:tc>
          <w:tcPr>
            <w:tcW w:w="345" w:type="pct"/>
            <w:shd w:val="clear" w:color="auto" w:fill="FFFFFF"/>
            <w:tcMar>
              <w:left w:w="80" w:type="dxa"/>
              <w:right w:w="80" w:type="dxa"/>
            </w:tcMar>
            <w:vAlign w:val="center"/>
          </w:tcPr>
          <w:p w14:paraId="70F83EDD" w14:textId="77777777" w:rsidR="00FA38C7" w:rsidRPr="00FA38C7" w:rsidRDefault="00FA38C7" w:rsidP="00FA38C7">
            <w:pPr>
              <w:pStyle w:val="Tabletext1"/>
              <w:jc w:val="right"/>
              <w:rPr>
                <w:rFonts w:ascii="Arial Narrow" w:hAnsi="Arial Narrow"/>
              </w:rPr>
            </w:pPr>
            <w:r w:rsidRPr="00FA38C7">
              <w:rPr>
                <w:rFonts w:ascii="Arial Narrow" w:hAnsi="Arial Narrow"/>
              </w:rPr>
              <w:t>0.749</w:t>
            </w:r>
          </w:p>
        </w:tc>
      </w:tr>
      <w:tr w:rsidR="00FA38C7" w:rsidRPr="00FA38C7" w14:paraId="535AD96A" w14:textId="77777777" w:rsidTr="00FA38C7">
        <w:trPr>
          <w:cantSplit/>
          <w:jc w:val="center"/>
        </w:trPr>
        <w:tc>
          <w:tcPr>
            <w:tcW w:w="760" w:type="pct"/>
            <w:vMerge/>
            <w:tcBorders>
              <w:bottom w:val="single" w:sz="4" w:space="0" w:color="auto"/>
            </w:tcBorders>
            <w:shd w:val="clear" w:color="auto" w:fill="FFFFFF"/>
            <w:tcMar>
              <w:left w:w="80" w:type="dxa"/>
              <w:right w:w="80" w:type="dxa"/>
            </w:tcMar>
          </w:tcPr>
          <w:p w14:paraId="0A6B4A8B" w14:textId="07BEF372" w:rsidR="00FA38C7" w:rsidRPr="00FA38C7" w:rsidRDefault="00FA38C7" w:rsidP="00FA38C7">
            <w:pPr>
              <w:pStyle w:val="Tabletext1"/>
              <w:rPr>
                <w:rFonts w:ascii="Arial Narrow" w:hAnsi="Arial Narrow"/>
                <w:b/>
                <w:bCs/>
              </w:rPr>
            </w:pPr>
          </w:p>
        </w:tc>
        <w:tc>
          <w:tcPr>
            <w:tcW w:w="403" w:type="pct"/>
            <w:shd w:val="clear" w:color="auto" w:fill="FFFFFF"/>
            <w:tcMar>
              <w:left w:w="80" w:type="dxa"/>
              <w:right w:w="80" w:type="dxa"/>
            </w:tcMar>
            <w:vAlign w:val="center"/>
          </w:tcPr>
          <w:p w14:paraId="51177EF3" w14:textId="77777777" w:rsidR="00FA38C7" w:rsidRPr="00FA38C7" w:rsidRDefault="00FA38C7" w:rsidP="00B734A6">
            <w:pPr>
              <w:pStyle w:val="Tabletext1"/>
              <w:rPr>
                <w:rFonts w:ascii="Arial Narrow" w:hAnsi="Arial Narrow"/>
              </w:rPr>
            </w:pPr>
            <w:r w:rsidRPr="00FA38C7">
              <w:rPr>
                <w:rFonts w:ascii="Arial Narrow" w:hAnsi="Arial Narrow"/>
              </w:rPr>
              <w:t>12 Months</w:t>
            </w:r>
          </w:p>
        </w:tc>
        <w:tc>
          <w:tcPr>
            <w:tcW w:w="662" w:type="pct"/>
            <w:shd w:val="clear" w:color="auto" w:fill="FFFFFF"/>
            <w:tcMar>
              <w:left w:w="80" w:type="dxa"/>
              <w:right w:w="80" w:type="dxa"/>
            </w:tcMar>
            <w:vAlign w:val="center"/>
          </w:tcPr>
          <w:p w14:paraId="0D6E22EC" w14:textId="77777777" w:rsidR="00FA38C7" w:rsidRPr="00FA38C7" w:rsidRDefault="00FA38C7" w:rsidP="00FA38C7">
            <w:pPr>
              <w:pStyle w:val="Tabletext1"/>
              <w:jc w:val="right"/>
              <w:rPr>
                <w:rFonts w:ascii="Arial Narrow" w:hAnsi="Arial Narrow"/>
              </w:rPr>
            </w:pPr>
            <w:r w:rsidRPr="00FA38C7">
              <w:rPr>
                <w:rFonts w:ascii="Arial Narrow" w:hAnsi="Arial Narrow"/>
              </w:rPr>
              <w:t>5.64 mins</w:t>
            </w:r>
          </w:p>
        </w:tc>
        <w:tc>
          <w:tcPr>
            <w:tcW w:w="603" w:type="pct"/>
            <w:shd w:val="clear" w:color="auto" w:fill="FFFFFF"/>
            <w:vAlign w:val="center"/>
          </w:tcPr>
          <w:p w14:paraId="553E67C3" w14:textId="77777777" w:rsidR="00FA38C7" w:rsidRPr="00FA38C7" w:rsidRDefault="00FA38C7" w:rsidP="00FA38C7">
            <w:pPr>
              <w:pStyle w:val="Tabletext1"/>
              <w:jc w:val="right"/>
              <w:rPr>
                <w:rFonts w:ascii="Arial Narrow" w:hAnsi="Arial Narrow"/>
              </w:rPr>
            </w:pPr>
            <w:r w:rsidRPr="00FA38C7">
              <w:rPr>
                <w:rFonts w:ascii="Arial Narrow" w:hAnsi="Arial Narrow"/>
              </w:rPr>
              <w:t>(39.30)</w:t>
            </w:r>
          </w:p>
        </w:tc>
        <w:tc>
          <w:tcPr>
            <w:tcW w:w="613" w:type="pct"/>
            <w:shd w:val="clear" w:color="auto" w:fill="FFFFFF"/>
            <w:tcMar>
              <w:left w:w="80" w:type="dxa"/>
              <w:right w:w="80" w:type="dxa"/>
            </w:tcMar>
            <w:vAlign w:val="center"/>
          </w:tcPr>
          <w:p w14:paraId="561F8E3D" w14:textId="77777777" w:rsidR="00FA38C7" w:rsidRPr="00FA38C7" w:rsidRDefault="00FA38C7" w:rsidP="00FA38C7">
            <w:pPr>
              <w:pStyle w:val="Tabletext1"/>
              <w:jc w:val="right"/>
              <w:rPr>
                <w:rFonts w:ascii="Arial Narrow" w:hAnsi="Arial Narrow"/>
              </w:rPr>
            </w:pPr>
            <w:r w:rsidRPr="00FA38C7">
              <w:rPr>
                <w:rFonts w:ascii="Arial Narrow" w:hAnsi="Arial Narrow"/>
              </w:rPr>
              <w:t>-3.90 mins</w:t>
            </w:r>
          </w:p>
        </w:tc>
        <w:tc>
          <w:tcPr>
            <w:tcW w:w="538" w:type="pct"/>
            <w:shd w:val="clear" w:color="auto" w:fill="FFFFFF"/>
            <w:vAlign w:val="center"/>
          </w:tcPr>
          <w:p w14:paraId="13A0914E" w14:textId="77777777" w:rsidR="00FA38C7" w:rsidRPr="00FA38C7" w:rsidRDefault="00FA38C7" w:rsidP="00FA38C7">
            <w:pPr>
              <w:pStyle w:val="Tabletext1"/>
              <w:jc w:val="right"/>
              <w:rPr>
                <w:rFonts w:ascii="Arial Narrow" w:hAnsi="Arial Narrow"/>
              </w:rPr>
            </w:pPr>
            <w:r w:rsidRPr="00FA38C7">
              <w:rPr>
                <w:rFonts w:ascii="Arial Narrow" w:hAnsi="Arial Narrow"/>
              </w:rPr>
              <w:t>(35.77)</w:t>
            </w:r>
          </w:p>
        </w:tc>
        <w:tc>
          <w:tcPr>
            <w:tcW w:w="522" w:type="pct"/>
            <w:shd w:val="clear" w:color="auto" w:fill="FFFFFF"/>
            <w:tcMar>
              <w:left w:w="80" w:type="dxa"/>
              <w:right w:w="80" w:type="dxa"/>
            </w:tcMar>
            <w:vAlign w:val="center"/>
          </w:tcPr>
          <w:p w14:paraId="11F31A55" w14:textId="77777777" w:rsidR="00FA38C7" w:rsidRPr="00FA38C7" w:rsidRDefault="00FA38C7" w:rsidP="00FA38C7">
            <w:pPr>
              <w:pStyle w:val="Tabletext1"/>
              <w:jc w:val="right"/>
              <w:rPr>
                <w:rFonts w:ascii="Arial Narrow" w:hAnsi="Arial Narrow"/>
              </w:rPr>
            </w:pPr>
            <w:r w:rsidRPr="00FA38C7">
              <w:rPr>
                <w:rFonts w:ascii="Arial Narrow" w:hAnsi="Arial Narrow"/>
              </w:rPr>
              <w:t>7.06 mins</w:t>
            </w:r>
          </w:p>
        </w:tc>
        <w:tc>
          <w:tcPr>
            <w:tcW w:w="554" w:type="pct"/>
            <w:shd w:val="clear" w:color="auto" w:fill="FFFFFF"/>
            <w:vAlign w:val="center"/>
          </w:tcPr>
          <w:p w14:paraId="3645DCD0" w14:textId="77777777" w:rsidR="00FA38C7" w:rsidRPr="00FA38C7" w:rsidRDefault="00FA38C7" w:rsidP="00FA38C7">
            <w:pPr>
              <w:pStyle w:val="Tabletext1"/>
              <w:jc w:val="right"/>
              <w:rPr>
                <w:rFonts w:ascii="Arial Narrow" w:hAnsi="Arial Narrow"/>
              </w:rPr>
            </w:pPr>
            <w:r w:rsidRPr="00FA38C7">
              <w:rPr>
                <w:rFonts w:ascii="Arial Narrow" w:hAnsi="Arial Narrow"/>
              </w:rPr>
              <w:t>(-8.23, 22.35)</w:t>
            </w:r>
          </w:p>
        </w:tc>
        <w:tc>
          <w:tcPr>
            <w:tcW w:w="345" w:type="pct"/>
            <w:shd w:val="clear" w:color="auto" w:fill="FFFFFF"/>
            <w:tcMar>
              <w:left w:w="80" w:type="dxa"/>
              <w:right w:w="80" w:type="dxa"/>
            </w:tcMar>
            <w:vAlign w:val="center"/>
          </w:tcPr>
          <w:p w14:paraId="3134D84D" w14:textId="77777777" w:rsidR="00FA38C7" w:rsidRPr="00FA38C7" w:rsidRDefault="00FA38C7" w:rsidP="00FA38C7">
            <w:pPr>
              <w:pStyle w:val="Tabletext1"/>
              <w:jc w:val="right"/>
              <w:rPr>
                <w:rFonts w:ascii="Arial Narrow" w:hAnsi="Arial Narrow"/>
              </w:rPr>
            </w:pPr>
            <w:r w:rsidRPr="00FA38C7">
              <w:rPr>
                <w:rFonts w:ascii="Arial Narrow" w:hAnsi="Arial Narrow"/>
              </w:rPr>
              <w:t>0.359</w:t>
            </w:r>
          </w:p>
        </w:tc>
      </w:tr>
      <w:tr w:rsidR="00FA38C7" w:rsidRPr="00FA38C7" w14:paraId="67A76601" w14:textId="77777777" w:rsidTr="0012770A">
        <w:trPr>
          <w:cantSplit/>
          <w:jc w:val="center"/>
        </w:trPr>
        <w:tc>
          <w:tcPr>
            <w:tcW w:w="760" w:type="pct"/>
            <w:vMerge w:val="restart"/>
            <w:shd w:val="clear" w:color="auto" w:fill="FFFFFF"/>
            <w:tcMar>
              <w:left w:w="80" w:type="dxa"/>
              <w:right w:w="80" w:type="dxa"/>
            </w:tcMar>
          </w:tcPr>
          <w:p w14:paraId="5F53905F" w14:textId="77777777" w:rsidR="00FA38C7" w:rsidRPr="00FA38C7" w:rsidRDefault="00FA38C7" w:rsidP="00FA38C7">
            <w:pPr>
              <w:pStyle w:val="Tabletext1"/>
              <w:rPr>
                <w:rFonts w:ascii="Arial Narrow" w:hAnsi="Arial Narrow"/>
                <w:b/>
                <w:bCs/>
              </w:rPr>
            </w:pPr>
            <w:r w:rsidRPr="00FA38C7">
              <w:rPr>
                <w:rFonts w:ascii="Arial Narrow" w:hAnsi="Arial Narrow"/>
                <w:b/>
                <w:bCs/>
              </w:rPr>
              <w:t xml:space="preserve">Moderate Vigorous </w:t>
            </w:r>
            <w:r w:rsidRPr="00FA38C7">
              <w:rPr>
                <w:rFonts w:ascii="Arial Narrow" w:hAnsi="Arial Narrow"/>
                <w:b/>
                <w:bCs/>
              </w:rPr>
              <w:lastRenderedPageBreak/>
              <w:t>Physical Activity*</w:t>
            </w:r>
          </w:p>
        </w:tc>
        <w:tc>
          <w:tcPr>
            <w:tcW w:w="403" w:type="pct"/>
            <w:shd w:val="clear" w:color="auto" w:fill="FFFFFF"/>
            <w:tcMar>
              <w:left w:w="80" w:type="dxa"/>
              <w:right w:w="80" w:type="dxa"/>
            </w:tcMar>
            <w:vAlign w:val="center"/>
          </w:tcPr>
          <w:p w14:paraId="23D676B0" w14:textId="77777777" w:rsidR="00FA38C7" w:rsidRPr="00FA38C7" w:rsidRDefault="00FA38C7" w:rsidP="00B734A6">
            <w:pPr>
              <w:pStyle w:val="Tabletext1"/>
              <w:rPr>
                <w:rFonts w:ascii="Arial Narrow" w:hAnsi="Arial Narrow"/>
              </w:rPr>
            </w:pPr>
            <w:r w:rsidRPr="00FA38C7">
              <w:rPr>
                <w:rFonts w:ascii="Arial Narrow" w:hAnsi="Arial Narrow"/>
              </w:rPr>
              <w:lastRenderedPageBreak/>
              <w:t>6 Months</w:t>
            </w:r>
          </w:p>
        </w:tc>
        <w:tc>
          <w:tcPr>
            <w:tcW w:w="662" w:type="pct"/>
            <w:shd w:val="clear" w:color="auto" w:fill="FFFFFF"/>
            <w:tcMar>
              <w:left w:w="80" w:type="dxa"/>
              <w:right w:w="80" w:type="dxa"/>
            </w:tcMar>
            <w:vAlign w:val="center"/>
          </w:tcPr>
          <w:p w14:paraId="7594002C" w14:textId="77777777" w:rsidR="00FA38C7" w:rsidRPr="00FA38C7" w:rsidRDefault="00FA38C7" w:rsidP="00FA38C7">
            <w:pPr>
              <w:pStyle w:val="Tabletext1"/>
              <w:jc w:val="right"/>
              <w:rPr>
                <w:rFonts w:ascii="Arial Narrow" w:hAnsi="Arial Narrow"/>
              </w:rPr>
            </w:pPr>
            <w:r w:rsidRPr="00FA38C7">
              <w:rPr>
                <w:rFonts w:ascii="Arial Narrow" w:hAnsi="Arial Narrow"/>
              </w:rPr>
              <w:t>0.16 mins</w:t>
            </w:r>
          </w:p>
        </w:tc>
        <w:tc>
          <w:tcPr>
            <w:tcW w:w="603" w:type="pct"/>
            <w:shd w:val="clear" w:color="auto" w:fill="FFFFFF"/>
            <w:vAlign w:val="center"/>
          </w:tcPr>
          <w:p w14:paraId="49D787B4" w14:textId="77777777" w:rsidR="00FA38C7" w:rsidRPr="00FA38C7" w:rsidRDefault="00FA38C7" w:rsidP="00FA38C7">
            <w:pPr>
              <w:pStyle w:val="Tabletext1"/>
              <w:jc w:val="right"/>
              <w:rPr>
                <w:rFonts w:ascii="Arial Narrow" w:hAnsi="Arial Narrow"/>
              </w:rPr>
            </w:pPr>
            <w:r w:rsidRPr="00FA38C7">
              <w:rPr>
                <w:rFonts w:ascii="Arial Narrow" w:hAnsi="Arial Narrow"/>
              </w:rPr>
              <w:t>(23.54)</w:t>
            </w:r>
          </w:p>
        </w:tc>
        <w:tc>
          <w:tcPr>
            <w:tcW w:w="613" w:type="pct"/>
            <w:shd w:val="clear" w:color="auto" w:fill="FFFFFF"/>
            <w:tcMar>
              <w:left w:w="80" w:type="dxa"/>
              <w:right w:w="80" w:type="dxa"/>
            </w:tcMar>
            <w:vAlign w:val="center"/>
          </w:tcPr>
          <w:p w14:paraId="6C7DD7A2" w14:textId="77777777" w:rsidR="00FA38C7" w:rsidRPr="00FA38C7" w:rsidRDefault="00FA38C7" w:rsidP="00FA38C7">
            <w:pPr>
              <w:pStyle w:val="Tabletext1"/>
              <w:jc w:val="right"/>
              <w:rPr>
                <w:rFonts w:ascii="Arial Narrow" w:hAnsi="Arial Narrow"/>
              </w:rPr>
            </w:pPr>
            <w:r w:rsidRPr="00FA38C7">
              <w:rPr>
                <w:rFonts w:ascii="Arial Narrow" w:hAnsi="Arial Narrow"/>
              </w:rPr>
              <w:t>-1.66 mins</w:t>
            </w:r>
          </w:p>
        </w:tc>
        <w:tc>
          <w:tcPr>
            <w:tcW w:w="538" w:type="pct"/>
            <w:shd w:val="clear" w:color="auto" w:fill="FFFFFF"/>
            <w:vAlign w:val="center"/>
          </w:tcPr>
          <w:p w14:paraId="32C65A7D" w14:textId="77777777" w:rsidR="00FA38C7" w:rsidRPr="00FA38C7" w:rsidRDefault="00FA38C7" w:rsidP="00FA38C7">
            <w:pPr>
              <w:pStyle w:val="Tabletext1"/>
              <w:jc w:val="right"/>
              <w:rPr>
                <w:rFonts w:ascii="Arial Narrow" w:hAnsi="Arial Narrow"/>
              </w:rPr>
            </w:pPr>
            <w:r w:rsidRPr="00FA38C7">
              <w:rPr>
                <w:rFonts w:ascii="Arial Narrow" w:hAnsi="Arial Narrow"/>
              </w:rPr>
              <w:t>(29.81)</w:t>
            </w:r>
          </w:p>
        </w:tc>
        <w:tc>
          <w:tcPr>
            <w:tcW w:w="522" w:type="pct"/>
            <w:shd w:val="clear" w:color="auto" w:fill="FFFFFF"/>
            <w:tcMar>
              <w:left w:w="80" w:type="dxa"/>
              <w:right w:w="80" w:type="dxa"/>
            </w:tcMar>
            <w:vAlign w:val="center"/>
          </w:tcPr>
          <w:p w14:paraId="7E8A31F7" w14:textId="77777777" w:rsidR="00FA38C7" w:rsidRPr="00FA38C7" w:rsidRDefault="00FA38C7" w:rsidP="00FA38C7">
            <w:pPr>
              <w:pStyle w:val="Tabletext1"/>
              <w:jc w:val="right"/>
              <w:rPr>
                <w:rFonts w:ascii="Arial Narrow" w:hAnsi="Arial Narrow"/>
              </w:rPr>
            </w:pPr>
            <w:r w:rsidRPr="00FA38C7">
              <w:rPr>
                <w:rFonts w:ascii="Arial Narrow" w:hAnsi="Arial Narrow"/>
              </w:rPr>
              <w:t>2.20 mins</w:t>
            </w:r>
          </w:p>
        </w:tc>
        <w:tc>
          <w:tcPr>
            <w:tcW w:w="554" w:type="pct"/>
            <w:shd w:val="clear" w:color="auto" w:fill="FFFFFF"/>
            <w:vAlign w:val="center"/>
          </w:tcPr>
          <w:p w14:paraId="16ABD8A7" w14:textId="77777777" w:rsidR="00FA38C7" w:rsidRPr="00FA38C7" w:rsidRDefault="00FA38C7" w:rsidP="00FA38C7">
            <w:pPr>
              <w:pStyle w:val="Tabletext1"/>
              <w:jc w:val="right"/>
              <w:rPr>
                <w:rFonts w:ascii="Arial Narrow" w:hAnsi="Arial Narrow"/>
              </w:rPr>
            </w:pPr>
            <w:r w:rsidRPr="00FA38C7">
              <w:rPr>
                <w:rFonts w:ascii="Arial Narrow" w:hAnsi="Arial Narrow"/>
              </w:rPr>
              <w:t>(-11.26, 15.66)</w:t>
            </w:r>
          </w:p>
        </w:tc>
        <w:tc>
          <w:tcPr>
            <w:tcW w:w="345" w:type="pct"/>
            <w:shd w:val="clear" w:color="auto" w:fill="FFFFFF"/>
            <w:tcMar>
              <w:left w:w="80" w:type="dxa"/>
              <w:right w:w="80" w:type="dxa"/>
            </w:tcMar>
            <w:vAlign w:val="center"/>
          </w:tcPr>
          <w:p w14:paraId="59A34553" w14:textId="77777777" w:rsidR="00FA38C7" w:rsidRPr="00FA38C7" w:rsidRDefault="00FA38C7" w:rsidP="00FA38C7">
            <w:pPr>
              <w:pStyle w:val="Tabletext1"/>
              <w:jc w:val="right"/>
              <w:rPr>
                <w:rFonts w:ascii="Arial Narrow" w:hAnsi="Arial Narrow"/>
              </w:rPr>
            </w:pPr>
            <w:r w:rsidRPr="00FA38C7">
              <w:rPr>
                <w:rFonts w:ascii="Arial Narrow" w:hAnsi="Arial Narrow"/>
              </w:rPr>
              <w:t>0.745</w:t>
            </w:r>
          </w:p>
        </w:tc>
      </w:tr>
      <w:tr w:rsidR="00FA38C7" w:rsidRPr="00FA38C7" w14:paraId="52079313" w14:textId="77777777" w:rsidTr="0012770A">
        <w:trPr>
          <w:cantSplit/>
          <w:jc w:val="center"/>
        </w:trPr>
        <w:tc>
          <w:tcPr>
            <w:tcW w:w="760" w:type="pct"/>
            <w:vMerge/>
            <w:shd w:val="clear" w:color="auto" w:fill="FFFFFF"/>
            <w:tcMar>
              <w:left w:w="80" w:type="dxa"/>
              <w:right w:w="80" w:type="dxa"/>
            </w:tcMar>
          </w:tcPr>
          <w:p w14:paraId="1C0120F0" w14:textId="438E162F" w:rsidR="00FA38C7" w:rsidRPr="00FA38C7" w:rsidRDefault="00FA38C7" w:rsidP="00FA38C7">
            <w:pPr>
              <w:pStyle w:val="Tabletext1"/>
              <w:rPr>
                <w:rFonts w:ascii="Arial Narrow" w:hAnsi="Arial Narrow"/>
                <w:b/>
                <w:bCs/>
              </w:rPr>
            </w:pPr>
          </w:p>
        </w:tc>
        <w:tc>
          <w:tcPr>
            <w:tcW w:w="403" w:type="pct"/>
            <w:shd w:val="clear" w:color="auto" w:fill="FFFFFF"/>
            <w:tcMar>
              <w:left w:w="80" w:type="dxa"/>
              <w:right w:w="80" w:type="dxa"/>
            </w:tcMar>
            <w:vAlign w:val="center"/>
          </w:tcPr>
          <w:p w14:paraId="7259523A" w14:textId="77777777" w:rsidR="00FA38C7" w:rsidRPr="00FA38C7" w:rsidRDefault="00FA38C7" w:rsidP="00B734A6">
            <w:pPr>
              <w:pStyle w:val="Tabletext1"/>
              <w:rPr>
                <w:rFonts w:ascii="Arial Narrow" w:hAnsi="Arial Narrow"/>
              </w:rPr>
            </w:pPr>
            <w:r w:rsidRPr="00FA38C7">
              <w:rPr>
                <w:rFonts w:ascii="Arial Narrow" w:hAnsi="Arial Narrow"/>
              </w:rPr>
              <w:t>12 Months</w:t>
            </w:r>
          </w:p>
        </w:tc>
        <w:tc>
          <w:tcPr>
            <w:tcW w:w="662" w:type="pct"/>
            <w:shd w:val="clear" w:color="auto" w:fill="FFFFFF"/>
            <w:tcMar>
              <w:left w:w="80" w:type="dxa"/>
              <w:right w:w="80" w:type="dxa"/>
            </w:tcMar>
            <w:vAlign w:val="center"/>
          </w:tcPr>
          <w:p w14:paraId="67B4805E" w14:textId="77777777" w:rsidR="00FA38C7" w:rsidRPr="00FA38C7" w:rsidRDefault="00FA38C7" w:rsidP="00FA38C7">
            <w:pPr>
              <w:pStyle w:val="Tabletext1"/>
              <w:jc w:val="right"/>
              <w:rPr>
                <w:rFonts w:ascii="Arial Narrow" w:hAnsi="Arial Narrow"/>
              </w:rPr>
            </w:pPr>
            <w:r w:rsidRPr="00FA38C7">
              <w:rPr>
                <w:rFonts w:ascii="Arial Narrow" w:hAnsi="Arial Narrow"/>
              </w:rPr>
              <w:t>5.68 mins</w:t>
            </w:r>
          </w:p>
        </w:tc>
        <w:tc>
          <w:tcPr>
            <w:tcW w:w="603" w:type="pct"/>
            <w:shd w:val="clear" w:color="auto" w:fill="FFFFFF"/>
            <w:vAlign w:val="center"/>
          </w:tcPr>
          <w:p w14:paraId="12AD7563" w14:textId="77777777" w:rsidR="00FA38C7" w:rsidRPr="00FA38C7" w:rsidRDefault="00FA38C7" w:rsidP="00FA38C7">
            <w:pPr>
              <w:pStyle w:val="Tabletext1"/>
              <w:jc w:val="right"/>
              <w:rPr>
                <w:rFonts w:ascii="Arial Narrow" w:hAnsi="Arial Narrow"/>
              </w:rPr>
            </w:pPr>
            <w:r w:rsidRPr="00FA38C7">
              <w:rPr>
                <w:rFonts w:ascii="Arial Narrow" w:hAnsi="Arial Narrow"/>
              </w:rPr>
              <w:t>(39.39)</w:t>
            </w:r>
          </w:p>
        </w:tc>
        <w:tc>
          <w:tcPr>
            <w:tcW w:w="613" w:type="pct"/>
            <w:shd w:val="clear" w:color="auto" w:fill="FFFFFF"/>
            <w:tcMar>
              <w:left w:w="80" w:type="dxa"/>
              <w:right w:w="80" w:type="dxa"/>
            </w:tcMar>
            <w:vAlign w:val="center"/>
          </w:tcPr>
          <w:p w14:paraId="237D0546" w14:textId="77777777" w:rsidR="00FA38C7" w:rsidRPr="00FA38C7" w:rsidRDefault="00FA38C7" w:rsidP="00FA38C7">
            <w:pPr>
              <w:pStyle w:val="Tabletext1"/>
              <w:jc w:val="right"/>
              <w:rPr>
                <w:rFonts w:ascii="Arial Narrow" w:hAnsi="Arial Narrow"/>
              </w:rPr>
            </w:pPr>
            <w:r w:rsidRPr="00FA38C7">
              <w:rPr>
                <w:rFonts w:ascii="Arial Narrow" w:hAnsi="Arial Narrow"/>
              </w:rPr>
              <w:t>-3.91 mins</w:t>
            </w:r>
          </w:p>
        </w:tc>
        <w:tc>
          <w:tcPr>
            <w:tcW w:w="538" w:type="pct"/>
            <w:shd w:val="clear" w:color="auto" w:fill="FFFFFF"/>
            <w:vAlign w:val="center"/>
          </w:tcPr>
          <w:p w14:paraId="0E400BA6" w14:textId="77777777" w:rsidR="00FA38C7" w:rsidRPr="00FA38C7" w:rsidRDefault="00FA38C7" w:rsidP="00FA38C7">
            <w:pPr>
              <w:pStyle w:val="Tabletext1"/>
              <w:jc w:val="right"/>
              <w:rPr>
                <w:rFonts w:ascii="Arial Narrow" w:hAnsi="Arial Narrow"/>
              </w:rPr>
            </w:pPr>
            <w:r w:rsidRPr="00FA38C7">
              <w:rPr>
                <w:rFonts w:ascii="Arial Narrow" w:hAnsi="Arial Narrow"/>
              </w:rPr>
              <w:t>(35.86)</w:t>
            </w:r>
          </w:p>
        </w:tc>
        <w:tc>
          <w:tcPr>
            <w:tcW w:w="522" w:type="pct"/>
            <w:shd w:val="clear" w:color="auto" w:fill="FFFFFF"/>
            <w:tcMar>
              <w:left w:w="80" w:type="dxa"/>
              <w:right w:w="80" w:type="dxa"/>
            </w:tcMar>
            <w:vAlign w:val="center"/>
          </w:tcPr>
          <w:p w14:paraId="4A0BA224" w14:textId="77777777" w:rsidR="00FA38C7" w:rsidRPr="00FA38C7" w:rsidRDefault="00FA38C7" w:rsidP="00FA38C7">
            <w:pPr>
              <w:pStyle w:val="Tabletext1"/>
              <w:jc w:val="right"/>
              <w:rPr>
                <w:rFonts w:ascii="Arial Narrow" w:hAnsi="Arial Narrow"/>
              </w:rPr>
            </w:pPr>
            <w:r w:rsidRPr="00FA38C7">
              <w:rPr>
                <w:rFonts w:ascii="Arial Narrow" w:hAnsi="Arial Narrow"/>
              </w:rPr>
              <w:t>7.08 mins</w:t>
            </w:r>
          </w:p>
        </w:tc>
        <w:tc>
          <w:tcPr>
            <w:tcW w:w="554" w:type="pct"/>
            <w:shd w:val="clear" w:color="auto" w:fill="FFFFFF"/>
            <w:vAlign w:val="center"/>
          </w:tcPr>
          <w:p w14:paraId="3B5819D1" w14:textId="77777777" w:rsidR="00FA38C7" w:rsidRPr="00FA38C7" w:rsidRDefault="00FA38C7" w:rsidP="00FA38C7">
            <w:pPr>
              <w:pStyle w:val="Tabletext1"/>
              <w:jc w:val="right"/>
              <w:rPr>
                <w:rFonts w:ascii="Arial Narrow" w:hAnsi="Arial Narrow"/>
              </w:rPr>
            </w:pPr>
            <w:r w:rsidRPr="00FA38C7">
              <w:rPr>
                <w:rFonts w:ascii="Arial Narrow" w:hAnsi="Arial Narrow"/>
              </w:rPr>
              <w:t>(-8.22, 22.39)</w:t>
            </w:r>
          </w:p>
        </w:tc>
        <w:tc>
          <w:tcPr>
            <w:tcW w:w="345" w:type="pct"/>
            <w:shd w:val="clear" w:color="auto" w:fill="FFFFFF"/>
            <w:tcMar>
              <w:left w:w="80" w:type="dxa"/>
              <w:right w:w="80" w:type="dxa"/>
            </w:tcMar>
            <w:vAlign w:val="center"/>
          </w:tcPr>
          <w:p w14:paraId="3DE33F7E" w14:textId="77777777" w:rsidR="00FA38C7" w:rsidRPr="00FA38C7" w:rsidRDefault="00FA38C7" w:rsidP="00FA38C7">
            <w:pPr>
              <w:pStyle w:val="Tabletext1"/>
              <w:jc w:val="right"/>
              <w:rPr>
                <w:rFonts w:ascii="Arial Narrow" w:hAnsi="Arial Narrow"/>
              </w:rPr>
            </w:pPr>
            <w:r w:rsidRPr="00FA38C7">
              <w:rPr>
                <w:rFonts w:ascii="Arial Narrow" w:hAnsi="Arial Narrow"/>
              </w:rPr>
              <w:t>0.358</w:t>
            </w:r>
          </w:p>
        </w:tc>
      </w:tr>
      <w:tr w:rsidR="00FA38C7" w:rsidRPr="00FA38C7" w14:paraId="4F369881" w14:textId="77777777" w:rsidTr="006F2779">
        <w:trPr>
          <w:cantSplit/>
          <w:jc w:val="center"/>
        </w:trPr>
        <w:tc>
          <w:tcPr>
            <w:tcW w:w="760" w:type="pct"/>
            <w:vMerge w:val="restart"/>
            <w:shd w:val="clear" w:color="auto" w:fill="FFFFFF"/>
            <w:tcMar>
              <w:left w:w="80" w:type="dxa"/>
              <w:right w:w="80" w:type="dxa"/>
            </w:tcMar>
          </w:tcPr>
          <w:p w14:paraId="07A212A0" w14:textId="77777777" w:rsidR="00FA38C7" w:rsidRPr="00FA38C7" w:rsidRDefault="00FA38C7" w:rsidP="00FA38C7">
            <w:pPr>
              <w:pStyle w:val="Tabletext1"/>
              <w:rPr>
                <w:rFonts w:ascii="Arial Narrow" w:hAnsi="Arial Narrow"/>
                <w:b/>
                <w:bCs/>
              </w:rPr>
            </w:pPr>
            <w:r w:rsidRPr="00FA38C7">
              <w:rPr>
                <w:rFonts w:ascii="Arial Narrow" w:hAnsi="Arial Narrow"/>
                <w:b/>
                <w:bCs/>
              </w:rPr>
              <w:t>MVPA bout length*</w:t>
            </w:r>
          </w:p>
        </w:tc>
        <w:tc>
          <w:tcPr>
            <w:tcW w:w="403" w:type="pct"/>
            <w:shd w:val="clear" w:color="auto" w:fill="FFFFFF"/>
            <w:tcMar>
              <w:left w:w="80" w:type="dxa"/>
              <w:right w:w="80" w:type="dxa"/>
            </w:tcMar>
            <w:vAlign w:val="center"/>
          </w:tcPr>
          <w:p w14:paraId="6FB14BFB" w14:textId="77777777" w:rsidR="00FA38C7" w:rsidRPr="00FA38C7" w:rsidRDefault="00FA38C7" w:rsidP="00B734A6">
            <w:pPr>
              <w:pStyle w:val="Tabletext1"/>
              <w:rPr>
                <w:rFonts w:ascii="Arial Narrow" w:hAnsi="Arial Narrow"/>
              </w:rPr>
            </w:pPr>
            <w:r w:rsidRPr="00FA38C7">
              <w:rPr>
                <w:rFonts w:ascii="Arial Narrow" w:hAnsi="Arial Narrow"/>
              </w:rPr>
              <w:t>6 Months</w:t>
            </w:r>
          </w:p>
        </w:tc>
        <w:tc>
          <w:tcPr>
            <w:tcW w:w="662" w:type="pct"/>
            <w:shd w:val="clear" w:color="auto" w:fill="FFFFFF"/>
            <w:tcMar>
              <w:left w:w="80" w:type="dxa"/>
              <w:right w:w="80" w:type="dxa"/>
            </w:tcMar>
            <w:vAlign w:val="center"/>
          </w:tcPr>
          <w:p w14:paraId="7FBCBD70" w14:textId="77777777" w:rsidR="00FA38C7" w:rsidRPr="00FA38C7" w:rsidRDefault="00FA38C7" w:rsidP="00FA38C7">
            <w:pPr>
              <w:pStyle w:val="Tabletext1"/>
              <w:jc w:val="right"/>
              <w:rPr>
                <w:rFonts w:ascii="Arial Narrow" w:hAnsi="Arial Narrow"/>
              </w:rPr>
            </w:pPr>
            <w:r w:rsidRPr="00FA38C7">
              <w:rPr>
                <w:rFonts w:ascii="Arial Narrow" w:hAnsi="Arial Narrow"/>
              </w:rPr>
              <w:t>0.01 mins</w:t>
            </w:r>
          </w:p>
        </w:tc>
        <w:tc>
          <w:tcPr>
            <w:tcW w:w="603" w:type="pct"/>
            <w:shd w:val="clear" w:color="auto" w:fill="FFFFFF"/>
            <w:vAlign w:val="center"/>
          </w:tcPr>
          <w:p w14:paraId="06BC6934" w14:textId="77777777" w:rsidR="00FA38C7" w:rsidRPr="00FA38C7" w:rsidRDefault="00FA38C7" w:rsidP="00FA38C7">
            <w:pPr>
              <w:pStyle w:val="Tabletext1"/>
              <w:jc w:val="right"/>
              <w:rPr>
                <w:rFonts w:ascii="Arial Narrow" w:hAnsi="Arial Narrow"/>
              </w:rPr>
            </w:pPr>
            <w:r w:rsidRPr="00FA38C7">
              <w:rPr>
                <w:rFonts w:ascii="Arial Narrow" w:hAnsi="Arial Narrow"/>
              </w:rPr>
              <w:t>(0.78)</w:t>
            </w:r>
          </w:p>
        </w:tc>
        <w:tc>
          <w:tcPr>
            <w:tcW w:w="613" w:type="pct"/>
            <w:shd w:val="clear" w:color="auto" w:fill="FFFFFF"/>
            <w:tcMar>
              <w:left w:w="80" w:type="dxa"/>
              <w:right w:w="80" w:type="dxa"/>
            </w:tcMar>
            <w:vAlign w:val="center"/>
          </w:tcPr>
          <w:p w14:paraId="051C9895" w14:textId="77777777" w:rsidR="00FA38C7" w:rsidRPr="00FA38C7" w:rsidRDefault="00FA38C7" w:rsidP="00FA38C7">
            <w:pPr>
              <w:pStyle w:val="Tabletext1"/>
              <w:jc w:val="right"/>
              <w:rPr>
                <w:rFonts w:ascii="Arial Narrow" w:hAnsi="Arial Narrow"/>
              </w:rPr>
            </w:pPr>
            <w:r w:rsidRPr="00FA38C7">
              <w:rPr>
                <w:rFonts w:ascii="Arial Narrow" w:hAnsi="Arial Narrow"/>
              </w:rPr>
              <w:t>0.01 mins</w:t>
            </w:r>
          </w:p>
        </w:tc>
        <w:tc>
          <w:tcPr>
            <w:tcW w:w="538" w:type="pct"/>
            <w:shd w:val="clear" w:color="auto" w:fill="FFFFFF"/>
            <w:vAlign w:val="center"/>
          </w:tcPr>
          <w:p w14:paraId="35163172" w14:textId="77777777" w:rsidR="00FA38C7" w:rsidRPr="00FA38C7" w:rsidRDefault="00FA38C7" w:rsidP="00FA38C7">
            <w:pPr>
              <w:pStyle w:val="Tabletext1"/>
              <w:jc w:val="right"/>
              <w:rPr>
                <w:rFonts w:ascii="Arial Narrow" w:hAnsi="Arial Narrow"/>
              </w:rPr>
            </w:pPr>
            <w:r w:rsidRPr="00FA38C7">
              <w:rPr>
                <w:rFonts w:ascii="Arial Narrow" w:hAnsi="Arial Narrow"/>
              </w:rPr>
              <w:t>(0.95)</w:t>
            </w:r>
          </w:p>
        </w:tc>
        <w:tc>
          <w:tcPr>
            <w:tcW w:w="522" w:type="pct"/>
            <w:shd w:val="clear" w:color="auto" w:fill="FFFFFF"/>
            <w:tcMar>
              <w:left w:w="80" w:type="dxa"/>
              <w:right w:w="80" w:type="dxa"/>
            </w:tcMar>
            <w:vAlign w:val="center"/>
          </w:tcPr>
          <w:p w14:paraId="2F73A76D" w14:textId="77777777" w:rsidR="00FA38C7" w:rsidRPr="00FA38C7" w:rsidRDefault="00FA38C7" w:rsidP="00FA38C7">
            <w:pPr>
              <w:pStyle w:val="Tabletext1"/>
              <w:jc w:val="right"/>
              <w:rPr>
                <w:rFonts w:ascii="Arial Narrow" w:hAnsi="Arial Narrow"/>
              </w:rPr>
            </w:pPr>
            <w:r w:rsidRPr="00FA38C7">
              <w:rPr>
                <w:rFonts w:ascii="Arial Narrow" w:hAnsi="Arial Narrow"/>
              </w:rPr>
              <w:t>0.23 mins</w:t>
            </w:r>
          </w:p>
        </w:tc>
        <w:tc>
          <w:tcPr>
            <w:tcW w:w="554" w:type="pct"/>
            <w:shd w:val="clear" w:color="auto" w:fill="FFFFFF"/>
            <w:vAlign w:val="center"/>
          </w:tcPr>
          <w:p w14:paraId="02EABF3E" w14:textId="77777777" w:rsidR="00FA38C7" w:rsidRPr="00FA38C7" w:rsidRDefault="00FA38C7" w:rsidP="00FA38C7">
            <w:pPr>
              <w:pStyle w:val="Tabletext1"/>
              <w:jc w:val="right"/>
              <w:rPr>
                <w:rFonts w:ascii="Arial Narrow" w:hAnsi="Arial Narrow"/>
              </w:rPr>
            </w:pPr>
            <w:r w:rsidRPr="00FA38C7">
              <w:rPr>
                <w:rFonts w:ascii="Arial Narrow" w:hAnsi="Arial Narrow"/>
              </w:rPr>
              <w:t>(-0.13, 0.58)</w:t>
            </w:r>
          </w:p>
        </w:tc>
        <w:tc>
          <w:tcPr>
            <w:tcW w:w="345" w:type="pct"/>
            <w:shd w:val="clear" w:color="auto" w:fill="FFFFFF"/>
            <w:tcMar>
              <w:left w:w="80" w:type="dxa"/>
              <w:right w:w="80" w:type="dxa"/>
            </w:tcMar>
            <w:vAlign w:val="center"/>
          </w:tcPr>
          <w:p w14:paraId="02B75B4F" w14:textId="77777777" w:rsidR="00FA38C7" w:rsidRPr="00FA38C7" w:rsidRDefault="00FA38C7" w:rsidP="00FA38C7">
            <w:pPr>
              <w:pStyle w:val="Tabletext1"/>
              <w:jc w:val="right"/>
              <w:rPr>
                <w:rFonts w:ascii="Arial Narrow" w:hAnsi="Arial Narrow"/>
              </w:rPr>
            </w:pPr>
            <w:r w:rsidRPr="00FA38C7">
              <w:rPr>
                <w:rFonts w:ascii="Arial Narrow" w:hAnsi="Arial Narrow"/>
              </w:rPr>
              <w:t>0.200</w:t>
            </w:r>
          </w:p>
        </w:tc>
      </w:tr>
      <w:tr w:rsidR="00FA38C7" w:rsidRPr="00FA38C7" w14:paraId="4DCF469D" w14:textId="77777777" w:rsidTr="006F2779">
        <w:trPr>
          <w:cantSplit/>
          <w:jc w:val="center"/>
        </w:trPr>
        <w:tc>
          <w:tcPr>
            <w:tcW w:w="760" w:type="pct"/>
            <w:vMerge/>
            <w:tcBorders>
              <w:bottom w:val="single" w:sz="4" w:space="0" w:color="auto"/>
            </w:tcBorders>
            <w:shd w:val="clear" w:color="auto" w:fill="FFFFFF"/>
            <w:tcMar>
              <w:left w:w="80" w:type="dxa"/>
              <w:right w:w="80" w:type="dxa"/>
            </w:tcMar>
          </w:tcPr>
          <w:p w14:paraId="7C855D2E" w14:textId="3CF5E4A3" w:rsidR="00FA38C7" w:rsidRPr="00FA38C7" w:rsidRDefault="00FA38C7" w:rsidP="00FA38C7">
            <w:pPr>
              <w:pStyle w:val="Tabletext1"/>
              <w:rPr>
                <w:rFonts w:ascii="Arial Narrow" w:hAnsi="Arial Narrow"/>
                <w:b/>
                <w:bCs/>
              </w:rPr>
            </w:pPr>
          </w:p>
        </w:tc>
        <w:tc>
          <w:tcPr>
            <w:tcW w:w="403" w:type="pct"/>
            <w:shd w:val="clear" w:color="auto" w:fill="FFFFFF"/>
            <w:tcMar>
              <w:left w:w="80" w:type="dxa"/>
              <w:right w:w="80" w:type="dxa"/>
            </w:tcMar>
            <w:vAlign w:val="center"/>
          </w:tcPr>
          <w:p w14:paraId="23549B7C" w14:textId="77777777" w:rsidR="00FA38C7" w:rsidRPr="00FA38C7" w:rsidRDefault="00FA38C7" w:rsidP="00B734A6">
            <w:pPr>
              <w:pStyle w:val="Tabletext1"/>
              <w:rPr>
                <w:rFonts w:ascii="Arial Narrow" w:hAnsi="Arial Narrow"/>
              </w:rPr>
            </w:pPr>
            <w:r w:rsidRPr="00FA38C7">
              <w:rPr>
                <w:rFonts w:ascii="Arial Narrow" w:hAnsi="Arial Narrow"/>
              </w:rPr>
              <w:t>12 Months</w:t>
            </w:r>
          </w:p>
        </w:tc>
        <w:tc>
          <w:tcPr>
            <w:tcW w:w="662" w:type="pct"/>
            <w:shd w:val="clear" w:color="auto" w:fill="FFFFFF"/>
            <w:tcMar>
              <w:left w:w="80" w:type="dxa"/>
              <w:right w:w="80" w:type="dxa"/>
            </w:tcMar>
            <w:vAlign w:val="center"/>
          </w:tcPr>
          <w:p w14:paraId="7FDD9B91" w14:textId="77777777" w:rsidR="00FA38C7" w:rsidRPr="00FA38C7" w:rsidRDefault="00FA38C7" w:rsidP="00FA38C7">
            <w:pPr>
              <w:pStyle w:val="Tabletext1"/>
              <w:jc w:val="right"/>
              <w:rPr>
                <w:rFonts w:ascii="Arial Narrow" w:hAnsi="Arial Narrow"/>
              </w:rPr>
            </w:pPr>
            <w:r w:rsidRPr="00FA38C7">
              <w:rPr>
                <w:rFonts w:ascii="Arial Narrow" w:hAnsi="Arial Narrow"/>
              </w:rPr>
              <w:t>0.06 mins</w:t>
            </w:r>
          </w:p>
        </w:tc>
        <w:tc>
          <w:tcPr>
            <w:tcW w:w="603" w:type="pct"/>
            <w:shd w:val="clear" w:color="auto" w:fill="FFFFFF"/>
            <w:vAlign w:val="center"/>
          </w:tcPr>
          <w:p w14:paraId="73A5FA5D" w14:textId="77777777" w:rsidR="00FA38C7" w:rsidRPr="00FA38C7" w:rsidRDefault="00FA38C7" w:rsidP="00FA38C7">
            <w:pPr>
              <w:pStyle w:val="Tabletext1"/>
              <w:jc w:val="right"/>
              <w:rPr>
                <w:rFonts w:ascii="Arial Narrow" w:hAnsi="Arial Narrow"/>
              </w:rPr>
            </w:pPr>
            <w:r w:rsidRPr="00FA38C7">
              <w:rPr>
                <w:rFonts w:ascii="Arial Narrow" w:hAnsi="Arial Narrow"/>
              </w:rPr>
              <w:t>(0.88)</w:t>
            </w:r>
          </w:p>
        </w:tc>
        <w:tc>
          <w:tcPr>
            <w:tcW w:w="613" w:type="pct"/>
            <w:shd w:val="clear" w:color="auto" w:fill="FFFFFF"/>
            <w:tcMar>
              <w:left w:w="80" w:type="dxa"/>
              <w:right w:w="80" w:type="dxa"/>
            </w:tcMar>
            <w:vAlign w:val="center"/>
          </w:tcPr>
          <w:p w14:paraId="4182C92E" w14:textId="77777777" w:rsidR="00FA38C7" w:rsidRPr="00FA38C7" w:rsidRDefault="00FA38C7" w:rsidP="00FA38C7">
            <w:pPr>
              <w:pStyle w:val="Tabletext1"/>
              <w:jc w:val="right"/>
              <w:rPr>
                <w:rFonts w:ascii="Arial Narrow" w:hAnsi="Arial Narrow"/>
              </w:rPr>
            </w:pPr>
            <w:r w:rsidRPr="00FA38C7">
              <w:rPr>
                <w:rFonts w:ascii="Arial Narrow" w:hAnsi="Arial Narrow"/>
              </w:rPr>
              <w:t>0.04 mins</w:t>
            </w:r>
          </w:p>
        </w:tc>
        <w:tc>
          <w:tcPr>
            <w:tcW w:w="538" w:type="pct"/>
            <w:shd w:val="clear" w:color="auto" w:fill="FFFFFF"/>
            <w:vAlign w:val="center"/>
          </w:tcPr>
          <w:p w14:paraId="516CCC3E" w14:textId="77777777" w:rsidR="00FA38C7" w:rsidRPr="00FA38C7" w:rsidRDefault="00FA38C7" w:rsidP="00FA38C7">
            <w:pPr>
              <w:pStyle w:val="Tabletext1"/>
              <w:jc w:val="right"/>
              <w:rPr>
                <w:rFonts w:ascii="Arial Narrow" w:hAnsi="Arial Narrow"/>
              </w:rPr>
            </w:pPr>
            <w:r w:rsidRPr="00FA38C7">
              <w:rPr>
                <w:rFonts w:ascii="Arial Narrow" w:hAnsi="Arial Narrow"/>
              </w:rPr>
              <w:t>(0.76)</w:t>
            </w:r>
          </w:p>
        </w:tc>
        <w:tc>
          <w:tcPr>
            <w:tcW w:w="522" w:type="pct"/>
            <w:shd w:val="clear" w:color="auto" w:fill="FFFFFF"/>
            <w:tcMar>
              <w:left w:w="80" w:type="dxa"/>
              <w:right w:w="80" w:type="dxa"/>
            </w:tcMar>
            <w:vAlign w:val="center"/>
          </w:tcPr>
          <w:p w14:paraId="55E43AE4" w14:textId="77777777" w:rsidR="00FA38C7" w:rsidRPr="00FA38C7" w:rsidRDefault="00FA38C7" w:rsidP="00FA38C7">
            <w:pPr>
              <w:pStyle w:val="Tabletext1"/>
              <w:jc w:val="right"/>
              <w:rPr>
                <w:rFonts w:ascii="Arial Narrow" w:hAnsi="Arial Narrow"/>
              </w:rPr>
            </w:pPr>
            <w:r w:rsidRPr="00FA38C7">
              <w:rPr>
                <w:rFonts w:ascii="Arial Narrow" w:hAnsi="Arial Narrow"/>
              </w:rPr>
              <w:t>0.20 mins</w:t>
            </w:r>
          </w:p>
        </w:tc>
        <w:tc>
          <w:tcPr>
            <w:tcW w:w="554" w:type="pct"/>
            <w:shd w:val="clear" w:color="auto" w:fill="FFFFFF"/>
            <w:vAlign w:val="center"/>
          </w:tcPr>
          <w:p w14:paraId="2FB42AE6" w14:textId="77777777" w:rsidR="00FA38C7" w:rsidRPr="00FA38C7" w:rsidRDefault="00FA38C7" w:rsidP="00FA38C7">
            <w:pPr>
              <w:pStyle w:val="Tabletext1"/>
              <w:jc w:val="right"/>
              <w:rPr>
                <w:rFonts w:ascii="Arial Narrow" w:hAnsi="Arial Narrow"/>
              </w:rPr>
            </w:pPr>
            <w:r w:rsidRPr="00FA38C7">
              <w:rPr>
                <w:rFonts w:ascii="Arial Narrow" w:hAnsi="Arial Narrow"/>
              </w:rPr>
              <w:t>(-0.21, 0.61)</w:t>
            </w:r>
          </w:p>
        </w:tc>
        <w:tc>
          <w:tcPr>
            <w:tcW w:w="345" w:type="pct"/>
            <w:shd w:val="clear" w:color="auto" w:fill="FFFFFF"/>
            <w:tcMar>
              <w:left w:w="80" w:type="dxa"/>
              <w:right w:w="80" w:type="dxa"/>
            </w:tcMar>
            <w:vAlign w:val="center"/>
          </w:tcPr>
          <w:p w14:paraId="2DDE8CE0" w14:textId="77777777" w:rsidR="00FA38C7" w:rsidRPr="00FA38C7" w:rsidRDefault="00FA38C7" w:rsidP="00FA38C7">
            <w:pPr>
              <w:pStyle w:val="Tabletext1"/>
              <w:jc w:val="right"/>
              <w:rPr>
                <w:rFonts w:ascii="Arial Narrow" w:hAnsi="Arial Narrow"/>
              </w:rPr>
            </w:pPr>
            <w:r w:rsidRPr="00FA38C7">
              <w:rPr>
                <w:rFonts w:ascii="Arial Narrow" w:hAnsi="Arial Narrow"/>
              </w:rPr>
              <w:t>0.338</w:t>
            </w:r>
          </w:p>
        </w:tc>
      </w:tr>
      <w:tr w:rsidR="00FA38C7" w:rsidRPr="00FA38C7" w14:paraId="28501F47" w14:textId="77777777" w:rsidTr="00164E35">
        <w:trPr>
          <w:cantSplit/>
          <w:jc w:val="center"/>
        </w:trPr>
        <w:tc>
          <w:tcPr>
            <w:tcW w:w="760" w:type="pct"/>
            <w:vMerge w:val="restart"/>
            <w:shd w:val="clear" w:color="auto" w:fill="FFFFFF"/>
            <w:tcMar>
              <w:left w:w="80" w:type="dxa"/>
              <w:right w:w="80" w:type="dxa"/>
            </w:tcMar>
          </w:tcPr>
          <w:p w14:paraId="23D4DBB0" w14:textId="09AAE687" w:rsidR="00FA38C7" w:rsidRPr="00FA38C7" w:rsidRDefault="00FA38C7" w:rsidP="00FA38C7">
            <w:pPr>
              <w:pStyle w:val="Tabletext1"/>
              <w:rPr>
                <w:rFonts w:ascii="Arial Narrow" w:hAnsi="Arial Narrow"/>
                <w:b/>
                <w:bCs/>
              </w:rPr>
            </w:pPr>
            <w:r w:rsidRPr="00FA38C7">
              <w:rPr>
                <w:rFonts w:ascii="Arial Narrow" w:hAnsi="Arial Narrow"/>
                <w:b/>
                <w:bCs/>
              </w:rPr>
              <w:t xml:space="preserve"># </w:t>
            </w:r>
            <w:proofErr w:type="gramStart"/>
            <w:r w:rsidRPr="00FA38C7">
              <w:rPr>
                <w:rFonts w:ascii="Arial Narrow" w:hAnsi="Arial Narrow"/>
                <w:b/>
                <w:bCs/>
              </w:rPr>
              <w:t>of</w:t>
            </w:r>
            <w:proofErr w:type="gramEnd"/>
            <w:r w:rsidRPr="00FA38C7">
              <w:rPr>
                <w:rFonts w:ascii="Arial Narrow" w:hAnsi="Arial Narrow"/>
                <w:b/>
                <w:bCs/>
              </w:rPr>
              <w:t xml:space="preserve"> MVPA bouts*</w:t>
            </w:r>
          </w:p>
        </w:tc>
        <w:tc>
          <w:tcPr>
            <w:tcW w:w="403" w:type="pct"/>
            <w:shd w:val="clear" w:color="auto" w:fill="FFFFFF"/>
            <w:tcMar>
              <w:left w:w="80" w:type="dxa"/>
              <w:right w:w="80" w:type="dxa"/>
            </w:tcMar>
            <w:vAlign w:val="center"/>
          </w:tcPr>
          <w:p w14:paraId="37FCC2EF" w14:textId="77777777" w:rsidR="00FA38C7" w:rsidRPr="00FA38C7" w:rsidRDefault="00FA38C7" w:rsidP="00B734A6">
            <w:pPr>
              <w:pStyle w:val="Tabletext1"/>
              <w:rPr>
                <w:rFonts w:ascii="Arial Narrow" w:hAnsi="Arial Narrow"/>
              </w:rPr>
            </w:pPr>
            <w:r w:rsidRPr="00FA38C7">
              <w:rPr>
                <w:rFonts w:ascii="Arial Narrow" w:hAnsi="Arial Narrow"/>
              </w:rPr>
              <w:t>6 Months</w:t>
            </w:r>
          </w:p>
        </w:tc>
        <w:tc>
          <w:tcPr>
            <w:tcW w:w="662" w:type="pct"/>
            <w:shd w:val="clear" w:color="auto" w:fill="FFFFFF"/>
            <w:tcMar>
              <w:left w:w="80" w:type="dxa"/>
              <w:right w:w="80" w:type="dxa"/>
            </w:tcMar>
            <w:vAlign w:val="center"/>
          </w:tcPr>
          <w:p w14:paraId="76CF160D" w14:textId="77777777" w:rsidR="00FA38C7" w:rsidRPr="00FA38C7" w:rsidRDefault="00FA38C7" w:rsidP="00FA38C7">
            <w:pPr>
              <w:pStyle w:val="Tabletext1"/>
              <w:jc w:val="right"/>
              <w:rPr>
                <w:rFonts w:ascii="Arial Narrow" w:hAnsi="Arial Narrow"/>
              </w:rPr>
            </w:pPr>
            <w:r w:rsidRPr="00FA38C7">
              <w:rPr>
                <w:rFonts w:ascii="Arial Narrow" w:hAnsi="Arial Narrow"/>
              </w:rPr>
              <w:t>0.13</w:t>
            </w:r>
          </w:p>
        </w:tc>
        <w:tc>
          <w:tcPr>
            <w:tcW w:w="603" w:type="pct"/>
            <w:shd w:val="clear" w:color="auto" w:fill="FFFFFF"/>
            <w:vAlign w:val="center"/>
          </w:tcPr>
          <w:p w14:paraId="018DD8A7" w14:textId="77777777" w:rsidR="00FA38C7" w:rsidRPr="00FA38C7" w:rsidRDefault="00FA38C7" w:rsidP="00FA38C7">
            <w:pPr>
              <w:pStyle w:val="Tabletext1"/>
              <w:jc w:val="right"/>
              <w:rPr>
                <w:rFonts w:ascii="Arial Narrow" w:hAnsi="Arial Narrow"/>
              </w:rPr>
            </w:pPr>
            <w:r w:rsidRPr="00FA38C7">
              <w:rPr>
                <w:rFonts w:ascii="Arial Narrow" w:hAnsi="Arial Narrow"/>
              </w:rPr>
              <w:t>(4.78)</w:t>
            </w:r>
          </w:p>
        </w:tc>
        <w:tc>
          <w:tcPr>
            <w:tcW w:w="613" w:type="pct"/>
            <w:shd w:val="clear" w:color="auto" w:fill="FFFFFF"/>
            <w:tcMar>
              <w:left w:w="80" w:type="dxa"/>
              <w:right w:w="80" w:type="dxa"/>
            </w:tcMar>
            <w:vAlign w:val="center"/>
          </w:tcPr>
          <w:p w14:paraId="39BD2FBF" w14:textId="77777777" w:rsidR="00FA38C7" w:rsidRPr="00FA38C7" w:rsidRDefault="00FA38C7" w:rsidP="00FA38C7">
            <w:pPr>
              <w:pStyle w:val="Tabletext1"/>
              <w:jc w:val="right"/>
              <w:rPr>
                <w:rFonts w:ascii="Arial Narrow" w:hAnsi="Arial Narrow"/>
              </w:rPr>
            </w:pPr>
            <w:r w:rsidRPr="00FA38C7">
              <w:rPr>
                <w:rFonts w:ascii="Arial Narrow" w:hAnsi="Arial Narrow"/>
              </w:rPr>
              <w:t>-0.80</w:t>
            </w:r>
          </w:p>
        </w:tc>
        <w:tc>
          <w:tcPr>
            <w:tcW w:w="538" w:type="pct"/>
            <w:shd w:val="clear" w:color="auto" w:fill="FFFFFF"/>
            <w:vAlign w:val="center"/>
          </w:tcPr>
          <w:p w14:paraId="29DD8B41" w14:textId="77777777" w:rsidR="00FA38C7" w:rsidRPr="00FA38C7" w:rsidRDefault="00FA38C7" w:rsidP="00FA38C7">
            <w:pPr>
              <w:pStyle w:val="Tabletext1"/>
              <w:jc w:val="right"/>
              <w:rPr>
                <w:rFonts w:ascii="Arial Narrow" w:hAnsi="Arial Narrow"/>
              </w:rPr>
            </w:pPr>
            <w:r w:rsidRPr="00FA38C7">
              <w:rPr>
                <w:rFonts w:ascii="Arial Narrow" w:hAnsi="Arial Narrow"/>
              </w:rPr>
              <w:t>(6.57)</w:t>
            </w:r>
          </w:p>
        </w:tc>
        <w:tc>
          <w:tcPr>
            <w:tcW w:w="522" w:type="pct"/>
            <w:shd w:val="clear" w:color="auto" w:fill="FFFFFF"/>
            <w:tcMar>
              <w:left w:w="80" w:type="dxa"/>
              <w:right w:w="80" w:type="dxa"/>
            </w:tcMar>
            <w:vAlign w:val="center"/>
          </w:tcPr>
          <w:p w14:paraId="33340BE3" w14:textId="77777777" w:rsidR="00FA38C7" w:rsidRPr="00FA38C7" w:rsidRDefault="00FA38C7" w:rsidP="00FA38C7">
            <w:pPr>
              <w:pStyle w:val="Tabletext1"/>
              <w:jc w:val="right"/>
              <w:rPr>
                <w:rFonts w:ascii="Arial Narrow" w:hAnsi="Arial Narrow"/>
              </w:rPr>
            </w:pPr>
            <w:r w:rsidRPr="00FA38C7">
              <w:rPr>
                <w:rFonts w:ascii="Arial Narrow" w:hAnsi="Arial Narrow"/>
              </w:rPr>
              <w:t>0.20</w:t>
            </w:r>
          </w:p>
        </w:tc>
        <w:tc>
          <w:tcPr>
            <w:tcW w:w="554" w:type="pct"/>
            <w:shd w:val="clear" w:color="auto" w:fill="FFFFFF"/>
            <w:vAlign w:val="center"/>
          </w:tcPr>
          <w:p w14:paraId="6EB8E40B" w14:textId="77777777" w:rsidR="00FA38C7" w:rsidRPr="00FA38C7" w:rsidRDefault="00FA38C7" w:rsidP="00FA38C7">
            <w:pPr>
              <w:pStyle w:val="Tabletext1"/>
              <w:jc w:val="right"/>
              <w:rPr>
                <w:rFonts w:ascii="Arial Narrow" w:hAnsi="Arial Narrow"/>
              </w:rPr>
            </w:pPr>
            <w:r w:rsidRPr="00FA38C7">
              <w:rPr>
                <w:rFonts w:ascii="Arial Narrow" w:hAnsi="Arial Narrow"/>
              </w:rPr>
              <w:t>(-2.76, 3.16)</w:t>
            </w:r>
          </w:p>
        </w:tc>
        <w:tc>
          <w:tcPr>
            <w:tcW w:w="345" w:type="pct"/>
            <w:shd w:val="clear" w:color="auto" w:fill="FFFFFF"/>
            <w:tcMar>
              <w:left w:w="80" w:type="dxa"/>
              <w:right w:w="80" w:type="dxa"/>
            </w:tcMar>
            <w:vAlign w:val="center"/>
          </w:tcPr>
          <w:p w14:paraId="46117F5E" w14:textId="77777777" w:rsidR="00FA38C7" w:rsidRPr="00FA38C7" w:rsidRDefault="00FA38C7" w:rsidP="00FA38C7">
            <w:pPr>
              <w:pStyle w:val="Tabletext1"/>
              <w:jc w:val="right"/>
              <w:rPr>
                <w:rFonts w:ascii="Arial Narrow" w:hAnsi="Arial Narrow"/>
              </w:rPr>
            </w:pPr>
            <w:r w:rsidRPr="00FA38C7">
              <w:rPr>
                <w:rFonts w:ascii="Arial Narrow" w:hAnsi="Arial Narrow"/>
              </w:rPr>
              <w:t>0.894</w:t>
            </w:r>
          </w:p>
        </w:tc>
      </w:tr>
      <w:tr w:rsidR="00FA38C7" w:rsidRPr="00FA38C7" w14:paraId="25A1207C" w14:textId="77777777" w:rsidTr="00164E35">
        <w:trPr>
          <w:cantSplit/>
          <w:jc w:val="center"/>
        </w:trPr>
        <w:tc>
          <w:tcPr>
            <w:tcW w:w="760" w:type="pct"/>
            <w:vMerge/>
            <w:shd w:val="clear" w:color="auto" w:fill="FFFFFF"/>
            <w:tcMar>
              <w:left w:w="80" w:type="dxa"/>
              <w:right w:w="80" w:type="dxa"/>
            </w:tcMar>
          </w:tcPr>
          <w:p w14:paraId="24CCB060" w14:textId="405119B5" w:rsidR="00FA38C7" w:rsidRPr="00FA38C7" w:rsidRDefault="00FA38C7" w:rsidP="00FA38C7">
            <w:pPr>
              <w:pStyle w:val="Tabletext1"/>
              <w:rPr>
                <w:rFonts w:ascii="Arial Narrow" w:hAnsi="Arial Narrow"/>
                <w:b/>
                <w:bCs/>
              </w:rPr>
            </w:pPr>
          </w:p>
        </w:tc>
        <w:tc>
          <w:tcPr>
            <w:tcW w:w="403" w:type="pct"/>
            <w:shd w:val="clear" w:color="auto" w:fill="FFFFFF"/>
            <w:tcMar>
              <w:left w:w="80" w:type="dxa"/>
              <w:right w:w="80" w:type="dxa"/>
            </w:tcMar>
            <w:vAlign w:val="center"/>
          </w:tcPr>
          <w:p w14:paraId="5B971496" w14:textId="77777777" w:rsidR="00FA38C7" w:rsidRPr="00FA38C7" w:rsidRDefault="00FA38C7" w:rsidP="00B734A6">
            <w:pPr>
              <w:pStyle w:val="Tabletext1"/>
              <w:rPr>
                <w:rFonts w:ascii="Arial Narrow" w:hAnsi="Arial Narrow"/>
              </w:rPr>
            </w:pPr>
            <w:r w:rsidRPr="00FA38C7">
              <w:rPr>
                <w:rFonts w:ascii="Arial Narrow" w:hAnsi="Arial Narrow"/>
              </w:rPr>
              <w:t>12 Months</w:t>
            </w:r>
          </w:p>
        </w:tc>
        <w:tc>
          <w:tcPr>
            <w:tcW w:w="662" w:type="pct"/>
            <w:shd w:val="clear" w:color="auto" w:fill="FFFFFF"/>
            <w:tcMar>
              <w:left w:w="80" w:type="dxa"/>
              <w:right w:w="80" w:type="dxa"/>
            </w:tcMar>
            <w:vAlign w:val="center"/>
          </w:tcPr>
          <w:p w14:paraId="4DFDA3CB" w14:textId="77777777" w:rsidR="00FA38C7" w:rsidRPr="00FA38C7" w:rsidRDefault="00FA38C7" w:rsidP="00FA38C7">
            <w:pPr>
              <w:pStyle w:val="Tabletext1"/>
              <w:jc w:val="right"/>
              <w:rPr>
                <w:rFonts w:ascii="Arial Narrow" w:hAnsi="Arial Narrow"/>
              </w:rPr>
            </w:pPr>
            <w:r w:rsidRPr="00FA38C7">
              <w:rPr>
                <w:rFonts w:ascii="Arial Narrow" w:hAnsi="Arial Narrow"/>
              </w:rPr>
              <w:t>0.85</w:t>
            </w:r>
          </w:p>
        </w:tc>
        <w:tc>
          <w:tcPr>
            <w:tcW w:w="603" w:type="pct"/>
            <w:shd w:val="clear" w:color="auto" w:fill="FFFFFF"/>
            <w:vAlign w:val="center"/>
          </w:tcPr>
          <w:p w14:paraId="168192C4" w14:textId="77777777" w:rsidR="00FA38C7" w:rsidRPr="00FA38C7" w:rsidRDefault="00FA38C7" w:rsidP="00FA38C7">
            <w:pPr>
              <w:pStyle w:val="Tabletext1"/>
              <w:jc w:val="right"/>
              <w:rPr>
                <w:rFonts w:ascii="Arial Narrow" w:hAnsi="Arial Narrow"/>
              </w:rPr>
            </w:pPr>
            <w:r w:rsidRPr="00FA38C7">
              <w:rPr>
                <w:rFonts w:ascii="Arial Narrow" w:hAnsi="Arial Narrow"/>
              </w:rPr>
              <w:t>(8.29)</w:t>
            </w:r>
          </w:p>
        </w:tc>
        <w:tc>
          <w:tcPr>
            <w:tcW w:w="613" w:type="pct"/>
            <w:shd w:val="clear" w:color="auto" w:fill="FFFFFF"/>
            <w:tcMar>
              <w:left w:w="80" w:type="dxa"/>
              <w:right w:w="80" w:type="dxa"/>
            </w:tcMar>
            <w:vAlign w:val="center"/>
          </w:tcPr>
          <w:p w14:paraId="03E831E3" w14:textId="77777777" w:rsidR="00FA38C7" w:rsidRPr="00FA38C7" w:rsidRDefault="00FA38C7" w:rsidP="00FA38C7">
            <w:pPr>
              <w:pStyle w:val="Tabletext1"/>
              <w:jc w:val="right"/>
              <w:rPr>
                <w:rFonts w:ascii="Arial Narrow" w:hAnsi="Arial Narrow"/>
              </w:rPr>
            </w:pPr>
            <w:r w:rsidRPr="00FA38C7">
              <w:rPr>
                <w:rFonts w:ascii="Arial Narrow" w:hAnsi="Arial Narrow"/>
              </w:rPr>
              <w:t>-0.57</w:t>
            </w:r>
          </w:p>
        </w:tc>
        <w:tc>
          <w:tcPr>
            <w:tcW w:w="538" w:type="pct"/>
            <w:shd w:val="clear" w:color="auto" w:fill="FFFFFF"/>
            <w:vAlign w:val="center"/>
          </w:tcPr>
          <w:p w14:paraId="7DCE8C48" w14:textId="77777777" w:rsidR="00FA38C7" w:rsidRPr="00FA38C7" w:rsidRDefault="00FA38C7" w:rsidP="00FA38C7">
            <w:pPr>
              <w:pStyle w:val="Tabletext1"/>
              <w:jc w:val="right"/>
              <w:rPr>
                <w:rFonts w:ascii="Arial Narrow" w:hAnsi="Arial Narrow"/>
              </w:rPr>
            </w:pPr>
            <w:r w:rsidRPr="00FA38C7">
              <w:rPr>
                <w:rFonts w:ascii="Arial Narrow" w:hAnsi="Arial Narrow"/>
              </w:rPr>
              <w:t>(6.74)</w:t>
            </w:r>
          </w:p>
        </w:tc>
        <w:tc>
          <w:tcPr>
            <w:tcW w:w="522" w:type="pct"/>
            <w:shd w:val="clear" w:color="auto" w:fill="FFFFFF"/>
            <w:tcMar>
              <w:left w:w="80" w:type="dxa"/>
              <w:right w:w="80" w:type="dxa"/>
            </w:tcMar>
            <w:vAlign w:val="center"/>
          </w:tcPr>
          <w:p w14:paraId="77E8968C" w14:textId="77777777" w:rsidR="00FA38C7" w:rsidRPr="00FA38C7" w:rsidRDefault="00FA38C7" w:rsidP="00FA38C7">
            <w:pPr>
              <w:pStyle w:val="Tabletext1"/>
              <w:jc w:val="right"/>
              <w:rPr>
                <w:rFonts w:ascii="Arial Narrow" w:hAnsi="Arial Narrow"/>
              </w:rPr>
            </w:pPr>
            <w:r w:rsidRPr="00FA38C7">
              <w:rPr>
                <w:rFonts w:ascii="Arial Narrow" w:hAnsi="Arial Narrow"/>
              </w:rPr>
              <w:t>0.58</w:t>
            </w:r>
          </w:p>
        </w:tc>
        <w:tc>
          <w:tcPr>
            <w:tcW w:w="554" w:type="pct"/>
            <w:shd w:val="clear" w:color="auto" w:fill="FFFFFF"/>
            <w:vAlign w:val="center"/>
          </w:tcPr>
          <w:p w14:paraId="30E46462" w14:textId="77777777" w:rsidR="00FA38C7" w:rsidRPr="00FA38C7" w:rsidRDefault="00FA38C7" w:rsidP="00FA38C7">
            <w:pPr>
              <w:pStyle w:val="Tabletext1"/>
              <w:jc w:val="right"/>
              <w:rPr>
                <w:rFonts w:ascii="Arial Narrow" w:hAnsi="Arial Narrow"/>
              </w:rPr>
            </w:pPr>
            <w:r w:rsidRPr="00FA38C7">
              <w:rPr>
                <w:rFonts w:ascii="Arial Narrow" w:hAnsi="Arial Narrow"/>
              </w:rPr>
              <w:t>(-2.80, 3.96)</w:t>
            </w:r>
          </w:p>
        </w:tc>
        <w:tc>
          <w:tcPr>
            <w:tcW w:w="345" w:type="pct"/>
            <w:shd w:val="clear" w:color="auto" w:fill="FFFFFF"/>
            <w:tcMar>
              <w:left w:w="80" w:type="dxa"/>
              <w:right w:w="80" w:type="dxa"/>
            </w:tcMar>
            <w:vAlign w:val="center"/>
          </w:tcPr>
          <w:p w14:paraId="44EBD041" w14:textId="77777777" w:rsidR="00FA38C7" w:rsidRPr="00FA38C7" w:rsidRDefault="00FA38C7" w:rsidP="00FA38C7">
            <w:pPr>
              <w:pStyle w:val="Tabletext1"/>
              <w:jc w:val="right"/>
              <w:rPr>
                <w:rFonts w:ascii="Arial Narrow" w:hAnsi="Arial Narrow"/>
              </w:rPr>
            </w:pPr>
            <w:r w:rsidRPr="00FA38C7">
              <w:rPr>
                <w:rFonts w:ascii="Arial Narrow" w:hAnsi="Arial Narrow"/>
              </w:rPr>
              <w:t>0.731</w:t>
            </w:r>
          </w:p>
        </w:tc>
      </w:tr>
    </w:tbl>
    <w:p w14:paraId="1A531947" w14:textId="2982315C" w:rsidR="00785138" w:rsidRPr="00E90B8E" w:rsidRDefault="00EC44A1" w:rsidP="00897C5B">
      <w:pPr>
        <w:pStyle w:val="Caption"/>
      </w:pPr>
      <w:bookmarkStart w:id="184" w:name="Title_5"/>
      <w:bookmarkEnd w:id="184"/>
      <w:r w:rsidRPr="00013EA0">
        <w:t>Table B-</w:t>
      </w:r>
      <w:r w:rsidR="00013EA0" w:rsidRPr="00013EA0">
        <w:t>9</w:t>
      </w:r>
      <w:r w:rsidR="00CB045E" w:rsidRPr="00013EA0">
        <w:t>a</w:t>
      </w:r>
      <w:r w:rsidRPr="00013EA0">
        <w:t>:</w:t>
      </w:r>
      <w:r w:rsidRPr="00E90B8E">
        <w:t xml:space="preserve"> Secondary outcomes</w:t>
      </w:r>
    </w:p>
    <w:p w14:paraId="69E13082" w14:textId="02493038" w:rsidR="00C24F92" w:rsidRDefault="00B92346" w:rsidP="00897C5B">
      <w:pPr>
        <w:pStyle w:val="Caption"/>
      </w:pPr>
      <w:r w:rsidRPr="00C100A6">
        <w:t>*Change from baseline, adjusted for baseline, gender and facility. Observed v</w:t>
      </w:r>
      <w:r w:rsidR="00B54C8A" w:rsidRPr="00C100A6">
        <w:t>alues are mean (S</w:t>
      </w:r>
      <w:r w:rsidR="00F6741D">
        <w:t>D</w:t>
      </w:r>
      <w:r w:rsidR="00B54C8A" w:rsidRPr="00C100A6">
        <w:t>)</w:t>
      </w:r>
      <w:r w:rsidR="006B0804">
        <w:t xml:space="preserve"> </w:t>
      </w:r>
      <w:r w:rsidR="00C24F92">
        <w:t xml:space="preserve"> </w:t>
      </w:r>
    </w:p>
    <w:p w14:paraId="59662A3B" w14:textId="7E1EFD3C" w:rsidR="00D85146" w:rsidRPr="00D85146" w:rsidRDefault="00C24F92" w:rsidP="00FA38C7">
      <w:pPr>
        <w:pStyle w:val="Caption"/>
      </w:pPr>
      <w:r>
        <w:t>**</w:t>
      </w:r>
      <w:r w:rsidR="006B0804">
        <w:t xml:space="preserve">The </w:t>
      </w:r>
      <w:r>
        <w:t xml:space="preserve">sample number (n) varied for each intervention arm and each outcome. The </w:t>
      </w:r>
      <w:r w:rsidR="006B0804">
        <w:t>full table with</w:t>
      </w:r>
      <w:r>
        <w:t xml:space="preserve"> corresponding </w:t>
      </w:r>
      <w:r w:rsidR="003A0C49">
        <w:t xml:space="preserve">sample size </w:t>
      </w:r>
      <w:r>
        <w:t xml:space="preserve">numbers for each result are shown in Appendix </w:t>
      </w:r>
      <w:r w:rsidR="00E62636">
        <w:t>E</w:t>
      </w:r>
      <w:r>
        <w:t>.</w:t>
      </w:r>
    </w:p>
    <w:tbl>
      <w:tblPr>
        <w:tblpPr w:leftFromText="180" w:rightFromText="180" w:vertAnchor="text" w:horzAnchor="margin" w:tblpY="-4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Caption w:val="Table B-6. Secondary outcomes for Intervention and control arms"/>
        <w:tblDescription w:val="The results, number of residents and statistical variation for each secondary outcome is presented in the table for each trial arm at each of the 6 and 12 month assessment points."/>
      </w:tblPr>
      <w:tblGrid>
        <w:gridCol w:w="1577"/>
        <w:gridCol w:w="1539"/>
        <w:gridCol w:w="1334"/>
        <w:gridCol w:w="1432"/>
        <w:gridCol w:w="3134"/>
      </w:tblGrid>
      <w:tr w:rsidR="00D83B35" w:rsidRPr="00F42B1D" w14:paraId="757756E6" w14:textId="77777777" w:rsidTr="00FA38C7">
        <w:trPr>
          <w:cantSplit/>
          <w:tblHeader/>
        </w:trPr>
        <w:tc>
          <w:tcPr>
            <w:tcW w:w="916" w:type="pct"/>
            <w:tcBorders>
              <w:bottom w:val="single" w:sz="4" w:space="0" w:color="auto"/>
            </w:tcBorders>
            <w:shd w:val="clear" w:color="auto" w:fill="000000" w:themeFill="text1"/>
            <w:tcMar>
              <w:left w:w="80" w:type="dxa"/>
              <w:right w:w="80" w:type="dxa"/>
            </w:tcMar>
            <w:vAlign w:val="center"/>
          </w:tcPr>
          <w:p w14:paraId="5A2EA523" w14:textId="77777777" w:rsidR="00D83B35" w:rsidRPr="00384DFB" w:rsidRDefault="00D83B35" w:rsidP="00FA38C7">
            <w:pPr>
              <w:pStyle w:val="TableHeader"/>
            </w:pPr>
            <w:r w:rsidRPr="00384DFB">
              <w:lastRenderedPageBreak/>
              <w:t>Outcome</w:t>
            </w:r>
            <w:bookmarkStart w:id="185" w:name="Title_19"/>
            <w:bookmarkEnd w:id="185"/>
          </w:p>
        </w:tc>
        <w:tc>
          <w:tcPr>
            <w:tcW w:w="895" w:type="pct"/>
            <w:shd w:val="clear" w:color="auto" w:fill="000000" w:themeFill="text1"/>
            <w:tcMar>
              <w:left w:w="80" w:type="dxa"/>
              <w:right w:w="80" w:type="dxa"/>
            </w:tcMar>
            <w:vAlign w:val="center"/>
          </w:tcPr>
          <w:p w14:paraId="4A8211F2" w14:textId="77777777" w:rsidR="00D83B35" w:rsidRPr="00384DFB" w:rsidRDefault="00D83B35" w:rsidP="00FA38C7">
            <w:pPr>
              <w:pStyle w:val="TableHeader"/>
            </w:pPr>
            <w:r>
              <w:t>Scale</w:t>
            </w:r>
          </w:p>
        </w:tc>
        <w:tc>
          <w:tcPr>
            <w:tcW w:w="574" w:type="pct"/>
            <w:shd w:val="clear" w:color="auto" w:fill="000000" w:themeFill="text1"/>
            <w:tcMar>
              <w:left w:w="80" w:type="dxa"/>
              <w:right w:w="80" w:type="dxa"/>
            </w:tcMar>
            <w:vAlign w:val="center"/>
          </w:tcPr>
          <w:p w14:paraId="7AF74FC5" w14:textId="77777777" w:rsidR="00D83B35" w:rsidRPr="00384DFB" w:rsidRDefault="00D83B35" w:rsidP="00FA38C7">
            <w:pPr>
              <w:pStyle w:val="TableHeader"/>
            </w:pPr>
            <w:proofErr w:type="spellStart"/>
            <w:r>
              <w:t>Favourable</w:t>
            </w:r>
            <w:proofErr w:type="spellEnd"/>
            <w:r>
              <w:t xml:space="preserve"> Direction</w:t>
            </w:r>
          </w:p>
        </w:tc>
        <w:tc>
          <w:tcPr>
            <w:tcW w:w="836" w:type="pct"/>
            <w:shd w:val="clear" w:color="auto" w:fill="000000" w:themeFill="text1"/>
            <w:vAlign w:val="center"/>
          </w:tcPr>
          <w:p w14:paraId="7CBC371E" w14:textId="77777777" w:rsidR="00D83B35" w:rsidRPr="00384DFB" w:rsidRDefault="00D83B35" w:rsidP="00FA38C7">
            <w:pPr>
              <w:pStyle w:val="TableHeader"/>
            </w:pPr>
            <w:r>
              <w:t xml:space="preserve">Minimum Clinically Significant Difference </w:t>
            </w:r>
            <w:r w:rsidRPr="00384DFB">
              <w:t xml:space="preserve"> </w:t>
            </w:r>
          </w:p>
        </w:tc>
        <w:tc>
          <w:tcPr>
            <w:tcW w:w="1779" w:type="pct"/>
            <w:shd w:val="clear" w:color="auto" w:fill="000000" w:themeFill="text1"/>
          </w:tcPr>
          <w:p w14:paraId="5B9B7228" w14:textId="2F7D48C8" w:rsidR="00D83B35" w:rsidRDefault="00D83B35" w:rsidP="00FA38C7">
            <w:pPr>
              <w:pStyle w:val="TableHeader"/>
            </w:pPr>
            <w:r>
              <w:t>Clinically important changes</w:t>
            </w:r>
          </w:p>
        </w:tc>
      </w:tr>
      <w:tr w:rsidR="000B73AB" w:rsidRPr="00F42B1D" w14:paraId="79486DDC" w14:textId="77777777" w:rsidTr="00D85146">
        <w:trPr>
          <w:cantSplit/>
        </w:trPr>
        <w:tc>
          <w:tcPr>
            <w:tcW w:w="916" w:type="pct"/>
            <w:tcBorders>
              <w:top w:val="single" w:sz="4" w:space="0" w:color="auto"/>
              <w:left w:val="single" w:sz="4" w:space="0" w:color="auto"/>
              <w:bottom w:val="nil"/>
              <w:right w:val="single" w:sz="4" w:space="0" w:color="auto"/>
            </w:tcBorders>
            <w:shd w:val="clear" w:color="auto" w:fill="FFFFFF"/>
            <w:tcMar>
              <w:left w:w="80" w:type="dxa"/>
              <w:right w:w="80" w:type="dxa"/>
            </w:tcMar>
            <w:vAlign w:val="center"/>
          </w:tcPr>
          <w:p w14:paraId="7E4DA4BF" w14:textId="77777777" w:rsidR="00D83B35" w:rsidRPr="00FA38C7" w:rsidRDefault="00D83B35" w:rsidP="00FA38C7">
            <w:pPr>
              <w:pStyle w:val="Tabletext1"/>
              <w:rPr>
                <w:b/>
                <w:bCs/>
              </w:rPr>
            </w:pPr>
            <w:r w:rsidRPr="00FA38C7">
              <w:rPr>
                <w:b/>
                <w:bCs/>
              </w:rPr>
              <w:t xml:space="preserve">MoCA </w:t>
            </w:r>
          </w:p>
        </w:tc>
        <w:tc>
          <w:tcPr>
            <w:tcW w:w="895" w:type="pct"/>
            <w:tcBorders>
              <w:left w:val="single" w:sz="4" w:space="0" w:color="auto"/>
            </w:tcBorders>
            <w:shd w:val="clear" w:color="auto" w:fill="FFFFFF"/>
            <w:tcMar>
              <w:left w:w="80" w:type="dxa"/>
              <w:right w:w="80" w:type="dxa"/>
            </w:tcMar>
            <w:vAlign w:val="center"/>
          </w:tcPr>
          <w:p w14:paraId="03B62282" w14:textId="77777777" w:rsidR="00D83B35" w:rsidRPr="00C100A6" w:rsidRDefault="00D83B35" w:rsidP="00FA38C7">
            <w:pPr>
              <w:pStyle w:val="Tabletext1"/>
            </w:pPr>
            <w:r>
              <w:t>0 -30 or 0 – 22 (modified), converted to 0 -1.0</w:t>
            </w:r>
          </w:p>
        </w:tc>
        <w:tc>
          <w:tcPr>
            <w:tcW w:w="574" w:type="pct"/>
            <w:shd w:val="clear" w:color="auto" w:fill="FFFFFF"/>
            <w:tcMar>
              <w:left w:w="80" w:type="dxa"/>
              <w:right w:w="80" w:type="dxa"/>
            </w:tcMar>
            <w:vAlign w:val="center"/>
          </w:tcPr>
          <w:p w14:paraId="7D569716" w14:textId="77777777" w:rsidR="00D83B35" w:rsidRPr="00C100A6" w:rsidRDefault="00D83B35" w:rsidP="00FA38C7">
            <w:pPr>
              <w:pStyle w:val="Tabletext1"/>
            </w:pPr>
            <w:r>
              <w:t>+</w:t>
            </w:r>
            <w:proofErr w:type="spellStart"/>
            <w:r>
              <w:t>ve</w:t>
            </w:r>
            <w:proofErr w:type="spellEnd"/>
          </w:p>
        </w:tc>
        <w:tc>
          <w:tcPr>
            <w:tcW w:w="836" w:type="pct"/>
            <w:shd w:val="clear" w:color="auto" w:fill="FFFFFF"/>
            <w:vAlign w:val="center"/>
          </w:tcPr>
          <w:p w14:paraId="7DEF1A3A" w14:textId="74CC80E8" w:rsidR="00D83B35" w:rsidRPr="00C100A6" w:rsidRDefault="00D83B35" w:rsidP="00FA38C7">
            <w:pPr>
              <w:pStyle w:val="Tabletext1"/>
            </w:pPr>
            <w:proofErr w:type="gramStart"/>
            <w:r>
              <w:t>2 point</w:t>
            </w:r>
            <w:proofErr w:type="gramEnd"/>
            <w:r>
              <w:t xml:space="preserve"> change on 30 point scale (~ 0.067)</w:t>
            </w:r>
          </w:p>
        </w:tc>
        <w:tc>
          <w:tcPr>
            <w:tcW w:w="1779" w:type="pct"/>
            <w:shd w:val="clear" w:color="auto" w:fill="FFFFFF"/>
            <w:vAlign w:val="center"/>
          </w:tcPr>
          <w:p w14:paraId="58CE315C" w14:textId="18A621EE" w:rsidR="00D83B35" w:rsidRDefault="007A6E9A" w:rsidP="00FA38C7">
            <w:pPr>
              <w:pStyle w:val="Tabletext1"/>
            </w:pPr>
            <w:r>
              <w:t xml:space="preserve">Ref </w:t>
            </w:r>
            <w:r>
              <w:fldChar w:fldCharType="begin"/>
            </w:r>
            <w:r w:rsidR="00EB6EA4">
              <w:instrText xml:space="preserve"> ADDIN EN.CITE &lt;EndNote&gt;&lt;Cite&gt;&lt;Author&gt;Krishnan&lt;/Author&gt;&lt;Year&gt;2017&lt;/Year&gt;&lt;RecNum&gt;59&lt;/RecNum&gt;&lt;DisplayText&gt;(79)&lt;/DisplayText&gt;&lt;record&gt;&lt;rec-number&gt;59&lt;/rec-number&gt;&lt;foreign-keys&gt;&lt;key app="EN" db-id="9s5z5ped05vxdnede99vfsxhtzavzdzs2d5r" timestamp="1614142015"&gt;59&lt;/key&gt;&lt;/foreign-keys&gt;&lt;ref-type name="Journal Article"&gt;17&lt;/ref-type&gt;&lt;contributors&gt;&lt;authors&gt;&lt;author&gt;Krishnan, Kamini&lt;/author&gt;&lt;author&gt;Rossetti, Heidi&lt;/author&gt;&lt;author&gt;Hynan, Linda S&lt;/author&gt;&lt;author&gt;Carter, Kirstine&lt;/author&gt;&lt;author&gt;Falkowski, Jed&lt;/author&gt;&lt;author&gt;Lacritz, Laura&lt;/author&gt;&lt;author&gt;Cullum, C Munro&lt;/author&gt;&lt;author&gt;Weiner, Myron&lt;/author&gt;&lt;/authors&gt;&lt;/contributors&gt;&lt;titles&gt;&lt;title&gt;Changes in Montreal Cognitive Assessment scores over time&lt;/title&gt;&lt;secondary-title&gt;Assessment&lt;/secondary-title&gt;&lt;/titles&gt;&lt;periodical&gt;&lt;full-title&gt;Assessment&lt;/full-title&gt;&lt;/periodical&gt;&lt;pages&gt;772-777&lt;/pages&gt;&lt;volume&gt;24&lt;/volume&gt;&lt;number&gt;6&lt;/number&gt;&lt;dates&gt;&lt;year&gt;2017&lt;/year&gt;&lt;/dates&gt;&lt;isbn&gt;1073-1911&lt;/isbn&gt;&lt;urls&gt;&lt;/urls&gt;&lt;/record&gt;&lt;/Cite&gt;&lt;/EndNote&gt;</w:instrText>
            </w:r>
            <w:r>
              <w:fldChar w:fldCharType="separate"/>
            </w:r>
            <w:r w:rsidR="00EB6EA4">
              <w:rPr>
                <w:noProof/>
              </w:rPr>
              <w:t>(</w:t>
            </w:r>
            <w:hyperlink w:anchor="_ENREF_79" w:tooltip="Krishnan, 2017 #59" w:history="1">
              <w:r w:rsidR="00EB6EA4">
                <w:rPr>
                  <w:noProof/>
                </w:rPr>
                <w:t>79</w:t>
              </w:r>
            </w:hyperlink>
            <w:r w:rsidR="00EB6EA4">
              <w:rPr>
                <w:noProof/>
              </w:rPr>
              <w:t>)</w:t>
            </w:r>
            <w:r>
              <w:fldChar w:fldCharType="end"/>
            </w:r>
          </w:p>
        </w:tc>
      </w:tr>
      <w:tr w:rsidR="00D83B35" w:rsidRPr="00F42B1D" w14:paraId="40951896" w14:textId="77777777" w:rsidTr="00D85146">
        <w:trPr>
          <w:cantSplit/>
        </w:trPr>
        <w:tc>
          <w:tcPr>
            <w:tcW w:w="916" w:type="pct"/>
            <w:tcBorders>
              <w:top w:val="single" w:sz="4" w:space="0" w:color="auto"/>
              <w:bottom w:val="nil"/>
            </w:tcBorders>
            <w:shd w:val="clear" w:color="auto" w:fill="FFFFFF"/>
            <w:tcMar>
              <w:left w:w="80" w:type="dxa"/>
              <w:right w:w="80" w:type="dxa"/>
            </w:tcMar>
            <w:vAlign w:val="center"/>
          </w:tcPr>
          <w:p w14:paraId="6AAB9026" w14:textId="77777777" w:rsidR="00D83B35" w:rsidRPr="00FA38C7" w:rsidRDefault="00D83B35" w:rsidP="00FA38C7">
            <w:pPr>
              <w:pStyle w:val="Tabletext1"/>
              <w:rPr>
                <w:b/>
                <w:bCs/>
              </w:rPr>
            </w:pPr>
            <w:r w:rsidRPr="00FA38C7">
              <w:rPr>
                <w:b/>
                <w:bCs/>
              </w:rPr>
              <w:t>Weight</w:t>
            </w:r>
          </w:p>
        </w:tc>
        <w:tc>
          <w:tcPr>
            <w:tcW w:w="895" w:type="pct"/>
            <w:shd w:val="clear" w:color="auto" w:fill="FFFFFF"/>
            <w:tcMar>
              <w:left w:w="80" w:type="dxa"/>
              <w:right w:w="80" w:type="dxa"/>
            </w:tcMar>
            <w:vAlign w:val="center"/>
          </w:tcPr>
          <w:p w14:paraId="52C5EC21" w14:textId="77777777" w:rsidR="00D83B35" w:rsidRPr="00C100A6" w:rsidRDefault="00D83B35" w:rsidP="00FA38C7">
            <w:pPr>
              <w:pStyle w:val="Tabletext1"/>
            </w:pPr>
            <w:r w:rsidRPr="0063333D">
              <w:t>Total kg, unlimited</w:t>
            </w:r>
          </w:p>
        </w:tc>
        <w:tc>
          <w:tcPr>
            <w:tcW w:w="574" w:type="pct"/>
            <w:shd w:val="clear" w:color="auto" w:fill="FFFFFF"/>
            <w:tcMar>
              <w:left w:w="80" w:type="dxa"/>
              <w:right w:w="80" w:type="dxa"/>
            </w:tcMar>
            <w:vAlign w:val="center"/>
          </w:tcPr>
          <w:p w14:paraId="0E007E2A" w14:textId="77777777" w:rsidR="00D83B35" w:rsidRPr="00C100A6" w:rsidRDefault="00D83B35" w:rsidP="00FA38C7">
            <w:pPr>
              <w:pStyle w:val="Tabletext1"/>
            </w:pPr>
            <w:r>
              <w:t>unknown</w:t>
            </w:r>
          </w:p>
        </w:tc>
        <w:tc>
          <w:tcPr>
            <w:tcW w:w="836" w:type="pct"/>
            <w:shd w:val="clear" w:color="auto" w:fill="FFFFFF"/>
            <w:vAlign w:val="center"/>
          </w:tcPr>
          <w:p w14:paraId="43F4D25F" w14:textId="77777777" w:rsidR="00D83B35" w:rsidRPr="00C100A6" w:rsidRDefault="00D83B35" w:rsidP="00FA38C7">
            <w:pPr>
              <w:pStyle w:val="Tabletext1"/>
            </w:pPr>
            <w:r>
              <w:t>unknown</w:t>
            </w:r>
          </w:p>
        </w:tc>
        <w:tc>
          <w:tcPr>
            <w:tcW w:w="1779" w:type="pct"/>
            <w:shd w:val="clear" w:color="auto" w:fill="FFFFFF"/>
          </w:tcPr>
          <w:p w14:paraId="22375A6F" w14:textId="77777777" w:rsidR="00D83B35" w:rsidRPr="00C100A6" w:rsidRDefault="00D83B35" w:rsidP="00FA38C7">
            <w:pPr>
              <w:pStyle w:val="Tabletext1"/>
              <w:rPr>
                <w:rFonts w:ascii="Arial Narrow" w:hAnsi="Arial Narrow"/>
              </w:rPr>
            </w:pPr>
          </w:p>
        </w:tc>
      </w:tr>
      <w:tr w:rsidR="00D83B35" w:rsidRPr="00F42B1D" w14:paraId="6F079DA2" w14:textId="77777777" w:rsidTr="00D85146">
        <w:trPr>
          <w:cantSplit/>
        </w:trPr>
        <w:tc>
          <w:tcPr>
            <w:tcW w:w="916" w:type="pct"/>
            <w:tcBorders>
              <w:bottom w:val="nil"/>
            </w:tcBorders>
            <w:shd w:val="clear" w:color="auto" w:fill="FFFFFF"/>
            <w:tcMar>
              <w:left w:w="80" w:type="dxa"/>
              <w:right w:w="80" w:type="dxa"/>
            </w:tcMar>
            <w:vAlign w:val="center"/>
          </w:tcPr>
          <w:p w14:paraId="32DCF82D" w14:textId="77777777" w:rsidR="00D83B35" w:rsidRPr="00FA38C7" w:rsidRDefault="00D83B35" w:rsidP="00FA38C7">
            <w:pPr>
              <w:pStyle w:val="Tabletext1"/>
              <w:rPr>
                <w:b/>
                <w:bCs/>
              </w:rPr>
            </w:pPr>
            <w:r w:rsidRPr="00FA38C7">
              <w:rPr>
                <w:b/>
                <w:bCs/>
              </w:rPr>
              <w:t>Grip Strength</w:t>
            </w:r>
          </w:p>
        </w:tc>
        <w:tc>
          <w:tcPr>
            <w:tcW w:w="895" w:type="pct"/>
            <w:shd w:val="clear" w:color="auto" w:fill="FFFFFF"/>
            <w:tcMar>
              <w:left w:w="80" w:type="dxa"/>
              <w:right w:w="80" w:type="dxa"/>
            </w:tcMar>
            <w:vAlign w:val="center"/>
          </w:tcPr>
          <w:p w14:paraId="6229AD56" w14:textId="77777777" w:rsidR="00D83B35" w:rsidRPr="00C100A6" w:rsidRDefault="00D83B35" w:rsidP="00FA38C7">
            <w:pPr>
              <w:pStyle w:val="Tabletext1"/>
            </w:pPr>
            <w:r w:rsidRPr="0063333D">
              <w:t xml:space="preserve">Total </w:t>
            </w:r>
            <w:r>
              <w:t>kg</w:t>
            </w:r>
            <w:r w:rsidRPr="0063333D">
              <w:t>, unlimited</w:t>
            </w:r>
          </w:p>
        </w:tc>
        <w:tc>
          <w:tcPr>
            <w:tcW w:w="574" w:type="pct"/>
            <w:shd w:val="clear" w:color="auto" w:fill="FFFFFF"/>
            <w:tcMar>
              <w:left w:w="80" w:type="dxa"/>
              <w:right w:w="80" w:type="dxa"/>
            </w:tcMar>
            <w:vAlign w:val="center"/>
          </w:tcPr>
          <w:p w14:paraId="73EBB805" w14:textId="77777777" w:rsidR="00D83B35" w:rsidRPr="002E4B20" w:rsidRDefault="00D83B35" w:rsidP="00FA38C7">
            <w:pPr>
              <w:pStyle w:val="Tabletext1"/>
            </w:pPr>
            <w:r w:rsidRPr="00D562BC">
              <w:t>+</w:t>
            </w:r>
            <w:proofErr w:type="spellStart"/>
            <w:r w:rsidRPr="00D562BC">
              <w:t>ve</w:t>
            </w:r>
            <w:proofErr w:type="spellEnd"/>
          </w:p>
        </w:tc>
        <w:tc>
          <w:tcPr>
            <w:tcW w:w="836" w:type="pct"/>
            <w:shd w:val="clear" w:color="auto" w:fill="FFFFFF"/>
            <w:vAlign w:val="center"/>
          </w:tcPr>
          <w:p w14:paraId="34FF9AB8" w14:textId="1D9BA540" w:rsidR="00D83B35" w:rsidRPr="00C100A6" w:rsidRDefault="00D83B35" w:rsidP="00FA38C7">
            <w:pPr>
              <w:pStyle w:val="Tabletext1"/>
            </w:pPr>
            <w:r w:rsidRPr="00452DC9">
              <w:t>~ 20% change</w:t>
            </w:r>
            <w:r>
              <w:t>;</w:t>
            </w:r>
            <w:r w:rsidRPr="00452DC9">
              <w:t xml:space="preserve"> 0.84kg-2.69kg</w:t>
            </w:r>
          </w:p>
        </w:tc>
        <w:tc>
          <w:tcPr>
            <w:tcW w:w="1779" w:type="pct"/>
            <w:shd w:val="clear" w:color="auto" w:fill="FFFFFF"/>
          </w:tcPr>
          <w:p w14:paraId="76A82CE2" w14:textId="299D27E0" w:rsidR="000B73AB" w:rsidRDefault="00D83B35" w:rsidP="00FA38C7">
            <w:pPr>
              <w:pStyle w:val="Tabletext1"/>
            </w:pPr>
            <w:r w:rsidRPr="00602F45">
              <w:t>Measures categorised as ‘weak’ based on thresholds for males</w:t>
            </w:r>
            <w:r>
              <w:t xml:space="preserve"> or females</w:t>
            </w:r>
            <w:r w:rsidRPr="00602F45">
              <w:t xml:space="preserve"> not in residential </w:t>
            </w:r>
            <w:r w:rsidR="00812C48">
              <w:t>aged care</w:t>
            </w:r>
            <w:r>
              <w:t xml:space="preserve"> between 70 -99 years are</w:t>
            </w:r>
            <w:r w:rsidRPr="00602F45">
              <w:t xml:space="preserve"> &lt;21.3kg</w:t>
            </w:r>
            <w:r>
              <w:t>,</w:t>
            </w:r>
            <w:r w:rsidRPr="00602F45">
              <w:t xml:space="preserve"> and &lt;14.7 kg </w:t>
            </w:r>
            <w:r>
              <w:t>respectively.</w:t>
            </w:r>
            <w:r w:rsidR="000B73AB">
              <w:t xml:space="preserve"> </w:t>
            </w:r>
          </w:p>
          <w:p w14:paraId="28340745" w14:textId="56BB052B" w:rsidR="00D83B35" w:rsidRDefault="000B73AB" w:rsidP="00FA38C7">
            <w:pPr>
              <w:pStyle w:val="Tabletext1"/>
              <w:rPr>
                <w:rFonts w:ascii="Arial Narrow" w:hAnsi="Arial Narrow"/>
              </w:rPr>
            </w:pPr>
            <w:r>
              <w:rPr>
                <w:rFonts w:ascii="Arial Narrow" w:hAnsi="Arial Narrow"/>
              </w:rPr>
              <w:t xml:space="preserve">Refs </w:t>
            </w:r>
            <w:r>
              <w:rPr>
                <w:rFonts w:ascii="Arial Narrow" w:hAnsi="Arial Narrow"/>
              </w:rPr>
              <w:fldChar w:fldCharType="begin">
                <w:fldData xml:space="preserve">PEVuZE5vdGU+PENpdGU+PEF1dGhvcj5Sb3VzaDwvQXV0aG9yPjxZZWFyPjIwMTc8L1llYXI+PFJl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</w:fldData>
              </w:fldChar>
            </w:r>
            <w:r w:rsidR="00EB6EA4">
              <w:rPr>
                <w:rFonts w:ascii="Arial Narrow" w:hAnsi="Arial Narrow"/>
              </w:rPr>
              <w:instrText xml:space="preserve"> ADDIN EN.CITE </w:instrText>
            </w:r>
            <w:r w:rsidR="00EB6EA4">
              <w:rPr>
                <w:rFonts w:ascii="Arial Narrow" w:hAnsi="Arial Narrow"/>
              </w:rPr>
              <w:fldChar w:fldCharType="begin">
                <w:fldData xml:space="preserve">PEVuZE5vdGU+PENpdGU+PEF1dGhvcj5Sb3VzaDwvQXV0aG9yPjxZZWFyPjIwMTc8L1llYXI+PFJl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</w:fldData>
              </w:fldChar>
            </w:r>
            <w:r w:rsidR="00EB6EA4">
              <w:rPr>
                <w:rFonts w:ascii="Arial Narrow" w:hAnsi="Arial Narrow"/>
              </w:rPr>
              <w:instrText xml:space="preserve"> ADDIN EN.CITE.DATA </w:instrText>
            </w:r>
            <w:r w:rsidR="00EB6EA4">
              <w:rPr>
                <w:rFonts w:ascii="Arial Narrow" w:hAnsi="Arial Narrow"/>
              </w:rPr>
            </w:r>
            <w:r w:rsidR="00EB6EA4">
              <w:rPr>
                <w:rFonts w:ascii="Arial Narrow" w:hAnsi="Arial Narrow"/>
              </w:rPr>
              <w:fldChar w:fldCharType="end"/>
            </w:r>
            <w:r>
              <w:rPr>
                <w:rFonts w:ascii="Arial Narrow" w:hAnsi="Arial Narrow"/>
              </w:rPr>
            </w:r>
            <w:r>
              <w:rPr>
                <w:rFonts w:ascii="Arial Narrow" w:hAnsi="Arial Narrow"/>
              </w:rPr>
              <w:fldChar w:fldCharType="separate"/>
            </w:r>
            <w:r w:rsidR="00EB6EA4">
              <w:rPr>
                <w:rFonts w:ascii="Arial Narrow" w:hAnsi="Arial Narrow"/>
                <w:noProof/>
              </w:rPr>
              <w:t>(</w:t>
            </w:r>
            <w:hyperlink w:anchor="_ENREF_64" w:tooltip="Roush, 2017 #44" w:history="1">
              <w:r w:rsidR="00EB6EA4">
                <w:rPr>
                  <w:rFonts w:ascii="Arial Narrow" w:hAnsi="Arial Narrow"/>
                  <w:noProof/>
                </w:rPr>
                <w:t>64</w:t>
              </w:r>
            </w:hyperlink>
            <w:r w:rsidR="00EB6EA4">
              <w:rPr>
                <w:rFonts w:ascii="Arial Narrow" w:hAnsi="Arial Narrow"/>
                <w:noProof/>
              </w:rPr>
              <w:t xml:space="preserve">, </w:t>
            </w:r>
            <w:hyperlink w:anchor="_ENREF_65" w:tooltip="Villafane, 2014 #36" w:history="1">
              <w:r w:rsidR="00EB6EA4">
                <w:rPr>
                  <w:rFonts w:ascii="Arial Narrow" w:hAnsi="Arial Narrow"/>
                  <w:noProof/>
                </w:rPr>
                <w:t>65</w:t>
              </w:r>
            </w:hyperlink>
            <w:r w:rsidR="00EB6EA4">
              <w:rPr>
                <w:rFonts w:ascii="Arial Narrow" w:hAnsi="Arial Narrow"/>
                <w:noProof/>
              </w:rPr>
              <w:t>)</w:t>
            </w:r>
            <w:r>
              <w:rPr>
                <w:rFonts w:ascii="Arial Narrow" w:hAnsi="Arial Narrow"/>
              </w:rPr>
              <w:fldChar w:fldCharType="end"/>
            </w:r>
          </w:p>
        </w:tc>
      </w:tr>
      <w:tr w:rsidR="000B73AB" w:rsidRPr="00F42B1D" w14:paraId="3C1A64B3" w14:textId="77777777" w:rsidTr="00D85146">
        <w:trPr>
          <w:cantSplit/>
        </w:trPr>
        <w:tc>
          <w:tcPr>
            <w:tcW w:w="916" w:type="pct"/>
            <w:tcBorders>
              <w:bottom w:val="nil"/>
            </w:tcBorders>
            <w:shd w:val="clear" w:color="auto" w:fill="FFFFFF"/>
            <w:tcMar>
              <w:left w:w="80" w:type="dxa"/>
              <w:right w:w="80" w:type="dxa"/>
            </w:tcMar>
            <w:vAlign w:val="center"/>
          </w:tcPr>
          <w:p w14:paraId="12373934" w14:textId="77777777" w:rsidR="00D83B35" w:rsidRPr="00FA38C7" w:rsidRDefault="00D83B35" w:rsidP="00FA38C7">
            <w:pPr>
              <w:pStyle w:val="Tabletext1"/>
              <w:rPr>
                <w:b/>
                <w:bCs/>
              </w:rPr>
            </w:pPr>
            <w:r w:rsidRPr="00FA38C7">
              <w:rPr>
                <w:b/>
                <w:bCs/>
              </w:rPr>
              <w:t>EQ-5D</w:t>
            </w:r>
          </w:p>
        </w:tc>
        <w:tc>
          <w:tcPr>
            <w:tcW w:w="895" w:type="pct"/>
            <w:shd w:val="clear" w:color="auto" w:fill="FFFFFF"/>
            <w:tcMar>
              <w:left w:w="80" w:type="dxa"/>
              <w:right w:w="80" w:type="dxa"/>
            </w:tcMar>
            <w:vAlign w:val="center"/>
          </w:tcPr>
          <w:p w14:paraId="6B9A425A" w14:textId="77777777" w:rsidR="00D83B35" w:rsidRPr="00B511E7" w:rsidRDefault="00D83B35" w:rsidP="00FA38C7">
            <w:pPr>
              <w:pStyle w:val="Tabletext1"/>
            </w:pPr>
            <w:r w:rsidRPr="00B511E7">
              <w:t xml:space="preserve">&lt;0.0: worse than </w:t>
            </w:r>
            <w:proofErr w:type="gramStart"/>
            <w:r w:rsidRPr="00B511E7">
              <w:t>death</w:t>
            </w:r>
            <w:r>
              <w:t>;</w:t>
            </w:r>
            <w:proofErr w:type="gramEnd"/>
          </w:p>
          <w:p w14:paraId="17F054F5" w14:textId="77777777" w:rsidR="00D83B35" w:rsidRPr="00B511E7" w:rsidRDefault="00D83B35" w:rsidP="00FA38C7">
            <w:pPr>
              <w:pStyle w:val="Tabletext1"/>
            </w:pPr>
            <w:r w:rsidRPr="00B511E7">
              <w:t xml:space="preserve">0.0: </w:t>
            </w:r>
            <w:proofErr w:type="gramStart"/>
            <w:r w:rsidRPr="00B511E7">
              <w:t>death</w:t>
            </w:r>
            <w:r>
              <w:t>;</w:t>
            </w:r>
            <w:proofErr w:type="gramEnd"/>
          </w:p>
          <w:p w14:paraId="79F801F5" w14:textId="77777777" w:rsidR="00D83B35" w:rsidRPr="00C100A6" w:rsidRDefault="00D83B35" w:rsidP="00FA38C7">
            <w:pPr>
              <w:pStyle w:val="Tabletext1"/>
            </w:pPr>
            <w:r w:rsidRPr="00B511E7">
              <w:t>1.0: full health (maximum)</w:t>
            </w:r>
          </w:p>
        </w:tc>
        <w:tc>
          <w:tcPr>
            <w:tcW w:w="574" w:type="pct"/>
            <w:shd w:val="clear" w:color="auto" w:fill="FFFFFF"/>
            <w:tcMar>
              <w:left w:w="80" w:type="dxa"/>
              <w:right w:w="80" w:type="dxa"/>
            </w:tcMar>
            <w:vAlign w:val="center"/>
          </w:tcPr>
          <w:p w14:paraId="3A7014BB" w14:textId="77777777" w:rsidR="00D83B35" w:rsidRPr="002E4B20" w:rsidRDefault="00D83B35" w:rsidP="00FA38C7">
            <w:pPr>
              <w:pStyle w:val="Tabletext1"/>
            </w:pPr>
            <w:r w:rsidRPr="00D562BC">
              <w:t>+</w:t>
            </w:r>
            <w:proofErr w:type="spellStart"/>
            <w:r w:rsidRPr="00D562BC">
              <w:t>ve</w:t>
            </w:r>
            <w:proofErr w:type="spellEnd"/>
          </w:p>
        </w:tc>
        <w:tc>
          <w:tcPr>
            <w:tcW w:w="836" w:type="pct"/>
            <w:shd w:val="clear" w:color="auto" w:fill="FFFFFF"/>
            <w:vAlign w:val="center"/>
          </w:tcPr>
          <w:p w14:paraId="78D8262B" w14:textId="77777777" w:rsidR="00D83B35" w:rsidRPr="00C100A6" w:rsidRDefault="00D83B35" w:rsidP="00FA38C7">
            <w:pPr>
              <w:pStyle w:val="Tabletext1"/>
            </w:pPr>
            <w:r>
              <w:t>unknown</w:t>
            </w:r>
          </w:p>
        </w:tc>
        <w:tc>
          <w:tcPr>
            <w:tcW w:w="1779" w:type="pct"/>
            <w:shd w:val="clear" w:color="auto" w:fill="FFFFFF"/>
            <w:vAlign w:val="center"/>
          </w:tcPr>
          <w:p w14:paraId="173D3077" w14:textId="77777777" w:rsidR="00D83B35" w:rsidRDefault="00612340" w:rsidP="00FA38C7">
            <w:pPr>
              <w:pStyle w:val="Tabletext1"/>
              <w:rPr>
                <w:rFonts w:ascii="Arial Narrow" w:hAnsi="Arial Narrow"/>
              </w:rPr>
            </w:pPr>
            <w:hyperlink r:id="rId39" w:history="1">
              <w:r w:rsidR="00D83B35" w:rsidRPr="00CB426B">
                <w:rPr>
                  <w:rStyle w:val="Hyperlink"/>
                  <w:rFonts w:ascii="Arial Narrow" w:hAnsi="Arial Narrow"/>
                </w:rPr>
                <w:t>https://euroqol.org/publications/user-guides/</w:t>
              </w:r>
            </w:hyperlink>
          </w:p>
          <w:p w14:paraId="21790DFD" w14:textId="4852E564" w:rsidR="00D83B35" w:rsidRDefault="000B73AB" w:rsidP="00FA38C7">
            <w:pPr>
              <w:pStyle w:val="Tabletext1"/>
            </w:pPr>
            <w:r>
              <w:t xml:space="preserve">Ref </w:t>
            </w:r>
            <w:r w:rsidR="00F204F3">
              <w:fldChar w:fldCharType="begin"/>
            </w:r>
            <w:r w:rsidR="00EB6EA4">
              <w:instrText xml:space="preserve"> ADDIN EN.CITE &lt;EndNote&gt;&lt;Cite&gt;&lt;Author&gt;Wolowacz&lt;/Author&gt;&lt;Year&gt;2016&lt;/Year&gt;&lt;RecNum&gt;60&lt;/RecNum&gt;&lt;DisplayText&gt;(80)&lt;/DisplayText&gt;&lt;record&gt;&lt;rec-number&gt;60&lt;/rec-number&gt;&lt;foreign-keys&gt;&lt;key app="EN" db-id="9s5z5ped05vxdnede99vfsxhtzavzdzs2d5r" timestamp="1614142402"&gt;60&lt;/key&gt;&lt;/foreign-keys&gt;&lt;ref-type name="Journal Article"&gt;17&lt;/ref-type&gt;&lt;contributors&gt;&lt;authors&gt;&lt;author&gt;Wolowacz, Sorrel E&lt;/author&gt;&lt;author&gt;Briggs, Andrew&lt;/author&gt;&lt;author&gt;Belozeroff, Vasily&lt;/author&gt;&lt;author&gt;Clarke, Philip&lt;/author&gt;&lt;author&gt;Doward, Lynda&lt;/author&gt;&lt;author&gt;Goeree, Ron&lt;/author&gt;&lt;author&gt;Lloyd, Andrew&lt;/author&gt;&lt;author&gt;Norman, Richard&lt;/author&gt;&lt;/authors&gt;&lt;/contributors&gt;&lt;titles&gt;&lt;title&gt;Estimating health-state utility for economic models in clinical studies: an ISPOR good research practices task force report&lt;/title&gt;&lt;secondary-title&gt;Value in Health&lt;/secondary-title&gt;&lt;/titles&gt;&lt;periodical&gt;&lt;full-title&gt;Value in Health&lt;/full-title&gt;&lt;/periodical&gt;&lt;pages&gt;704-719&lt;/pages&gt;&lt;volume&gt;19&lt;/volume&gt;&lt;number&gt;6&lt;/number&gt;&lt;dates&gt;&lt;year&gt;2016&lt;/year&gt;&lt;/dates&gt;&lt;isbn&gt;1098-3015&lt;/isbn&gt;&lt;urls&gt;&lt;/urls&gt;&lt;/record&gt;&lt;/Cite&gt;&lt;/EndNote&gt;</w:instrText>
            </w:r>
            <w:r w:rsidR="00F204F3">
              <w:fldChar w:fldCharType="separate"/>
            </w:r>
            <w:r w:rsidR="00EB6EA4">
              <w:rPr>
                <w:noProof/>
              </w:rPr>
              <w:t>(</w:t>
            </w:r>
            <w:hyperlink w:anchor="_ENREF_80" w:tooltip="Wolowacz, 2016 #60" w:history="1">
              <w:r w:rsidR="00EB6EA4">
                <w:rPr>
                  <w:noProof/>
                </w:rPr>
                <w:t>80</w:t>
              </w:r>
            </w:hyperlink>
            <w:r w:rsidR="00EB6EA4">
              <w:rPr>
                <w:noProof/>
              </w:rPr>
              <w:t>)</w:t>
            </w:r>
            <w:r w:rsidR="00F204F3">
              <w:fldChar w:fldCharType="end"/>
            </w:r>
          </w:p>
        </w:tc>
      </w:tr>
      <w:tr w:rsidR="00D83B35" w:rsidRPr="00F42B1D" w14:paraId="643D1B85" w14:textId="77777777" w:rsidTr="00D85146">
        <w:trPr>
          <w:cantSplit/>
        </w:trPr>
        <w:tc>
          <w:tcPr>
            <w:tcW w:w="916" w:type="pct"/>
            <w:tcBorders>
              <w:bottom w:val="nil"/>
            </w:tcBorders>
            <w:shd w:val="clear" w:color="auto" w:fill="FFFFFF"/>
            <w:tcMar>
              <w:left w:w="80" w:type="dxa"/>
              <w:right w:w="80" w:type="dxa"/>
            </w:tcMar>
            <w:vAlign w:val="center"/>
          </w:tcPr>
          <w:p w14:paraId="75F3EBD7" w14:textId="77777777" w:rsidR="00D83B35" w:rsidRPr="00FA38C7" w:rsidRDefault="00D83B35" w:rsidP="00FA38C7">
            <w:pPr>
              <w:pStyle w:val="Tabletext1"/>
              <w:rPr>
                <w:b/>
                <w:bCs/>
              </w:rPr>
            </w:pPr>
            <w:r w:rsidRPr="00FA38C7">
              <w:rPr>
                <w:b/>
                <w:bCs/>
              </w:rPr>
              <w:t>Sleep Efficiency</w:t>
            </w:r>
          </w:p>
        </w:tc>
        <w:tc>
          <w:tcPr>
            <w:tcW w:w="895" w:type="pct"/>
            <w:shd w:val="clear" w:color="auto" w:fill="FFFFFF"/>
            <w:tcMar>
              <w:left w:w="80" w:type="dxa"/>
              <w:right w:w="80" w:type="dxa"/>
            </w:tcMar>
            <w:vAlign w:val="center"/>
          </w:tcPr>
          <w:p w14:paraId="29AB8C5F" w14:textId="77777777" w:rsidR="00D83B35" w:rsidRPr="00C100A6" w:rsidRDefault="00D83B35" w:rsidP="00FA38C7">
            <w:pPr>
              <w:pStyle w:val="Tabletext1"/>
            </w:pPr>
            <w:r>
              <w:t>0 – 100%</w:t>
            </w:r>
          </w:p>
        </w:tc>
        <w:tc>
          <w:tcPr>
            <w:tcW w:w="574" w:type="pct"/>
            <w:shd w:val="clear" w:color="auto" w:fill="FFFFFF"/>
            <w:tcMar>
              <w:left w:w="80" w:type="dxa"/>
              <w:right w:w="80" w:type="dxa"/>
            </w:tcMar>
          </w:tcPr>
          <w:p w14:paraId="3534D654" w14:textId="77777777" w:rsidR="00D83B35" w:rsidRPr="002E4B20" w:rsidRDefault="00D83B35" w:rsidP="00FA38C7">
            <w:pPr>
              <w:pStyle w:val="Tabletext1"/>
            </w:pPr>
            <w:r>
              <w:t>+</w:t>
            </w:r>
            <w:proofErr w:type="spellStart"/>
            <w:r>
              <w:t>ve</w:t>
            </w:r>
            <w:proofErr w:type="spellEnd"/>
          </w:p>
        </w:tc>
        <w:tc>
          <w:tcPr>
            <w:tcW w:w="836" w:type="pct"/>
            <w:shd w:val="clear" w:color="auto" w:fill="FFFFFF"/>
            <w:vAlign w:val="center"/>
          </w:tcPr>
          <w:p w14:paraId="470F28BC" w14:textId="77777777" w:rsidR="00D83B35" w:rsidRPr="00C100A6" w:rsidRDefault="00D83B35" w:rsidP="00FA38C7">
            <w:pPr>
              <w:pStyle w:val="Tabletext1"/>
            </w:pPr>
            <w:r>
              <w:t>unknown</w:t>
            </w:r>
          </w:p>
        </w:tc>
        <w:tc>
          <w:tcPr>
            <w:tcW w:w="1779" w:type="pct"/>
            <w:shd w:val="clear" w:color="auto" w:fill="FFFFFF"/>
          </w:tcPr>
          <w:p w14:paraId="2B9A946E" w14:textId="77777777" w:rsidR="00D83B35" w:rsidRPr="00C100A6" w:rsidRDefault="00D83B35" w:rsidP="00FA38C7">
            <w:pPr>
              <w:pStyle w:val="Tabletext1"/>
              <w:rPr>
                <w:rFonts w:ascii="Arial Narrow" w:hAnsi="Arial Narrow"/>
              </w:rPr>
            </w:pPr>
          </w:p>
        </w:tc>
      </w:tr>
      <w:tr w:rsidR="000B73AB" w:rsidRPr="00F42B1D" w14:paraId="67D4F752" w14:textId="77777777" w:rsidTr="00D85146">
        <w:trPr>
          <w:cantSplit/>
        </w:trPr>
        <w:tc>
          <w:tcPr>
            <w:tcW w:w="916" w:type="pct"/>
            <w:tcBorders>
              <w:bottom w:val="nil"/>
            </w:tcBorders>
            <w:shd w:val="clear" w:color="auto" w:fill="FFFFFF"/>
            <w:tcMar>
              <w:left w:w="80" w:type="dxa"/>
              <w:right w:w="80" w:type="dxa"/>
            </w:tcMar>
            <w:vAlign w:val="center"/>
          </w:tcPr>
          <w:p w14:paraId="1755BC2C" w14:textId="77777777" w:rsidR="00D83B35" w:rsidRPr="00FA38C7" w:rsidRDefault="00D83B35" w:rsidP="00FA38C7">
            <w:pPr>
              <w:pStyle w:val="Tabletext1"/>
              <w:rPr>
                <w:b/>
                <w:bCs/>
              </w:rPr>
            </w:pPr>
            <w:r w:rsidRPr="00FA38C7">
              <w:rPr>
                <w:b/>
                <w:bCs/>
              </w:rPr>
              <w:t>Sleep Time</w:t>
            </w:r>
          </w:p>
        </w:tc>
        <w:tc>
          <w:tcPr>
            <w:tcW w:w="895" w:type="pct"/>
            <w:shd w:val="clear" w:color="auto" w:fill="FFFFFF"/>
            <w:tcMar>
              <w:left w:w="80" w:type="dxa"/>
              <w:right w:w="80" w:type="dxa"/>
            </w:tcMar>
            <w:vAlign w:val="center"/>
          </w:tcPr>
          <w:p w14:paraId="4F20AB51" w14:textId="77777777" w:rsidR="00D83B35" w:rsidRPr="0063333D" w:rsidRDefault="00D83B35" w:rsidP="00FA38C7">
            <w:pPr>
              <w:pStyle w:val="Tabletext1"/>
            </w:pPr>
            <w:r w:rsidRPr="0063333D">
              <w:t>Total mins, unlimited</w:t>
            </w:r>
          </w:p>
        </w:tc>
        <w:tc>
          <w:tcPr>
            <w:tcW w:w="574" w:type="pct"/>
            <w:shd w:val="clear" w:color="auto" w:fill="FFFFFF"/>
            <w:tcMar>
              <w:left w:w="80" w:type="dxa"/>
              <w:right w:w="80" w:type="dxa"/>
            </w:tcMar>
            <w:vAlign w:val="center"/>
          </w:tcPr>
          <w:p w14:paraId="33591945" w14:textId="77777777" w:rsidR="00D83B35" w:rsidRPr="00C100A6" w:rsidRDefault="00D83B35" w:rsidP="00FA38C7">
            <w:pPr>
              <w:pStyle w:val="Tabletext1"/>
            </w:pPr>
            <w:r>
              <w:t>+/-</w:t>
            </w:r>
            <w:proofErr w:type="spellStart"/>
            <w:r>
              <w:t>ve</w:t>
            </w:r>
            <w:proofErr w:type="spellEnd"/>
          </w:p>
        </w:tc>
        <w:tc>
          <w:tcPr>
            <w:tcW w:w="836" w:type="pct"/>
            <w:shd w:val="clear" w:color="auto" w:fill="FFFFFF"/>
            <w:vAlign w:val="center"/>
          </w:tcPr>
          <w:p w14:paraId="7C2B338B" w14:textId="77777777" w:rsidR="00D83B35" w:rsidRPr="00C100A6" w:rsidRDefault="00D83B35" w:rsidP="00FA38C7">
            <w:pPr>
              <w:pStyle w:val="Tabletext1"/>
            </w:pPr>
            <w:r>
              <w:t>6-8 hrs</w:t>
            </w:r>
          </w:p>
        </w:tc>
        <w:tc>
          <w:tcPr>
            <w:tcW w:w="1779" w:type="pct"/>
            <w:shd w:val="clear" w:color="auto" w:fill="FFFFFF"/>
          </w:tcPr>
          <w:p w14:paraId="206566A4" w14:textId="77777777" w:rsidR="00D83B35" w:rsidRDefault="00D83B35" w:rsidP="00FA38C7">
            <w:pPr>
              <w:pStyle w:val="Tabletext1"/>
            </w:pPr>
          </w:p>
          <w:p w14:paraId="6D1F60E4" w14:textId="6826E38A" w:rsidR="00D83B35" w:rsidRPr="00A1691F" w:rsidRDefault="000B73AB" w:rsidP="00FA38C7">
            <w:pPr>
              <w:pStyle w:val="Tabletext1"/>
              <w:rPr>
                <w:highlight w:val="yellow"/>
              </w:rPr>
            </w:pPr>
            <w:r>
              <w:t xml:space="preserve">Ref </w:t>
            </w:r>
            <w:r w:rsidR="00F204F3">
              <w:fldChar w:fldCharType="begin"/>
            </w:r>
            <w:r w:rsidR="00EB6EA4">
              <w:instrText xml:space="preserve"> ADDIN EN.CITE &lt;EndNote&gt;&lt;Cite&gt;&lt;Author&gt;Kripke&lt;/Author&gt;&lt;Year&gt;2002&lt;/Year&gt;&lt;RecNum&gt;61&lt;/RecNum&gt;&lt;DisplayText&gt;(81)&lt;/DisplayText&gt;&lt;record&gt;&lt;rec-number&gt;61&lt;/rec-number&gt;&lt;foreign-keys&gt;&lt;key app="EN" db-id="9s5z5ped05vxdnede99vfsxhtzavzdzs2d5r" timestamp="1614142514"&gt;61&lt;/key&gt;&lt;/foreign-keys&gt;&lt;ref-type name="Journal Article"&gt;17&lt;/ref-type&gt;&lt;contributors&gt;&lt;authors&gt;&lt;author&gt;Kripke, Daniel F&lt;/author&gt;&lt;author&gt;Garfinkel, Lawrence&lt;/author&gt;&lt;author&gt;Wingard, Deborah L&lt;/author&gt;&lt;author&gt;Klauber, Melville R&lt;/author&gt;&lt;author&gt;Marler, Matthew R&lt;/author&gt;&lt;/authors&gt;&lt;/contributors&gt;&lt;titles&gt;&lt;title&gt;Mortality associated with sleep duration and insomnia&lt;/title&gt;&lt;secondary-title&gt;Archives of general psychiatry&lt;/secondary-title&gt;&lt;/titles&gt;&lt;periodical&gt;&lt;full-title&gt;Archives of general psychiatry&lt;/full-title&gt;&lt;/periodical&gt;&lt;pages&gt;131-136&lt;/pages&gt;&lt;volume&gt;59&lt;/volume&gt;&lt;number&gt;2&lt;/number&gt;&lt;dates&gt;&lt;year&gt;2002&lt;/year&gt;&lt;/dates&gt;&lt;isbn&gt;0003-990X&lt;/isbn&gt;&lt;urls&gt;&lt;/urls&gt;&lt;/record&gt;&lt;/Cite&gt;&lt;/EndNote&gt;</w:instrText>
            </w:r>
            <w:r w:rsidR="00F204F3">
              <w:fldChar w:fldCharType="separate"/>
            </w:r>
            <w:r w:rsidR="00EB6EA4">
              <w:rPr>
                <w:noProof/>
              </w:rPr>
              <w:t>(</w:t>
            </w:r>
            <w:hyperlink w:anchor="_ENREF_81" w:tooltip="Kripke, 2002 #61" w:history="1">
              <w:r w:rsidR="00EB6EA4">
                <w:rPr>
                  <w:noProof/>
                </w:rPr>
                <w:t>81</w:t>
              </w:r>
            </w:hyperlink>
            <w:r w:rsidR="00EB6EA4">
              <w:rPr>
                <w:noProof/>
              </w:rPr>
              <w:t>)</w:t>
            </w:r>
            <w:r w:rsidR="00F204F3">
              <w:fldChar w:fldCharType="end"/>
            </w:r>
          </w:p>
        </w:tc>
      </w:tr>
      <w:tr w:rsidR="00D83B35" w:rsidRPr="00F42B1D" w14:paraId="1806D3E3" w14:textId="77777777" w:rsidTr="00D85146">
        <w:trPr>
          <w:cantSplit/>
        </w:trPr>
        <w:tc>
          <w:tcPr>
            <w:tcW w:w="916" w:type="pct"/>
            <w:tcBorders>
              <w:bottom w:val="nil"/>
            </w:tcBorders>
            <w:shd w:val="clear" w:color="auto" w:fill="FFFFFF"/>
            <w:tcMar>
              <w:left w:w="80" w:type="dxa"/>
              <w:right w:w="80" w:type="dxa"/>
            </w:tcMar>
            <w:vAlign w:val="center"/>
          </w:tcPr>
          <w:p w14:paraId="70210597" w14:textId="77777777" w:rsidR="00D83B35" w:rsidRPr="00FA38C7" w:rsidRDefault="00D83B35" w:rsidP="00FA38C7">
            <w:pPr>
              <w:pStyle w:val="Tabletext1"/>
              <w:rPr>
                <w:b/>
                <w:bCs/>
              </w:rPr>
            </w:pPr>
            <w:r w:rsidRPr="00FA38C7">
              <w:rPr>
                <w:b/>
                <w:bCs/>
              </w:rPr>
              <w:t>Sedentary Time</w:t>
            </w:r>
          </w:p>
        </w:tc>
        <w:tc>
          <w:tcPr>
            <w:tcW w:w="895" w:type="pct"/>
            <w:shd w:val="clear" w:color="auto" w:fill="FFFFFF"/>
            <w:tcMar>
              <w:left w:w="80" w:type="dxa"/>
              <w:right w:w="80" w:type="dxa"/>
            </w:tcMar>
            <w:vAlign w:val="center"/>
          </w:tcPr>
          <w:p w14:paraId="3DE054E9" w14:textId="77777777" w:rsidR="00D83B35" w:rsidRPr="0063333D" w:rsidRDefault="00D83B35" w:rsidP="00FA38C7">
            <w:pPr>
              <w:pStyle w:val="Tabletext1"/>
            </w:pPr>
            <w:r w:rsidRPr="0063333D">
              <w:t>Total mins, unlimited</w:t>
            </w:r>
          </w:p>
        </w:tc>
        <w:tc>
          <w:tcPr>
            <w:tcW w:w="574" w:type="pct"/>
            <w:shd w:val="clear" w:color="auto" w:fill="FFFFFF"/>
            <w:tcMar>
              <w:left w:w="80" w:type="dxa"/>
              <w:right w:w="80" w:type="dxa"/>
            </w:tcMar>
            <w:vAlign w:val="center"/>
          </w:tcPr>
          <w:p w14:paraId="62264D94" w14:textId="77777777" w:rsidR="00D83B35" w:rsidRPr="00C100A6" w:rsidRDefault="00D83B35" w:rsidP="00FA38C7">
            <w:pPr>
              <w:pStyle w:val="Tabletext1"/>
            </w:pPr>
            <w:r>
              <w:t>-</w:t>
            </w:r>
            <w:proofErr w:type="spellStart"/>
            <w:r>
              <w:t>ve</w:t>
            </w:r>
            <w:proofErr w:type="spellEnd"/>
          </w:p>
        </w:tc>
        <w:tc>
          <w:tcPr>
            <w:tcW w:w="836" w:type="pct"/>
            <w:shd w:val="clear" w:color="auto" w:fill="FFFFFF"/>
            <w:vAlign w:val="center"/>
          </w:tcPr>
          <w:p w14:paraId="727B05EC" w14:textId="77777777" w:rsidR="00D83B35" w:rsidRPr="00452DC9" w:rsidRDefault="00D83B35" w:rsidP="00FA38C7">
            <w:pPr>
              <w:pStyle w:val="Tabletext1"/>
            </w:pPr>
            <w:r w:rsidRPr="00452DC9">
              <w:t>30 mins</w:t>
            </w:r>
          </w:p>
        </w:tc>
        <w:tc>
          <w:tcPr>
            <w:tcW w:w="1779" w:type="pct"/>
            <w:shd w:val="clear" w:color="auto" w:fill="FFFFFF"/>
          </w:tcPr>
          <w:p w14:paraId="57BA04F8" w14:textId="79CF1B7B" w:rsidR="00F204F3" w:rsidRDefault="00D83B35" w:rsidP="00FA38C7">
            <w:pPr>
              <w:pStyle w:val="Tabletext1"/>
            </w:pPr>
            <w:r>
              <w:t xml:space="preserve">10% increase in sedentary time increased </w:t>
            </w:r>
            <w:r w:rsidRPr="002E4B20">
              <w:t xml:space="preserve"> frailty risk by 55% </w:t>
            </w:r>
            <w:r w:rsidR="00F204F3" w:rsidRPr="00F204F3">
              <w:fldChar w:fldCharType="begin"/>
            </w:r>
            <w:r w:rsidR="00EB6EA4">
              <w:instrText xml:space="preserve"> ADDIN EN.CITE &lt;EndNote&gt;&lt;Cite&gt;&lt;Author&gt;Theou&lt;/Author&gt;&lt;Year&gt;2017&lt;/Year&gt;&lt;RecNum&gt;63&lt;/RecNum&gt;&lt;DisplayText&gt;(82, 83)&lt;/DisplayText&gt;&lt;record&gt;&lt;rec-number&gt;63&lt;/rec-number&gt;&lt;foreign-keys&gt;&lt;key app="EN" db-id="9s5z5ped05vxdnede99vfsxhtzavzdzs2d5r" timestamp="1614143002"&gt;63&lt;/key&gt;&lt;/foreign-keys&gt;&lt;ref-type name="Journal Article"&gt;17&lt;/ref-type&gt;&lt;contributors&gt;&lt;authors&gt;&lt;author&gt;Theou, Olga&lt;/author&gt;&lt;author&gt;Blodgett, Joanna M&lt;/author&gt;&lt;author&gt;Godin, Judith&lt;/author&gt;&lt;author&gt;Rockwood, Kenneth&lt;/author&gt;&lt;/authors&gt;&lt;/contributors&gt;&lt;titles&gt;&lt;title&gt;Association between sedentary time and mortality across levels of frailty&lt;/title&gt;&lt;secondary-title&gt;Cmaj&lt;/secondary-title&gt;&lt;/titles&gt;&lt;periodical&gt;&lt;full-title&gt;Cmaj&lt;/full-title&gt;&lt;/periodical&gt;&lt;pages&gt;E1056-E1064&lt;/pages&gt;&lt;volume&gt;189&lt;/volume&gt;&lt;number&gt;33&lt;/number&gt;&lt;dates&gt;&lt;year&gt;2017&lt;/year&gt;&lt;/dates&gt;&lt;isbn&gt;0820-3946&lt;/isbn&gt;&lt;urls&gt;&lt;/urls&gt;&lt;/record&gt;&lt;/Cite&gt;&lt;Cite&gt;&lt;Author&gt;Song&lt;/Author&gt;&lt;Year&gt;2015&lt;/Year&gt;&lt;RecNum&gt;62&lt;/RecNum&gt;&lt;record&gt;&lt;rec-number&gt;62&lt;/rec-number&gt;&lt;foreign-keys&gt;&lt;key app="EN" db-id="9s5z5ped05vxdnede99vfsxhtzavzdzs2d5r" timestamp="1614142680"&gt;62&lt;/key&gt;&lt;/foreign-keys&gt;&lt;ref-type name="Journal Article"&gt;17&lt;/ref-type&gt;&lt;contributors&gt;&lt;authors&gt;&lt;author&gt;Song, Jing&lt;/author&gt;&lt;author&gt;Lindquist, Lee A&lt;/author&gt;&lt;author&gt;Chang, Rowland W&lt;/author&gt;&lt;author&gt;Semanik, Pamela A&lt;/author&gt;&lt;author&gt;Ehrlich-Jones, Linda S&lt;/author&gt;&lt;author&gt;Lee, Jungwha&lt;/author&gt;&lt;author&gt;Sohn, Min-Woong&lt;/author&gt;&lt;author&gt;Dunlop, Dorothy D&lt;/author&gt;&lt;/authors&gt;&lt;/contributors&gt;&lt;titles&gt;&lt;title&gt;Sedentary behavior as a risk factor for physical frailty independent of moderate activity: results from the osteoarthritis initiative&lt;/title&gt;&lt;secondary-title&gt;American journal of public health&lt;/secondary-title&gt;&lt;/titles&gt;&lt;periodical&gt;&lt;full-title&gt;American journal of public health&lt;/full-title&gt;&lt;/periodical&gt;&lt;pages&gt;1439-1445&lt;/pages&gt;&lt;volume&gt;105&lt;/volume&gt;&lt;number&gt;7&lt;/number&gt;&lt;dates&gt;&lt;year&gt;2015&lt;/year&gt;&lt;/dates&gt;&lt;isbn&gt;1541-0048&lt;/isbn&gt;&lt;urls&gt;&lt;/urls&gt;&lt;/record&gt;&lt;/Cite&gt;&lt;/EndNote&gt;</w:instrText>
            </w:r>
            <w:r w:rsidR="00F204F3" w:rsidRPr="00F204F3">
              <w:fldChar w:fldCharType="separate"/>
            </w:r>
            <w:r w:rsidR="00EB6EA4">
              <w:rPr>
                <w:noProof/>
              </w:rPr>
              <w:t>(</w:t>
            </w:r>
            <w:hyperlink w:anchor="_ENREF_82" w:tooltip="Theou, 2017 #63" w:history="1">
              <w:r w:rsidR="00EB6EA4">
                <w:rPr>
                  <w:noProof/>
                </w:rPr>
                <w:t>82</w:t>
              </w:r>
            </w:hyperlink>
            <w:r w:rsidR="00EB6EA4">
              <w:rPr>
                <w:noProof/>
              </w:rPr>
              <w:t xml:space="preserve">, </w:t>
            </w:r>
            <w:hyperlink w:anchor="_ENREF_83" w:tooltip="Song, 2015 #62" w:history="1">
              <w:r w:rsidR="00EB6EA4">
                <w:rPr>
                  <w:noProof/>
                </w:rPr>
                <w:t>83</w:t>
              </w:r>
            </w:hyperlink>
            <w:r w:rsidR="00EB6EA4">
              <w:rPr>
                <w:noProof/>
              </w:rPr>
              <w:t>)</w:t>
            </w:r>
            <w:r w:rsidR="00F204F3" w:rsidRPr="00F204F3">
              <w:fldChar w:fldCharType="end"/>
            </w:r>
            <w:r w:rsidR="00F204F3">
              <w:t xml:space="preserve">; </w:t>
            </w:r>
          </w:p>
          <w:p w14:paraId="749F22CC" w14:textId="67DBADD8" w:rsidR="00D83B35" w:rsidRPr="00F204F3" w:rsidRDefault="00F204F3" w:rsidP="00FA38C7">
            <w:pPr>
              <w:pStyle w:val="Tabletext1"/>
              <w:rPr>
                <w:highlight w:val="yellow"/>
              </w:rPr>
            </w:pPr>
            <w:r w:rsidRPr="00F204F3">
              <w:t>1</w:t>
            </w:r>
            <w:r>
              <w:t xml:space="preserve"> </w:t>
            </w:r>
            <w:r w:rsidR="00D83B35" w:rsidRPr="00F204F3">
              <w:t>hour increase in sedentary time increases death by 19%</w:t>
            </w:r>
            <w:r w:rsidRPr="00F204F3">
              <w:t xml:space="preserve"> </w:t>
            </w:r>
            <w:r w:rsidRPr="00F204F3">
              <w:fldChar w:fldCharType="begin"/>
            </w:r>
            <w:r w:rsidR="00EB6EA4">
              <w:instrText xml:space="preserve"> ADDIN EN.CITE &lt;EndNote&gt;&lt;Cite&gt;&lt;Author&gt;Theou&lt;/Author&gt;&lt;Year&gt;2017&lt;/Year&gt;&lt;RecNum&gt;63&lt;/RecNum&gt;&lt;DisplayText&gt;(82)&lt;/DisplayText&gt;&lt;record&gt;&lt;rec-number&gt;63&lt;/rec-number&gt;&lt;foreign-keys&gt;&lt;key app="EN" db-id="9s5z5ped05vxdnede99vfsxhtzavzdzs2d5r" timestamp="1614143002"&gt;63&lt;/key&gt;&lt;/foreign-keys&gt;&lt;ref-type name="Journal Article"&gt;17&lt;/ref-type&gt;&lt;contributors&gt;&lt;authors&gt;&lt;author&gt;Theou, Olga&lt;/author&gt;&lt;author&gt;Blodgett, Joanna M&lt;/author&gt;&lt;author&gt;Godin, Judith&lt;/author&gt;&lt;author&gt;Rockwood, Kenneth&lt;/author&gt;&lt;/authors&gt;&lt;/contributors&gt;&lt;titles&gt;&lt;title&gt;Association between sedentary time and mortality across levels of frailty&lt;/title&gt;&lt;secondary-title&gt;Cmaj&lt;/secondary-title&gt;&lt;/titles&gt;&lt;periodical&gt;&lt;full-title&gt;Cmaj&lt;/full-title&gt;&lt;/periodical&gt;&lt;pages&gt;E1056-E1064&lt;/pages&gt;&lt;volume&gt;189&lt;/volume&gt;&lt;number&gt;33&lt;/number&gt;&lt;dates&gt;&lt;year&gt;2017&lt;/year&gt;&lt;/dates&gt;&lt;isbn&gt;0820-3946&lt;/isbn&gt;&lt;urls&gt;&lt;/urls&gt;&lt;/record&gt;&lt;/Cite&gt;&lt;/EndNote&gt;</w:instrText>
            </w:r>
            <w:r w:rsidRPr="00F204F3">
              <w:fldChar w:fldCharType="separate"/>
            </w:r>
            <w:r w:rsidR="00EB6EA4">
              <w:rPr>
                <w:noProof/>
              </w:rPr>
              <w:t>(</w:t>
            </w:r>
            <w:hyperlink w:anchor="_ENREF_82" w:tooltip="Theou, 2017 #63" w:history="1">
              <w:r w:rsidR="00EB6EA4">
                <w:rPr>
                  <w:noProof/>
                </w:rPr>
                <w:t>82</w:t>
              </w:r>
            </w:hyperlink>
            <w:r w:rsidR="00EB6EA4">
              <w:rPr>
                <w:noProof/>
              </w:rPr>
              <w:t>)</w:t>
            </w:r>
            <w:r w:rsidRPr="00F204F3">
              <w:fldChar w:fldCharType="end"/>
            </w:r>
            <w:r w:rsidRPr="00F204F3">
              <w:t>;</w:t>
            </w:r>
            <w:r w:rsidR="00D83B35" w:rsidRPr="00F204F3">
              <w:t xml:space="preserve"> </w:t>
            </w:r>
            <w:r w:rsidRPr="00F204F3">
              <w:t xml:space="preserve"> 30</w:t>
            </w:r>
            <w:r>
              <w:t xml:space="preserve"> </w:t>
            </w:r>
            <w:r w:rsidR="00D83B35" w:rsidRPr="00F204F3">
              <w:t>minutes increase in sedentary time increases rate of mobility disability by 10%.</w:t>
            </w:r>
            <w:r w:rsidRPr="00F204F3">
              <w:fldChar w:fldCharType="begin"/>
            </w:r>
            <w:r w:rsidR="00EB6EA4">
              <w:instrText xml:space="preserve"> ADDIN EN.CITE &lt;EndNote&gt;&lt;Cite&gt;&lt;Author&gt;Mankowski&lt;/Author&gt;&lt;Year&gt;2017&lt;/Year&gt;&lt;RecNum&gt;64&lt;/RecNum&gt;&lt;DisplayText&gt;(84)&lt;/DisplayText&gt;&lt;record&gt;&lt;rec-number&gt;64&lt;/rec-number&gt;&lt;foreign-keys&gt;&lt;key app="EN" db-id="9s5z5ped05vxdnede99vfsxhtzavzdzs2d5r" timestamp="1614143091"&gt;64&lt;/key&gt;&lt;/foreign-keys&gt;&lt;ref-type name="Journal Article"&gt;17&lt;/ref-type&gt;&lt;contributors&gt;&lt;authors&gt;&lt;author&gt;Mankowski, Robert T&lt;/author&gt;&lt;author&gt;Anton, Stephen D&lt;/author&gt;&lt;author&gt;Axtell, Robert&lt;/author&gt;&lt;author&gt;Chen, Shyh</w:instrText>
            </w:r>
            <w:r w:rsidR="00EB6EA4">
              <w:rPr>
                <w:rFonts w:ascii="Cambria Math" w:hAnsi="Cambria Math" w:cs="Cambria Math"/>
              </w:rPr>
              <w:instrText>‐</w:instrText>
            </w:r>
            <w:r w:rsidR="00EB6EA4">
              <w:instrText>Huei&lt;/author&gt;&lt;author&gt;Fielding, Roger A&lt;/author&gt;&lt;author&gt;Glynn, Nancy W&lt;/author&gt;&lt;author&gt;Hsu, Fang</w:instrText>
            </w:r>
            <w:r w:rsidR="00EB6EA4">
              <w:rPr>
                <w:rFonts w:ascii="Cambria Math" w:hAnsi="Cambria Math" w:cs="Cambria Math"/>
              </w:rPr>
              <w:instrText>‐</w:instrText>
            </w:r>
            <w:r w:rsidR="00EB6EA4">
              <w:instrText>Chi&lt;/author&gt;&lt;author&gt;King, Abby C&lt;/author&gt;&lt;author&gt;Layne, Andrew S&lt;/author&gt;&lt;author&gt;Leeuwenburgh, Christiaan&lt;/author&gt;&lt;/authors&gt;&lt;/contributors&gt;&lt;titles&gt;&lt;title&gt;Device</w:instrText>
            </w:r>
            <w:r w:rsidR="00EB6EA4">
              <w:rPr>
                <w:rFonts w:ascii="Cambria Math" w:hAnsi="Cambria Math" w:cs="Cambria Math"/>
              </w:rPr>
              <w:instrText>‐</w:instrText>
            </w:r>
            <w:r w:rsidR="00EB6EA4">
              <w:instrText>measured physical activity as a predictor of disability in mobility</w:instrText>
            </w:r>
            <w:r w:rsidR="00EB6EA4">
              <w:rPr>
                <w:rFonts w:ascii="Cambria Math" w:hAnsi="Cambria Math" w:cs="Cambria Math"/>
              </w:rPr>
              <w:instrText>‐</w:instrText>
            </w:r>
            <w:r w:rsidR="00EB6EA4">
              <w:instrText>limited older adults&lt;/title&gt;&lt;secondary-title&gt;Journal of the American Geriatrics Society&lt;/secondary-title&gt;&lt;/titles&gt;&lt;periodical&gt;&lt;full-title&gt;Journal of the American Geriatrics Society&lt;/full-title&gt;&lt;/periodical&gt;&lt;pages&gt;2251-2256&lt;/pages&gt;&lt;volume&gt;65&lt;/volume&gt;&lt;number&gt;10&lt;/number&gt;&lt;dates&gt;&lt;year&gt;2017&lt;/year&gt;&lt;/dates&gt;&lt;isbn&gt;0002-8614&lt;/isbn&gt;&lt;urls&gt;&lt;/urls&gt;&lt;/record&gt;&lt;/Cite&gt;&lt;/EndNote&gt;</w:instrText>
            </w:r>
            <w:r w:rsidRPr="00F204F3">
              <w:fldChar w:fldCharType="separate"/>
            </w:r>
            <w:r w:rsidR="00EB6EA4">
              <w:rPr>
                <w:noProof/>
              </w:rPr>
              <w:t>(</w:t>
            </w:r>
            <w:hyperlink w:anchor="_ENREF_84" w:tooltip="Mankowski, 2017 #64" w:history="1">
              <w:r w:rsidR="00EB6EA4">
                <w:rPr>
                  <w:noProof/>
                </w:rPr>
                <w:t>84</w:t>
              </w:r>
            </w:hyperlink>
            <w:r w:rsidR="00EB6EA4">
              <w:rPr>
                <w:noProof/>
              </w:rPr>
              <w:t>)</w:t>
            </w:r>
            <w:r w:rsidRPr="00F204F3">
              <w:fldChar w:fldCharType="end"/>
            </w:r>
          </w:p>
        </w:tc>
      </w:tr>
      <w:tr w:rsidR="00D83B35" w:rsidRPr="00F42B1D" w14:paraId="2F199F20" w14:textId="77777777" w:rsidTr="00D85146">
        <w:trPr>
          <w:cantSplit/>
        </w:trPr>
        <w:tc>
          <w:tcPr>
            <w:tcW w:w="916" w:type="pct"/>
            <w:tcBorders>
              <w:bottom w:val="nil"/>
            </w:tcBorders>
            <w:shd w:val="clear" w:color="auto" w:fill="FFFFFF"/>
            <w:tcMar>
              <w:left w:w="80" w:type="dxa"/>
              <w:right w:w="80" w:type="dxa"/>
            </w:tcMar>
            <w:vAlign w:val="center"/>
          </w:tcPr>
          <w:p w14:paraId="58FB74F8" w14:textId="77777777" w:rsidR="00D83B35" w:rsidRPr="00FA38C7" w:rsidRDefault="00D83B35" w:rsidP="00FA38C7">
            <w:pPr>
              <w:pStyle w:val="Tabletext1"/>
              <w:rPr>
                <w:b/>
                <w:bCs/>
              </w:rPr>
            </w:pPr>
            <w:r w:rsidRPr="00FA38C7">
              <w:rPr>
                <w:b/>
                <w:bCs/>
              </w:rPr>
              <w:t>Light Activity</w:t>
            </w:r>
          </w:p>
        </w:tc>
        <w:tc>
          <w:tcPr>
            <w:tcW w:w="895" w:type="pct"/>
            <w:shd w:val="clear" w:color="auto" w:fill="FFFFFF"/>
            <w:tcMar>
              <w:left w:w="80" w:type="dxa"/>
              <w:right w:w="80" w:type="dxa"/>
            </w:tcMar>
          </w:tcPr>
          <w:p w14:paraId="41C32F33" w14:textId="77777777" w:rsidR="00D83B35" w:rsidRPr="0063333D" w:rsidRDefault="00D83B35" w:rsidP="00FA38C7">
            <w:pPr>
              <w:pStyle w:val="Tabletext1"/>
            </w:pPr>
            <w:r w:rsidRPr="0063333D">
              <w:t>Total mins, unlimited</w:t>
            </w:r>
          </w:p>
        </w:tc>
        <w:tc>
          <w:tcPr>
            <w:tcW w:w="574" w:type="pct"/>
            <w:shd w:val="clear" w:color="auto" w:fill="FFFFFF"/>
            <w:tcMar>
              <w:left w:w="80" w:type="dxa"/>
              <w:right w:w="80" w:type="dxa"/>
            </w:tcMar>
          </w:tcPr>
          <w:p w14:paraId="77F6A0F3" w14:textId="77777777" w:rsidR="00D83B35" w:rsidRPr="002E4B20" w:rsidRDefault="00D83B35" w:rsidP="00FA38C7">
            <w:pPr>
              <w:pStyle w:val="Tabletext1"/>
            </w:pPr>
            <w:r w:rsidRPr="00A76B4C">
              <w:t>+</w:t>
            </w:r>
            <w:proofErr w:type="spellStart"/>
            <w:r w:rsidRPr="00A76B4C">
              <w:t>ve</w:t>
            </w:r>
            <w:proofErr w:type="spellEnd"/>
          </w:p>
        </w:tc>
        <w:tc>
          <w:tcPr>
            <w:tcW w:w="836" w:type="pct"/>
            <w:shd w:val="clear" w:color="auto" w:fill="FFFFFF"/>
            <w:vAlign w:val="center"/>
          </w:tcPr>
          <w:p w14:paraId="4B8979EC" w14:textId="77777777" w:rsidR="00D83B35" w:rsidRPr="00452DC9" w:rsidRDefault="00D83B35" w:rsidP="00FA38C7">
            <w:pPr>
              <w:pStyle w:val="Tabletext1"/>
            </w:pPr>
            <w:r w:rsidRPr="00452DC9">
              <w:t>30 mins</w:t>
            </w:r>
          </w:p>
        </w:tc>
        <w:tc>
          <w:tcPr>
            <w:tcW w:w="1779" w:type="pct"/>
            <w:shd w:val="clear" w:color="auto" w:fill="FFFFFF"/>
          </w:tcPr>
          <w:p w14:paraId="74171F15" w14:textId="020FD1AA" w:rsidR="00D83B35" w:rsidRPr="002E4B20" w:rsidRDefault="00D83B35" w:rsidP="00FA38C7">
            <w:pPr>
              <w:pStyle w:val="Tabletext1"/>
            </w:pPr>
            <w:r>
              <w:t>500 steps gives</w:t>
            </w:r>
            <w:r w:rsidRPr="002E4B20">
              <w:t xml:space="preserve">15% </w:t>
            </w:r>
            <w:r>
              <w:t>decrease</w:t>
            </w:r>
            <w:r w:rsidRPr="002E4B20">
              <w:t xml:space="preserve"> in major mobility disability</w:t>
            </w:r>
            <w:r>
              <w:t>.</w:t>
            </w:r>
            <w:r w:rsidR="00F10799">
              <w:t xml:space="preserve"> </w:t>
            </w:r>
            <w:r w:rsidR="00F10799" w:rsidRPr="00F10799">
              <w:t>(67)</w:t>
            </w:r>
          </w:p>
          <w:p w14:paraId="36106C5B" w14:textId="1064A4BC" w:rsidR="00D83B35" w:rsidRPr="00A00A82" w:rsidRDefault="00D83B35" w:rsidP="00FA38C7">
            <w:pPr>
              <w:pStyle w:val="Tabletext1"/>
              <w:rPr>
                <w:rFonts w:ascii="Arial Narrow" w:hAnsi="Arial Narrow"/>
                <w:highlight w:val="yellow"/>
              </w:rPr>
            </w:pPr>
          </w:p>
        </w:tc>
      </w:tr>
      <w:tr w:rsidR="00D83B35" w:rsidRPr="00F42B1D" w14:paraId="1F2CC193" w14:textId="77777777" w:rsidTr="00D85146">
        <w:trPr>
          <w:cantSplit/>
        </w:trPr>
        <w:tc>
          <w:tcPr>
            <w:tcW w:w="916" w:type="pct"/>
            <w:tcBorders>
              <w:bottom w:val="nil"/>
            </w:tcBorders>
            <w:shd w:val="clear" w:color="auto" w:fill="FFFFFF"/>
            <w:tcMar>
              <w:left w:w="80" w:type="dxa"/>
              <w:right w:w="80" w:type="dxa"/>
            </w:tcMar>
            <w:vAlign w:val="center"/>
          </w:tcPr>
          <w:p w14:paraId="04FA4DB8" w14:textId="77777777" w:rsidR="00D83B35" w:rsidRPr="00FA38C7" w:rsidRDefault="00D83B35" w:rsidP="00FA38C7">
            <w:pPr>
              <w:pStyle w:val="Tabletext1"/>
              <w:rPr>
                <w:b/>
                <w:bCs/>
              </w:rPr>
            </w:pPr>
            <w:r w:rsidRPr="00FA38C7">
              <w:rPr>
                <w:b/>
                <w:bCs/>
              </w:rPr>
              <w:t>Moderate Activity</w:t>
            </w:r>
          </w:p>
        </w:tc>
        <w:tc>
          <w:tcPr>
            <w:tcW w:w="895" w:type="pct"/>
            <w:shd w:val="clear" w:color="auto" w:fill="FFFFFF"/>
            <w:tcMar>
              <w:left w:w="80" w:type="dxa"/>
              <w:right w:w="80" w:type="dxa"/>
            </w:tcMar>
          </w:tcPr>
          <w:p w14:paraId="11843D13" w14:textId="77777777" w:rsidR="00D83B35" w:rsidRPr="0063333D" w:rsidRDefault="00D83B35" w:rsidP="00FA38C7">
            <w:pPr>
              <w:pStyle w:val="Tabletext1"/>
            </w:pPr>
            <w:r w:rsidRPr="0063333D">
              <w:t>Total mins, unlimited</w:t>
            </w:r>
          </w:p>
        </w:tc>
        <w:tc>
          <w:tcPr>
            <w:tcW w:w="574" w:type="pct"/>
            <w:shd w:val="clear" w:color="auto" w:fill="FFFFFF"/>
            <w:tcMar>
              <w:left w:w="80" w:type="dxa"/>
              <w:right w:w="80" w:type="dxa"/>
            </w:tcMar>
          </w:tcPr>
          <w:p w14:paraId="1927C258" w14:textId="77777777" w:rsidR="00D83B35" w:rsidRPr="002E4B20" w:rsidRDefault="00D83B35" w:rsidP="00FA38C7">
            <w:pPr>
              <w:pStyle w:val="Tabletext1"/>
            </w:pPr>
            <w:r w:rsidRPr="00A76B4C">
              <w:t>+</w:t>
            </w:r>
            <w:proofErr w:type="spellStart"/>
            <w:r w:rsidRPr="00A76B4C">
              <w:t>ve</w:t>
            </w:r>
            <w:proofErr w:type="spellEnd"/>
          </w:p>
        </w:tc>
        <w:tc>
          <w:tcPr>
            <w:tcW w:w="836" w:type="pct"/>
            <w:shd w:val="clear" w:color="auto" w:fill="FFFFFF"/>
          </w:tcPr>
          <w:p w14:paraId="2557658A" w14:textId="77777777" w:rsidR="00D83B35" w:rsidRPr="00452DC9" w:rsidRDefault="00D83B35" w:rsidP="00FA38C7">
            <w:pPr>
              <w:pStyle w:val="Tabletext1"/>
            </w:pPr>
            <w:r w:rsidRPr="00452DC9">
              <w:t>10 mins</w:t>
            </w:r>
          </w:p>
        </w:tc>
        <w:tc>
          <w:tcPr>
            <w:tcW w:w="1779" w:type="pct"/>
            <w:shd w:val="clear" w:color="auto" w:fill="FFFFFF"/>
          </w:tcPr>
          <w:p w14:paraId="24DF221F" w14:textId="79B221CD" w:rsidR="00D83B35" w:rsidRPr="00452DC9" w:rsidRDefault="00D83B35" w:rsidP="00FA38C7">
            <w:pPr>
              <w:pStyle w:val="Tabletext1"/>
            </w:pPr>
            <w:r w:rsidRPr="00452DC9">
              <w:t>10 min increase leads to 10% decrease in mortality risk</w:t>
            </w:r>
            <w:r>
              <w:t>.</w:t>
            </w:r>
            <w:r w:rsidR="00F10799">
              <w:t xml:space="preserve"> </w:t>
            </w:r>
            <w:r w:rsidR="00F10799">
              <w:fldChar w:fldCharType="begin"/>
            </w:r>
            <w:r w:rsidR="00EB6EA4">
              <w:instrText xml:space="preserve"> ADDIN EN.CITE &lt;EndNote&gt;&lt;Cite&gt;&lt;Author&gt;Jefferis&lt;/Author&gt;&lt;Year&gt;2019&lt;/Year&gt;&lt;RecNum&gt;66&lt;/RecNum&gt;&lt;DisplayText&gt;(85)&lt;/DisplayText&gt;&lt;record&gt;&lt;rec-number&gt;66&lt;/rec-number&gt;&lt;foreign-keys&gt;&lt;key app="EN" db-id="9s5z5ped05vxdnede99vfsxhtzavzdzs2d5r" timestamp="1614143399"&gt;66&lt;/key&gt;&lt;/foreign-keys&gt;&lt;ref-type name="Journal Article"&gt;17&lt;/ref-type&gt;&lt;contributors&gt;&lt;authors&gt;&lt;author&gt;Jefferis, Barbara J&lt;/author&gt;&lt;author&gt;Parsons, Tessa J&lt;/author&gt;&lt;author&gt;Sartini, Claudio&lt;/author&gt;&lt;author&gt;Ash, Sarah&lt;/author&gt;&lt;author&gt;Lennon, Lucy T&lt;/author&gt;&lt;author&gt;Papacosta, Olia&lt;/author&gt;&lt;author&gt;Morris, Richard W&lt;/author&gt;&lt;author&gt;Wannamethee, S Goya&lt;/author&gt;&lt;author&gt;Lee, I-Min&lt;/author&gt;&lt;author&gt;Whincup, Peter H&lt;/author&gt;&lt;/authors&gt;&lt;/contributors&gt;&lt;titles&gt;&lt;title&gt;Objectively measured physical activity, sedentary behaviour and all-cause mortality in older men: does volume of activity matter more than pattern of accumulation?&lt;/title&gt;&lt;secondary-title&gt;British Journal of Sports Medicine&lt;/secondary-title&gt;&lt;/titles&gt;&lt;periodical&gt;&lt;full-title&gt;British Journal of Sports Medicine&lt;/full-title&gt;&lt;/periodical&gt;&lt;pages&gt;1013-1020&lt;/pages&gt;&lt;volume&gt;53&lt;/volume&gt;&lt;number&gt;16&lt;/number&gt;&lt;dates&gt;&lt;year&gt;2019&lt;/year&gt;&lt;/dates&gt;&lt;isbn&gt;0306-3674&lt;/isbn&gt;&lt;urls&gt;&lt;/urls&gt;&lt;/record&gt;&lt;/Cite&gt;&lt;/EndNote&gt;</w:instrText>
            </w:r>
            <w:r w:rsidR="00F10799">
              <w:fldChar w:fldCharType="separate"/>
            </w:r>
            <w:r w:rsidR="00EB6EA4">
              <w:rPr>
                <w:noProof/>
              </w:rPr>
              <w:t>(</w:t>
            </w:r>
            <w:hyperlink w:anchor="_ENREF_85" w:tooltip="Jefferis, 2019 #66" w:history="1">
              <w:r w:rsidR="00EB6EA4">
                <w:rPr>
                  <w:noProof/>
                </w:rPr>
                <w:t>85</w:t>
              </w:r>
            </w:hyperlink>
            <w:r w:rsidR="00EB6EA4">
              <w:rPr>
                <w:noProof/>
              </w:rPr>
              <w:t>)</w:t>
            </w:r>
            <w:r w:rsidR="00F10799">
              <w:fldChar w:fldCharType="end"/>
            </w:r>
          </w:p>
        </w:tc>
      </w:tr>
      <w:tr w:rsidR="00D83B35" w:rsidRPr="00F42B1D" w14:paraId="32A7AB49" w14:textId="77777777" w:rsidTr="00D85146">
        <w:trPr>
          <w:cantSplit/>
        </w:trPr>
        <w:tc>
          <w:tcPr>
            <w:tcW w:w="916" w:type="pct"/>
            <w:tcBorders>
              <w:bottom w:val="nil"/>
            </w:tcBorders>
            <w:shd w:val="clear" w:color="auto" w:fill="FFFFFF"/>
            <w:tcMar>
              <w:left w:w="80" w:type="dxa"/>
              <w:right w:w="80" w:type="dxa"/>
            </w:tcMar>
            <w:vAlign w:val="center"/>
          </w:tcPr>
          <w:p w14:paraId="130AF4BB" w14:textId="77777777" w:rsidR="00D83B35" w:rsidRPr="00FA38C7" w:rsidRDefault="00D83B35" w:rsidP="00FA38C7">
            <w:pPr>
              <w:pStyle w:val="Tabletext1"/>
              <w:rPr>
                <w:b/>
                <w:bCs/>
              </w:rPr>
            </w:pPr>
            <w:r w:rsidRPr="00FA38C7">
              <w:rPr>
                <w:b/>
                <w:bCs/>
              </w:rPr>
              <w:t>Moderate Vigorous Physical Activity</w:t>
            </w:r>
          </w:p>
        </w:tc>
        <w:tc>
          <w:tcPr>
            <w:tcW w:w="895" w:type="pct"/>
            <w:shd w:val="clear" w:color="auto" w:fill="FFFFFF"/>
            <w:tcMar>
              <w:left w:w="80" w:type="dxa"/>
              <w:right w:w="80" w:type="dxa"/>
            </w:tcMar>
          </w:tcPr>
          <w:p w14:paraId="265B529F" w14:textId="77777777" w:rsidR="00D83B35" w:rsidRPr="0063333D" w:rsidRDefault="00D83B35" w:rsidP="00FA38C7">
            <w:pPr>
              <w:pStyle w:val="Tabletext1"/>
            </w:pPr>
            <w:r w:rsidRPr="0063333D">
              <w:t>Total mins, unlimited</w:t>
            </w:r>
          </w:p>
        </w:tc>
        <w:tc>
          <w:tcPr>
            <w:tcW w:w="574" w:type="pct"/>
            <w:shd w:val="clear" w:color="auto" w:fill="FFFFFF"/>
            <w:tcMar>
              <w:left w:w="80" w:type="dxa"/>
              <w:right w:w="80" w:type="dxa"/>
            </w:tcMar>
          </w:tcPr>
          <w:p w14:paraId="187D6971" w14:textId="77777777" w:rsidR="00D83B35" w:rsidRPr="002E4B20" w:rsidRDefault="00D83B35" w:rsidP="00FA38C7">
            <w:pPr>
              <w:pStyle w:val="Tabletext1"/>
            </w:pPr>
            <w:r w:rsidRPr="00A76B4C">
              <w:t>+</w:t>
            </w:r>
            <w:proofErr w:type="spellStart"/>
            <w:r w:rsidRPr="00A76B4C">
              <w:t>ve</w:t>
            </w:r>
            <w:proofErr w:type="spellEnd"/>
          </w:p>
        </w:tc>
        <w:tc>
          <w:tcPr>
            <w:tcW w:w="836" w:type="pct"/>
            <w:shd w:val="clear" w:color="auto" w:fill="FFFFFF"/>
          </w:tcPr>
          <w:p w14:paraId="1E42D910" w14:textId="77777777" w:rsidR="00D83B35" w:rsidRPr="00452DC9" w:rsidRDefault="00D83B35" w:rsidP="00FA38C7">
            <w:pPr>
              <w:pStyle w:val="Tabletext1"/>
            </w:pPr>
            <w:r w:rsidRPr="00452DC9">
              <w:t>10 mins</w:t>
            </w:r>
          </w:p>
        </w:tc>
        <w:tc>
          <w:tcPr>
            <w:tcW w:w="1779" w:type="pct"/>
            <w:shd w:val="clear" w:color="auto" w:fill="FFFFFF"/>
          </w:tcPr>
          <w:p w14:paraId="058DF975" w14:textId="19A8FAA5" w:rsidR="00D83B35" w:rsidRPr="00452DC9" w:rsidRDefault="00D83B35" w:rsidP="00FA38C7">
            <w:pPr>
              <w:pStyle w:val="Tabletext1"/>
            </w:pPr>
            <w:r w:rsidRPr="00452DC9">
              <w:t>10 min increase leads to 10% decrease in mortality risk</w:t>
            </w:r>
            <w:r>
              <w:t>.</w:t>
            </w:r>
            <w:r w:rsidR="00F10799">
              <w:fldChar w:fldCharType="begin"/>
            </w:r>
            <w:r w:rsidR="00EB6EA4">
              <w:instrText xml:space="preserve"> ADDIN EN.CITE &lt;EndNote&gt;&lt;Cite&gt;&lt;Author&gt;Jefferis&lt;/Author&gt;&lt;Year&gt;2019&lt;/Year&gt;&lt;RecNum&gt;66&lt;/RecNum&gt;&lt;DisplayText&gt;(85)&lt;/DisplayText&gt;&lt;record&gt;&lt;rec-number&gt;66&lt;/rec-number&gt;&lt;foreign-keys&gt;&lt;key app="EN" db-id="9s5z5ped05vxdnede99vfsxhtzavzdzs2d5r" timestamp="1614143399"&gt;66&lt;/key&gt;&lt;/foreign-keys&gt;&lt;ref-type name="Journal Article"&gt;17&lt;/ref-type&gt;&lt;contributors&gt;&lt;authors&gt;&lt;author&gt;Jefferis, Barbara J&lt;/author&gt;&lt;author&gt;Parsons, Tessa J&lt;/author&gt;&lt;author&gt;Sartini, Claudio&lt;/author&gt;&lt;author&gt;Ash, Sarah&lt;/author&gt;&lt;author&gt;Lennon, Lucy T&lt;/author&gt;&lt;author&gt;Papacosta, Olia&lt;/author&gt;&lt;author&gt;Morris, Richard W&lt;/author&gt;&lt;author&gt;Wannamethee, S Goya&lt;/author&gt;&lt;author&gt;Lee, I-Min&lt;/author&gt;&lt;author&gt;Whincup, Peter H&lt;/author&gt;&lt;/authors&gt;&lt;/contributors&gt;&lt;titles&gt;&lt;title&gt;Objectively measured physical activity, sedentary behaviour and all-cause mortality in older men: does volume of activity matter more than pattern of accumulation?&lt;/title&gt;&lt;secondary-title&gt;British Journal of Sports Medicine&lt;/secondary-title&gt;&lt;/titles&gt;&lt;periodical&gt;&lt;full-title&gt;British Journal of Sports Medicine&lt;/full-title&gt;&lt;/periodical&gt;&lt;pages&gt;1013-1020&lt;/pages&gt;&lt;volume&gt;53&lt;/volume&gt;&lt;number&gt;16&lt;/number&gt;&lt;dates&gt;&lt;year&gt;2019&lt;/year&gt;&lt;/dates&gt;&lt;isbn&gt;0306-3674&lt;/isbn&gt;&lt;urls&gt;&lt;/urls&gt;&lt;/record&gt;&lt;/Cite&gt;&lt;/EndNote&gt;</w:instrText>
            </w:r>
            <w:r w:rsidR="00F10799">
              <w:fldChar w:fldCharType="separate"/>
            </w:r>
            <w:r w:rsidR="00EB6EA4">
              <w:rPr>
                <w:noProof/>
              </w:rPr>
              <w:t>(</w:t>
            </w:r>
            <w:hyperlink w:anchor="_ENREF_85" w:tooltip="Jefferis, 2019 #66" w:history="1">
              <w:r w:rsidR="00EB6EA4">
                <w:rPr>
                  <w:noProof/>
                </w:rPr>
                <w:t>85</w:t>
              </w:r>
            </w:hyperlink>
            <w:r w:rsidR="00EB6EA4">
              <w:rPr>
                <w:noProof/>
              </w:rPr>
              <w:t>)</w:t>
            </w:r>
            <w:r w:rsidR="00F10799">
              <w:fldChar w:fldCharType="end"/>
            </w:r>
          </w:p>
        </w:tc>
      </w:tr>
      <w:tr w:rsidR="00D83B35" w:rsidRPr="00F42B1D" w14:paraId="4A4014E4" w14:textId="77777777" w:rsidTr="00D85146">
        <w:trPr>
          <w:cantSplit/>
        </w:trPr>
        <w:tc>
          <w:tcPr>
            <w:tcW w:w="916" w:type="pct"/>
            <w:tcBorders>
              <w:bottom w:val="single" w:sz="4" w:space="0" w:color="auto"/>
            </w:tcBorders>
            <w:shd w:val="clear" w:color="auto" w:fill="FFFFFF"/>
            <w:tcMar>
              <w:left w:w="80" w:type="dxa"/>
              <w:right w:w="80" w:type="dxa"/>
            </w:tcMar>
            <w:vAlign w:val="center"/>
          </w:tcPr>
          <w:p w14:paraId="6562E8AF" w14:textId="77777777" w:rsidR="00D83B35" w:rsidRPr="00FA38C7" w:rsidRDefault="00D83B35" w:rsidP="00FA38C7">
            <w:pPr>
              <w:pStyle w:val="Tabletext1"/>
              <w:rPr>
                <w:b/>
                <w:bCs/>
              </w:rPr>
            </w:pPr>
            <w:r w:rsidRPr="00FA38C7">
              <w:rPr>
                <w:b/>
                <w:bCs/>
              </w:rPr>
              <w:t>MVPA bout length</w:t>
            </w:r>
          </w:p>
        </w:tc>
        <w:tc>
          <w:tcPr>
            <w:tcW w:w="895" w:type="pct"/>
            <w:shd w:val="clear" w:color="auto" w:fill="FFFFFF"/>
            <w:tcMar>
              <w:left w:w="80" w:type="dxa"/>
              <w:right w:w="80" w:type="dxa"/>
            </w:tcMar>
            <w:vAlign w:val="center"/>
          </w:tcPr>
          <w:p w14:paraId="1E856143" w14:textId="77777777" w:rsidR="00D83B35" w:rsidRPr="00C100A6" w:rsidRDefault="00D83B35" w:rsidP="00FA38C7">
            <w:pPr>
              <w:pStyle w:val="Tabletext1"/>
            </w:pPr>
            <w:r w:rsidRPr="0063333D">
              <w:t xml:space="preserve">Total </w:t>
            </w:r>
            <w:r>
              <w:t>mins</w:t>
            </w:r>
            <w:r w:rsidRPr="0063333D">
              <w:t>, unlimited</w:t>
            </w:r>
          </w:p>
        </w:tc>
        <w:tc>
          <w:tcPr>
            <w:tcW w:w="574" w:type="pct"/>
            <w:shd w:val="clear" w:color="auto" w:fill="FFFFFF"/>
            <w:tcMar>
              <w:left w:w="80" w:type="dxa"/>
              <w:right w:w="80" w:type="dxa"/>
            </w:tcMar>
          </w:tcPr>
          <w:p w14:paraId="7DF0F917" w14:textId="77777777" w:rsidR="00D83B35" w:rsidRPr="002E4B20" w:rsidRDefault="00D83B35" w:rsidP="00FA38C7">
            <w:pPr>
              <w:pStyle w:val="Tabletext1"/>
            </w:pPr>
            <w:r w:rsidRPr="00A76B4C">
              <w:t>+</w:t>
            </w:r>
            <w:proofErr w:type="spellStart"/>
            <w:r w:rsidRPr="00A76B4C">
              <w:t>ve</w:t>
            </w:r>
            <w:proofErr w:type="spellEnd"/>
          </w:p>
        </w:tc>
        <w:tc>
          <w:tcPr>
            <w:tcW w:w="836" w:type="pct"/>
            <w:shd w:val="clear" w:color="auto" w:fill="FFFFFF"/>
          </w:tcPr>
          <w:p w14:paraId="2090D893" w14:textId="77777777" w:rsidR="00D83B35" w:rsidRPr="00452DC9" w:rsidRDefault="00D83B35" w:rsidP="00FA38C7">
            <w:pPr>
              <w:pStyle w:val="Tabletext1"/>
            </w:pPr>
            <w:r w:rsidRPr="00452DC9">
              <w:t>No minimum</w:t>
            </w:r>
          </w:p>
        </w:tc>
        <w:tc>
          <w:tcPr>
            <w:tcW w:w="1779" w:type="pct"/>
            <w:shd w:val="clear" w:color="auto" w:fill="FFFFFF"/>
          </w:tcPr>
          <w:p w14:paraId="6FD1448F" w14:textId="148E5634" w:rsidR="00D83B35" w:rsidRPr="00452DC9" w:rsidRDefault="00D83B35" w:rsidP="00FA38C7">
            <w:pPr>
              <w:pStyle w:val="Tabletext1"/>
            </w:pPr>
            <w:r w:rsidRPr="00452DC9">
              <w:t xml:space="preserve">Any bouts of activity are </w:t>
            </w:r>
            <w:r w:rsidR="00F10799" w:rsidRPr="00452DC9">
              <w:t>accumulat</w:t>
            </w:r>
            <w:r w:rsidR="00F10799">
              <w:t>ively</w:t>
            </w:r>
            <w:r w:rsidRPr="00452DC9">
              <w:t xml:space="preserve"> beneficial</w:t>
            </w:r>
            <w:r w:rsidR="00F10799">
              <w:t xml:space="preserve">. </w:t>
            </w:r>
            <w:r w:rsidR="00F10799">
              <w:fldChar w:fldCharType="begin"/>
            </w:r>
            <w:r w:rsidR="00EB6EA4">
              <w:instrText xml:space="preserve"> ADDIN EN.CITE &lt;EndNote&gt;&lt;Cite&gt;&lt;Author&gt;Jefferis&lt;/Author&gt;&lt;Year&gt;2019&lt;/Year&gt;&lt;RecNum&gt;66&lt;/RecNum&gt;&lt;DisplayText&gt;(85)&lt;/DisplayText&gt;&lt;record&gt;&lt;rec-number&gt;66&lt;/rec-number&gt;&lt;foreign-keys&gt;&lt;key app="EN" db-id="9s5z5ped05vxdnede99vfsxhtzavzdzs2d5r" timestamp="1614143399"&gt;66&lt;/key&gt;&lt;/foreign-keys&gt;&lt;ref-type name="Journal Article"&gt;17&lt;/ref-type&gt;&lt;contributors&gt;&lt;authors&gt;&lt;author&gt;Jefferis, Barbara J&lt;/author&gt;&lt;author&gt;Parsons, Tessa J&lt;/author&gt;&lt;author&gt;Sartini, Claudio&lt;/author&gt;&lt;author&gt;Ash, Sarah&lt;/author&gt;&lt;author&gt;Lennon, Lucy T&lt;/author&gt;&lt;author&gt;Papacosta, Olia&lt;/author&gt;&lt;author&gt;Morris, Richard W&lt;/author&gt;&lt;author&gt;Wannamethee, S Goya&lt;/author&gt;&lt;author&gt;Lee, I-Min&lt;/author&gt;&lt;author&gt;Whincup, Peter H&lt;/author&gt;&lt;/authors&gt;&lt;/contributors&gt;&lt;titles&gt;&lt;title&gt;Objectively measured physical activity, sedentary behaviour and all-cause mortality in older men: does volume of activity matter more than pattern of accumulation?&lt;/title&gt;&lt;secondary-title&gt;British Journal of Sports Medicine&lt;/secondary-title&gt;&lt;/titles&gt;&lt;periodical&gt;&lt;full-title&gt;British Journal of Sports Medicine&lt;/full-title&gt;&lt;/periodical&gt;&lt;pages&gt;1013-1020&lt;/pages&gt;&lt;volume&gt;53&lt;/volume&gt;&lt;number&gt;16&lt;/number&gt;&lt;dates&gt;&lt;year&gt;2019&lt;/year&gt;&lt;/dates&gt;&lt;isbn&gt;0306-3674&lt;/isbn&gt;&lt;urls&gt;&lt;/urls&gt;&lt;/record&gt;&lt;/Cite&gt;&lt;/EndNote&gt;</w:instrText>
            </w:r>
            <w:r w:rsidR="00F10799">
              <w:fldChar w:fldCharType="separate"/>
            </w:r>
            <w:r w:rsidR="00EB6EA4">
              <w:rPr>
                <w:noProof/>
              </w:rPr>
              <w:t>(</w:t>
            </w:r>
            <w:hyperlink w:anchor="_ENREF_85" w:tooltip="Jefferis, 2019 #66" w:history="1">
              <w:r w:rsidR="00EB6EA4">
                <w:rPr>
                  <w:noProof/>
                </w:rPr>
                <w:t>85</w:t>
              </w:r>
            </w:hyperlink>
            <w:r w:rsidR="00EB6EA4">
              <w:rPr>
                <w:noProof/>
              </w:rPr>
              <w:t>)</w:t>
            </w:r>
            <w:r w:rsidR="00F10799">
              <w:fldChar w:fldCharType="end"/>
            </w:r>
          </w:p>
        </w:tc>
      </w:tr>
      <w:tr w:rsidR="00D83B35" w:rsidRPr="00F42B1D" w14:paraId="3FD6025D" w14:textId="77777777" w:rsidTr="00D85146">
        <w:trPr>
          <w:cantSplit/>
        </w:trPr>
        <w:tc>
          <w:tcPr>
            <w:tcW w:w="916" w:type="pct"/>
            <w:tcBorders>
              <w:bottom w:val="single" w:sz="4" w:space="0" w:color="auto"/>
            </w:tcBorders>
            <w:shd w:val="clear" w:color="auto" w:fill="FFFFFF"/>
            <w:tcMar>
              <w:left w:w="80" w:type="dxa"/>
              <w:right w:w="80" w:type="dxa"/>
            </w:tcMar>
            <w:vAlign w:val="center"/>
          </w:tcPr>
          <w:p w14:paraId="176E3AE2" w14:textId="179535E8" w:rsidR="00D83B35" w:rsidRPr="00FA38C7" w:rsidRDefault="00D83B35" w:rsidP="00FA38C7">
            <w:pPr>
              <w:pStyle w:val="Tabletext1"/>
              <w:rPr>
                <w:b/>
                <w:bCs/>
              </w:rPr>
            </w:pPr>
            <w:r w:rsidRPr="00FA38C7">
              <w:rPr>
                <w:b/>
                <w:bCs/>
              </w:rPr>
              <w:t>#</w:t>
            </w:r>
            <w:r w:rsidR="00FA38C7">
              <w:rPr>
                <w:b/>
                <w:bCs/>
              </w:rPr>
              <w:t xml:space="preserve"> </w:t>
            </w:r>
            <w:proofErr w:type="gramStart"/>
            <w:r w:rsidRPr="00FA38C7">
              <w:rPr>
                <w:b/>
                <w:bCs/>
              </w:rPr>
              <w:t>of</w:t>
            </w:r>
            <w:proofErr w:type="gramEnd"/>
            <w:r w:rsidRPr="00FA38C7">
              <w:rPr>
                <w:b/>
                <w:bCs/>
              </w:rPr>
              <w:t xml:space="preserve"> MVPA bouts</w:t>
            </w:r>
          </w:p>
        </w:tc>
        <w:tc>
          <w:tcPr>
            <w:tcW w:w="895" w:type="pct"/>
            <w:shd w:val="clear" w:color="auto" w:fill="FFFFFF"/>
            <w:tcMar>
              <w:left w:w="80" w:type="dxa"/>
              <w:right w:w="80" w:type="dxa"/>
            </w:tcMar>
            <w:vAlign w:val="center"/>
          </w:tcPr>
          <w:p w14:paraId="7AD5B196" w14:textId="77777777" w:rsidR="00D83B35" w:rsidRPr="00C100A6" w:rsidRDefault="00D83B35" w:rsidP="00FA38C7">
            <w:pPr>
              <w:pStyle w:val="Tabletext1"/>
            </w:pPr>
            <w:r>
              <w:t>Total counts, unlimited</w:t>
            </w:r>
          </w:p>
        </w:tc>
        <w:tc>
          <w:tcPr>
            <w:tcW w:w="574" w:type="pct"/>
            <w:shd w:val="clear" w:color="auto" w:fill="FFFFFF"/>
            <w:tcMar>
              <w:left w:w="80" w:type="dxa"/>
              <w:right w:w="80" w:type="dxa"/>
            </w:tcMar>
          </w:tcPr>
          <w:p w14:paraId="730ABE40" w14:textId="77777777" w:rsidR="00D83B35" w:rsidRPr="002E4B20" w:rsidRDefault="00D83B35" w:rsidP="00FA38C7">
            <w:pPr>
              <w:pStyle w:val="Tabletext1"/>
            </w:pPr>
            <w:r w:rsidRPr="00A76B4C">
              <w:t>+</w:t>
            </w:r>
            <w:proofErr w:type="spellStart"/>
            <w:r w:rsidRPr="00A76B4C">
              <w:t>ve</w:t>
            </w:r>
            <w:proofErr w:type="spellEnd"/>
          </w:p>
        </w:tc>
        <w:tc>
          <w:tcPr>
            <w:tcW w:w="836" w:type="pct"/>
            <w:shd w:val="clear" w:color="auto" w:fill="FFFFFF"/>
            <w:vAlign w:val="center"/>
          </w:tcPr>
          <w:p w14:paraId="7E3199B4" w14:textId="77777777" w:rsidR="00D83B35" w:rsidRPr="00452DC9" w:rsidRDefault="00D83B35" w:rsidP="00FA38C7">
            <w:pPr>
              <w:pStyle w:val="Tabletext1"/>
            </w:pPr>
            <w:r w:rsidRPr="00452DC9">
              <w:t>unknown</w:t>
            </w:r>
          </w:p>
        </w:tc>
        <w:tc>
          <w:tcPr>
            <w:tcW w:w="1779" w:type="pct"/>
            <w:shd w:val="clear" w:color="auto" w:fill="FFFFFF"/>
          </w:tcPr>
          <w:p w14:paraId="4FE2835A" w14:textId="77777777" w:rsidR="00D83B35" w:rsidRPr="00452DC9" w:rsidRDefault="00D83B35" w:rsidP="00FA38C7">
            <w:pPr>
              <w:pStyle w:val="Tabletext1"/>
              <w:rPr>
                <w:rFonts w:ascii="Arial Narrow" w:hAnsi="Arial Narrow"/>
              </w:rPr>
            </w:pPr>
          </w:p>
        </w:tc>
      </w:tr>
    </w:tbl>
    <w:p w14:paraId="2943F400" w14:textId="64F7B1DE" w:rsidR="00384DFB" w:rsidRDefault="00013EA0" w:rsidP="00FA38C7">
      <w:pPr>
        <w:pStyle w:val="Caption"/>
      </w:pPr>
      <w:r>
        <w:t>Table B-9</w:t>
      </w:r>
      <w:r w:rsidR="00CC6BF4">
        <w:t>b</w:t>
      </w:r>
      <w:r w:rsidR="00CB045E">
        <w:t xml:space="preserve">: </w:t>
      </w:r>
      <w:r w:rsidR="00F10799">
        <w:t>Clinical i</w:t>
      </w:r>
      <w:r w:rsidR="00CB045E">
        <w:t>nterpretation of s</w:t>
      </w:r>
      <w:r w:rsidR="00CB045E" w:rsidRPr="00E90B8E">
        <w:t>econdary outcomes</w:t>
      </w:r>
    </w:p>
    <w:p w14:paraId="3DE8CF4E" w14:textId="77777777" w:rsidR="00D85146" w:rsidRDefault="00D85146" w:rsidP="00FB7ED1">
      <w:pPr>
        <w:pStyle w:val="hidden"/>
        <w:sectPr w:rsidR="00D85146" w:rsidSect="009E46A1">
          <w:footerReference w:type="even" r:id="rId40"/>
          <w:pgSz w:w="11906" w:h="16838"/>
          <w:pgMar w:top="1440" w:right="1440" w:bottom="1440" w:left="1440" w:header="720" w:footer="720" w:gutter="0"/>
          <w:cols w:space="720"/>
        </w:sectPr>
      </w:pPr>
    </w:p>
    <w:p w14:paraId="37B1F086" w14:textId="4145CE9C" w:rsidR="003779FA" w:rsidRDefault="003779FA" w:rsidP="00897C5B">
      <w:pPr>
        <w:pStyle w:val="Caption"/>
      </w:pPr>
      <w:r w:rsidRPr="00013EA0">
        <w:lastRenderedPageBreak/>
        <w:t xml:space="preserve">Figure </w:t>
      </w:r>
      <w:r w:rsidR="00B04F90" w:rsidRPr="00013EA0">
        <w:t>B-</w:t>
      </w:r>
      <w:r w:rsidR="00013EA0" w:rsidRPr="00013EA0">
        <w:t>12</w:t>
      </w:r>
      <w:r w:rsidRPr="00013EA0">
        <w:t>: Modelled</w:t>
      </w:r>
      <w:r w:rsidR="00662D91">
        <w:t>*</w:t>
      </w:r>
      <w:r>
        <w:t xml:space="preserve"> mean change in MoCA</w:t>
      </w:r>
      <w:r w:rsidRPr="00C100A6">
        <w:t xml:space="preserve"> </w:t>
      </w:r>
      <w:r>
        <w:t xml:space="preserve">from baseline </w:t>
      </w:r>
      <w:r w:rsidRPr="00C100A6">
        <w:t>i</w:t>
      </w:r>
      <w:r>
        <w:t>n intervention and control arms</w:t>
      </w:r>
      <w:r w:rsidR="00662D91">
        <w:t>.</w:t>
      </w:r>
    </w:p>
    <w:p w14:paraId="40651514" w14:textId="1EC58051" w:rsidR="003779FA" w:rsidRDefault="003779FA" w:rsidP="007501B9">
      <w:r>
        <w:rPr>
          <w:noProof/>
        </w:rPr>
        <w:drawing>
          <wp:inline distT="0" distB="0" distL="0" distR="0" wp14:anchorId="45A427DB" wp14:editId="3C63AF91">
            <wp:extent cx="3924300" cy="3242968"/>
            <wp:effectExtent l="0" t="0" r="0" b="0"/>
            <wp:docPr id="13" name="Picture 13" descr="MoCA (0-30) 16OCT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CA (0-30) 16OCT2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65915" cy="3277358"/>
                    </a:xfrm>
                    <a:prstGeom prst="rect">
                      <a:avLst/>
                    </a:prstGeom>
                    <a:noFill/>
                    <a:ln>
                      <a:noFill/>
                    </a:ln>
                  </pic:spPr>
                </pic:pic>
              </a:graphicData>
            </a:graphic>
          </wp:inline>
        </w:drawing>
      </w:r>
    </w:p>
    <w:p w14:paraId="61EF8A3B" w14:textId="4615A729" w:rsidR="00BE5A1E" w:rsidRPr="00F00D3B" w:rsidRDefault="00BE5A1E" w:rsidP="00897C5B">
      <w:pPr>
        <w:pStyle w:val="Caption"/>
      </w:pPr>
      <w:r w:rsidRPr="00F00D3B">
        <w:t>*8</w:t>
      </w:r>
      <w:r>
        <w:t>0</w:t>
      </w:r>
      <w:r w:rsidRPr="00F00D3B">
        <w:t>% confidence intervals for each group</w:t>
      </w:r>
      <w:r>
        <w:t xml:space="preserve"> are displayed for comparison purposes. </w:t>
      </w:r>
      <w:r>
        <w:fldChar w:fldCharType="begin"/>
      </w:r>
      <w:r w:rsidR="00EB6EA4">
        <w:instrText xml:space="preserve"> ADDIN EN.CITE &lt;EndNote&gt;&lt;Cite&gt;&lt;Author&gt;Goldstein&lt;/Author&gt;&lt;Year&gt;1995&lt;/Year&gt;&lt;RecNum&gt;68&lt;/RecNum&gt;&lt;DisplayText&gt;(78)&lt;/DisplayText&gt;&lt;record&gt;&lt;rec-number&gt;68&lt;/rec-number&gt;&lt;foreign-keys&gt;&lt;key app="EN" db-id="9s5z5ped05vxdnede99vfsxhtzavzdzs2d5r" timestamp="1615428887"&gt;68&lt;/key&gt;&lt;/foreign-keys&gt;&lt;ref-type name="Journal Article"&gt;17&lt;/ref-type&gt;&lt;contributors&gt;&lt;authors&gt;&lt;author&gt;Goldstein, Harvey&lt;/author&gt;&lt;author&gt;Healy, Michael JR&lt;/author&gt;&lt;/authors&gt;&lt;/contributors&gt;&lt;titles&gt;&lt;title&gt;The graphical presentation of a collection of means&lt;/title&gt;&lt;secondary-title&gt;Journal of the Royal Statistical Society: Series A (Statistics in Society)&lt;/secondary-title&gt;&lt;/titles&gt;&lt;periodical&gt;&lt;full-title&gt;Journal of the Royal Statistical Society: Series A (Statistics in Society)&lt;/full-title&gt;&lt;/periodical&gt;&lt;pages&gt;175-177&lt;/pages&gt;&lt;volume&gt;158&lt;/volume&gt;&lt;number&gt;1&lt;/number&gt;&lt;dates&gt;&lt;year&gt;1995&lt;/year&gt;&lt;/dates&gt;&lt;isbn&gt;0964-1998&lt;/isbn&gt;&lt;urls&gt;&lt;/urls&gt;&lt;/record&gt;&lt;/Cite&gt;&lt;/EndNote&gt;</w:instrText>
      </w:r>
      <w:r>
        <w:fldChar w:fldCharType="separate"/>
      </w:r>
      <w:r w:rsidR="00EB6EA4">
        <w:rPr>
          <w:noProof/>
        </w:rPr>
        <w:t>(</w:t>
      </w:r>
      <w:hyperlink w:anchor="_ENREF_78" w:tooltip="Goldstein, 1995 #68" w:history="1">
        <w:r w:rsidR="00EB6EA4">
          <w:rPr>
            <w:noProof/>
          </w:rPr>
          <w:t>78</w:t>
        </w:r>
      </w:hyperlink>
      <w:r w:rsidR="00EB6EA4">
        <w:rPr>
          <w:noProof/>
        </w:rPr>
        <w:t>)</w:t>
      </w:r>
      <w:r>
        <w:fldChar w:fldCharType="end"/>
      </w:r>
    </w:p>
    <w:p w14:paraId="1BA364FE" w14:textId="5BC9A874" w:rsidR="003779FA" w:rsidRDefault="003779FA" w:rsidP="00897C5B">
      <w:pPr>
        <w:pStyle w:val="Caption"/>
      </w:pPr>
      <w:r w:rsidRPr="00013EA0">
        <w:t xml:space="preserve">Figure </w:t>
      </w:r>
      <w:r w:rsidR="00832854" w:rsidRPr="00013EA0">
        <w:t>B-</w:t>
      </w:r>
      <w:r w:rsidR="00013EA0" w:rsidRPr="00013EA0">
        <w:t>13</w:t>
      </w:r>
      <w:r w:rsidRPr="00013EA0">
        <w:t>: Modelled</w:t>
      </w:r>
      <w:r w:rsidR="00242432">
        <w:t>*</w:t>
      </w:r>
      <w:r>
        <w:t xml:space="preserve"> mean change in weight</w:t>
      </w:r>
      <w:r w:rsidRPr="00C100A6">
        <w:t xml:space="preserve"> </w:t>
      </w:r>
      <w:r>
        <w:t xml:space="preserve">from baseline </w:t>
      </w:r>
      <w:r w:rsidRPr="00C100A6">
        <w:t>i</w:t>
      </w:r>
      <w:r>
        <w:t>n intervention and control arms</w:t>
      </w:r>
      <w:r w:rsidR="00662D91">
        <w:t>.</w:t>
      </w:r>
    </w:p>
    <w:p w14:paraId="66661EA4" w14:textId="77777777" w:rsidR="003779FA" w:rsidRDefault="003779FA" w:rsidP="00897C5B">
      <w:pPr>
        <w:pStyle w:val="Caption"/>
      </w:pPr>
      <w:r>
        <w:rPr>
          <w:noProof/>
        </w:rPr>
        <w:drawing>
          <wp:inline distT="0" distB="0" distL="0" distR="0" wp14:anchorId="1BF0FD1A" wp14:editId="3BC7036D">
            <wp:extent cx="3819525" cy="3151171"/>
            <wp:effectExtent l="0" t="0" r="0" b="0"/>
            <wp:docPr id="12" name="Picture 12" descr="This figure represents the modelled* mean change in weight from baseline in intervention and control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is figure represents the modelled* mean change in weight from baseline in intervention and control arm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56088" cy="3181336"/>
                    </a:xfrm>
                    <a:prstGeom prst="rect">
                      <a:avLst/>
                    </a:prstGeom>
                    <a:noFill/>
                    <a:ln>
                      <a:noFill/>
                    </a:ln>
                  </pic:spPr>
                </pic:pic>
              </a:graphicData>
            </a:graphic>
          </wp:inline>
        </w:drawing>
      </w:r>
    </w:p>
    <w:p w14:paraId="6DE17B3D" w14:textId="0D8BBB5E" w:rsidR="00FE517B" w:rsidRPr="0091732C" w:rsidRDefault="00BE5A1E" w:rsidP="007501B9">
      <w:pPr>
        <w:rPr>
          <w:rStyle w:val="Heading5Char"/>
        </w:rPr>
      </w:pPr>
      <w:r w:rsidRPr="009A23B0">
        <w:rPr>
          <w:rStyle w:val="CaptionChar"/>
        </w:rPr>
        <w:t xml:space="preserve">*80% confidence intervals for each group are displayed for comparison purposes. </w:t>
      </w:r>
      <w:r w:rsidRPr="009A23B0">
        <w:rPr>
          <w:rStyle w:val="CaptionChar"/>
        </w:rPr>
        <w:fldChar w:fldCharType="begin"/>
      </w:r>
      <w:r w:rsidR="00EB6EA4">
        <w:rPr>
          <w:rStyle w:val="CaptionChar"/>
        </w:rPr>
        <w:instrText xml:space="preserve"> ADDIN EN.CITE &lt;EndNote&gt;&lt;Cite&gt;&lt;Author&gt;Goldstein&lt;/Author&gt;&lt;Year&gt;1995&lt;/Year&gt;&lt;RecNum&gt;68&lt;/RecNum&gt;&lt;DisplayText&gt;(78)&lt;/DisplayText&gt;&lt;record&gt;&lt;rec-number&gt;68&lt;/rec-number&gt;&lt;foreign-keys&gt;&lt;key app="EN" db-id="9s5z5ped05vxdnede99vfsxhtzavzdzs2d5r" timestamp="1615428887"&gt;68&lt;/key&gt;&lt;/foreign-keys&gt;&lt;ref-type name="Journal Article"&gt;17&lt;/ref-type&gt;&lt;contributors&gt;&lt;authors&gt;&lt;author&gt;Goldstein, Harvey&lt;/author&gt;&lt;author&gt;Healy, Michael JR&lt;/author&gt;&lt;/authors&gt;&lt;/contributors&gt;&lt;titles&gt;&lt;title&gt;The graphical presentation of a collection of means&lt;/title&gt;&lt;secondary-title&gt;Journal of the Royal Statistical Society: Series A (Statistics in Society)&lt;/secondary-title&gt;&lt;/titles&gt;&lt;periodical&gt;&lt;full-title&gt;Journal of the Royal Statistical Society: Series A (Statistics in Society)&lt;/full-title&gt;&lt;/periodical&gt;&lt;pages&gt;175-177&lt;/pages&gt;&lt;volume&gt;158&lt;/volume&gt;&lt;number&gt;1&lt;/number&gt;&lt;dates&gt;&lt;year&gt;1995&lt;/year&gt;&lt;/dates&gt;&lt;isbn&gt;0964-1998&lt;/isbn&gt;&lt;urls&gt;&lt;/urls&gt;&lt;/record&gt;&lt;/Cite&gt;&lt;/EndNote&gt;</w:instrText>
      </w:r>
      <w:r w:rsidRPr="009A23B0">
        <w:rPr>
          <w:rStyle w:val="CaptionChar"/>
        </w:rPr>
        <w:fldChar w:fldCharType="separate"/>
      </w:r>
      <w:r w:rsidR="00EB6EA4">
        <w:rPr>
          <w:rStyle w:val="CaptionChar"/>
          <w:noProof/>
        </w:rPr>
        <w:t>(</w:t>
      </w:r>
      <w:hyperlink w:anchor="_ENREF_78" w:tooltip="Goldstein, 1995 #68" w:history="1">
        <w:r w:rsidR="00EB6EA4">
          <w:rPr>
            <w:rStyle w:val="CaptionChar"/>
            <w:noProof/>
          </w:rPr>
          <w:t>78</w:t>
        </w:r>
      </w:hyperlink>
      <w:r w:rsidR="00EB6EA4">
        <w:rPr>
          <w:rStyle w:val="CaptionChar"/>
          <w:noProof/>
        </w:rPr>
        <w:t>)</w:t>
      </w:r>
      <w:r w:rsidRPr="009A23B0">
        <w:rPr>
          <w:rStyle w:val="CaptionChar"/>
        </w:rPr>
        <w:fldChar w:fldCharType="end"/>
      </w:r>
      <w:r w:rsidR="00662D91">
        <w:br w:type="page"/>
      </w:r>
      <w:bookmarkStart w:id="186" w:name="_Adverse_events"/>
      <w:bookmarkEnd w:id="186"/>
      <w:r w:rsidR="003779FA" w:rsidRPr="0091732C">
        <w:rPr>
          <w:rStyle w:val="Heading5Char"/>
        </w:rPr>
        <w:lastRenderedPageBreak/>
        <w:t>Post-Hoc</w:t>
      </w:r>
      <w:r w:rsidR="00FE517B" w:rsidRPr="0091732C">
        <w:rPr>
          <w:rStyle w:val="Heading5Char"/>
        </w:rPr>
        <w:t xml:space="preserve"> </w:t>
      </w:r>
      <w:r w:rsidR="007C745E" w:rsidRPr="0091732C">
        <w:rPr>
          <w:rStyle w:val="Heading5Char"/>
        </w:rPr>
        <w:t xml:space="preserve">Exploratory </w:t>
      </w:r>
      <w:r w:rsidR="00FE517B" w:rsidRPr="0091732C">
        <w:rPr>
          <w:rStyle w:val="Heading5Char"/>
        </w:rPr>
        <w:t>analysis</w:t>
      </w:r>
      <w:r w:rsidR="007C745E" w:rsidRPr="0091732C">
        <w:rPr>
          <w:rStyle w:val="Heading5Char"/>
        </w:rPr>
        <w:t xml:space="preserve"> and Sensitivity analyses for secondary outcomes</w:t>
      </w:r>
    </w:p>
    <w:p w14:paraId="1AAFDC45" w14:textId="790030E1" w:rsidR="00D85146" w:rsidRPr="0064201C" w:rsidRDefault="00EB6572" w:rsidP="007501B9">
      <w:r>
        <w:t>Given a statistically significant difference was found between groups for weight and cognition a</w:t>
      </w:r>
      <w:r w:rsidR="00BE5A1E">
        <w:t xml:space="preserve">n assessment </w:t>
      </w:r>
      <w:r>
        <w:t>for</w:t>
      </w:r>
      <w:r w:rsidR="00BE5A1E">
        <w:t xml:space="preserve"> potential survivor bias </w:t>
      </w:r>
      <w:r w:rsidR="00BE5A1E" w:rsidRPr="0064201C">
        <w:t xml:space="preserve">was undertaken (Appendix </w:t>
      </w:r>
      <w:r w:rsidR="00E62636">
        <w:t>E</w:t>
      </w:r>
      <w:r>
        <w:t>)</w:t>
      </w:r>
      <w:r w:rsidR="007501B9">
        <w:t xml:space="preserve">. </w:t>
      </w:r>
      <w:r w:rsidR="00BE5A1E" w:rsidRPr="0064201C">
        <w:t>No difference in results was found for weight or MoCA at baseline by withdrawal status</w:t>
      </w:r>
      <w:r w:rsidR="00BE5A1E">
        <w:t>, for either</w:t>
      </w:r>
      <w:r w:rsidR="00BE5A1E" w:rsidRPr="0064201C">
        <w:t xml:space="preserve"> </w:t>
      </w:r>
      <w:r w:rsidR="00BE5A1E">
        <w:t xml:space="preserve">the </w:t>
      </w:r>
      <w:r w:rsidR="00BE5A1E" w:rsidRPr="0064201C">
        <w:t xml:space="preserve">control or intervention arms, indicating that </w:t>
      </w:r>
      <w:r w:rsidR="00BE5A1E">
        <w:t>there was a low likelihood of survivor</w:t>
      </w:r>
      <w:r w:rsidR="00BE5A1E" w:rsidRPr="0064201C">
        <w:t xml:space="preserve"> bias</w:t>
      </w:r>
      <w:r w:rsidR="007501B9">
        <w:t xml:space="preserve">. </w:t>
      </w:r>
      <w:r w:rsidR="0038208D">
        <w:t>Post hoc s</w:t>
      </w:r>
      <w:r w:rsidR="00D85146" w:rsidRPr="00BE0587">
        <w:t>ubgroup analysis</w:t>
      </w:r>
      <w:r w:rsidR="00D85146">
        <w:t xml:space="preserve"> for weight</w:t>
      </w:r>
      <w:r w:rsidR="0038208D">
        <w:t xml:space="preserve"> when grouped into two categories above and below the median weight</w:t>
      </w:r>
      <w:r w:rsidR="00D85146">
        <w:t xml:space="preserve"> showed the </w:t>
      </w:r>
      <w:r w:rsidR="0038208D">
        <w:t xml:space="preserve">direction of the </w:t>
      </w:r>
      <w:r w:rsidR="00D85146">
        <w:t>result</w:t>
      </w:r>
      <w:r w:rsidR="0038208D">
        <w:t>, while not significant,</w:t>
      </w:r>
      <w:r w:rsidR="00D85146">
        <w:t xml:space="preserve"> </w:t>
      </w:r>
      <w:r w:rsidR="00D85146" w:rsidRPr="00BE0587">
        <w:t>was variable across the subgroups</w:t>
      </w:r>
      <w:r w:rsidR="0038208D">
        <w:t xml:space="preserve">, thus, making it uncertain if the weight result was </w:t>
      </w:r>
      <w:r w:rsidR="00D85146" w:rsidRPr="00BE0587">
        <w:t>a clinical effect of the intervention</w:t>
      </w:r>
      <w:r w:rsidR="007501B9">
        <w:t xml:space="preserve">. </w:t>
      </w:r>
      <w:r w:rsidR="0038208D">
        <w:t>Post hoc subgroup analysis for MoCA when grouped into two categories above and below the median score showed the direction of the result, while not significant, was consistent for all subgroups, suggesting the result for MoCA is likely to be an intervention effect.</w:t>
      </w:r>
    </w:p>
    <w:p w14:paraId="00FA3039" w14:textId="5CE0D1C7" w:rsidR="00BE5A1E" w:rsidRPr="00482AF3" w:rsidRDefault="00BE5A1E" w:rsidP="007501B9">
      <w:pPr>
        <w:rPr>
          <w:rFonts w:cstheme="minorHAnsi"/>
          <w:lang w:val="en-US"/>
        </w:rPr>
      </w:pPr>
      <w:r w:rsidRPr="00A922DD">
        <w:t xml:space="preserve">Post-hoc exploratory analysis of cognition (MoCA) </w:t>
      </w:r>
      <w:r>
        <w:t>examined the difference in the p</w:t>
      </w:r>
      <w:r w:rsidRPr="00A922DD">
        <w:t xml:space="preserve">roportion </w:t>
      </w:r>
      <w:r>
        <w:t xml:space="preserve">of residents </w:t>
      </w:r>
      <w:r w:rsidRPr="00A922DD">
        <w:t xml:space="preserve">with a </w:t>
      </w:r>
      <w:r>
        <w:t xml:space="preserve">clinically significant </w:t>
      </w:r>
      <w:r w:rsidRPr="00A922DD">
        <w:t xml:space="preserve">MoCA decline of 2 or more points from baseline between </w:t>
      </w:r>
      <w:r>
        <w:t>the i</w:t>
      </w:r>
      <w:r w:rsidRPr="00A922DD">
        <w:t xml:space="preserve">ntervention and </w:t>
      </w:r>
      <w:r>
        <w:t>c</w:t>
      </w:r>
      <w:r w:rsidRPr="00A922DD">
        <w:t>ontrol</w:t>
      </w:r>
      <w:r>
        <w:t xml:space="preserve"> arms</w:t>
      </w:r>
      <w:r w:rsidR="007501B9">
        <w:t xml:space="preserve">. </w:t>
      </w:r>
      <w:r w:rsidR="00EB6572">
        <w:t>While not statistically significant, p</w:t>
      </w:r>
      <w:r>
        <w:t xml:space="preserve">oint </w:t>
      </w:r>
      <w:r w:rsidRPr="007B3AF1">
        <w:t>estimates (Table B-</w:t>
      </w:r>
      <w:r w:rsidR="007B3AF1" w:rsidRPr="007B3AF1">
        <w:t>10</w:t>
      </w:r>
      <w:r w:rsidRPr="007B3AF1">
        <w:t>)</w:t>
      </w:r>
      <w:r>
        <w:t xml:space="preserve"> indicate that </w:t>
      </w:r>
      <w:r w:rsidR="00EB6572">
        <w:t>approximately 11</w:t>
      </w:r>
      <w:r w:rsidRPr="00BE5A1E">
        <w:t xml:space="preserve">% more </w:t>
      </w:r>
      <w:r w:rsidR="00EB6572">
        <w:t>residents</w:t>
      </w:r>
      <w:r w:rsidR="00EB6572" w:rsidRPr="00BE5A1E">
        <w:t xml:space="preserve"> </w:t>
      </w:r>
      <w:r w:rsidR="00EB6572">
        <w:t xml:space="preserve">in the </w:t>
      </w:r>
      <w:r w:rsidRPr="00BE5A1E">
        <w:t>intervention</w:t>
      </w:r>
      <w:r>
        <w:t xml:space="preserve"> arm avoid</w:t>
      </w:r>
      <w:r w:rsidR="00EB6572">
        <w:t>ed a clinical decline of 2 points</w:t>
      </w:r>
      <w:r w:rsidRPr="00EB6572">
        <w:t>.</w:t>
      </w:r>
    </w:p>
    <w:tbl>
      <w:tblPr>
        <w:tblW w:w="8400" w:type="dxa"/>
        <w:jc w:val="center"/>
        <w:tblLayout w:type="fixed"/>
        <w:tblCellMar>
          <w:left w:w="0" w:type="dxa"/>
          <w:right w:w="0" w:type="dxa"/>
        </w:tblCellMar>
        <w:tblLook w:val="0000" w:firstRow="0" w:lastRow="0" w:firstColumn="0" w:lastColumn="0" w:noHBand="0" w:noVBand="0"/>
        <w:tblCaption w:val="Exploratory analyses of a 2-point MoCA decline between intervention and control arms"/>
        <w:tblDescription w:val="Exploratory analyses of a 2-point MoCA decline between intervention and control arms"/>
      </w:tblPr>
      <w:tblGrid>
        <w:gridCol w:w="972"/>
        <w:gridCol w:w="1118"/>
        <w:gridCol w:w="1065"/>
        <w:gridCol w:w="1134"/>
        <w:gridCol w:w="992"/>
        <w:gridCol w:w="1276"/>
        <w:gridCol w:w="1134"/>
        <w:gridCol w:w="709"/>
      </w:tblGrid>
      <w:tr w:rsidR="000C006A" w:rsidRPr="00FA38C7" w14:paraId="1FFF2487" w14:textId="77777777" w:rsidTr="00FA38C7">
        <w:trPr>
          <w:cantSplit/>
          <w:tblHeader/>
          <w:jc w:val="center"/>
        </w:trPr>
        <w:tc>
          <w:tcPr>
            <w:tcW w:w="972" w:type="dxa"/>
            <w:tcBorders>
              <w:top w:val="single" w:sz="6" w:space="0" w:color="000000"/>
              <w:left w:val="single" w:sz="2" w:space="0" w:color="000000"/>
              <w:bottom w:val="single" w:sz="2" w:space="0" w:color="000000"/>
              <w:right w:val="single" w:sz="2" w:space="0" w:color="000000"/>
            </w:tcBorders>
            <w:shd w:val="clear" w:color="auto" w:fill="000000" w:themeFill="text1"/>
          </w:tcPr>
          <w:p w14:paraId="1C104F52" w14:textId="77777777" w:rsidR="000C006A" w:rsidRPr="00FA38C7" w:rsidRDefault="000C006A" w:rsidP="00FA38C7">
            <w:pPr>
              <w:pStyle w:val="TableHeader"/>
              <w:rPr>
                <w:rFonts w:ascii="Arial Narrow" w:hAnsi="Arial Narrow"/>
                <w:sz w:val="20"/>
                <w:szCs w:val="20"/>
              </w:rPr>
            </w:pPr>
            <w:bookmarkStart w:id="187" w:name="ColumnTitle_12"/>
            <w:r w:rsidRPr="00FA38C7">
              <w:rPr>
                <w:rFonts w:ascii="Arial Narrow" w:hAnsi="Arial Narrow"/>
                <w:sz w:val="20"/>
                <w:szCs w:val="20"/>
              </w:rPr>
              <w:t>Trial Stage</w:t>
            </w:r>
          </w:p>
        </w:tc>
        <w:tc>
          <w:tcPr>
            <w:tcW w:w="1118" w:type="dxa"/>
            <w:tcBorders>
              <w:top w:val="single" w:sz="6" w:space="0" w:color="000000"/>
              <w:left w:val="single" w:sz="2" w:space="0" w:color="000000"/>
              <w:bottom w:val="single" w:sz="2" w:space="0" w:color="000000"/>
              <w:right w:val="nil"/>
            </w:tcBorders>
            <w:shd w:val="clear" w:color="auto" w:fill="000000" w:themeFill="text1"/>
            <w:tcMar>
              <w:left w:w="80" w:type="dxa"/>
              <w:right w:w="80" w:type="dxa"/>
            </w:tcMar>
          </w:tcPr>
          <w:p w14:paraId="2DF0C5D5" w14:textId="2D9E2D07" w:rsidR="000C006A" w:rsidRPr="00FA38C7" w:rsidRDefault="000C006A" w:rsidP="00FA38C7">
            <w:pPr>
              <w:pStyle w:val="TableHeader"/>
              <w:rPr>
                <w:rFonts w:ascii="Arial Narrow" w:hAnsi="Arial Narrow"/>
                <w:sz w:val="20"/>
                <w:szCs w:val="20"/>
              </w:rPr>
            </w:pPr>
            <w:r w:rsidRPr="00FA38C7">
              <w:rPr>
                <w:rFonts w:ascii="Arial Narrow" w:hAnsi="Arial Narrow"/>
                <w:sz w:val="20"/>
                <w:szCs w:val="20"/>
              </w:rPr>
              <w:t xml:space="preserve">Intervention** Observed Proportion, Mean </w:t>
            </w:r>
          </w:p>
        </w:tc>
        <w:tc>
          <w:tcPr>
            <w:tcW w:w="1065" w:type="dxa"/>
            <w:tcBorders>
              <w:top w:val="single" w:sz="6" w:space="0" w:color="000000"/>
              <w:left w:val="single" w:sz="2" w:space="0" w:color="000000"/>
              <w:bottom w:val="single" w:sz="2" w:space="0" w:color="000000"/>
              <w:right w:val="single" w:sz="2" w:space="0" w:color="000000"/>
            </w:tcBorders>
            <w:shd w:val="clear" w:color="auto" w:fill="000000" w:themeFill="text1"/>
          </w:tcPr>
          <w:p w14:paraId="21BB0751" w14:textId="2ACFD7F0" w:rsidR="000C006A" w:rsidRPr="00FA38C7" w:rsidRDefault="000C006A" w:rsidP="00FA38C7">
            <w:pPr>
              <w:pStyle w:val="TableHeader"/>
              <w:rPr>
                <w:rFonts w:ascii="Arial Narrow" w:hAnsi="Arial Narrow"/>
                <w:sz w:val="20"/>
                <w:szCs w:val="20"/>
              </w:rPr>
            </w:pPr>
            <w:r w:rsidRPr="00FA38C7">
              <w:rPr>
                <w:rFonts w:ascii="Arial Narrow" w:hAnsi="Arial Narrow"/>
                <w:sz w:val="20"/>
                <w:szCs w:val="20"/>
              </w:rPr>
              <w:t>Intervention, Variation in Observed Proportion, (SE)</w:t>
            </w:r>
          </w:p>
        </w:tc>
        <w:tc>
          <w:tcPr>
            <w:tcW w:w="1134" w:type="dxa"/>
            <w:tcBorders>
              <w:top w:val="single" w:sz="6" w:space="0" w:color="000000"/>
              <w:left w:val="single" w:sz="2" w:space="0" w:color="000000"/>
              <w:bottom w:val="single" w:sz="2" w:space="0" w:color="000000"/>
              <w:right w:val="nil"/>
            </w:tcBorders>
            <w:shd w:val="clear" w:color="auto" w:fill="000000" w:themeFill="text1"/>
            <w:tcMar>
              <w:left w:w="80" w:type="dxa"/>
              <w:right w:w="80" w:type="dxa"/>
            </w:tcMar>
          </w:tcPr>
          <w:p w14:paraId="6486BC79" w14:textId="77777777" w:rsidR="000C006A" w:rsidRPr="00FA38C7" w:rsidRDefault="000C006A" w:rsidP="00FA38C7">
            <w:pPr>
              <w:pStyle w:val="TableHeader"/>
              <w:rPr>
                <w:rFonts w:ascii="Arial Narrow" w:hAnsi="Arial Narrow"/>
                <w:sz w:val="20"/>
                <w:szCs w:val="20"/>
              </w:rPr>
            </w:pPr>
            <w:r w:rsidRPr="00FA38C7">
              <w:rPr>
                <w:rFonts w:ascii="Arial Narrow" w:hAnsi="Arial Narrow"/>
                <w:sz w:val="20"/>
                <w:szCs w:val="20"/>
              </w:rPr>
              <w:t>Control***,</w:t>
            </w:r>
          </w:p>
          <w:p w14:paraId="6B973098" w14:textId="446151AA" w:rsidR="000C006A" w:rsidRPr="00FA38C7" w:rsidRDefault="000C006A" w:rsidP="00FA38C7">
            <w:pPr>
              <w:pStyle w:val="TableHeader"/>
              <w:rPr>
                <w:rFonts w:ascii="Arial Narrow" w:hAnsi="Arial Narrow"/>
                <w:sz w:val="20"/>
                <w:szCs w:val="20"/>
              </w:rPr>
            </w:pPr>
            <w:r w:rsidRPr="00FA38C7">
              <w:rPr>
                <w:rFonts w:ascii="Arial Narrow" w:hAnsi="Arial Narrow"/>
                <w:sz w:val="20"/>
                <w:szCs w:val="20"/>
              </w:rPr>
              <w:t>Observed Proportion, Mean</w:t>
            </w:r>
          </w:p>
        </w:tc>
        <w:tc>
          <w:tcPr>
            <w:tcW w:w="992" w:type="dxa"/>
            <w:tcBorders>
              <w:top w:val="single" w:sz="6" w:space="0" w:color="000000"/>
              <w:left w:val="single" w:sz="2" w:space="0" w:color="000000"/>
              <w:bottom w:val="single" w:sz="2" w:space="0" w:color="000000"/>
              <w:right w:val="single" w:sz="2" w:space="0" w:color="000000"/>
            </w:tcBorders>
            <w:shd w:val="clear" w:color="auto" w:fill="000000" w:themeFill="text1"/>
          </w:tcPr>
          <w:p w14:paraId="61E61BD7" w14:textId="029BD75A" w:rsidR="000C006A" w:rsidRPr="00FA38C7" w:rsidRDefault="000C006A" w:rsidP="00FA38C7">
            <w:pPr>
              <w:pStyle w:val="TableHeader"/>
              <w:rPr>
                <w:rFonts w:ascii="Arial Narrow" w:hAnsi="Arial Narrow"/>
                <w:sz w:val="20"/>
                <w:szCs w:val="20"/>
              </w:rPr>
            </w:pPr>
            <w:r w:rsidRPr="00FA38C7">
              <w:rPr>
                <w:rFonts w:ascii="Arial Narrow" w:hAnsi="Arial Narrow"/>
                <w:sz w:val="20"/>
                <w:szCs w:val="20"/>
              </w:rPr>
              <w:t>Control, Variation in Observed Proportion, (SE)</w:t>
            </w:r>
          </w:p>
        </w:tc>
        <w:tc>
          <w:tcPr>
            <w:tcW w:w="1276" w:type="dxa"/>
            <w:tcBorders>
              <w:top w:val="single" w:sz="6" w:space="0" w:color="000000"/>
              <w:left w:val="single" w:sz="2" w:space="0" w:color="000000"/>
              <w:bottom w:val="single" w:sz="2" w:space="0" w:color="000000"/>
              <w:right w:val="nil"/>
            </w:tcBorders>
            <w:shd w:val="clear" w:color="auto" w:fill="000000" w:themeFill="text1"/>
            <w:tcMar>
              <w:left w:w="80" w:type="dxa"/>
              <w:right w:w="80" w:type="dxa"/>
            </w:tcMar>
          </w:tcPr>
          <w:p w14:paraId="22302D02" w14:textId="2804F98B" w:rsidR="000C006A" w:rsidRPr="00FA38C7" w:rsidRDefault="000C006A" w:rsidP="00FA38C7">
            <w:pPr>
              <w:pStyle w:val="TableHeader"/>
              <w:rPr>
                <w:rFonts w:ascii="Arial Narrow" w:hAnsi="Arial Narrow"/>
                <w:sz w:val="20"/>
                <w:szCs w:val="20"/>
              </w:rPr>
            </w:pPr>
            <w:r w:rsidRPr="00FA38C7">
              <w:rPr>
                <w:rFonts w:ascii="Arial Narrow" w:hAnsi="Arial Narrow"/>
                <w:sz w:val="20"/>
                <w:szCs w:val="20"/>
              </w:rPr>
              <w:t>Estimated Difference in Proportions, Intervention-Control</w:t>
            </w:r>
          </w:p>
        </w:tc>
        <w:tc>
          <w:tcPr>
            <w:tcW w:w="1134" w:type="dxa"/>
            <w:tcBorders>
              <w:top w:val="single" w:sz="6" w:space="0" w:color="000000"/>
              <w:left w:val="single" w:sz="2" w:space="0" w:color="000000"/>
              <w:bottom w:val="single" w:sz="2" w:space="0" w:color="000000"/>
              <w:right w:val="nil"/>
            </w:tcBorders>
            <w:shd w:val="clear" w:color="auto" w:fill="000000" w:themeFill="text1"/>
            <w:tcMar>
              <w:left w:w="80" w:type="dxa"/>
              <w:right w:w="80" w:type="dxa"/>
            </w:tcMar>
          </w:tcPr>
          <w:p w14:paraId="2D3B6DE2" w14:textId="77777777" w:rsidR="000C006A" w:rsidRPr="00FA38C7" w:rsidRDefault="000C006A" w:rsidP="00FA38C7">
            <w:pPr>
              <w:pStyle w:val="TableHeader"/>
              <w:rPr>
                <w:rFonts w:ascii="Arial Narrow" w:hAnsi="Arial Narrow"/>
                <w:sz w:val="20"/>
                <w:szCs w:val="20"/>
              </w:rPr>
            </w:pPr>
            <w:r w:rsidRPr="00FA38C7">
              <w:rPr>
                <w:rFonts w:ascii="Arial Narrow" w:hAnsi="Arial Narrow"/>
                <w:sz w:val="20"/>
                <w:szCs w:val="20"/>
              </w:rPr>
              <w:t>95% Confidence Interval</w:t>
            </w:r>
          </w:p>
        </w:tc>
        <w:tc>
          <w:tcPr>
            <w:tcW w:w="709" w:type="dxa"/>
            <w:tcBorders>
              <w:top w:val="single" w:sz="6" w:space="0" w:color="000000"/>
              <w:left w:val="single" w:sz="2" w:space="0" w:color="000000"/>
              <w:bottom w:val="single" w:sz="2" w:space="0" w:color="000000"/>
              <w:right w:val="single" w:sz="6" w:space="0" w:color="000000"/>
            </w:tcBorders>
            <w:shd w:val="clear" w:color="auto" w:fill="000000" w:themeFill="text1"/>
            <w:tcMar>
              <w:left w:w="80" w:type="dxa"/>
              <w:right w:w="80" w:type="dxa"/>
            </w:tcMar>
          </w:tcPr>
          <w:p w14:paraId="5BF34DDE" w14:textId="77777777" w:rsidR="000C006A" w:rsidRPr="00FA38C7" w:rsidRDefault="000C006A" w:rsidP="00FA38C7">
            <w:pPr>
              <w:pStyle w:val="TableHeader"/>
              <w:rPr>
                <w:rFonts w:ascii="Arial Narrow" w:hAnsi="Arial Narrow"/>
                <w:sz w:val="20"/>
                <w:szCs w:val="20"/>
              </w:rPr>
            </w:pPr>
            <w:r w:rsidRPr="00FA38C7">
              <w:rPr>
                <w:rFonts w:ascii="Arial Narrow" w:hAnsi="Arial Narrow"/>
                <w:sz w:val="20"/>
                <w:szCs w:val="20"/>
              </w:rPr>
              <w:t>P-value</w:t>
            </w:r>
          </w:p>
        </w:tc>
      </w:tr>
      <w:bookmarkEnd w:id="187"/>
      <w:tr w:rsidR="000C006A" w:rsidRPr="00FA38C7" w14:paraId="11B0F30C" w14:textId="77777777" w:rsidTr="000C006A">
        <w:trPr>
          <w:cantSplit/>
          <w:jc w:val="center"/>
        </w:trPr>
        <w:tc>
          <w:tcPr>
            <w:tcW w:w="972" w:type="dxa"/>
            <w:tcBorders>
              <w:top w:val="nil"/>
              <w:left w:val="single" w:sz="2" w:space="0" w:color="000000"/>
              <w:bottom w:val="single" w:sz="2" w:space="0" w:color="000000"/>
              <w:right w:val="single" w:sz="2" w:space="0" w:color="000000"/>
            </w:tcBorders>
            <w:shd w:val="clear" w:color="auto" w:fill="FFFFFF"/>
          </w:tcPr>
          <w:p w14:paraId="34943FFF" w14:textId="77777777" w:rsidR="000C006A" w:rsidRPr="00FA38C7" w:rsidRDefault="000C006A" w:rsidP="00FA38C7">
            <w:pPr>
              <w:pStyle w:val="Tabletext1"/>
              <w:rPr>
                <w:rFonts w:ascii="Arial Narrow" w:hAnsi="Arial Narrow"/>
                <w:szCs w:val="20"/>
              </w:rPr>
            </w:pPr>
            <w:r w:rsidRPr="00FA38C7">
              <w:rPr>
                <w:rFonts w:ascii="Arial Narrow" w:hAnsi="Arial Narrow"/>
                <w:szCs w:val="20"/>
              </w:rPr>
              <w:t>6 months</w:t>
            </w:r>
          </w:p>
        </w:tc>
        <w:tc>
          <w:tcPr>
            <w:tcW w:w="1118" w:type="dxa"/>
            <w:tcBorders>
              <w:top w:val="nil"/>
              <w:left w:val="single" w:sz="2" w:space="0" w:color="000000"/>
              <w:bottom w:val="single" w:sz="2" w:space="0" w:color="000000"/>
              <w:right w:val="nil"/>
            </w:tcBorders>
            <w:shd w:val="clear" w:color="auto" w:fill="FFFFFF"/>
            <w:tcMar>
              <w:left w:w="80" w:type="dxa"/>
              <w:right w:w="80" w:type="dxa"/>
            </w:tcMar>
          </w:tcPr>
          <w:p w14:paraId="497C28F4" w14:textId="6B0106F9" w:rsidR="000C006A" w:rsidRPr="00FA38C7" w:rsidRDefault="000C006A" w:rsidP="00FA38C7">
            <w:pPr>
              <w:pStyle w:val="Tabletext1"/>
              <w:rPr>
                <w:rFonts w:ascii="Arial Narrow" w:hAnsi="Arial Narrow"/>
                <w:szCs w:val="20"/>
              </w:rPr>
            </w:pPr>
            <w:r w:rsidRPr="00FA38C7">
              <w:rPr>
                <w:rFonts w:ascii="Arial Narrow" w:hAnsi="Arial Narrow"/>
                <w:szCs w:val="20"/>
              </w:rPr>
              <w:t>0.37</w:t>
            </w:r>
            <w:r w:rsidRPr="00FA38C7">
              <w:rPr>
                <w:rFonts w:ascii="Arial Narrow" w:hAnsi="Arial Narrow"/>
                <w:szCs w:val="20"/>
                <w:vertAlign w:val="superscript"/>
              </w:rPr>
              <w:t xml:space="preserve">1 </w:t>
            </w:r>
          </w:p>
        </w:tc>
        <w:tc>
          <w:tcPr>
            <w:tcW w:w="1065" w:type="dxa"/>
            <w:tcBorders>
              <w:top w:val="nil"/>
              <w:left w:val="single" w:sz="2" w:space="0" w:color="000000"/>
              <w:bottom w:val="single" w:sz="2" w:space="0" w:color="000000"/>
              <w:right w:val="single" w:sz="2" w:space="0" w:color="000000"/>
            </w:tcBorders>
            <w:shd w:val="clear" w:color="auto" w:fill="FFFFFF"/>
          </w:tcPr>
          <w:p w14:paraId="6C7E06C5" w14:textId="68B198FF" w:rsidR="000C006A" w:rsidRPr="00FA38C7" w:rsidRDefault="000C006A" w:rsidP="00FA38C7">
            <w:pPr>
              <w:pStyle w:val="Tabletext1"/>
              <w:rPr>
                <w:rFonts w:ascii="Arial Narrow" w:hAnsi="Arial Narrow"/>
                <w:szCs w:val="20"/>
              </w:rPr>
            </w:pPr>
            <w:r w:rsidRPr="00FA38C7">
              <w:rPr>
                <w:rFonts w:ascii="Arial Narrow" w:hAnsi="Arial Narrow"/>
                <w:szCs w:val="20"/>
              </w:rPr>
              <w:t>(0.48)</w:t>
            </w:r>
          </w:p>
        </w:tc>
        <w:tc>
          <w:tcPr>
            <w:tcW w:w="1134" w:type="dxa"/>
            <w:tcBorders>
              <w:top w:val="nil"/>
              <w:left w:val="single" w:sz="2" w:space="0" w:color="000000"/>
              <w:bottom w:val="single" w:sz="2" w:space="0" w:color="000000"/>
              <w:right w:val="nil"/>
            </w:tcBorders>
            <w:shd w:val="clear" w:color="auto" w:fill="FFFFFF"/>
            <w:tcMar>
              <w:left w:w="80" w:type="dxa"/>
              <w:right w:w="80" w:type="dxa"/>
            </w:tcMar>
          </w:tcPr>
          <w:p w14:paraId="06DD7E55" w14:textId="76457A14" w:rsidR="000C006A" w:rsidRPr="00FA38C7" w:rsidRDefault="000C006A" w:rsidP="00FA38C7">
            <w:pPr>
              <w:pStyle w:val="Tabletext1"/>
              <w:rPr>
                <w:rFonts w:ascii="Arial Narrow" w:hAnsi="Arial Narrow"/>
                <w:szCs w:val="20"/>
              </w:rPr>
            </w:pPr>
            <w:r w:rsidRPr="00FA38C7">
              <w:rPr>
                <w:rFonts w:ascii="Arial Narrow" w:hAnsi="Arial Narrow"/>
                <w:szCs w:val="20"/>
              </w:rPr>
              <w:t>0.50</w:t>
            </w:r>
            <w:r w:rsidRPr="00FA38C7">
              <w:rPr>
                <w:rFonts w:ascii="Arial Narrow" w:hAnsi="Arial Narrow"/>
                <w:szCs w:val="20"/>
                <w:vertAlign w:val="superscript"/>
              </w:rPr>
              <w:t>3</w:t>
            </w:r>
          </w:p>
        </w:tc>
        <w:tc>
          <w:tcPr>
            <w:tcW w:w="992" w:type="dxa"/>
            <w:tcBorders>
              <w:top w:val="nil"/>
              <w:left w:val="single" w:sz="2" w:space="0" w:color="000000"/>
              <w:bottom w:val="single" w:sz="2" w:space="0" w:color="000000"/>
              <w:right w:val="single" w:sz="2" w:space="0" w:color="000000"/>
            </w:tcBorders>
            <w:shd w:val="clear" w:color="auto" w:fill="FFFFFF"/>
          </w:tcPr>
          <w:p w14:paraId="13456C56" w14:textId="22ECE8AB" w:rsidR="000C006A" w:rsidRPr="00FA38C7" w:rsidRDefault="000C006A" w:rsidP="00FA38C7">
            <w:pPr>
              <w:pStyle w:val="Tabletext1"/>
              <w:rPr>
                <w:rFonts w:ascii="Arial Narrow" w:hAnsi="Arial Narrow"/>
                <w:szCs w:val="20"/>
              </w:rPr>
            </w:pPr>
            <w:r w:rsidRPr="00FA38C7">
              <w:rPr>
                <w:rFonts w:ascii="Arial Narrow" w:hAnsi="Arial Narrow"/>
                <w:szCs w:val="20"/>
              </w:rPr>
              <w:t>(0.50)</w:t>
            </w:r>
          </w:p>
        </w:tc>
        <w:tc>
          <w:tcPr>
            <w:tcW w:w="1276" w:type="dxa"/>
            <w:tcBorders>
              <w:top w:val="nil"/>
              <w:left w:val="single" w:sz="2" w:space="0" w:color="000000"/>
              <w:bottom w:val="single" w:sz="2" w:space="0" w:color="000000"/>
              <w:right w:val="nil"/>
            </w:tcBorders>
            <w:shd w:val="clear" w:color="auto" w:fill="FFFFFF"/>
            <w:tcMar>
              <w:left w:w="80" w:type="dxa"/>
              <w:right w:w="80" w:type="dxa"/>
            </w:tcMar>
          </w:tcPr>
          <w:p w14:paraId="7A443647" w14:textId="53C6F8D9" w:rsidR="000C006A" w:rsidRPr="00FA38C7" w:rsidRDefault="000C006A" w:rsidP="00FA38C7">
            <w:pPr>
              <w:pStyle w:val="Tabletext1"/>
              <w:rPr>
                <w:rFonts w:ascii="Arial Narrow" w:hAnsi="Arial Narrow"/>
                <w:szCs w:val="20"/>
              </w:rPr>
            </w:pPr>
            <w:r w:rsidRPr="00FA38C7">
              <w:rPr>
                <w:rFonts w:ascii="Arial Narrow" w:hAnsi="Arial Narrow"/>
                <w:szCs w:val="20"/>
              </w:rPr>
              <w:t>-0.11</w:t>
            </w:r>
          </w:p>
        </w:tc>
        <w:tc>
          <w:tcPr>
            <w:tcW w:w="1134" w:type="dxa"/>
            <w:tcBorders>
              <w:top w:val="nil"/>
              <w:left w:val="single" w:sz="2" w:space="0" w:color="000000"/>
              <w:bottom w:val="single" w:sz="2" w:space="0" w:color="000000"/>
              <w:right w:val="nil"/>
            </w:tcBorders>
            <w:shd w:val="clear" w:color="auto" w:fill="FFFFFF"/>
            <w:tcMar>
              <w:left w:w="80" w:type="dxa"/>
              <w:right w:w="80" w:type="dxa"/>
            </w:tcMar>
          </w:tcPr>
          <w:p w14:paraId="25E332DD" w14:textId="77777777" w:rsidR="000C006A" w:rsidRPr="00FA38C7" w:rsidRDefault="000C006A" w:rsidP="00FA38C7">
            <w:pPr>
              <w:pStyle w:val="Tabletext1"/>
              <w:rPr>
                <w:rFonts w:ascii="Arial Narrow" w:hAnsi="Arial Narrow"/>
                <w:szCs w:val="20"/>
              </w:rPr>
            </w:pPr>
            <w:r w:rsidRPr="00FA38C7">
              <w:rPr>
                <w:rFonts w:ascii="Arial Narrow" w:hAnsi="Arial Narrow"/>
                <w:szCs w:val="20"/>
              </w:rPr>
              <w:t>-0.25, 0.02</w:t>
            </w:r>
          </w:p>
        </w:tc>
        <w:tc>
          <w:tcPr>
            <w:tcW w:w="709" w:type="dxa"/>
            <w:tcBorders>
              <w:top w:val="nil"/>
              <w:left w:val="single" w:sz="2" w:space="0" w:color="000000"/>
              <w:bottom w:val="single" w:sz="2" w:space="0" w:color="000000"/>
              <w:right w:val="single" w:sz="6" w:space="0" w:color="000000"/>
            </w:tcBorders>
            <w:shd w:val="clear" w:color="auto" w:fill="FFFFFF"/>
            <w:tcMar>
              <w:left w:w="80" w:type="dxa"/>
              <w:right w:w="80" w:type="dxa"/>
            </w:tcMar>
          </w:tcPr>
          <w:p w14:paraId="1822FF83" w14:textId="77777777" w:rsidR="000C006A" w:rsidRPr="00FA38C7" w:rsidRDefault="000C006A" w:rsidP="00FA38C7">
            <w:pPr>
              <w:pStyle w:val="Tabletext1"/>
              <w:rPr>
                <w:rFonts w:ascii="Arial Narrow" w:hAnsi="Arial Narrow"/>
                <w:szCs w:val="20"/>
              </w:rPr>
            </w:pPr>
            <w:r w:rsidRPr="00FA38C7">
              <w:rPr>
                <w:rFonts w:ascii="Arial Narrow" w:hAnsi="Arial Narrow"/>
                <w:szCs w:val="20"/>
              </w:rPr>
              <w:t>0.09</w:t>
            </w:r>
          </w:p>
        </w:tc>
      </w:tr>
      <w:tr w:rsidR="000C006A" w:rsidRPr="00FA38C7" w14:paraId="436DA18D" w14:textId="77777777" w:rsidTr="000C006A">
        <w:trPr>
          <w:cantSplit/>
          <w:jc w:val="center"/>
        </w:trPr>
        <w:tc>
          <w:tcPr>
            <w:tcW w:w="972" w:type="dxa"/>
            <w:tcBorders>
              <w:top w:val="nil"/>
              <w:left w:val="single" w:sz="2" w:space="0" w:color="000000"/>
              <w:bottom w:val="single" w:sz="6" w:space="0" w:color="000000"/>
              <w:right w:val="single" w:sz="2" w:space="0" w:color="000000"/>
            </w:tcBorders>
            <w:shd w:val="clear" w:color="auto" w:fill="FFFFFF"/>
          </w:tcPr>
          <w:p w14:paraId="6E2D288B" w14:textId="77777777" w:rsidR="000C006A" w:rsidRPr="00FA38C7" w:rsidRDefault="000C006A" w:rsidP="00FA38C7">
            <w:pPr>
              <w:pStyle w:val="Tabletext1"/>
              <w:rPr>
                <w:rFonts w:ascii="Arial Narrow" w:hAnsi="Arial Narrow"/>
                <w:szCs w:val="20"/>
              </w:rPr>
            </w:pPr>
            <w:r w:rsidRPr="00FA38C7">
              <w:rPr>
                <w:rFonts w:ascii="Arial Narrow" w:hAnsi="Arial Narrow"/>
                <w:szCs w:val="20"/>
              </w:rPr>
              <w:t>12 months</w:t>
            </w:r>
          </w:p>
        </w:tc>
        <w:tc>
          <w:tcPr>
            <w:tcW w:w="1118" w:type="dxa"/>
            <w:tcBorders>
              <w:top w:val="nil"/>
              <w:left w:val="single" w:sz="2" w:space="0" w:color="000000"/>
              <w:bottom w:val="single" w:sz="6" w:space="0" w:color="000000"/>
              <w:right w:val="nil"/>
            </w:tcBorders>
            <w:shd w:val="clear" w:color="auto" w:fill="FFFFFF"/>
            <w:tcMar>
              <w:left w:w="80" w:type="dxa"/>
              <w:right w:w="80" w:type="dxa"/>
            </w:tcMar>
          </w:tcPr>
          <w:p w14:paraId="2C254DEE" w14:textId="646EC0C8" w:rsidR="000C006A" w:rsidRPr="00FA38C7" w:rsidRDefault="000C006A" w:rsidP="00FA38C7">
            <w:pPr>
              <w:pStyle w:val="Tabletext1"/>
              <w:rPr>
                <w:rFonts w:ascii="Arial Narrow" w:hAnsi="Arial Narrow"/>
                <w:szCs w:val="20"/>
              </w:rPr>
            </w:pPr>
            <w:r w:rsidRPr="00FA38C7">
              <w:rPr>
                <w:rFonts w:ascii="Arial Narrow" w:hAnsi="Arial Narrow"/>
                <w:szCs w:val="20"/>
              </w:rPr>
              <w:t>0.46</w:t>
            </w:r>
            <w:r w:rsidRPr="00FA38C7">
              <w:rPr>
                <w:rFonts w:ascii="Arial Narrow" w:hAnsi="Arial Narrow"/>
                <w:szCs w:val="20"/>
                <w:vertAlign w:val="superscript"/>
              </w:rPr>
              <w:t>2</w:t>
            </w:r>
            <w:r w:rsidRPr="00FA38C7">
              <w:rPr>
                <w:rFonts w:ascii="Arial Narrow" w:hAnsi="Arial Narrow"/>
                <w:szCs w:val="20"/>
              </w:rPr>
              <w:t xml:space="preserve"> </w:t>
            </w:r>
          </w:p>
        </w:tc>
        <w:tc>
          <w:tcPr>
            <w:tcW w:w="1065" w:type="dxa"/>
            <w:tcBorders>
              <w:top w:val="nil"/>
              <w:left w:val="single" w:sz="2" w:space="0" w:color="000000"/>
              <w:bottom w:val="single" w:sz="6" w:space="0" w:color="000000"/>
              <w:right w:val="single" w:sz="2" w:space="0" w:color="000000"/>
            </w:tcBorders>
            <w:shd w:val="clear" w:color="auto" w:fill="FFFFFF"/>
          </w:tcPr>
          <w:p w14:paraId="77DEB662" w14:textId="011D759E" w:rsidR="000C006A" w:rsidRPr="00FA38C7" w:rsidRDefault="000C006A" w:rsidP="00FA38C7">
            <w:pPr>
              <w:pStyle w:val="Tabletext1"/>
              <w:rPr>
                <w:rFonts w:ascii="Arial Narrow" w:hAnsi="Arial Narrow"/>
                <w:szCs w:val="20"/>
              </w:rPr>
            </w:pPr>
            <w:r w:rsidRPr="00FA38C7">
              <w:rPr>
                <w:rFonts w:ascii="Arial Narrow" w:hAnsi="Arial Narrow"/>
                <w:szCs w:val="20"/>
              </w:rPr>
              <w:t>(0.50)</w:t>
            </w:r>
          </w:p>
        </w:tc>
        <w:tc>
          <w:tcPr>
            <w:tcW w:w="1134" w:type="dxa"/>
            <w:tcBorders>
              <w:top w:val="nil"/>
              <w:left w:val="single" w:sz="2" w:space="0" w:color="000000"/>
              <w:bottom w:val="single" w:sz="6" w:space="0" w:color="000000"/>
              <w:right w:val="nil"/>
            </w:tcBorders>
            <w:shd w:val="clear" w:color="auto" w:fill="FFFFFF"/>
            <w:tcMar>
              <w:left w:w="80" w:type="dxa"/>
              <w:right w:w="80" w:type="dxa"/>
            </w:tcMar>
          </w:tcPr>
          <w:p w14:paraId="54563172" w14:textId="40737F0C" w:rsidR="000C006A" w:rsidRPr="00FA38C7" w:rsidRDefault="000C006A" w:rsidP="00FA38C7">
            <w:pPr>
              <w:pStyle w:val="Tabletext1"/>
              <w:rPr>
                <w:rFonts w:ascii="Arial Narrow" w:hAnsi="Arial Narrow"/>
                <w:szCs w:val="20"/>
              </w:rPr>
            </w:pPr>
            <w:r w:rsidRPr="00FA38C7">
              <w:rPr>
                <w:rFonts w:ascii="Arial Narrow" w:hAnsi="Arial Narrow"/>
                <w:szCs w:val="20"/>
              </w:rPr>
              <w:t>0.57</w:t>
            </w:r>
            <w:r w:rsidRPr="00FA38C7">
              <w:rPr>
                <w:rFonts w:ascii="Arial Narrow" w:hAnsi="Arial Narrow"/>
                <w:szCs w:val="20"/>
                <w:vertAlign w:val="superscript"/>
              </w:rPr>
              <w:t>4</w:t>
            </w:r>
            <w:r w:rsidRPr="00FA38C7">
              <w:rPr>
                <w:rFonts w:ascii="Arial Narrow" w:hAnsi="Arial Narrow"/>
                <w:szCs w:val="20"/>
              </w:rPr>
              <w:t xml:space="preserve"> </w:t>
            </w:r>
          </w:p>
        </w:tc>
        <w:tc>
          <w:tcPr>
            <w:tcW w:w="992" w:type="dxa"/>
            <w:tcBorders>
              <w:top w:val="nil"/>
              <w:left w:val="single" w:sz="2" w:space="0" w:color="000000"/>
              <w:bottom w:val="single" w:sz="6" w:space="0" w:color="000000"/>
              <w:right w:val="single" w:sz="2" w:space="0" w:color="000000"/>
            </w:tcBorders>
            <w:shd w:val="clear" w:color="auto" w:fill="FFFFFF"/>
          </w:tcPr>
          <w:p w14:paraId="345AA103" w14:textId="33F78A0B" w:rsidR="000C006A" w:rsidRPr="00FA38C7" w:rsidRDefault="000C006A" w:rsidP="00FA38C7">
            <w:pPr>
              <w:pStyle w:val="Tabletext1"/>
              <w:rPr>
                <w:rFonts w:ascii="Arial Narrow" w:hAnsi="Arial Narrow"/>
                <w:szCs w:val="20"/>
              </w:rPr>
            </w:pPr>
            <w:r w:rsidRPr="00FA38C7">
              <w:rPr>
                <w:rFonts w:ascii="Arial Narrow" w:hAnsi="Arial Narrow"/>
                <w:szCs w:val="20"/>
              </w:rPr>
              <w:t>(0.50)</w:t>
            </w:r>
          </w:p>
        </w:tc>
        <w:tc>
          <w:tcPr>
            <w:tcW w:w="1276" w:type="dxa"/>
            <w:tcBorders>
              <w:top w:val="nil"/>
              <w:left w:val="single" w:sz="2" w:space="0" w:color="000000"/>
              <w:bottom w:val="single" w:sz="6" w:space="0" w:color="000000"/>
              <w:right w:val="nil"/>
            </w:tcBorders>
            <w:shd w:val="clear" w:color="auto" w:fill="FFFFFF"/>
            <w:tcMar>
              <w:left w:w="80" w:type="dxa"/>
              <w:right w:w="80" w:type="dxa"/>
            </w:tcMar>
          </w:tcPr>
          <w:p w14:paraId="09B3D429" w14:textId="6959C800" w:rsidR="000C006A" w:rsidRPr="00FA38C7" w:rsidRDefault="000C006A" w:rsidP="00FA38C7">
            <w:pPr>
              <w:pStyle w:val="Tabletext1"/>
              <w:rPr>
                <w:rFonts w:ascii="Arial Narrow" w:hAnsi="Arial Narrow"/>
                <w:szCs w:val="20"/>
              </w:rPr>
            </w:pPr>
            <w:r w:rsidRPr="00FA38C7">
              <w:rPr>
                <w:rFonts w:ascii="Arial Narrow" w:hAnsi="Arial Narrow"/>
                <w:szCs w:val="20"/>
              </w:rPr>
              <w:t>-0.12</w:t>
            </w:r>
          </w:p>
        </w:tc>
        <w:tc>
          <w:tcPr>
            <w:tcW w:w="1134" w:type="dxa"/>
            <w:tcBorders>
              <w:top w:val="nil"/>
              <w:left w:val="single" w:sz="2" w:space="0" w:color="000000"/>
              <w:bottom w:val="single" w:sz="6" w:space="0" w:color="000000"/>
              <w:right w:val="nil"/>
            </w:tcBorders>
            <w:shd w:val="clear" w:color="auto" w:fill="FFFFFF"/>
            <w:tcMar>
              <w:left w:w="80" w:type="dxa"/>
              <w:right w:w="80" w:type="dxa"/>
            </w:tcMar>
          </w:tcPr>
          <w:p w14:paraId="52DED208" w14:textId="77777777" w:rsidR="000C006A" w:rsidRPr="00FA38C7" w:rsidRDefault="000C006A" w:rsidP="00FA38C7">
            <w:pPr>
              <w:pStyle w:val="Tabletext1"/>
              <w:rPr>
                <w:rFonts w:ascii="Arial Narrow" w:hAnsi="Arial Narrow"/>
                <w:szCs w:val="20"/>
              </w:rPr>
            </w:pPr>
            <w:r w:rsidRPr="00FA38C7">
              <w:rPr>
                <w:rFonts w:ascii="Arial Narrow" w:hAnsi="Arial Narrow"/>
                <w:szCs w:val="20"/>
              </w:rPr>
              <w:t>-0.26, 0.02</w:t>
            </w:r>
          </w:p>
        </w:tc>
        <w:tc>
          <w:tcPr>
            <w:tcW w:w="709" w:type="dxa"/>
            <w:tcBorders>
              <w:top w:val="nil"/>
              <w:left w:val="single" w:sz="2" w:space="0" w:color="000000"/>
              <w:bottom w:val="single" w:sz="6" w:space="0" w:color="000000"/>
              <w:right w:val="single" w:sz="6" w:space="0" w:color="000000"/>
            </w:tcBorders>
            <w:shd w:val="clear" w:color="auto" w:fill="FFFFFF"/>
            <w:tcMar>
              <w:left w:w="80" w:type="dxa"/>
              <w:right w:w="80" w:type="dxa"/>
            </w:tcMar>
          </w:tcPr>
          <w:p w14:paraId="492C4C08" w14:textId="77777777" w:rsidR="000C006A" w:rsidRPr="00FA38C7" w:rsidRDefault="000C006A" w:rsidP="00FA38C7">
            <w:pPr>
              <w:pStyle w:val="Tabletext1"/>
              <w:rPr>
                <w:rFonts w:ascii="Arial Narrow" w:hAnsi="Arial Narrow"/>
                <w:szCs w:val="20"/>
              </w:rPr>
            </w:pPr>
            <w:r w:rsidRPr="00FA38C7">
              <w:rPr>
                <w:rFonts w:ascii="Arial Narrow" w:hAnsi="Arial Narrow"/>
                <w:szCs w:val="20"/>
              </w:rPr>
              <w:t>0.10</w:t>
            </w:r>
          </w:p>
        </w:tc>
      </w:tr>
    </w:tbl>
    <w:p w14:paraId="666F93C5" w14:textId="1C622EB7" w:rsidR="00921F0D" w:rsidRPr="00E90B8E" w:rsidRDefault="00921F0D" w:rsidP="00897C5B">
      <w:pPr>
        <w:pStyle w:val="Caption"/>
      </w:pPr>
      <w:r w:rsidRPr="00E90B8E">
        <w:t>Table B-</w:t>
      </w:r>
      <w:r w:rsidR="007B3AF1">
        <w:t>10</w:t>
      </w:r>
      <w:r>
        <w:t xml:space="preserve">: </w:t>
      </w:r>
      <w:r w:rsidR="00BE5A1E">
        <w:t xml:space="preserve">Exploratory </w:t>
      </w:r>
      <w:r>
        <w:t>analyses of a 2-point MoCA decline between intervention and control arms</w:t>
      </w:r>
    </w:p>
    <w:p w14:paraId="3A0A862C" w14:textId="72B9C632" w:rsidR="007C745E" w:rsidRDefault="00921F0D" w:rsidP="00897C5B">
      <w:pPr>
        <w:pStyle w:val="Caption"/>
        <w:rPr>
          <w:lang w:val="en-US"/>
        </w:rPr>
      </w:pPr>
      <w:r w:rsidRPr="00A922DD">
        <w:rPr>
          <w:lang w:val="en-US"/>
        </w:rPr>
        <w:t xml:space="preserve">   *</w:t>
      </w:r>
      <w:proofErr w:type="gramStart"/>
      <w:r w:rsidRPr="00A922DD">
        <w:rPr>
          <w:lang w:val="en-US"/>
        </w:rPr>
        <w:t>adjusted</w:t>
      </w:r>
      <w:proofErr w:type="gramEnd"/>
      <w:r w:rsidRPr="00A922DD">
        <w:rPr>
          <w:lang w:val="en-US"/>
        </w:rPr>
        <w:t xml:space="preserve"> for gender, facility, MoCA at baseline and anticholinergic score at baseline</w:t>
      </w:r>
    </w:p>
    <w:p w14:paraId="4D75762B" w14:textId="1CBF552D" w:rsidR="000C006A" w:rsidRPr="000C006A" w:rsidRDefault="000C006A" w:rsidP="00897C5B">
      <w:pPr>
        <w:pStyle w:val="Caption"/>
        <w:rPr>
          <w:lang w:val="en-US"/>
        </w:rPr>
      </w:pPr>
      <w:r>
        <w:rPr>
          <w:lang w:val="en-US"/>
        </w:rPr>
        <w:t>**</w:t>
      </w:r>
      <w:r w:rsidRPr="000C006A">
        <w:rPr>
          <w:lang w:val="en-US"/>
        </w:rPr>
        <w:t>The number (n) used to calculate the mean for the intervention arm is n=1</w:t>
      </w:r>
      <w:r>
        <w:rPr>
          <w:lang w:val="en-US"/>
        </w:rPr>
        <w:t>01 for 6 months</w:t>
      </w:r>
      <w:r w:rsidRPr="000C006A">
        <w:rPr>
          <w:vertAlign w:val="superscript"/>
          <w:lang w:val="en-US"/>
        </w:rPr>
        <w:t>1</w:t>
      </w:r>
      <w:r>
        <w:rPr>
          <w:lang w:val="en-US"/>
        </w:rPr>
        <w:t>, and n= 8</w:t>
      </w:r>
      <w:r w:rsidRPr="000C006A">
        <w:rPr>
          <w:lang w:val="en-US"/>
        </w:rPr>
        <w:t>7 for 12 months</w:t>
      </w:r>
      <w:r w:rsidRPr="000C006A">
        <w:rPr>
          <w:vertAlign w:val="superscript"/>
          <w:lang w:val="en-US"/>
        </w:rPr>
        <w:t>2</w:t>
      </w:r>
      <w:r w:rsidRPr="000C006A">
        <w:rPr>
          <w:lang w:val="en-US"/>
        </w:rPr>
        <w:t>.</w:t>
      </w:r>
    </w:p>
    <w:p w14:paraId="5BF550CB" w14:textId="5D4AE250" w:rsidR="000C006A" w:rsidRDefault="000C006A" w:rsidP="00897C5B">
      <w:pPr>
        <w:pStyle w:val="Caption"/>
        <w:rPr>
          <w:lang w:val="en-US"/>
        </w:rPr>
      </w:pPr>
      <w:r>
        <w:rPr>
          <w:lang w:val="en-US"/>
        </w:rPr>
        <w:t>***</w:t>
      </w:r>
      <w:r w:rsidRPr="000C006A">
        <w:rPr>
          <w:lang w:val="en-US"/>
        </w:rPr>
        <w:t>The number (n) used to calculate the mean for the control arm is n=11</w:t>
      </w:r>
      <w:r>
        <w:rPr>
          <w:lang w:val="en-US"/>
        </w:rPr>
        <w:t>1 for 6 months</w:t>
      </w:r>
      <w:r w:rsidRPr="000C006A">
        <w:rPr>
          <w:vertAlign w:val="superscript"/>
          <w:lang w:val="en-US"/>
        </w:rPr>
        <w:t>3</w:t>
      </w:r>
      <w:r>
        <w:rPr>
          <w:lang w:val="en-US"/>
        </w:rPr>
        <w:t>, and n= 107</w:t>
      </w:r>
      <w:r w:rsidRPr="000C006A">
        <w:rPr>
          <w:lang w:val="en-US"/>
        </w:rPr>
        <w:t xml:space="preserve"> for 12 months</w:t>
      </w:r>
      <w:r w:rsidRPr="000C006A">
        <w:rPr>
          <w:vertAlign w:val="superscript"/>
          <w:lang w:val="en-US"/>
        </w:rPr>
        <w:t>4</w:t>
      </w:r>
      <w:r w:rsidRPr="000C006A">
        <w:rPr>
          <w:lang w:val="en-US"/>
        </w:rPr>
        <w:t>.</w:t>
      </w:r>
    </w:p>
    <w:p w14:paraId="4B044C0F" w14:textId="356E23D8" w:rsidR="00FB7ED1" w:rsidRDefault="00FB7ED1" w:rsidP="0091732C">
      <w:pPr>
        <w:pStyle w:val="Heading5"/>
      </w:pPr>
      <w:r>
        <w:t>Adverse events</w:t>
      </w:r>
    </w:p>
    <w:p w14:paraId="56CE0DFB" w14:textId="52784BCA" w:rsidR="00187F6A" w:rsidRDefault="00785138" w:rsidP="007501B9">
      <w:r w:rsidRPr="00F42B1D">
        <w:t xml:space="preserve">During the trial, </w:t>
      </w:r>
      <w:r w:rsidR="00921F0D" w:rsidRPr="007B3AF1">
        <w:t>19</w:t>
      </w:r>
      <w:r w:rsidR="00D929CA" w:rsidRPr="007B3AF1">
        <w:t>78</w:t>
      </w:r>
      <w:r w:rsidR="00921F0D" w:rsidRPr="007B3AF1">
        <w:t xml:space="preserve"> </w:t>
      </w:r>
      <w:r w:rsidRPr="007B3AF1">
        <w:t>adverse events were</w:t>
      </w:r>
      <w:r w:rsidRPr="00F42B1D">
        <w:t xml:space="preserve"> recorded for trial participants</w:t>
      </w:r>
      <w:r w:rsidR="007501B9">
        <w:t xml:space="preserve">. </w:t>
      </w:r>
      <w:proofErr w:type="gramStart"/>
      <w:r w:rsidRPr="00F42B1D">
        <w:t>The majority of</w:t>
      </w:r>
      <w:proofErr w:type="gramEnd"/>
      <w:r w:rsidRPr="00F42B1D">
        <w:t xml:space="preserve"> these adverse events were for falls or fracture, bleeding or bruising, or gastrointestinal </w:t>
      </w:r>
      <w:r w:rsidRPr="00F42B1D">
        <w:lastRenderedPageBreak/>
        <w:t>symptoms</w:t>
      </w:r>
      <w:r w:rsidR="007501B9">
        <w:t xml:space="preserve">. </w:t>
      </w:r>
      <w:r w:rsidRPr="00F42B1D">
        <w:t xml:space="preserve">No significant difference was observed in the rate of adverse </w:t>
      </w:r>
      <w:r w:rsidRPr="007B3AF1">
        <w:t>events (Table B-</w:t>
      </w:r>
      <w:r w:rsidR="00832854" w:rsidRPr="007B3AF1">
        <w:t>1</w:t>
      </w:r>
      <w:r w:rsidR="007B3AF1" w:rsidRPr="007B3AF1">
        <w:t>1</w:t>
      </w:r>
      <w:r w:rsidR="00832854" w:rsidRPr="007B3AF1">
        <w:t>).</w:t>
      </w:r>
    </w:p>
    <w:tbl>
      <w:tblPr>
        <w:tblpPr w:leftFromText="180" w:rightFromText="180" w:vertAnchor="text" w:horzAnchor="margin" w:tblpY="-64"/>
        <w:tblW w:w="5000" w:type="pct"/>
        <w:tblCellMar>
          <w:left w:w="0" w:type="dxa"/>
          <w:right w:w="0" w:type="dxa"/>
        </w:tblCellMar>
        <w:tblLook w:val="0000" w:firstRow="0" w:lastRow="0" w:firstColumn="0" w:lastColumn="0" w:noHBand="0" w:noVBand="0"/>
      </w:tblPr>
      <w:tblGrid>
        <w:gridCol w:w="1236"/>
        <w:gridCol w:w="698"/>
        <w:gridCol w:w="1450"/>
        <w:gridCol w:w="1085"/>
        <w:gridCol w:w="1060"/>
        <w:gridCol w:w="836"/>
        <w:gridCol w:w="1240"/>
        <w:gridCol w:w="786"/>
        <w:gridCol w:w="622"/>
      </w:tblGrid>
      <w:tr w:rsidR="00FA38C7" w:rsidRPr="00FA38C7" w14:paraId="03022C13" w14:textId="77777777" w:rsidTr="00FA38C7">
        <w:trPr>
          <w:cantSplit/>
          <w:tblHeader/>
        </w:trPr>
        <w:tc>
          <w:tcPr>
            <w:tcW w:w="685" w:type="pct"/>
            <w:tcBorders>
              <w:top w:val="single" w:sz="6" w:space="0" w:color="000000"/>
              <w:left w:val="single" w:sz="6" w:space="0" w:color="000000"/>
              <w:bottom w:val="single" w:sz="4" w:space="0" w:color="auto"/>
              <w:right w:val="nil"/>
            </w:tcBorders>
            <w:shd w:val="clear" w:color="auto" w:fill="000000" w:themeFill="text1"/>
            <w:tcMar>
              <w:left w:w="80" w:type="dxa"/>
              <w:right w:w="80" w:type="dxa"/>
            </w:tcMar>
          </w:tcPr>
          <w:bookmarkEnd w:id="183"/>
          <w:p w14:paraId="4AAF6977" w14:textId="77777777" w:rsidR="006958A4" w:rsidRPr="00FA38C7" w:rsidRDefault="006958A4" w:rsidP="00FA38C7">
            <w:pPr>
              <w:pStyle w:val="TableHeader"/>
              <w:rPr>
                <w:rFonts w:ascii="Arial Narrow" w:hAnsi="Arial Narrow"/>
                <w:sz w:val="20"/>
                <w:szCs w:val="20"/>
              </w:rPr>
            </w:pPr>
            <w:r w:rsidRPr="00FA38C7">
              <w:rPr>
                <w:rFonts w:ascii="Arial Narrow" w:hAnsi="Arial Narrow"/>
                <w:sz w:val="20"/>
                <w:szCs w:val="20"/>
              </w:rPr>
              <w:t>Outcome*</w:t>
            </w:r>
          </w:p>
        </w:tc>
        <w:tc>
          <w:tcPr>
            <w:tcW w:w="387" w:type="pct"/>
            <w:tcBorders>
              <w:top w:val="single" w:sz="6" w:space="0" w:color="000000"/>
              <w:left w:val="single" w:sz="2" w:space="0" w:color="000000"/>
              <w:bottom w:val="single" w:sz="4" w:space="0" w:color="auto"/>
              <w:right w:val="nil"/>
            </w:tcBorders>
            <w:shd w:val="clear" w:color="auto" w:fill="000000" w:themeFill="text1"/>
            <w:tcMar>
              <w:left w:w="80" w:type="dxa"/>
              <w:right w:w="80" w:type="dxa"/>
            </w:tcMar>
          </w:tcPr>
          <w:p w14:paraId="466DC456" w14:textId="77777777" w:rsidR="006958A4" w:rsidRPr="00FA38C7" w:rsidRDefault="006958A4" w:rsidP="00FA38C7">
            <w:pPr>
              <w:pStyle w:val="TableHeader"/>
              <w:rPr>
                <w:rFonts w:ascii="Arial Narrow" w:hAnsi="Arial Narrow"/>
                <w:sz w:val="20"/>
                <w:szCs w:val="20"/>
              </w:rPr>
            </w:pPr>
            <w:r w:rsidRPr="00FA38C7">
              <w:rPr>
                <w:rFonts w:ascii="Arial Narrow" w:hAnsi="Arial Narrow"/>
                <w:sz w:val="20"/>
                <w:szCs w:val="20"/>
              </w:rPr>
              <w:t>Trial Stage</w:t>
            </w:r>
          </w:p>
        </w:tc>
        <w:tc>
          <w:tcPr>
            <w:tcW w:w="805" w:type="pct"/>
            <w:tcBorders>
              <w:top w:val="single" w:sz="6" w:space="0" w:color="000000"/>
              <w:left w:val="single" w:sz="2" w:space="0" w:color="000000"/>
              <w:bottom w:val="single" w:sz="4" w:space="0" w:color="auto"/>
              <w:right w:val="nil"/>
            </w:tcBorders>
            <w:shd w:val="clear" w:color="auto" w:fill="000000" w:themeFill="text1"/>
            <w:tcMar>
              <w:left w:w="80" w:type="dxa"/>
              <w:right w:w="80" w:type="dxa"/>
            </w:tcMar>
          </w:tcPr>
          <w:p w14:paraId="424A7B27" w14:textId="38D9EA09" w:rsidR="006958A4" w:rsidRPr="00FA38C7" w:rsidRDefault="006958A4" w:rsidP="00FA38C7">
            <w:pPr>
              <w:pStyle w:val="TableHeader"/>
              <w:rPr>
                <w:rFonts w:ascii="Arial Narrow" w:hAnsi="Arial Narrow"/>
                <w:sz w:val="20"/>
                <w:szCs w:val="20"/>
              </w:rPr>
            </w:pPr>
            <w:r w:rsidRPr="00FA38C7">
              <w:rPr>
                <w:rFonts w:ascii="Arial Narrow" w:hAnsi="Arial Narrow"/>
                <w:sz w:val="20"/>
                <w:szCs w:val="20"/>
              </w:rPr>
              <w:t>Intervention***,</w:t>
            </w:r>
          </w:p>
          <w:p w14:paraId="7C11E35E" w14:textId="43EFB2FC" w:rsidR="006958A4" w:rsidRPr="00FA38C7" w:rsidRDefault="006958A4" w:rsidP="00FA38C7">
            <w:pPr>
              <w:pStyle w:val="TableHeader"/>
              <w:rPr>
                <w:rFonts w:ascii="Arial Narrow" w:hAnsi="Arial Narrow"/>
                <w:sz w:val="20"/>
                <w:szCs w:val="20"/>
              </w:rPr>
            </w:pPr>
            <w:r w:rsidRPr="00FA38C7">
              <w:rPr>
                <w:rFonts w:ascii="Arial Narrow" w:hAnsi="Arial Narrow"/>
                <w:sz w:val="20"/>
                <w:szCs w:val="20"/>
              </w:rPr>
              <w:t xml:space="preserve">Observed rate per month, </w:t>
            </w:r>
            <w:r w:rsidRPr="00FA38C7">
              <w:rPr>
                <w:rFonts w:ascii="Arial Narrow" w:hAnsi="Arial Narrow"/>
                <w:sz w:val="20"/>
                <w:szCs w:val="20"/>
              </w:rPr>
              <w:br/>
              <w:t>Mean change</w:t>
            </w:r>
          </w:p>
        </w:tc>
        <w:tc>
          <w:tcPr>
            <w:tcW w:w="602" w:type="pct"/>
            <w:tcBorders>
              <w:top w:val="single" w:sz="6" w:space="0" w:color="000000"/>
              <w:left w:val="single" w:sz="2" w:space="0" w:color="000000"/>
              <w:bottom w:val="single" w:sz="4" w:space="0" w:color="auto"/>
              <w:right w:val="nil"/>
            </w:tcBorders>
            <w:shd w:val="clear" w:color="auto" w:fill="000000" w:themeFill="text1"/>
          </w:tcPr>
          <w:p w14:paraId="2FE0751F" w14:textId="77777777" w:rsidR="006958A4" w:rsidRPr="00FA38C7" w:rsidRDefault="006958A4" w:rsidP="00FA38C7">
            <w:pPr>
              <w:pStyle w:val="TableHeader"/>
              <w:rPr>
                <w:rFonts w:ascii="Arial Narrow" w:hAnsi="Arial Narrow"/>
                <w:sz w:val="20"/>
                <w:szCs w:val="20"/>
              </w:rPr>
            </w:pPr>
            <w:r w:rsidRPr="00FA38C7">
              <w:rPr>
                <w:rFonts w:ascii="Arial Narrow" w:hAnsi="Arial Narrow"/>
                <w:sz w:val="20"/>
                <w:szCs w:val="20"/>
              </w:rPr>
              <w:t>Intervention,</w:t>
            </w:r>
          </w:p>
          <w:p w14:paraId="554C7BF7" w14:textId="47517FC2" w:rsidR="006958A4" w:rsidRPr="00FA38C7" w:rsidRDefault="006958A4" w:rsidP="00FA38C7">
            <w:pPr>
              <w:pStyle w:val="TableHeader"/>
              <w:rPr>
                <w:rFonts w:ascii="Arial Narrow" w:hAnsi="Arial Narrow"/>
                <w:sz w:val="20"/>
                <w:szCs w:val="20"/>
              </w:rPr>
            </w:pPr>
            <w:r w:rsidRPr="00FA38C7">
              <w:rPr>
                <w:rFonts w:ascii="Arial Narrow" w:hAnsi="Arial Narrow"/>
                <w:sz w:val="20"/>
                <w:szCs w:val="20"/>
              </w:rPr>
              <w:t xml:space="preserve">Observed rate per </w:t>
            </w:r>
            <w:proofErr w:type="gramStart"/>
            <w:r w:rsidRPr="00FA38C7">
              <w:rPr>
                <w:rFonts w:ascii="Arial Narrow" w:hAnsi="Arial Narrow"/>
                <w:sz w:val="20"/>
                <w:szCs w:val="20"/>
              </w:rPr>
              <w:t>month ,change</w:t>
            </w:r>
            <w:proofErr w:type="gramEnd"/>
            <w:r w:rsidRPr="00FA38C7">
              <w:rPr>
                <w:rFonts w:ascii="Arial Narrow" w:hAnsi="Arial Narrow"/>
                <w:sz w:val="20"/>
                <w:szCs w:val="20"/>
              </w:rPr>
              <w:t xml:space="preserve"> error (SE)</w:t>
            </w:r>
          </w:p>
        </w:tc>
        <w:tc>
          <w:tcPr>
            <w:tcW w:w="588" w:type="pct"/>
            <w:tcBorders>
              <w:top w:val="single" w:sz="6" w:space="0" w:color="000000"/>
              <w:left w:val="single" w:sz="2" w:space="0" w:color="000000"/>
              <w:bottom w:val="single" w:sz="4" w:space="0" w:color="auto"/>
              <w:right w:val="nil"/>
            </w:tcBorders>
            <w:shd w:val="clear" w:color="auto" w:fill="000000" w:themeFill="text1"/>
            <w:tcMar>
              <w:left w:w="80" w:type="dxa"/>
              <w:right w:w="80" w:type="dxa"/>
            </w:tcMar>
          </w:tcPr>
          <w:p w14:paraId="7E3A95B2" w14:textId="77777777" w:rsidR="006958A4" w:rsidRPr="00FA38C7" w:rsidRDefault="006958A4" w:rsidP="00FA38C7">
            <w:pPr>
              <w:pStyle w:val="TableHeader"/>
              <w:rPr>
                <w:rFonts w:ascii="Arial Narrow" w:hAnsi="Arial Narrow"/>
                <w:sz w:val="20"/>
                <w:szCs w:val="20"/>
              </w:rPr>
            </w:pPr>
            <w:r w:rsidRPr="00FA38C7">
              <w:rPr>
                <w:rFonts w:ascii="Arial Narrow" w:hAnsi="Arial Narrow"/>
                <w:sz w:val="20"/>
                <w:szCs w:val="20"/>
              </w:rPr>
              <w:t>Control***,</w:t>
            </w:r>
          </w:p>
          <w:p w14:paraId="1BA3E3C7" w14:textId="1C9F03DB" w:rsidR="006958A4" w:rsidRPr="00FA38C7" w:rsidRDefault="006958A4" w:rsidP="00FA38C7">
            <w:pPr>
              <w:pStyle w:val="TableHeader"/>
              <w:rPr>
                <w:rFonts w:ascii="Arial Narrow" w:hAnsi="Arial Narrow"/>
                <w:sz w:val="20"/>
                <w:szCs w:val="20"/>
              </w:rPr>
            </w:pPr>
            <w:r w:rsidRPr="00FA38C7">
              <w:rPr>
                <w:rFonts w:ascii="Arial Narrow" w:hAnsi="Arial Narrow"/>
                <w:sz w:val="20"/>
                <w:szCs w:val="20"/>
              </w:rPr>
              <w:t xml:space="preserve">Observed rate per month, </w:t>
            </w:r>
            <w:r w:rsidRPr="00FA38C7">
              <w:rPr>
                <w:rFonts w:ascii="Arial Narrow" w:hAnsi="Arial Narrow"/>
                <w:sz w:val="20"/>
                <w:szCs w:val="20"/>
              </w:rPr>
              <w:br/>
              <w:t xml:space="preserve"> Mean change</w:t>
            </w:r>
          </w:p>
        </w:tc>
        <w:tc>
          <w:tcPr>
            <w:tcW w:w="464" w:type="pct"/>
            <w:tcBorders>
              <w:top w:val="single" w:sz="6" w:space="0" w:color="000000"/>
              <w:left w:val="single" w:sz="2" w:space="0" w:color="000000"/>
              <w:bottom w:val="single" w:sz="4" w:space="0" w:color="auto"/>
              <w:right w:val="single" w:sz="2" w:space="0" w:color="000000"/>
            </w:tcBorders>
            <w:shd w:val="clear" w:color="auto" w:fill="000000" w:themeFill="text1"/>
          </w:tcPr>
          <w:p w14:paraId="402B7E7F" w14:textId="77777777" w:rsidR="006958A4" w:rsidRPr="00FA38C7" w:rsidRDefault="006958A4" w:rsidP="00FA38C7">
            <w:pPr>
              <w:pStyle w:val="TableHeader"/>
              <w:rPr>
                <w:rFonts w:ascii="Arial Narrow" w:hAnsi="Arial Narrow"/>
                <w:sz w:val="20"/>
                <w:szCs w:val="20"/>
              </w:rPr>
            </w:pPr>
            <w:r w:rsidRPr="00FA38C7">
              <w:rPr>
                <w:rFonts w:ascii="Arial Narrow" w:hAnsi="Arial Narrow"/>
                <w:sz w:val="20"/>
                <w:szCs w:val="20"/>
              </w:rPr>
              <w:t>Control,</w:t>
            </w:r>
          </w:p>
          <w:p w14:paraId="7966095A" w14:textId="39460A33" w:rsidR="006958A4" w:rsidRPr="00FA38C7" w:rsidRDefault="006958A4" w:rsidP="00FA38C7">
            <w:pPr>
              <w:pStyle w:val="TableHeader"/>
              <w:rPr>
                <w:rFonts w:ascii="Arial Narrow" w:hAnsi="Arial Narrow"/>
                <w:sz w:val="20"/>
                <w:szCs w:val="20"/>
              </w:rPr>
            </w:pPr>
            <w:r w:rsidRPr="00FA38C7">
              <w:rPr>
                <w:rFonts w:ascii="Arial Narrow" w:hAnsi="Arial Narrow"/>
                <w:sz w:val="20"/>
                <w:szCs w:val="20"/>
              </w:rPr>
              <w:t xml:space="preserve">Observed rate per month </w:t>
            </w:r>
            <w:r w:rsidRPr="00FA38C7">
              <w:rPr>
                <w:rFonts w:ascii="Arial Narrow" w:hAnsi="Arial Narrow"/>
                <w:sz w:val="20"/>
                <w:szCs w:val="20"/>
              </w:rPr>
              <w:br/>
              <w:t>change error (SE)</w:t>
            </w:r>
          </w:p>
        </w:tc>
        <w:tc>
          <w:tcPr>
            <w:tcW w:w="688" w:type="pct"/>
            <w:tcBorders>
              <w:top w:val="single" w:sz="6" w:space="0" w:color="000000"/>
              <w:left w:val="single" w:sz="2" w:space="0" w:color="000000"/>
              <w:bottom w:val="single" w:sz="4" w:space="0" w:color="auto"/>
              <w:right w:val="nil"/>
            </w:tcBorders>
            <w:shd w:val="clear" w:color="auto" w:fill="000000" w:themeFill="text1"/>
            <w:tcMar>
              <w:left w:w="80" w:type="dxa"/>
              <w:right w:w="80" w:type="dxa"/>
            </w:tcMar>
          </w:tcPr>
          <w:p w14:paraId="24CF58D0" w14:textId="77777777" w:rsidR="00F466F2" w:rsidRPr="00FA38C7" w:rsidRDefault="00F466F2" w:rsidP="00FA38C7">
            <w:pPr>
              <w:pStyle w:val="TableHeader"/>
              <w:rPr>
                <w:rFonts w:ascii="Arial Narrow" w:hAnsi="Arial Narrow"/>
                <w:sz w:val="20"/>
                <w:szCs w:val="20"/>
              </w:rPr>
            </w:pPr>
            <w:r w:rsidRPr="00FA38C7">
              <w:rPr>
                <w:rFonts w:ascii="Arial Narrow" w:hAnsi="Arial Narrow"/>
                <w:sz w:val="20"/>
                <w:szCs w:val="20"/>
              </w:rPr>
              <w:t>Modelled</w:t>
            </w:r>
          </w:p>
          <w:p w14:paraId="40B5F255" w14:textId="018F1AAE" w:rsidR="006958A4" w:rsidRPr="00FA38C7" w:rsidRDefault="006958A4" w:rsidP="00FA38C7">
            <w:pPr>
              <w:pStyle w:val="TableHeader"/>
              <w:rPr>
                <w:rFonts w:ascii="Arial Narrow" w:hAnsi="Arial Narrow"/>
                <w:sz w:val="20"/>
                <w:szCs w:val="20"/>
              </w:rPr>
            </w:pPr>
            <w:r w:rsidRPr="00FA38C7">
              <w:rPr>
                <w:rFonts w:ascii="Arial Narrow" w:hAnsi="Arial Narrow"/>
                <w:sz w:val="20"/>
                <w:szCs w:val="20"/>
              </w:rPr>
              <w:t>Estimate Intervention/</w:t>
            </w:r>
            <w:r w:rsidR="00B268D3" w:rsidRPr="00FA38C7">
              <w:rPr>
                <w:rFonts w:ascii="Arial Narrow" w:hAnsi="Arial Narrow"/>
                <w:sz w:val="20"/>
                <w:szCs w:val="20"/>
              </w:rPr>
              <w:t xml:space="preserve"> </w:t>
            </w:r>
            <w:r w:rsidRPr="00FA38C7">
              <w:rPr>
                <w:rFonts w:ascii="Arial Narrow" w:hAnsi="Arial Narrow"/>
                <w:sz w:val="20"/>
                <w:szCs w:val="20"/>
              </w:rPr>
              <w:t>Control</w:t>
            </w:r>
          </w:p>
        </w:tc>
        <w:tc>
          <w:tcPr>
            <w:tcW w:w="436" w:type="pct"/>
            <w:tcBorders>
              <w:top w:val="single" w:sz="6" w:space="0" w:color="000000"/>
              <w:left w:val="single" w:sz="2" w:space="0" w:color="000000"/>
              <w:bottom w:val="single" w:sz="4" w:space="0" w:color="auto"/>
              <w:right w:val="single" w:sz="2" w:space="0" w:color="000000"/>
            </w:tcBorders>
            <w:shd w:val="clear" w:color="auto" w:fill="000000" w:themeFill="text1"/>
          </w:tcPr>
          <w:p w14:paraId="3EDDFCBF" w14:textId="77777777" w:rsidR="00F466F2" w:rsidRPr="00FA38C7" w:rsidRDefault="00F466F2" w:rsidP="00FA38C7">
            <w:pPr>
              <w:pStyle w:val="TableHeader"/>
              <w:rPr>
                <w:rFonts w:ascii="Arial Narrow" w:hAnsi="Arial Narrow"/>
                <w:sz w:val="20"/>
                <w:szCs w:val="20"/>
              </w:rPr>
            </w:pPr>
            <w:r w:rsidRPr="00FA38C7">
              <w:rPr>
                <w:rFonts w:ascii="Arial Narrow" w:hAnsi="Arial Narrow"/>
                <w:sz w:val="20"/>
                <w:szCs w:val="20"/>
              </w:rPr>
              <w:t>Modelled</w:t>
            </w:r>
          </w:p>
          <w:p w14:paraId="1F1E7542" w14:textId="63DA0AD2" w:rsidR="006958A4" w:rsidRPr="00FA38C7" w:rsidRDefault="006958A4" w:rsidP="00FA38C7">
            <w:pPr>
              <w:pStyle w:val="TableHeader"/>
              <w:rPr>
                <w:rFonts w:ascii="Arial Narrow" w:hAnsi="Arial Narrow"/>
                <w:sz w:val="20"/>
                <w:szCs w:val="20"/>
              </w:rPr>
            </w:pPr>
            <w:r w:rsidRPr="00FA38C7">
              <w:rPr>
                <w:rFonts w:ascii="Arial Narrow" w:hAnsi="Arial Narrow"/>
                <w:sz w:val="20"/>
                <w:szCs w:val="20"/>
              </w:rPr>
              <w:t>Estimate A/B variation (95% CI)</w:t>
            </w:r>
          </w:p>
        </w:tc>
        <w:tc>
          <w:tcPr>
            <w:tcW w:w="345" w:type="pct"/>
            <w:tcBorders>
              <w:top w:val="single" w:sz="6" w:space="0" w:color="000000"/>
              <w:left w:val="single" w:sz="2" w:space="0" w:color="000000"/>
              <w:bottom w:val="single" w:sz="4" w:space="0" w:color="auto"/>
              <w:right w:val="single" w:sz="4" w:space="0" w:color="auto"/>
            </w:tcBorders>
            <w:shd w:val="clear" w:color="auto" w:fill="000000" w:themeFill="text1"/>
            <w:tcMar>
              <w:left w:w="80" w:type="dxa"/>
              <w:right w:w="80" w:type="dxa"/>
            </w:tcMar>
          </w:tcPr>
          <w:p w14:paraId="6E85184D" w14:textId="77777777" w:rsidR="006958A4" w:rsidRPr="00FA38C7" w:rsidRDefault="006958A4" w:rsidP="00FA38C7">
            <w:pPr>
              <w:pStyle w:val="TableHeader"/>
              <w:rPr>
                <w:rFonts w:ascii="Arial Narrow" w:hAnsi="Arial Narrow"/>
                <w:sz w:val="20"/>
                <w:szCs w:val="20"/>
              </w:rPr>
            </w:pPr>
            <w:r w:rsidRPr="00FA38C7">
              <w:rPr>
                <w:rFonts w:ascii="Arial Narrow" w:hAnsi="Arial Narrow"/>
                <w:sz w:val="20"/>
                <w:szCs w:val="20"/>
              </w:rPr>
              <w:t>P-value</w:t>
            </w:r>
          </w:p>
        </w:tc>
      </w:tr>
      <w:tr w:rsidR="00FA38C7" w:rsidRPr="00FA38C7" w14:paraId="150C9C27" w14:textId="77777777" w:rsidTr="00FA38C7">
        <w:trPr>
          <w:cantSplit/>
        </w:trPr>
        <w:tc>
          <w:tcPr>
            <w:tcW w:w="685" w:type="pct"/>
            <w:vMerge w:val="restart"/>
            <w:tcBorders>
              <w:top w:val="single" w:sz="4" w:space="0" w:color="auto"/>
              <w:left w:val="single" w:sz="6" w:space="0" w:color="000000"/>
              <w:right w:val="nil"/>
            </w:tcBorders>
            <w:shd w:val="clear" w:color="auto" w:fill="FFFFFF"/>
            <w:tcMar>
              <w:left w:w="80" w:type="dxa"/>
              <w:right w:w="80" w:type="dxa"/>
            </w:tcMar>
          </w:tcPr>
          <w:p w14:paraId="0561902D" w14:textId="77777777" w:rsidR="00FA38C7" w:rsidRPr="00FA38C7" w:rsidRDefault="00FA38C7" w:rsidP="00FA38C7">
            <w:pPr>
              <w:pStyle w:val="Tabletext1"/>
              <w:rPr>
                <w:rFonts w:ascii="Arial Narrow" w:hAnsi="Arial Narrow"/>
                <w:b/>
                <w:bCs/>
                <w:szCs w:val="20"/>
              </w:rPr>
            </w:pPr>
            <w:r w:rsidRPr="00FA38C7">
              <w:rPr>
                <w:rFonts w:ascii="Arial Narrow" w:hAnsi="Arial Narrow"/>
                <w:b/>
                <w:bCs/>
                <w:szCs w:val="20"/>
              </w:rPr>
              <w:t>Adverse events RR A/B**</w:t>
            </w:r>
          </w:p>
        </w:tc>
        <w:tc>
          <w:tcPr>
            <w:tcW w:w="387" w:type="pct"/>
            <w:tcBorders>
              <w:top w:val="single" w:sz="4" w:space="0" w:color="auto"/>
              <w:left w:val="single" w:sz="2" w:space="0" w:color="000000"/>
              <w:bottom w:val="single" w:sz="2" w:space="0" w:color="000000"/>
              <w:right w:val="nil"/>
            </w:tcBorders>
            <w:shd w:val="clear" w:color="auto" w:fill="FFFFFF"/>
            <w:tcMar>
              <w:left w:w="80" w:type="dxa"/>
              <w:right w:w="80" w:type="dxa"/>
            </w:tcMar>
            <w:vAlign w:val="center"/>
          </w:tcPr>
          <w:p w14:paraId="0AE4B577" w14:textId="77777777" w:rsidR="00FA38C7" w:rsidRPr="00FA38C7" w:rsidRDefault="00FA38C7" w:rsidP="00FA38C7">
            <w:pPr>
              <w:pStyle w:val="Tabletext1"/>
              <w:rPr>
                <w:rFonts w:ascii="Arial Narrow" w:hAnsi="Arial Narrow"/>
                <w:szCs w:val="20"/>
              </w:rPr>
            </w:pPr>
            <w:r w:rsidRPr="00FA38C7">
              <w:rPr>
                <w:rFonts w:ascii="Arial Narrow" w:hAnsi="Arial Narrow"/>
                <w:szCs w:val="20"/>
              </w:rPr>
              <w:t>6 Months</w:t>
            </w:r>
          </w:p>
        </w:tc>
        <w:tc>
          <w:tcPr>
            <w:tcW w:w="805" w:type="pct"/>
            <w:tcBorders>
              <w:top w:val="single" w:sz="4" w:space="0" w:color="auto"/>
              <w:left w:val="single" w:sz="2" w:space="0" w:color="000000"/>
              <w:bottom w:val="single" w:sz="2" w:space="0" w:color="000000"/>
              <w:right w:val="nil"/>
            </w:tcBorders>
            <w:shd w:val="clear" w:color="auto" w:fill="FFFFFF"/>
            <w:tcMar>
              <w:left w:w="80" w:type="dxa"/>
              <w:right w:w="80" w:type="dxa"/>
            </w:tcMar>
            <w:vAlign w:val="center"/>
          </w:tcPr>
          <w:p w14:paraId="031259A9" w14:textId="77777777" w:rsidR="00FA38C7" w:rsidRPr="00FA38C7" w:rsidRDefault="00FA38C7" w:rsidP="00FA38C7">
            <w:pPr>
              <w:pStyle w:val="Tabletext1"/>
              <w:jc w:val="right"/>
              <w:rPr>
                <w:rFonts w:ascii="Arial Narrow" w:hAnsi="Arial Narrow"/>
                <w:szCs w:val="20"/>
              </w:rPr>
            </w:pPr>
            <w:r w:rsidRPr="00FA38C7">
              <w:rPr>
                <w:rFonts w:ascii="Arial Narrow" w:hAnsi="Arial Narrow"/>
                <w:szCs w:val="20"/>
              </w:rPr>
              <w:t>0.510</w:t>
            </w:r>
          </w:p>
        </w:tc>
        <w:tc>
          <w:tcPr>
            <w:tcW w:w="602" w:type="pct"/>
            <w:tcBorders>
              <w:top w:val="single" w:sz="4" w:space="0" w:color="auto"/>
              <w:left w:val="single" w:sz="2" w:space="0" w:color="000000"/>
              <w:bottom w:val="single" w:sz="2" w:space="0" w:color="000000"/>
              <w:right w:val="nil"/>
            </w:tcBorders>
            <w:shd w:val="clear" w:color="auto" w:fill="FFFFFF"/>
            <w:vAlign w:val="center"/>
          </w:tcPr>
          <w:p w14:paraId="72065EE5" w14:textId="77777777" w:rsidR="00FA38C7" w:rsidRPr="00FA38C7" w:rsidRDefault="00FA38C7" w:rsidP="00FA38C7">
            <w:pPr>
              <w:pStyle w:val="Tabletext1"/>
              <w:jc w:val="right"/>
              <w:rPr>
                <w:rFonts w:ascii="Arial Narrow" w:hAnsi="Arial Narrow"/>
                <w:szCs w:val="20"/>
              </w:rPr>
            </w:pPr>
            <w:r w:rsidRPr="00FA38C7">
              <w:rPr>
                <w:rFonts w:ascii="Arial Narrow" w:hAnsi="Arial Narrow"/>
                <w:szCs w:val="20"/>
              </w:rPr>
              <w:t>0.607</w:t>
            </w:r>
          </w:p>
        </w:tc>
        <w:tc>
          <w:tcPr>
            <w:tcW w:w="588" w:type="pct"/>
            <w:tcBorders>
              <w:top w:val="single" w:sz="4" w:space="0" w:color="auto"/>
              <w:left w:val="single" w:sz="2" w:space="0" w:color="000000"/>
              <w:bottom w:val="single" w:sz="2" w:space="0" w:color="000000"/>
              <w:right w:val="nil"/>
            </w:tcBorders>
            <w:shd w:val="clear" w:color="auto" w:fill="FFFFFF"/>
            <w:tcMar>
              <w:left w:w="80" w:type="dxa"/>
              <w:right w:w="80" w:type="dxa"/>
            </w:tcMar>
            <w:vAlign w:val="center"/>
          </w:tcPr>
          <w:p w14:paraId="59625C6C" w14:textId="77777777" w:rsidR="00FA38C7" w:rsidRPr="00FA38C7" w:rsidRDefault="00FA38C7" w:rsidP="00FA38C7">
            <w:pPr>
              <w:pStyle w:val="Tabletext1"/>
              <w:jc w:val="right"/>
              <w:rPr>
                <w:rFonts w:ascii="Arial Narrow" w:hAnsi="Arial Narrow"/>
                <w:szCs w:val="20"/>
              </w:rPr>
            </w:pPr>
            <w:r w:rsidRPr="00FA38C7">
              <w:rPr>
                <w:rFonts w:ascii="Arial Narrow" w:hAnsi="Arial Narrow"/>
                <w:szCs w:val="20"/>
              </w:rPr>
              <w:t>0.541</w:t>
            </w:r>
          </w:p>
        </w:tc>
        <w:tc>
          <w:tcPr>
            <w:tcW w:w="464" w:type="pct"/>
            <w:tcBorders>
              <w:top w:val="single" w:sz="4" w:space="0" w:color="auto"/>
              <w:left w:val="single" w:sz="2" w:space="0" w:color="000000"/>
              <w:bottom w:val="single" w:sz="2" w:space="0" w:color="000000"/>
              <w:right w:val="nil"/>
            </w:tcBorders>
            <w:shd w:val="clear" w:color="auto" w:fill="FFFFFF"/>
            <w:vAlign w:val="center"/>
          </w:tcPr>
          <w:p w14:paraId="2D80894E" w14:textId="77777777" w:rsidR="00FA38C7" w:rsidRPr="00FA38C7" w:rsidRDefault="00FA38C7" w:rsidP="00FA38C7">
            <w:pPr>
              <w:pStyle w:val="Tabletext1"/>
              <w:jc w:val="right"/>
              <w:rPr>
                <w:rFonts w:ascii="Arial Narrow" w:hAnsi="Arial Narrow"/>
                <w:szCs w:val="20"/>
              </w:rPr>
            </w:pPr>
            <w:r w:rsidRPr="00FA38C7">
              <w:rPr>
                <w:rFonts w:ascii="Arial Narrow" w:hAnsi="Arial Narrow"/>
                <w:szCs w:val="20"/>
              </w:rPr>
              <w:t>0.667</w:t>
            </w:r>
          </w:p>
        </w:tc>
        <w:tc>
          <w:tcPr>
            <w:tcW w:w="688" w:type="pct"/>
            <w:tcBorders>
              <w:top w:val="single" w:sz="4" w:space="0" w:color="auto"/>
              <w:left w:val="single" w:sz="2" w:space="0" w:color="000000"/>
              <w:bottom w:val="single" w:sz="2" w:space="0" w:color="000000"/>
              <w:right w:val="nil"/>
            </w:tcBorders>
            <w:shd w:val="clear" w:color="auto" w:fill="FFFFFF"/>
            <w:tcMar>
              <w:left w:w="80" w:type="dxa"/>
              <w:right w:w="80" w:type="dxa"/>
            </w:tcMar>
            <w:vAlign w:val="center"/>
          </w:tcPr>
          <w:p w14:paraId="6C902E45" w14:textId="77777777" w:rsidR="00FA38C7" w:rsidRPr="00FA38C7" w:rsidRDefault="00FA38C7" w:rsidP="00FA38C7">
            <w:pPr>
              <w:pStyle w:val="Tabletext1"/>
              <w:jc w:val="right"/>
              <w:rPr>
                <w:rFonts w:ascii="Arial Narrow" w:hAnsi="Arial Narrow"/>
                <w:szCs w:val="20"/>
              </w:rPr>
            </w:pPr>
            <w:r w:rsidRPr="00FA38C7">
              <w:rPr>
                <w:rFonts w:ascii="Arial Narrow" w:hAnsi="Arial Narrow"/>
                <w:szCs w:val="20"/>
              </w:rPr>
              <w:t>0.97</w:t>
            </w:r>
          </w:p>
        </w:tc>
        <w:tc>
          <w:tcPr>
            <w:tcW w:w="436" w:type="pct"/>
            <w:tcBorders>
              <w:top w:val="single" w:sz="4" w:space="0" w:color="auto"/>
              <w:left w:val="single" w:sz="2" w:space="0" w:color="000000"/>
              <w:bottom w:val="single" w:sz="2" w:space="0" w:color="000000"/>
              <w:right w:val="nil"/>
            </w:tcBorders>
            <w:shd w:val="clear" w:color="auto" w:fill="FFFFFF"/>
            <w:vAlign w:val="center"/>
          </w:tcPr>
          <w:p w14:paraId="724BF3B7" w14:textId="77777777" w:rsidR="00FA38C7" w:rsidRPr="00FA38C7" w:rsidRDefault="00FA38C7" w:rsidP="00FA38C7">
            <w:pPr>
              <w:pStyle w:val="Tabletext1"/>
              <w:jc w:val="right"/>
              <w:rPr>
                <w:rFonts w:ascii="Arial Narrow" w:hAnsi="Arial Narrow"/>
                <w:szCs w:val="20"/>
              </w:rPr>
            </w:pPr>
            <w:r w:rsidRPr="00FA38C7">
              <w:rPr>
                <w:rFonts w:ascii="Arial Narrow" w:hAnsi="Arial Narrow"/>
                <w:szCs w:val="20"/>
              </w:rPr>
              <w:t>0.71, 1.32</w:t>
            </w:r>
          </w:p>
        </w:tc>
        <w:tc>
          <w:tcPr>
            <w:tcW w:w="345" w:type="pct"/>
            <w:tcBorders>
              <w:top w:val="single" w:sz="4" w:space="0" w:color="auto"/>
              <w:left w:val="single" w:sz="2" w:space="0" w:color="000000"/>
              <w:bottom w:val="single" w:sz="2" w:space="0" w:color="000000"/>
              <w:right w:val="single" w:sz="4" w:space="0" w:color="auto"/>
            </w:tcBorders>
            <w:shd w:val="clear" w:color="auto" w:fill="FFFFFF"/>
            <w:tcMar>
              <w:left w:w="80" w:type="dxa"/>
              <w:right w:w="80" w:type="dxa"/>
            </w:tcMar>
            <w:vAlign w:val="center"/>
          </w:tcPr>
          <w:p w14:paraId="66D1ADFC" w14:textId="77777777" w:rsidR="00FA38C7" w:rsidRPr="00FA38C7" w:rsidRDefault="00FA38C7" w:rsidP="00FA38C7">
            <w:pPr>
              <w:pStyle w:val="Tabletext1"/>
              <w:jc w:val="right"/>
              <w:rPr>
                <w:rFonts w:ascii="Arial Narrow" w:hAnsi="Arial Narrow"/>
                <w:szCs w:val="20"/>
              </w:rPr>
            </w:pPr>
            <w:r w:rsidRPr="00FA38C7">
              <w:rPr>
                <w:rFonts w:ascii="Arial Narrow" w:hAnsi="Arial Narrow"/>
                <w:szCs w:val="20"/>
              </w:rPr>
              <w:t>0.827</w:t>
            </w:r>
          </w:p>
        </w:tc>
      </w:tr>
      <w:tr w:rsidR="00FA38C7" w:rsidRPr="00FA38C7" w14:paraId="7CCEDE73" w14:textId="77777777" w:rsidTr="00FA38C7">
        <w:trPr>
          <w:cantSplit/>
        </w:trPr>
        <w:tc>
          <w:tcPr>
            <w:tcW w:w="685" w:type="pct"/>
            <w:vMerge/>
            <w:tcBorders>
              <w:left w:val="single" w:sz="6" w:space="0" w:color="000000"/>
              <w:bottom w:val="single" w:sz="4" w:space="0" w:color="auto"/>
              <w:right w:val="nil"/>
            </w:tcBorders>
            <w:shd w:val="clear" w:color="auto" w:fill="FFFFFF"/>
            <w:tcMar>
              <w:left w:w="80" w:type="dxa"/>
              <w:right w:w="80" w:type="dxa"/>
            </w:tcMar>
          </w:tcPr>
          <w:p w14:paraId="1FCF4475" w14:textId="1541F029" w:rsidR="00FA38C7" w:rsidRPr="00FA38C7" w:rsidRDefault="00FA38C7" w:rsidP="00FA38C7">
            <w:pPr>
              <w:pStyle w:val="Tabletext1"/>
              <w:rPr>
                <w:rFonts w:ascii="Arial Narrow" w:hAnsi="Arial Narrow"/>
                <w:b/>
                <w:bCs/>
                <w:szCs w:val="20"/>
              </w:rPr>
            </w:pPr>
          </w:p>
        </w:tc>
        <w:tc>
          <w:tcPr>
            <w:tcW w:w="387" w:type="pct"/>
            <w:tcBorders>
              <w:top w:val="nil"/>
              <w:left w:val="single" w:sz="2" w:space="0" w:color="000000"/>
              <w:bottom w:val="single" w:sz="4" w:space="0" w:color="auto"/>
              <w:right w:val="nil"/>
            </w:tcBorders>
            <w:shd w:val="clear" w:color="auto" w:fill="FFFFFF"/>
            <w:tcMar>
              <w:left w:w="80" w:type="dxa"/>
              <w:right w:w="80" w:type="dxa"/>
            </w:tcMar>
            <w:vAlign w:val="center"/>
          </w:tcPr>
          <w:p w14:paraId="6D82107F" w14:textId="77777777" w:rsidR="00FA38C7" w:rsidRPr="00FA38C7" w:rsidRDefault="00FA38C7" w:rsidP="00FA38C7">
            <w:pPr>
              <w:pStyle w:val="Tabletext1"/>
              <w:rPr>
                <w:rFonts w:ascii="Arial Narrow" w:hAnsi="Arial Narrow"/>
                <w:szCs w:val="20"/>
              </w:rPr>
            </w:pPr>
            <w:r w:rsidRPr="00FA38C7">
              <w:rPr>
                <w:rFonts w:ascii="Arial Narrow" w:hAnsi="Arial Narrow"/>
                <w:szCs w:val="20"/>
              </w:rPr>
              <w:t>12 Months</w:t>
            </w:r>
          </w:p>
        </w:tc>
        <w:tc>
          <w:tcPr>
            <w:tcW w:w="805" w:type="pct"/>
            <w:tcBorders>
              <w:top w:val="nil"/>
              <w:left w:val="single" w:sz="2" w:space="0" w:color="000000"/>
              <w:bottom w:val="single" w:sz="4" w:space="0" w:color="auto"/>
              <w:right w:val="nil"/>
            </w:tcBorders>
            <w:shd w:val="clear" w:color="auto" w:fill="FFFFFF"/>
            <w:tcMar>
              <w:left w:w="80" w:type="dxa"/>
              <w:right w:w="80" w:type="dxa"/>
            </w:tcMar>
            <w:vAlign w:val="center"/>
          </w:tcPr>
          <w:p w14:paraId="31BFC9BB" w14:textId="77777777" w:rsidR="00FA38C7" w:rsidRPr="00FA38C7" w:rsidRDefault="00FA38C7" w:rsidP="00FA38C7">
            <w:pPr>
              <w:pStyle w:val="Tabletext1"/>
              <w:jc w:val="right"/>
              <w:rPr>
                <w:rFonts w:ascii="Arial Narrow" w:hAnsi="Arial Narrow"/>
                <w:szCs w:val="20"/>
              </w:rPr>
            </w:pPr>
            <w:r w:rsidRPr="00FA38C7">
              <w:rPr>
                <w:rFonts w:ascii="Arial Narrow" w:hAnsi="Arial Narrow"/>
                <w:szCs w:val="20"/>
              </w:rPr>
              <w:t>0.758</w:t>
            </w:r>
          </w:p>
        </w:tc>
        <w:tc>
          <w:tcPr>
            <w:tcW w:w="602" w:type="pct"/>
            <w:tcBorders>
              <w:top w:val="nil"/>
              <w:left w:val="single" w:sz="2" w:space="0" w:color="000000"/>
              <w:bottom w:val="single" w:sz="4" w:space="0" w:color="auto"/>
              <w:right w:val="nil"/>
            </w:tcBorders>
            <w:shd w:val="clear" w:color="auto" w:fill="FFFFFF"/>
            <w:vAlign w:val="center"/>
          </w:tcPr>
          <w:p w14:paraId="25AACC7F" w14:textId="77777777" w:rsidR="00FA38C7" w:rsidRPr="00FA38C7" w:rsidRDefault="00FA38C7" w:rsidP="00FA38C7">
            <w:pPr>
              <w:pStyle w:val="Tabletext1"/>
              <w:jc w:val="right"/>
              <w:rPr>
                <w:rFonts w:ascii="Arial Narrow" w:hAnsi="Arial Narrow"/>
                <w:szCs w:val="20"/>
              </w:rPr>
            </w:pPr>
            <w:r w:rsidRPr="00FA38C7">
              <w:rPr>
                <w:rFonts w:ascii="Arial Narrow" w:hAnsi="Arial Narrow"/>
                <w:szCs w:val="20"/>
              </w:rPr>
              <w:t>1.093</w:t>
            </w:r>
          </w:p>
        </w:tc>
        <w:tc>
          <w:tcPr>
            <w:tcW w:w="588" w:type="pct"/>
            <w:tcBorders>
              <w:top w:val="nil"/>
              <w:left w:val="single" w:sz="2" w:space="0" w:color="000000"/>
              <w:bottom w:val="single" w:sz="4" w:space="0" w:color="auto"/>
              <w:right w:val="nil"/>
            </w:tcBorders>
            <w:shd w:val="clear" w:color="auto" w:fill="FFFFFF"/>
            <w:tcMar>
              <w:left w:w="80" w:type="dxa"/>
              <w:right w:w="80" w:type="dxa"/>
            </w:tcMar>
            <w:vAlign w:val="center"/>
          </w:tcPr>
          <w:p w14:paraId="108455C3" w14:textId="77777777" w:rsidR="00FA38C7" w:rsidRPr="00FA38C7" w:rsidRDefault="00FA38C7" w:rsidP="00FA38C7">
            <w:pPr>
              <w:pStyle w:val="Tabletext1"/>
              <w:jc w:val="right"/>
              <w:rPr>
                <w:rFonts w:ascii="Arial Narrow" w:hAnsi="Arial Narrow"/>
                <w:szCs w:val="20"/>
              </w:rPr>
            </w:pPr>
            <w:r w:rsidRPr="00FA38C7">
              <w:rPr>
                <w:rFonts w:ascii="Arial Narrow" w:hAnsi="Arial Narrow"/>
                <w:szCs w:val="20"/>
              </w:rPr>
              <w:t>0.685</w:t>
            </w:r>
          </w:p>
        </w:tc>
        <w:tc>
          <w:tcPr>
            <w:tcW w:w="464" w:type="pct"/>
            <w:tcBorders>
              <w:top w:val="nil"/>
              <w:left w:val="single" w:sz="2" w:space="0" w:color="000000"/>
              <w:bottom w:val="single" w:sz="4" w:space="0" w:color="auto"/>
              <w:right w:val="nil"/>
            </w:tcBorders>
            <w:shd w:val="clear" w:color="auto" w:fill="FFFFFF"/>
            <w:vAlign w:val="center"/>
          </w:tcPr>
          <w:p w14:paraId="3FDAE1C5" w14:textId="77777777" w:rsidR="00FA38C7" w:rsidRPr="00FA38C7" w:rsidRDefault="00FA38C7" w:rsidP="00FA38C7">
            <w:pPr>
              <w:pStyle w:val="Tabletext1"/>
              <w:jc w:val="right"/>
              <w:rPr>
                <w:rFonts w:ascii="Arial Narrow" w:hAnsi="Arial Narrow"/>
                <w:szCs w:val="20"/>
              </w:rPr>
            </w:pPr>
            <w:r w:rsidRPr="00FA38C7">
              <w:rPr>
                <w:rFonts w:ascii="Arial Narrow" w:hAnsi="Arial Narrow"/>
                <w:szCs w:val="20"/>
              </w:rPr>
              <w:t>0.881</w:t>
            </w:r>
          </w:p>
        </w:tc>
        <w:tc>
          <w:tcPr>
            <w:tcW w:w="688" w:type="pct"/>
            <w:tcBorders>
              <w:top w:val="nil"/>
              <w:left w:val="single" w:sz="2" w:space="0" w:color="000000"/>
              <w:bottom w:val="single" w:sz="4" w:space="0" w:color="auto"/>
              <w:right w:val="nil"/>
            </w:tcBorders>
            <w:shd w:val="clear" w:color="auto" w:fill="FFFFFF"/>
            <w:tcMar>
              <w:left w:w="80" w:type="dxa"/>
              <w:right w:w="80" w:type="dxa"/>
            </w:tcMar>
            <w:vAlign w:val="center"/>
          </w:tcPr>
          <w:p w14:paraId="5FBA7A9F" w14:textId="77777777" w:rsidR="00FA38C7" w:rsidRPr="00FA38C7" w:rsidRDefault="00FA38C7" w:rsidP="00FA38C7">
            <w:pPr>
              <w:pStyle w:val="Tabletext1"/>
              <w:jc w:val="right"/>
              <w:rPr>
                <w:rFonts w:ascii="Arial Narrow" w:hAnsi="Arial Narrow"/>
                <w:szCs w:val="20"/>
              </w:rPr>
            </w:pPr>
            <w:r w:rsidRPr="00FA38C7">
              <w:rPr>
                <w:rFonts w:ascii="Arial Narrow" w:hAnsi="Arial Narrow"/>
                <w:szCs w:val="20"/>
              </w:rPr>
              <w:t>1.11</w:t>
            </w:r>
          </w:p>
        </w:tc>
        <w:tc>
          <w:tcPr>
            <w:tcW w:w="436" w:type="pct"/>
            <w:tcBorders>
              <w:top w:val="nil"/>
              <w:left w:val="single" w:sz="2" w:space="0" w:color="000000"/>
              <w:bottom w:val="single" w:sz="4" w:space="0" w:color="auto"/>
              <w:right w:val="nil"/>
            </w:tcBorders>
            <w:shd w:val="clear" w:color="auto" w:fill="FFFFFF"/>
            <w:vAlign w:val="center"/>
          </w:tcPr>
          <w:p w14:paraId="0FFF0D8A" w14:textId="77777777" w:rsidR="00FA38C7" w:rsidRPr="00FA38C7" w:rsidRDefault="00FA38C7" w:rsidP="00FA38C7">
            <w:pPr>
              <w:pStyle w:val="Tabletext1"/>
              <w:jc w:val="right"/>
              <w:rPr>
                <w:rFonts w:ascii="Arial Narrow" w:hAnsi="Arial Narrow"/>
                <w:szCs w:val="20"/>
              </w:rPr>
            </w:pPr>
            <w:r w:rsidRPr="00FA38C7">
              <w:rPr>
                <w:rFonts w:ascii="Arial Narrow" w:hAnsi="Arial Narrow"/>
                <w:szCs w:val="20"/>
              </w:rPr>
              <w:t>0.77, 1.58</w:t>
            </w:r>
          </w:p>
        </w:tc>
        <w:tc>
          <w:tcPr>
            <w:tcW w:w="345" w:type="pct"/>
            <w:tcBorders>
              <w:top w:val="nil"/>
              <w:left w:val="single" w:sz="2" w:space="0" w:color="000000"/>
              <w:bottom w:val="single" w:sz="4" w:space="0" w:color="auto"/>
              <w:right w:val="single" w:sz="4" w:space="0" w:color="auto"/>
            </w:tcBorders>
            <w:shd w:val="clear" w:color="auto" w:fill="FFFFFF"/>
            <w:tcMar>
              <w:left w:w="80" w:type="dxa"/>
              <w:right w:w="80" w:type="dxa"/>
            </w:tcMar>
            <w:vAlign w:val="center"/>
          </w:tcPr>
          <w:p w14:paraId="46B73090" w14:textId="77777777" w:rsidR="00FA38C7" w:rsidRPr="00FA38C7" w:rsidRDefault="00FA38C7" w:rsidP="00FA38C7">
            <w:pPr>
              <w:pStyle w:val="Tabletext1"/>
              <w:jc w:val="right"/>
              <w:rPr>
                <w:rFonts w:ascii="Arial Narrow" w:hAnsi="Arial Narrow"/>
                <w:szCs w:val="20"/>
              </w:rPr>
            </w:pPr>
            <w:r w:rsidRPr="00FA38C7">
              <w:rPr>
                <w:rFonts w:ascii="Arial Narrow" w:hAnsi="Arial Narrow"/>
                <w:szCs w:val="20"/>
              </w:rPr>
              <w:t>0.583</w:t>
            </w:r>
          </w:p>
        </w:tc>
      </w:tr>
      <w:tr w:rsidR="00FA38C7" w:rsidRPr="00FA38C7" w14:paraId="6D3D8C65" w14:textId="77777777" w:rsidTr="00FA38C7">
        <w:trPr>
          <w:cantSplit/>
        </w:trPr>
        <w:tc>
          <w:tcPr>
            <w:tcW w:w="685" w:type="pct"/>
            <w:vMerge w:val="restart"/>
            <w:tcBorders>
              <w:top w:val="single" w:sz="4" w:space="0" w:color="auto"/>
              <w:left w:val="single" w:sz="6" w:space="0" w:color="000000"/>
              <w:right w:val="nil"/>
            </w:tcBorders>
            <w:shd w:val="clear" w:color="auto" w:fill="FFFFFF"/>
            <w:tcMar>
              <w:left w:w="80" w:type="dxa"/>
              <w:right w:w="80" w:type="dxa"/>
            </w:tcMar>
          </w:tcPr>
          <w:p w14:paraId="188A1F57" w14:textId="77777777" w:rsidR="00FA38C7" w:rsidRPr="00FA38C7" w:rsidRDefault="00FA38C7" w:rsidP="00FA38C7">
            <w:pPr>
              <w:pStyle w:val="Tabletext1"/>
              <w:rPr>
                <w:rFonts w:ascii="Arial Narrow" w:hAnsi="Arial Narrow"/>
                <w:b/>
                <w:bCs/>
                <w:szCs w:val="20"/>
              </w:rPr>
            </w:pPr>
            <w:bookmarkStart w:id="188" w:name="Title_14"/>
            <w:bookmarkEnd w:id="188"/>
            <w:r w:rsidRPr="00FA38C7">
              <w:rPr>
                <w:rFonts w:ascii="Arial Narrow" w:hAnsi="Arial Narrow"/>
                <w:b/>
                <w:bCs/>
                <w:szCs w:val="20"/>
              </w:rPr>
              <w:t>Falls/Fracture RR A/B</w:t>
            </w:r>
          </w:p>
        </w:tc>
        <w:tc>
          <w:tcPr>
            <w:tcW w:w="387" w:type="pct"/>
            <w:tcBorders>
              <w:top w:val="single" w:sz="4" w:space="0" w:color="auto"/>
              <w:left w:val="single" w:sz="2" w:space="0" w:color="000000"/>
              <w:bottom w:val="single" w:sz="2" w:space="0" w:color="000000"/>
              <w:right w:val="nil"/>
            </w:tcBorders>
            <w:shd w:val="clear" w:color="auto" w:fill="FFFFFF"/>
            <w:tcMar>
              <w:left w:w="80" w:type="dxa"/>
              <w:right w:w="80" w:type="dxa"/>
            </w:tcMar>
            <w:vAlign w:val="center"/>
          </w:tcPr>
          <w:p w14:paraId="05E1160A" w14:textId="77777777" w:rsidR="00FA38C7" w:rsidRPr="00FA38C7" w:rsidRDefault="00FA38C7" w:rsidP="00FA38C7">
            <w:pPr>
              <w:pStyle w:val="Tabletext1"/>
              <w:rPr>
                <w:rFonts w:ascii="Arial Narrow" w:hAnsi="Arial Narrow"/>
                <w:szCs w:val="20"/>
              </w:rPr>
            </w:pPr>
            <w:r w:rsidRPr="00FA38C7">
              <w:rPr>
                <w:rFonts w:ascii="Arial Narrow" w:hAnsi="Arial Narrow"/>
                <w:szCs w:val="20"/>
              </w:rPr>
              <w:t>6 Months</w:t>
            </w:r>
          </w:p>
        </w:tc>
        <w:tc>
          <w:tcPr>
            <w:tcW w:w="805" w:type="pct"/>
            <w:tcBorders>
              <w:top w:val="single" w:sz="4" w:space="0" w:color="auto"/>
              <w:left w:val="single" w:sz="2" w:space="0" w:color="000000"/>
              <w:bottom w:val="single" w:sz="2" w:space="0" w:color="000000"/>
              <w:right w:val="nil"/>
            </w:tcBorders>
            <w:shd w:val="clear" w:color="auto" w:fill="FFFFFF"/>
            <w:tcMar>
              <w:left w:w="80" w:type="dxa"/>
              <w:right w:w="80" w:type="dxa"/>
            </w:tcMar>
            <w:vAlign w:val="center"/>
          </w:tcPr>
          <w:p w14:paraId="27173169" w14:textId="77777777" w:rsidR="00FA38C7" w:rsidRPr="00FA38C7" w:rsidRDefault="00FA38C7" w:rsidP="00FA38C7">
            <w:pPr>
              <w:pStyle w:val="Tabletext1"/>
              <w:jc w:val="right"/>
              <w:rPr>
                <w:rFonts w:ascii="Arial Narrow" w:hAnsi="Arial Narrow"/>
                <w:szCs w:val="20"/>
              </w:rPr>
            </w:pPr>
            <w:r w:rsidRPr="00FA38C7">
              <w:rPr>
                <w:rFonts w:ascii="Arial Narrow" w:hAnsi="Arial Narrow"/>
                <w:szCs w:val="20"/>
              </w:rPr>
              <w:t>0.108</w:t>
            </w:r>
          </w:p>
        </w:tc>
        <w:tc>
          <w:tcPr>
            <w:tcW w:w="602" w:type="pct"/>
            <w:tcBorders>
              <w:top w:val="single" w:sz="4" w:space="0" w:color="auto"/>
              <w:left w:val="single" w:sz="2" w:space="0" w:color="000000"/>
              <w:bottom w:val="single" w:sz="2" w:space="0" w:color="000000"/>
              <w:right w:val="nil"/>
            </w:tcBorders>
            <w:shd w:val="clear" w:color="auto" w:fill="FFFFFF"/>
            <w:vAlign w:val="center"/>
          </w:tcPr>
          <w:p w14:paraId="3FCF5054" w14:textId="77777777" w:rsidR="00FA38C7" w:rsidRPr="00FA38C7" w:rsidRDefault="00FA38C7" w:rsidP="00FA38C7">
            <w:pPr>
              <w:pStyle w:val="Tabletext1"/>
              <w:jc w:val="right"/>
              <w:rPr>
                <w:rFonts w:ascii="Arial Narrow" w:hAnsi="Arial Narrow"/>
                <w:szCs w:val="20"/>
              </w:rPr>
            </w:pPr>
            <w:r w:rsidRPr="00FA38C7">
              <w:rPr>
                <w:rFonts w:ascii="Arial Narrow" w:hAnsi="Arial Narrow"/>
                <w:szCs w:val="20"/>
              </w:rPr>
              <w:t>0.200</w:t>
            </w:r>
          </w:p>
        </w:tc>
        <w:tc>
          <w:tcPr>
            <w:tcW w:w="588" w:type="pct"/>
            <w:tcBorders>
              <w:top w:val="single" w:sz="4" w:space="0" w:color="auto"/>
              <w:left w:val="single" w:sz="2" w:space="0" w:color="000000"/>
              <w:bottom w:val="single" w:sz="2" w:space="0" w:color="000000"/>
              <w:right w:val="nil"/>
            </w:tcBorders>
            <w:shd w:val="clear" w:color="auto" w:fill="FFFFFF"/>
            <w:tcMar>
              <w:left w:w="80" w:type="dxa"/>
              <w:right w:w="80" w:type="dxa"/>
            </w:tcMar>
            <w:vAlign w:val="center"/>
          </w:tcPr>
          <w:p w14:paraId="0F496F6D" w14:textId="77777777" w:rsidR="00FA38C7" w:rsidRPr="00FA38C7" w:rsidRDefault="00FA38C7" w:rsidP="00FA38C7">
            <w:pPr>
              <w:pStyle w:val="Tabletext1"/>
              <w:jc w:val="right"/>
              <w:rPr>
                <w:rFonts w:ascii="Arial Narrow" w:hAnsi="Arial Narrow"/>
                <w:szCs w:val="20"/>
              </w:rPr>
            </w:pPr>
            <w:r w:rsidRPr="00FA38C7">
              <w:rPr>
                <w:rFonts w:ascii="Arial Narrow" w:hAnsi="Arial Narrow"/>
                <w:szCs w:val="20"/>
              </w:rPr>
              <w:t>0.113</w:t>
            </w:r>
          </w:p>
        </w:tc>
        <w:tc>
          <w:tcPr>
            <w:tcW w:w="464" w:type="pct"/>
            <w:tcBorders>
              <w:top w:val="single" w:sz="4" w:space="0" w:color="auto"/>
              <w:left w:val="single" w:sz="2" w:space="0" w:color="000000"/>
              <w:bottom w:val="single" w:sz="2" w:space="0" w:color="000000"/>
              <w:right w:val="nil"/>
            </w:tcBorders>
            <w:shd w:val="clear" w:color="auto" w:fill="FFFFFF"/>
            <w:vAlign w:val="center"/>
          </w:tcPr>
          <w:p w14:paraId="0F4451F6" w14:textId="77777777" w:rsidR="00FA38C7" w:rsidRPr="00FA38C7" w:rsidRDefault="00FA38C7" w:rsidP="00FA38C7">
            <w:pPr>
              <w:pStyle w:val="Tabletext1"/>
              <w:jc w:val="right"/>
              <w:rPr>
                <w:rFonts w:ascii="Arial Narrow" w:hAnsi="Arial Narrow"/>
                <w:szCs w:val="20"/>
              </w:rPr>
            </w:pPr>
            <w:r w:rsidRPr="00FA38C7">
              <w:rPr>
                <w:rFonts w:ascii="Arial Narrow" w:hAnsi="Arial Narrow"/>
                <w:szCs w:val="20"/>
              </w:rPr>
              <w:t>0.253</w:t>
            </w:r>
          </w:p>
        </w:tc>
        <w:tc>
          <w:tcPr>
            <w:tcW w:w="688" w:type="pct"/>
            <w:tcBorders>
              <w:top w:val="single" w:sz="4" w:space="0" w:color="auto"/>
              <w:left w:val="single" w:sz="2" w:space="0" w:color="000000"/>
              <w:bottom w:val="single" w:sz="2" w:space="0" w:color="000000"/>
              <w:right w:val="nil"/>
            </w:tcBorders>
            <w:shd w:val="clear" w:color="auto" w:fill="FFFFFF"/>
            <w:tcMar>
              <w:left w:w="80" w:type="dxa"/>
              <w:right w:w="80" w:type="dxa"/>
            </w:tcMar>
            <w:vAlign w:val="center"/>
          </w:tcPr>
          <w:p w14:paraId="4B090808" w14:textId="77777777" w:rsidR="00FA38C7" w:rsidRPr="00FA38C7" w:rsidRDefault="00FA38C7" w:rsidP="00FA38C7">
            <w:pPr>
              <w:pStyle w:val="Tabletext1"/>
              <w:jc w:val="right"/>
              <w:rPr>
                <w:rFonts w:ascii="Arial Narrow" w:hAnsi="Arial Narrow"/>
                <w:szCs w:val="20"/>
              </w:rPr>
            </w:pPr>
            <w:r w:rsidRPr="00FA38C7">
              <w:rPr>
                <w:rFonts w:ascii="Arial Narrow" w:hAnsi="Arial Narrow"/>
                <w:szCs w:val="20"/>
              </w:rPr>
              <w:t>0.97</w:t>
            </w:r>
          </w:p>
        </w:tc>
        <w:tc>
          <w:tcPr>
            <w:tcW w:w="436" w:type="pct"/>
            <w:tcBorders>
              <w:top w:val="single" w:sz="4" w:space="0" w:color="auto"/>
              <w:left w:val="single" w:sz="2" w:space="0" w:color="000000"/>
              <w:bottom w:val="single" w:sz="2" w:space="0" w:color="000000"/>
              <w:right w:val="nil"/>
            </w:tcBorders>
            <w:shd w:val="clear" w:color="auto" w:fill="FFFFFF"/>
            <w:vAlign w:val="center"/>
          </w:tcPr>
          <w:p w14:paraId="3486078E" w14:textId="77777777" w:rsidR="00FA38C7" w:rsidRPr="00FA38C7" w:rsidRDefault="00FA38C7" w:rsidP="00FA38C7">
            <w:pPr>
              <w:pStyle w:val="Tabletext1"/>
              <w:jc w:val="right"/>
              <w:rPr>
                <w:rFonts w:ascii="Arial Narrow" w:hAnsi="Arial Narrow"/>
                <w:szCs w:val="20"/>
              </w:rPr>
            </w:pPr>
            <w:r w:rsidRPr="00FA38C7">
              <w:rPr>
                <w:rFonts w:ascii="Arial Narrow" w:hAnsi="Arial Narrow"/>
                <w:szCs w:val="20"/>
              </w:rPr>
              <w:t>0.57, 1.66</w:t>
            </w:r>
          </w:p>
        </w:tc>
        <w:tc>
          <w:tcPr>
            <w:tcW w:w="345" w:type="pct"/>
            <w:tcBorders>
              <w:top w:val="single" w:sz="4" w:space="0" w:color="auto"/>
              <w:left w:val="single" w:sz="2" w:space="0" w:color="000000"/>
              <w:bottom w:val="single" w:sz="2" w:space="0" w:color="000000"/>
              <w:right w:val="single" w:sz="4" w:space="0" w:color="auto"/>
            </w:tcBorders>
            <w:shd w:val="clear" w:color="auto" w:fill="FFFFFF"/>
            <w:tcMar>
              <w:left w:w="80" w:type="dxa"/>
              <w:right w:w="80" w:type="dxa"/>
            </w:tcMar>
            <w:vAlign w:val="center"/>
          </w:tcPr>
          <w:p w14:paraId="14DC949A" w14:textId="77777777" w:rsidR="00FA38C7" w:rsidRPr="00FA38C7" w:rsidRDefault="00FA38C7" w:rsidP="00FA38C7">
            <w:pPr>
              <w:pStyle w:val="Tabletext1"/>
              <w:jc w:val="right"/>
              <w:rPr>
                <w:rFonts w:ascii="Arial Narrow" w:hAnsi="Arial Narrow"/>
                <w:szCs w:val="20"/>
              </w:rPr>
            </w:pPr>
            <w:r w:rsidRPr="00FA38C7">
              <w:rPr>
                <w:rFonts w:ascii="Arial Narrow" w:hAnsi="Arial Narrow"/>
                <w:szCs w:val="20"/>
              </w:rPr>
              <w:t>0.912</w:t>
            </w:r>
          </w:p>
        </w:tc>
      </w:tr>
      <w:tr w:rsidR="00FA38C7" w:rsidRPr="00FA38C7" w14:paraId="7366D5AC" w14:textId="77777777" w:rsidTr="00FA38C7">
        <w:trPr>
          <w:cantSplit/>
        </w:trPr>
        <w:tc>
          <w:tcPr>
            <w:tcW w:w="685" w:type="pct"/>
            <w:vMerge/>
            <w:tcBorders>
              <w:left w:val="single" w:sz="6" w:space="0" w:color="000000"/>
              <w:bottom w:val="single" w:sz="6" w:space="0" w:color="000000"/>
              <w:right w:val="nil"/>
            </w:tcBorders>
            <w:shd w:val="clear" w:color="auto" w:fill="FFFFFF"/>
            <w:tcMar>
              <w:left w:w="80" w:type="dxa"/>
              <w:right w:w="80" w:type="dxa"/>
            </w:tcMar>
          </w:tcPr>
          <w:p w14:paraId="6D3FDE39" w14:textId="39E4C6C4" w:rsidR="00FA38C7" w:rsidRPr="00FA38C7" w:rsidRDefault="00FA38C7" w:rsidP="00FA38C7">
            <w:pPr>
              <w:pStyle w:val="Tabletext1"/>
              <w:rPr>
                <w:rFonts w:ascii="Arial Narrow" w:hAnsi="Arial Narrow"/>
                <w:b/>
                <w:bCs/>
                <w:szCs w:val="20"/>
              </w:rPr>
            </w:pPr>
          </w:p>
        </w:tc>
        <w:tc>
          <w:tcPr>
            <w:tcW w:w="387" w:type="pct"/>
            <w:tcBorders>
              <w:top w:val="nil"/>
              <w:left w:val="single" w:sz="2" w:space="0" w:color="000000"/>
              <w:bottom w:val="single" w:sz="6" w:space="0" w:color="000000"/>
              <w:right w:val="nil"/>
            </w:tcBorders>
            <w:shd w:val="clear" w:color="auto" w:fill="FFFFFF"/>
            <w:tcMar>
              <w:left w:w="80" w:type="dxa"/>
              <w:right w:w="80" w:type="dxa"/>
            </w:tcMar>
            <w:vAlign w:val="center"/>
          </w:tcPr>
          <w:p w14:paraId="463D2153" w14:textId="77777777" w:rsidR="00FA38C7" w:rsidRPr="00FA38C7" w:rsidRDefault="00FA38C7" w:rsidP="00FA38C7">
            <w:pPr>
              <w:pStyle w:val="Tabletext1"/>
              <w:rPr>
                <w:rFonts w:ascii="Arial Narrow" w:hAnsi="Arial Narrow"/>
                <w:szCs w:val="20"/>
              </w:rPr>
            </w:pPr>
            <w:r w:rsidRPr="00FA38C7">
              <w:rPr>
                <w:rFonts w:ascii="Arial Narrow" w:hAnsi="Arial Narrow"/>
                <w:szCs w:val="20"/>
              </w:rPr>
              <w:t>12 Months</w:t>
            </w:r>
          </w:p>
        </w:tc>
        <w:tc>
          <w:tcPr>
            <w:tcW w:w="805" w:type="pct"/>
            <w:tcBorders>
              <w:top w:val="nil"/>
              <w:left w:val="single" w:sz="2" w:space="0" w:color="000000"/>
              <w:bottom w:val="single" w:sz="6" w:space="0" w:color="000000"/>
              <w:right w:val="nil"/>
            </w:tcBorders>
            <w:shd w:val="clear" w:color="auto" w:fill="FFFFFF"/>
            <w:tcMar>
              <w:left w:w="80" w:type="dxa"/>
              <w:right w:w="80" w:type="dxa"/>
            </w:tcMar>
            <w:vAlign w:val="center"/>
          </w:tcPr>
          <w:p w14:paraId="3234474B" w14:textId="77777777" w:rsidR="00FA38C7" w:rsidRPr="00FA38C7" w:rsidRDefault="00FA38C7" w:rsidP="00FA38C7">
            <w:pPr>
              <w:pStyle w:val="Tabletext1"/>
              <w:jc w:val="right"/>
              <w:rPr>
                <w:rFonts w:ascii="Arial Narrow" w:hAnsi="Arial Narrow"/>
                <w:szCs w:val="20"/>
              </w:rPr>
            </w:pPr>
            <w:r w:rsidRPr="00FA38C7">
              <w:rPr>
                <w:rFonts w:ascii="Arial Narrow" w:hAnsi="Arial Narrow"/>
                <w:szCs w:val="20"/>
              </w:rPr>
              <w:t>0.187</w:t>
            </w:r>
          </w:p>
        </w:tc>
        <w:tc>
          <w:tcPr>
            <w:tcW w:w="602" w:type="pct"/>
            <w:tcBorders>
              <w:top w:val="nil"/>
              <w:left w:val="single" w:sz="2" w:space="0" w:color="000000"/>
              <w:bottom w:val="single" w:sz="6" w:space="0" w:color="000000"/>
              <w:right w:val="nil"/>
            </w:tcBorders>
            <w:shd w:val="clear" w:color="auto" w:fill="FFFFFF"/>
            <w:vAlign w:val="center"/>
          </w:tcPr>
          <w:p w14:paraId="1A9FCF6E" w14:textId="77777777" w:rsidR="00FA38C7" w:rsidRPr="00FA38C7" w:rsidRDefault="00FA38C7" w:rsidP="00FA38C7">
            <w:pPr>
              <w:pStyle w:val="Tabletext1"/>
              <w:jc w:val="right"/>
              <w:rPr>
                <w:rFonts w:ascii="Arial Narrow" w:hAnsi="Arial Narrow"/>
                <w:szCs w:val="20"/>
              </w:rPr>
            </w:pPr>
            <w:r w:rsidRPr="00FA38C7">
              <w:rPr>
                <w:rFonts w:ascii="Arial Narrow" w:hAnsi="Arial Narrow"/>
                <w:szCs w:val="20"/>
              </w:rPr>
              <w:t>0.593</w:t>
            </w:r>
          </w:p>
        </w:tc>
        <w:tc>
          <w:tcPr>
            <w:tcW w:w="588" w:type="pct"/>
            <w:tcBorders>
              <w:top w:val="nil"/>
              <w:left w:val="single" w:sz="2" w:space="0" w:color="000000"/>
              <w:bottom w:val="single" w:sz="6" w:space="0" w:color="000000"/>
              <w:right w:val="nil"/>
            </w:tcBorders>
            <w:shd w:val="clear" w:color="auto" w:fill="FFFFFF"/>
            <w:tcMar>
              <w:left w:w="80" w:type="dxa"/>
              <w:right w:w="80" w:type="dxa"/>
            </w:tcMar>
            <w:vAlign w:val="center"/>
          </w:tcPr>
          <w:p w14:paraId="7FE577DD" w14:textId="77777777" w:rsidR="00FA38C7" w:rsidRPr="00FA38C7" w:rsidRDefault="00FA38C7" w:rsidP="00FA38C7">
            <w:pPr>
              <w:pStyle w:val="Tabletext1"/>
              <w:jc w:val="right"/>
              <w:rPr>
                <w:rFonts w:ascii="Arial Narrow" w:hAnsi="Arial Narrow"/>
                <w:szCs w:val="20"/>
              </w:rPr>
            </w:pPr>
            <w:r w:rsidRPr="00FA38C7">
              <w:rPr>
                <w:rFonts w:ascii="Arial Narrow" w:hAnsi="Arial Narrow"/>
                <w:szCs w:val="20"/>
              </w:rPr>
              <w:t>0.180</w:t>
            </w:r>
          </w:p>
        </w:tc>
        <w:tc>
          <w:tcPr>
            <w:tcW w:w="464" w:type="pct"/>
            <w:tcBorders>
              <w:top w:val="nil"/>
              <w:left w:val="single" w:sz="2" w:space="0" w:color="000000"/>
              <w:bottom w:val="single" w:sz="6" w:space="0" w:color="000000"/>
              <w:right w:val="nil"/>
            </w:tcBorders>
            <w:shd w:val="clear" w:color="auto" w:fill="FFFFFF"/>
            <w:vAlign w:val="center"/>
          </w:tcPr>
          <w:p w14:paraId="21344F60" w14:textId="77777777" w:rsidR="00FA38C7" w:rsidRPr="00FA38C7" w:rsidRDefault="00FA38C7" w:rsidP="00FA38C7">
            <w:pPr>
              <w:pStyle w:val="Tabletext1"/>
              <w:jc w:val="right"/>
              <w:rPr>
                <w:rFonts w:ascii="Arial Narrow" w:hAnsi="Arial Narrow"/>
                <w:szCs w:val="20"/>
              </w:rPr>
            </w:pPr>
            <w:r w:rsidRPr="00FA38C7">
              <w:rPr>
                <w:rFonts w:ascii="Arial Narrow" w:hAnsi="Arial Narrow"/>
                <w:szCs w:val="20"/>
              </w:rPr>
              <w:t>0.423</w:t>
            </w:r>
          </w:p>
        </w:tc>
        <w:tc>
          <w:tcPr>
            <w:tcW w:w="688" w:type="pct"/>
            <w:tcBorders>
              <w:top w:val="nil"/>
              <w:left w:val="single" w:sz="2" w:space="0" w:color="000000"/>
              <w:bottom w:val="single" w:sz="6" w:space="0" w:color="000000"/>
              <w:right w:val="nil"/>
            </w:tcBorders>
            <w:shd w:val="clear" w:color="auto" w:fill="FFFFFF"/>
            <w:tcMar>
              <w:left w:w="80" w:type="dxa"/>
              <w:right w:w="80" w:type="dxa"/>
            </w:tcMar>
            <w:vAlign w:val="center"/>
          </w:tcPr>
          <w:p w14:paraId="6ED5D38A" w14:textId="77777777" w:rsidR="00FA38C7" w:rsidRPr="00FA38C7" w:rsidRDefault="00FA38C7" w:rsidP="00FA38C7">
            <w:pPr>
              <w:pStyle w:val="Tabletext1"/>
              <w:jc w:val="right"/>
              <w:rPr>
                <w:rFonts w:ascii="Arial Narrow" w:hAnsi="Arial Narrow"/>
                <w:szCs w:val="20"/>
              </w:rPr>
            </w:pPr>
            <w:r w:rsidRPr="00FA38C7">
              <w:rPr>
                <w:rFonts w:ascii="Arial Narrow" w:hAnsi="Arial Narrow"/>
                <w:szCs w:val="20"/>
              </w:rPr>
              <w:t>1.06</w:t>
            </w:r>
          </w:p>
        </w:tc>
        <w:tc>
          <w:tcPr>
            <w:tcW w:w="436" w:type="pct"/>
            <w:tcBorders>
              <w:top w:val="nil"/>
              <w:left w:val="single" w:sz="2" w:space="0" w:color="000000"/>
              <w:bottom w:val="single" w:sz="6" w:space="0" w:color="000000"/>
              <w:right w:val="nil"/>
            </w:tcBorders>
            <w:shd w:val="clear" w:color="auto" w:fill="FFFFFF"/>
            <w:vAlign w:val="center"/>
          </w:tcPr>
          <w:p w14:paraId="1C2141C8" w14:textId="77777777" w:rsidR="00FA38C7" w:rsidRPr="00FA38C7" w:rsidRDefault="00FA38C7" w:rsidP="00FA38C7">
            <w:pPr>
              <w:pStyle w:val="Tabletext1"/>
              <w:jc w:val="right"/>
              <w:rPr>
                <w:rFonts w:ascii="Arial Narrow" w:hAnsi="Arial Narrow"/>
                <w:szCs w:val="20"/>
              </w:rPr>
            </w:pPr>
            <w:r w:rsidRPr="00FA38C7">
              <w:rPr>
                <w:rFonts w:ascii="Arial Narrow" w:hAnsi="Arial Narrow"/>
                <w:szCs w:val="20"/>
              </w:rPr>
              <w:t>0.49, 2.28</w:t>
            </w:r>
          </w:p>
        </w:tc>
        <w:tc>
          <w:tcPr>
            <w:tcW w:w="345" w:type="pct"/>
            <w:tcBorders>
              <w:top w:val="nil"/>
              <w:left w:val="single" w:sz="2" w:space="0" w:color="000000"/>
              <w:bottom w:val="single" w:sz="6" w:space="0" w:color="000000"/>
              <w:right w:val="single" w:sz="4" w:space="0" w:color="auto"/>
            </w:tcBorders>
            <w:shd w:val="clear" w:color="auto" w:fill="FFFFFF"/>
            <w:tcMar>
              <w:left w:w="80" w:type="dxa"/>
              <w:right w:w="80" w:type="dxa"/>
            </w:tcMar>
            <w:vAlign w:val="center"/>
          </w:tcPr>
          <w:p w14:paraId="42E557D1" w14:textId="77777777" w:rsidR="00FA38C7" w:rsidRPr="00FA38C7" w:rsidRDefault="00FA38C7" w:rsidP="00FA38C7">
            <w:pPr>
              <w:pStyle w:val="Tabletext1"/>
              <w:jc w:val="right"/>
              <w:rPr>
                <w:rFonts w:ascii="Arial Narrow" w:hAnsi="Arial Narrow"/>
                <w:szCs w:val="20"/>
              </w:rPr>
            </w:pPr>
            <w:r w:rsidRPr="00FA38C7">
              <w:rPr>
                <w:rFonts w:ascii="Arial Narrow" w:hAnsi="Arial Narrow"/>
                <w:szCs w:val="20"/>
              </w:rPr>
              <w:t>0.877</w:t>
            </w:r>
          </w:p>
        </w:tc>
      </w:tr>
    </w:tbl>
    <w:p w14:paraId="60619E4F" w14:textId="13FE865F" w:rsidR="00FB5FD0" w:rsidRPr="00F42B1D" w:rsidRDefault="00656AC8" w:rsidP="00897C5B">
      <w:pPr>
        <w:pStyle w:val="Caption"/>
      </w:pPr>
      <w:r w:rsidRPr="007B3AF1">
        <w:t>Table B-</w:t>
      </w:r>
      <w:r w:rsidR="00832854" w:rsidRPr="007B3AF1">
        <w:t>1</w:t>
      </w:r>
      <w:r w:rsidR="007B3AF1" w:rsidRPr="007B3AF1">
        <w:t>1</w:t>
      </w:r>
      <w:r w:rsidRPr="007B3AF1">
        <w:t>: Adverse events.</w:t>
      </w:r>
    </w:p>
    <w:p w14:paraId="4C397C65" w14:textId="257B7F87" w:rsidR="006958A4" w:rsidRDefault="00B54C8A" w:rsidP="00897C5B">
      <w:pPr>
        <w:pStyle w:val="Caption"/>
        <w:rPr>
          <w:color w:val="000000"/>
        </w:rPr>
      </w:pPr>
      <w:r w:rsidRPr="00656AC8">
        <w:t>*Change from baseline, adjusted for baseline, gender and facility. Observed values are mean (S</w:t>
      </w:r>
      <w:r w:rsidR="009D1639">
        <w:t>E</w:t>
      </w:r>
      <w:r w:rsidRPr="00656AC8">
        <w:t>)</w:t>
      </w:r>
      <w:r w:rsidRPr="00656AC8">
        <w:br/>
        <w:t xml:space="preserve">**Adjusted for gender, weight and MoCA at baseline. Estimate is Rate Ratio </w:t>
      </w:r>
      <w:r w:rsidR="00B96903">
        <w:t xml:space="preserve">(RR) </w:t>
      </w:r>
      <w:r w:rsidRPr="00656AC8">
        <w:t>fo</w:t>
      </w:r>
      <w:r w:rsidR="00656AC8">
        <w:t xml:space="preserve">r </w:t>
      </w:r>
      <w:r w:rsidR="006958A4">
        <w:t xml:space="preserve">Intervention/Control. </w:t>
      </w:r>
      <w:r w:rsidRPr="00656AC8">
        <w:t xml:space="preserve">Adjusted for gender, weight and MoCA at baseline. Observed values are n (%) at each time point. Estimate is </w:t>
      </w:r>
      <w:r w:rsidR="009D1639">
        <w:t>observed rate</w:t>
      </w:r>
      <w:r w:rsidRPr="00656AC8">
        <w:t xml:space="preserve"> for a less frail category for </w:t>
      </w:r>
      <w:r w:rsidR="006958A4">
        <w:t>Intervention/Control</w:t>
      </w:r>
    </w:p>
    <w:p w14:paraId="711B1E64" w14:textId="41ADA694" w:rsidR="00941F18" w:rsidRDefault="00024E73" w:rsidP="0091732C">
      <w:pPr>
        <w:pStyle w:val="Heading5"/>
      </w:pPr>
      <w:r w:rsidRPr="007B3AF1">
        <w:t xml:space="preserve">Adverse </w:t>
      </w:r>
      <w:r w:rsidR="002D0D5E" w:rsidRPr="007B3AF1">
        <w:t>medicine</w:t>
      </w:r>
      <w:r w:rsidRPr="007B3AF1">
        <w:t xml:space="preserve"> events</w:t>
      </w:r>
    </w:p>
    <w:p w14:paraId="1D765A1D" w14:textId="188BC19A" w:rsidR="008D137B" w:rsidRDefault="008D137B" w:rsidP="007501B9">
      <w:r>
        <w:t xml:space="preserve">Of the adverse events, 583 were judged to be possible, </w:t>
      </w:r>
      <w:proofErr w:type="gramStart"/>
      <w:r>
        <w:t>probable</w:t>
      </w:r>
      <w:proofErr w:type="gramEnd"/>
      <w:r>
        <w:t xml:space="preserve"> or definite adverse medicine </w:t>
      </w:r>
      <w:r w:rsidRPr="007B3AF1">
        <w:t>events, of which 83% were considered possibly or probably preventable</w:t>
      </w:r>
      <w:r w:rsidR="007B3AF1" w:rsidRPr="007B3AF1">
        <w:t xml:space="preserve"> (Figure B-14</w:t>
      </w:r>
      <w:r w:rsidR="00B268D3" w:rsidRPr="007B3AF1">
        <w:t>)</w:t>
      </w:r>
      <w:r w:rsidR="007501B9">
        <w:t xml:space="preserve">. </w:t>
      </w:r>
      <w:r w:rsidR="00B268D3" w:rsidRPr="007B3AF1">
        <w:t>This equates to approximately 20% of residents experiencing one preventable adverse medicine event each month.</w:t>
      </w:r>
    </w:p>
    <w:p w14:paraId="6DAEC559" w14:textId="02C88114" w:rsidR="007B3AF1" w:rsidRDefault="007B3AF1" w:rsidP="007501B9">
      <w:r w:rsidRPr="008D137B">
        <w:rPr>
          <w:noProof/>
        </w:rPr>
        <w:lastRenderedPageBreak/>
        <w:drawing>
          <wp:inline distT="0" distB="0" distL="0" distR="0" wp14:anchorId="610C8553" wp14:editId="7C9BBB4E">
            <wp:extent cx="5162550" cy="3714750"/>
            <wp:effectExtent l="0" t="0" r="0" b="0"/>
            <wp:docPr id="20" name="Chart 20" descr="Of the adverse events, 583 were judged to be possible, probable or definite adverse medicine events, of which 83% were considered possibly or probably preventable " title="Preventability characterisation of adverse events"/>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1186695" w14:textId="48670B3C" w:rsidR="006B14EA" w:rsidRPr="007B3AF1" w:rsidRDefault="00B268D3" w:rsidP="00897C5B">
      <w:pPr>
        <w:pStyle w:val="Caption"/>
      </w:pPr>
      <w:r w:rsidRPr="007B3AF1">
        <w:t>Figure</w:t>
      </w:r>
      <w:r w:rsidR="007B3AF1" w:rsidRPr="007B3AF1">
        <w:t xml:space="preserve"> B-14</w:t>
      </w:r>
      <w:r w:rsidR="007B3AF1">
        <w:t xml:space="preserve"> Preventability characterisation of adverse medicine events</w:t>
      </w:r>
    </w:p>
    <w:p w14:paraId="50C28539" w14:textId="6CAF5061" w:rsidR="006B14EA" w:rsidRDefault="006B14EA" w:rsidP="007501B9">
      <w:r>
        <w:t xml:space="preserve">Statistical analyses of the adverse </w:t>
      </w:r>
      <w:r w:rsidR="00153259">
        <w:t>medicine</w:t>
      </w:r>
      <w:r>
        <w:t xml:space="preserve"> event data indicate</w:t>
      </w:r>
      <w:r w:rsidR="0038208D">
        <w:t>d</w:t>
      </w:r>
      <w:r>
        <w:t xml:space="preserve"> n</w:t>
      </w:r>
      <w:r w:rsidRPr="005D6AB0">
        <w:t xml:space="preserve">o difference between the trial arms for </w:t>
      </w:r>
      <w:r>
        <w:t xml:space="preserve">the rate of adverse medicine events (AME), </w:t>
      </w:r>
      <w:r w:rsidRPr="007B3AF1">
        <w:t xml:space="preserve">and similarly, no difference between the trial arms for the rate of preventable adverse </w:t>
      </w:r>
      <w:r w:rsidR="00153259" w:rsidRPr="007B3AF1">
        <w:t>medicine</w:t>
      </w:r>
      <w:r w:rsidRPr="007B3AF1">
        <w:t xml:space="preserve"> events </w:t>
      </w:r>
      <w:r w:rsidR="00D85146">
        <w:t>(</w:t>
      </w:r>
      <w:r w:rsidRPr="007B3AF1">
        <w:t>Table B-1</w:t>
      </w:r>
      <w:r w:rsidR="007B3AF1" w:rsidRPr="007B3AF1">
        <w:t>2</w:t>
      </w:r>
      <w:r w:rsidRPr="007B3AF1">
        <w:t>).</w:t>
      </w:r>
    </w:p>
    <w:tbl>
      <w:tblPr>
        <w:tblW w:w="5000" w:type="pct"/>
        <w:tblCellMar>
          <w:left w:w="0" w:type="dxa"/>
          <w:right w:w="0" w:type="dxa"/>
        </w:tblCellMar>
        <w:tblLook w:val="0600" w:firstRow="0" w:lastRow="0" w:firstColumn="0" w:lastColumn="0" w:noHBand="1" w:noVBand="1"/>
        <w:tblCaption w:val="Comparison of differences in adverse drug events for each trial arm."/>
        <w:tblDescription w:val="Comparison of differences in adverse drug events for each trial arm."/>
      </w:tblPr>
      <w:tblGrid>
        <w:gridCol w:w="1010"/>
        <w:gridCol w:w="964"/>
        <w:gridCol w:w="882"/>
        <w:gridCol w:w="794"/>
        <w:gridCol w:w="964"/>
        <w:gridCol w:w="864"/>
        <w:gridCol w:w="799"/>
        <w:gridCol w:w="1119"/>
        <w:gridCol w:w="1027"/>
        <w:gridCol w:w="583"/>
      </w:tblGrid>
      <w:tr w:rsidR="00FA38C7" w:rsidRPr="00FA38C7" w14:paraId="537492DD" w14:textId="77777777" w:rsidTr="00FA38C7">
        <w:trPr>
          <w:trHeight w:val="950"/>
          <w:tblHeader/>
        </w:trPr>
        <w:tc>
          <w:tcPr>
            <w:tcW w:w="524" w:type="pct"/>
            <w:tcBorders>
              <w:top w:val="single" w:sz="8" w:space="0" w:color="000000"/>
              <w:left w:val="single" w:sz="8" w:space="0" w:color="000000"/>
              <w:bottom w:val="single" w:sz="8" w:space="0" w:color="000000"/>
              <w:right w:val="single" w:sz="8" w:space="0" w:color="000000"/>
            </w:tcBorders>
            <w:shd w:val="clear" w:color="auto" w:fill="000000" w:themeFill="text1"/>
            <w:tcMar>
              <w:top w:w="15" w:type="dxa"/>
              <w:left w:w="67" w:type="dxa"/>
              <w:bottom w:w="0" w:type="dxa"/>
              <w:right w:w="67" w:type="dxa"/>
            </w:tcMar>
            <w:hideMark/>
          </w:tcPr>
          <w:p w14:paraId="517DCB80" w14:textId="77777777" w:rsidR="006B14EA" w:rsidRPr="00FA38C7" w:rsidRDefault="006B14EA" w:rsidP="00FA38C7">
            <w:pPr>
              <w:pStyle w:val="TableHeader"/>
              <w:rPr>
                <w:rFonts w:ascii="Arial Narrow" w:hAnsi="Arial Narrow"/>
                <w:sz w:val="20"/>
                <w:szCs w:val="20"/>
              </w:rPr>
            </w:pPr>
            <w:bookmarkStart w:id="189" w:name="ColumnTitle_14"/>
            <w:r w:rsidRPr="00FA38C7">
              <w:rPr>
                <w:rFonts w:ascii="Arial Narrow" w:hAnsi="Arial Narrow"/>
                <w:sz w:val="20"/>
                <w:szCs w:val="20"/>
              </w:rPr>
              <w:t>Outcome</w:t>
            </w:r>
            <w:bookmarkStart w:id="190" w:name="ColumnTitle_15"/>
            <w:bookmarkEnd w:id="190"/>
          </w:p>
        </w:tc>
        <w:tc>
          <w:tcPr>
            <w:tcW w:w="557" w:type="pct"/>
            <w:tcBorders>
              <w:top w:val="single" w:sz="8" w:space="0" w:color="000000"/>
              <w:left w:val="single" w:sz="8" w:space="0" w:color="000000"/>
              <w:bottom w:val="single" w:sz="8" w:space="0" w:color="000000"/>
              <w:right w:val="single" w:sz="8" w:space="0" w:color="000000"/>
            </w:tcBorders>
            <w:shd w:val="clear" w:color="auto" w:fill="000000" w:themeFill="text1"/>
            <w:tcMar>
              <w:top w:w="15" w:type="dxa"/>
              <w:left w:w="67" w:type="dxa"/>
              <w:bottom w:w="0" w:type="dxa"/>
              <w:right w:w="67" w:type="dxa"/>
            </w:tcMar>
            <w:hideMark/>
          </w:tcPr>
          <w:p w14:paraId="61F4C7A3" w14:textId="09332BA5" w:rsidR="006B14EA" w:rsidRPr="00FA38C7" w:rsidRDefault="006B14EA" w:rsidP="00FA38C7">
            <w:pPr>
              <w:pStyle w:val="TableHeader"/>
              <w:rPr>
                <w:rFonts w:ascii="Arial Narrow" w:hAnsi="Arial Narrow"/>
                <w:sz w:val="20"/>
                <w:szCs w:val="20"/>
              </w:rPr>
            </w:pPr>
            <w:r w:rsidRPr="00FA38C7">
              <w:rPr>
                <w:rFonts w:ascii="Arial Narrow" w:hAnsi="Arial Narrow"/>
                <w:sz w:val="20"/>
                <w:szCs w:val="20"/>
              </w:rPr>
              <w:t xml:space="preserve"># Residents, </w:t>
            </w:r>
            <w:proofErr w:type="spellStart"/>
            <w:r w:rsidRPr="00FA38C7">
              <w:rPr>
                <w:rFonts w:ascii="Arial Narrow" w:hAnsi="Arial Narrow"/>
                <w:sz w:val="20"/>
                <w:szCs w:val="20"/>
              </w:rPr>
              <w:t>Intervent</w:t>
            </w:r>
            <w:proofErr w:type="spellEnd"/>
            <w:r w:rsidR="00075773" w:rsidRPr="00FA38C7">
              <w:rPr>
                <w:rFonts w:ascii="Arial Narrow" w:hAnsi="Arial Narrow"/>
                <w:sz w:val="20"/>
                <w:szCs w:val="20"/>
              </w:rPr>
              <w:t>-</w:t>
            </w:r>
            <w:r w:rsidRPr="00FA38C7">
              <w:rPr>
                <w:rFonts w:ascii="Arial Narrow" w:hAnsi="Arial Narrow"/>
                <w:sz w:val="20"/>
                <w:szCs w:val="20"/>
              </w:rPr>
              <w:t>ion</w:t>
            </w:r>
          </w:p>
        </w:tc>
        <w:tc>
          <w:tcPr>
            <w:tcW w:w="538" w:type="pct"/>
            <w:tcBorders>
              <w:top w:val="single" w:sz="8" w:space="0" w:color="000000"/>
              <w:left w:val="single" w:sz="8" w:space="0" w:color="000000"/>
              <w:bottom w:val="single" w:sz="8" w:space="0" w:color="000000"/>
              <w:right w:val="single" w:sz="8" w:space="0" w:color="000000"/>
            </w:tcBorders>
            <w:shd w:val="clear" w:color="auto" w:fill="000000" w:themeFill="text1"/>
            <w:tcMar>
              <w:top w:w="15" w:type="dxa"/>
              <w:left w:w="67" w:type="dxa"/>
              <w:bottom w:w="0" w:type="dxa"/>
              <w:right w:w="67" w:type="dxa"/>
            </w:tcMar>
            <w:hideMark/>
          </w:tcPr>
          <w:p w14:paraId="069BA5C4" w14:textId="77777777" w:rsidR="006B14EA" w:rsidRPr="00FA38C7" w:rsidRDefault="006B14EA" w:rsidP="00FA38C7">
            <w:pPr>
              <w:pStyle w:val="TableHeader"/>
              <w:rPr>
                <w:rFonts w:ascii="Arial Narrow" w:hAnsi="Arial Narrow"/>
                <w:sz w:val="20"/>
                <w:szCs w:val="20"/>
              </w:rPr>
            </w:pPr>
            <w:proofErr w:type="spellStart"/>
            <w:r w:rsidRPr="00FA38C7">
              <w:rPr>
                <w:rFonts w:ascii="Arial Narrow" w:hAnsi="Arial Narrow"/>
                <w:sz w:val="20"/>
                <w:szCs w:val="20"/>
              </w:rPr>
              <w:t>Intervent</w:t>
            </w:r>
            <w:proofErr w:type="spellEnd"/>
            <w:r w:rsidRPr="00FA38C7">
              <w:rPr>
                <w:rFonts w:ascii="Arial Narrow" w:hAnsi="Arial Narrow"/>
                <w:sz w:val="20"/>
                <w:szCs w:val="20"/>
              </w:rPr>
              <w:t>-ion,</w:t>
            </w:r>
          </w:p>
          <w:p w14:paraId="1C32F2BF" w14:textId="129D3B5C" w:rsidR="006B14EA" w:rsidRPr="00FA38C7" w:rsidRDefault="006B14EA" w:rsidP="00FA38C7">
            <w:pPr>
              <w:pStyle w:val="TableHeader"/>
              <w:rPr>
                <w:rFonts w:ascii="Arial Narrow" w:hAnsi="Arial Narrow"/>
                <w:sz w:val="20"/>
                <w:szCs w:val="20"/>
              </w:rPr>
            </w:pPr>
            <w:r w:rsidRPr="00FA38C7">
              <w:rPr>
                <w:rFonts w:ascii="Arial Narrow" w:hAnsi="Arial Narrow"/>
                <w:sz w:val="20"/>
                <w:szCs w:val="20"/>
              </w:rPr>
              <w:t>Mean observed Rate/</w:t>
            </w:r>
            <w:r w:rsidR="00075773" w:rsidRPr="00FA38C7">
              <w:rPr>
                <w:rFonts w:ascii="Arial Narrow" w:hAnsi="Arial Narrow"/>
                <w:sz w:val="20"/>
                <w:szCs w:val="20"/>
              </w:rPr>
              <w:t xml:space="preserve"> </w:t>
            </w:r>
            <w:r w:rsidRPr="00FA38C7">
              <w:rPr>
                <w:rFonts w:ascii="Arial Narrow" w:hAnsi="Arial Narrow"/>
                <w:sz w:val="20"/>
                <w:szCs w:val="20"/>
              </w:rPr>
              <w:t>month</w:t>
            </w:r>
          </w:p>
        </w:tc>
        <w:tc>
          <w:tcPr>
            <w:tcW w:w="479" w:type="pct"/>
            <w:tcBorders>
              <w:top w:val="single" w:sz="8" w:space="0" w:color="000000"/>
              <w:left w:val="single" w:sz="8" w:space="0" w:color="000000"/>
              <w:bottom w:val="single" w:sz="8" w:space="0" w:color="000000"/>
              <w:right w:val="single" w:sz="8" w:space="0" w:color="000000"/>
            </w:tcBorders>
            <w:shd w:val="clear" w:color="auto" w:fill="000000" w:themeFill="text1"/>
          </w:tcPr>
          <w:p w14:paraId="6997591C" w14:textId="77777777" w:rsidR="006B14EA" w:rsidRPr="00FA38C7" w:rsidRDefault="006B14EA" w:rsidP="00FA38C7">
            <w:pPr>
              <w:pStyle w:val="TableHeader"/>
              <w:rPr>
                <w:rFonts w:ascii="Arial Narrow" w:hAnsi="Arial Narrow"/>
                <w:sz w:val="20"/>
                <w:szCs w:val="20"/>
              </w:rPr>
            </w:pPr>
            <w:proofErr w:type="spellStart"/>
            <w:r w:rsidRPr="00FA38C7">
              <w:rPr>
                <w:rFonts w:ascii="Arial Narrow" w:hAnsi="Arial Narrow"/>
                <w:sz w:val="20"/>
                <w:szCs w:val="20"/>
              </w:rPr>
              <w:t>Intervent</w:t>
            </w:r>
            <w:proofErr w:type="spellEnd"/>
            <w:r w:rsidRPr="00FA38C7">
              <w:rPr>
                <w:rFonts w:ascii="Arial Narrow" w:hAnsi="Arial Narrow"/>
                <w:sz w:val="20"/>
                <w:szCs w:val="20"/>
              </w:rPr>
              <w:t>-ion</w:t>
            </w:r>
          </w:p>
          <w:p w14:paraId="6E426B33" w14:textId="2EB5D398" w:rsidR="006B14EA" w:rsidRPr="00FA38C7" w:rsidRDefault="006B14EA" w:rsidP="00FA38C7">
            <w:pPr>
              <w:pStyle w:val="TableHeader"/>
              <w:rPr>
                <w:rFonts w:ascii="Arial Narrow" w:hAnsi="Arial Narrow"/>
                <w:sz w:val="20"/>
                <w:szCs w:val="20"/>
              </w:rPr>
            </w:pPr>
            <w:r w:rsidRPr="00FA38C7">
              <w:rPr>
                <w:rFonts w:ascii="Arial Narrow" w:hAnsi="Arial Narrow"/>
                <w:sz w:val="20"/>
                <w:szCs w:val="20"/>
              </w:rPr>
              <w:t>Variation in observed Rate/</w:t>
            </w:r>
            <w:r w:rsidR="00075773" w:rsidRPr="00FA38C7">
              <w:rPr>
                <w:rFonts w:ascii="Arial Narrow" w:hAnsi="Arial Narrow"/>
                <w:sz w:val="20"/>
                <w:szCs w:val="20"/>
              </w:rPr>
              <w:t xml:space="preserve"> </w:t>
            </w:r>
            <w:r w:rsidRPr="00FA38C7">
              <w:rPr>
                <w:rFonts w:ascii="Arial Narrow" w:hAnsi="Arial Narrow"/>
                <w:sz w:val="20"/>
                <w:szCs w:val="20"/>
              </w:rPr>
              <w:t>month (SE)</w:t>
            </w:r>
          </w:p>
        </w:tc>
        <w:tc>
          <w:tcPr>
            <w:tcW w:w="501" w:type="pct"/>
            <w:tcBorders>
              <w:top w:val="single" w:sz="8" w:space="0" w:color="000000"/>
              <w:left w:val="single" w:sz="8" w:space="0" w:color="000000"/>
              <w:bottom w:val="single" w:sz="8" w:space="0" w:color="000000"/>
              <w:right w:val="single" w:sz="8" w:space="0" w:color="000000"/>
            </w:tcBorders>
            <w:shd w:val="clear" w:color="auto" w:fill="000000" w:themeFill="text1"/>
            <w:tcMar>
              <w:top w:w="15" w:type="dxa"/>
              <w:left w:w="67" w:type="dxa"/>
              <w:bottom w:w="0" w:type="dxa"/>
              <w:right w:w="67" w:type="dxa"/>
            </w:tcMar>
            <w:hideMark/>
          </w:tcPr>
          <w:p w14:paraId="0517702D" w14:textId="77777777" w:rsidR="006B14EA" w:rsidRPr="00FA38C7" w:rsidRDefault="006B14EA" w:rsidP="00FA38C7">
            <w:pPr>
              <w:pStyle w:val="TableHeader"/>
              <w:rPr>
                <w:rFonts w:ascii="Arial Narrow" w:hAnsi="Arial Narrow"/>
                <w:sz w:val="20"/>
                <w:szCs w:val="20"/>
              </w:rPr>
            </w:pPr>
            <w:r w:rsidRPr="00FA38C7">
              <w:rPr>
                <w:rFonts w:ascii="Arial Narrow" w:hAnsi="Arial Narrow"/>
                <w:sz w:val="20"/>
                <w:szCs w:val="20"/>
              </w:rPr>
              <w:t># Residents, Control</w:t>
            </w:r>
          </w:p>
        </w:tc>
        <w:tc>
          <w:tcPr>
            <w:tcW w:w="449" w:type="pct"/>
            <w:tcBorders>
              <w:top w:val="single" w:sz="8" w:space="0" w:color="000000"/>
              <w:left w:val="single" w:sz="8" w:space="0" w:color="000000"/>
              <w:bottom w:val="single" w:sz="8" w:space="0" w:color="000000"/>
              <w:right w:val="single" w:sz="8" w:space="0" w:color="000000"/>
            </w:tcBorders>
            <w:shd w:val="clear" w:color="auto" w:fill="000000" w:themeFill="text1"/>
            <w:tcMar>
              <w:top w:w="15" w:type="dxa"/>
              <w:left w:w="67" w:type="dxa"/>
              <w:bottom w:w="0" w:type="dxa"/>
              <w:right w:w="67" w:type="dxa"/>
            </w:tcMar>
            <w:hideMark/>
          </w:tcPr>
          <w:p w14:paraId="6F373082" w14:textId="77777777" w:rsidR="006B14EA" w:rsidRPr="00FA38C7" w:rsidRDefault="006B14EA" w:rsidP="00FA38C7">
            <w:pPr>
              <w:pStyle w:val="TableHeader"/>
              <w:rPr>
                <w:rFonts w:ascii="Arial Narrow" w:hAnsi="Arial Narrow"/>
                <w:sz w:val="20"/>
                <w:szCs w:val="20"/>
              </w:rPr>
            </w:pPr>
            <w:r w:rsidRPr="00FA38C7">
              <w:rPr>
                <w:rFonts w:ascii="Arial Narrow" w:hAnsi="Arial Narrow"/>
                <w:sz w:val="20"/>
                <w:szCs w:val="20"/>
              </w:rPr>
              <w:t>Control, Mean observed Rate/ month</w:t>
            </w:r>
          </w:p>
        </w:tc>
        <w:tc>
          <w:tcPr>
            <w:tcW w:w="479" w:type="pct"/>
            <w:tcBorders>
              <w:top w:val="single" w:sz="8" w:space="0" w:color="000000"/>
              <w:left w:val="single" w:sz="8" w:space="0" w:color="000000"/>
              <w:bottom w:val="single" w:sz="8" w:space="0" w:color="000000"/>
              <w:right w:val="single" w:sz="8" w:space="0" w:color="000000"/>
            </w:tcBorders>
            <w:shd w:val="clear" w:color="auto" w:fill="000000" w:themeFill="text1"/>
          </w:tcPr>
          <w:p w14:paraId="334CD3FA" w14:textId="77777777" w:rsidR="006B14EA" w:rsidRPr="00FA38C7" w:rsidRDefault="006B14EA" w:rsidP="00FA38C7">
            <w:pPr>
              <w:pStyle w:val="TableHeader"/>
              <w:rPr>
                <w:rFonts w:ascii="Arial Narrow" w:hAnsi="Arial Narrow"/>
                <w:sz w:val="20"/>
                <w:szCs w:val="20"/>
              </w:rPr>
            </w:pPr>
            <w:r w:rsidRPr="00FA38C7">
              <w:rPr>
                <w:rFonts w:ascii="Arial Narrow" w:hAnsi="Arial Narrow"/>
                <w:sz w:val="20"/>
                <w:szCs w:val="20"/>
              </w:rPr>
              <w:t>Control,</w:t>
            </w:r>
          </w:p>
          <w:p w14:paraId="256CF543" w14:textId="21CBB2BF" w:rsidR="006B14EA" w:rsidRPr="00FA38C7" w:rsidRDefault="006B14EA" w:rsidP="00FA38C7">
            <w:pPr>
              <w:pStyle w:val="TableHeader"/>
              <w:rPr>
                <w:rFonts w:ascii="Arial Narrow" w:hAnsi="Arial Narrow"/>
                <w:sz w:val="20"/>
                <w:szCs w:val="20"/>
              </w:rPr>
            </w:pPr>
            <w:r w:rsidRPr="00FA38C7">
              <w:rPr>
                <w:rFonts w:ascii="Arial Narrow" w:hAnsi="Arial Narrow"/>
                <w:sz w:val="20"/>
                <w:szCs w:val="20"/>
              </w:rPr>
              <w:t>Variation in observed Rate/</w:t>
            </w:r>
            <w:r w:rsidR="00075773" w:rsidRPr="00FA38C7">
              <w:rPr>
                <w:rFonts w:ascii="Arial Narrow" w:hAnsi="Arial Narrow"/>
                <w:sz w:val="20"/>
                <w:szCs w:val="20"/>
              </w:rPr>
              <w:t xml:space="preserve"> </w:t>
            </w:r>
            <w:r w:rsidRPr="00FA38C7">
              <w:rPr>
                <w:rFonts w:ascii="Arial Narrow" w:hAnsi="Arial Narrow"/>
                <w:sz w:val="20"/>
                <w:szCs w:val="20"/>
              </w:rPr>
              <w:t>month (SE)</w:t>
            </w:r>
          </w:p>
        </w:tc>
        <w:tc>
          <w:tcPr>
            <w:tcW w:w="581" w:type="pct"/>
            <w:tcBorders>
              <w:top w:val="single" w:sz="8" w:space="0" w:color="000000"/>
              <w:left w:val="single" w:sz="8" w:space="0" w:color="000000"/>
              <w:bottom w:val="single" w:sz="8" w:space="0" w:color="000000"/>
              <w:right w:val="single" w:sz="8" w:space="0" w:color="000000"/>
            </w:tcBorders>
            <w:shd w:val="clear" w:color="auto" w:fill="000000" w:themeFill="text1"/>
            <w:tcMar>
              <w:top w:w="15" w:type="dxa"/>
              <w:left w:w="67" w:type="dxa"/>
              <w:bottom w:w="0" w:type="dxa"/>
              <w:right w:w="67" w:type="dxa"/>
            </w:tcMar>
            <w:hideMark/>
          </w:tcPr>
          <w:p w14:paraId="6009E434" w14:textId="77777777" w:rsidR="006B14EA" w:rsidRPr="00FA38C7" w:rsidRDefault="006B14EA" w:rsidP="00FA38C7">
            <w:pPr>
              <w:pStyle w:val="TableHeader"/>
              <w:rPr>
                <w:rFonts w:ascii="Arial Narrow" w:hAnsi="Arial Narrow"/>
                <w:sz w:val="20"/>
                <w:szCs w:val="20"/>
              </w:rPr>
            </w:pPr>
            <w:r w:rsidRPr="00FA38C7">
              <w:rPr>
                <w:rFonts w:ascii="Arial Narrow" w:hAnsi="Arial Narrow"/>
                <w:sz w:val="20"/>
                <w:szCs w:val="20"/>
              </w:rPr>
              <w:t>Estimated Rate Ratio, Intervention/ Control</w:t>
            </w:r>
          </w:p>
        </w:tc>
        <w:tc>
          <w:tcPr>
            <w:tcW w:w="533" w:type="pct"/>
            <w:tcBorders>
              <w:top w:val="single" w:sz="8" w:space="0" w:color="000000"/>
              <w:left w:val="single" w:sz="8" w:space="0" w:color="000000"/>
              <w:bottom w:val="single" w:sz="8" w:space="0" w:color="000000"/>
              <w:right w:val="single" w:sz="8" w:space="0" w:color="000000"/>
            </w:tcBorders>
            <w:shd w:val="clear" w:color="auto" w:fill="000000" w:themeFill="text1"/>
            <w:tcMar>
              <w:top w:w="15" w:type="dxa"/>
              <w:left w:w="67" w:type="dxa"/>
              <w:bottom w:w="0" w:type="dxa"/>
              <w:right w:w="67" w:type="dxa"/>
            </w:tcMar>
            <w:hideMark/>
          </w:tcPr>
          <w:p w14:paraId="76848910" w14:textId="77777777" w:rsidR="006B14EA" w:rsidRPr="00FA38C7" w:rsidRDefault="006B14EA" w:rsidP="00FA38C7">
            <w:pPr>
              <w:pStyle w:val="TableHeader"/>
              <w:rPr>
                <w:rFonts w:ascii="Arial Narrow" w:hAnsi="Arial Narrow"/>
                <w:sz w:val="20"/>
                <w:szCs w:val="20"/>
              </w:rPr>
            </w:pPr>
            <w:r w:rsidRPr="00FA38C7">
              <w:rPr>
                <w:rFonts w:ascii="Arial Narrow" w:hAnsi="Arial Narrow"/>
                <w:sz w:val="20"/>
                <w:szCs w:val="20"/>
              </w:rPr>
              <w:t>95% Confidence Interval</w:t>
            </w:r>
          </w:p>
        </w:tc>
        <w:tc>
          <w:tcPr>
            <w:tcW w:w="359" w:type="pct"/>
            <w:tcBorders>
              <w:top w:val="single" w:sz="8" w:space="0" w:color="000000"/>
              <w:left w:val="single" w:sz="8" w:space="0" w:color="000000"/>
              <w:bottom w:val="single" w:sz="8" w:space="0" w:color="000000"/>
              <w:right w:val="single" w:sz="8" w:space="0" w:color="000000"/>
            </w:tcBorders>
            <w:shd w:val="clear" w:color="auto" w:fill="000000" w:themeFill="text1"/>
            <w:tcMar>
              <w:top w:w="15" w:type="dxa"/>
              <w:left w:w="67" w:type="dxa"/>
              <w:bottom w:w="0" w:type="dxa"/>
              <w:right w:w="67" w:type="dxa"/>
            </w:tcMar>
            <w:hideMark/>
          </w:tcPr>
          <w:p w14:paraId="558B1369" w14:textId="77777777" w:rsidR="006B14EA" w:rsidRPr="00FA38C7" w:rsidRDefault="006B14EA" w:rsidP="00FA38C7">
            <w:pPr>
              <w:pStyle w:val="TableHeader"/>
              <w:rPr>
                <w:rFonts w:ascii="Arial Narrow" w:hAnsi="Arial Narrow"/>
                <w:sz w:val="20"/>
                <w:szCs w:val="20"/>
              </w:rPr>
            </w:pPr>
            <w:r w:rsidRPr="00FA38C7">
              <w:rPr>
                <w:rFonts w:ascii="Arial Narrow" w:hAnsi="Arial Narrow"/>
                <w:sz w:val="20"/>
                <w:szCs w:val="20"/>
              </w:rPr>
              <w:t>P-value</w:t>
            </w:r>
          </w:p>
        </w:tc>
      </w:tr>
      <w:bookmarkEnd w:id="189"/>
      <w:tr w:rsidR="006B14EA" w:rsidRPr="00FA38C7" w14:paraId="39861E3B" w14:textId="77777777" w:rsidTr="00075773">
        <w:trPr>
          <w:trHeight w:val="216"/>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14:paraId="3A32FB75" w14:textId="77777777" w:rsidR="006B14EA" w:rsidRPr="00FA38C7" w:rsidRDefault="006B14EA" w:rsidP="00FA38C7">
            <w:pPr>
              <w:pStyle w:val="Tabletext1"/>
              <w:rPr>
                <w:rFonts w:ascii="Arial Narrow" w:hAnsi="Arial Narrow"/>
                <w:szCs w:val="20"/>
              </w:rPr>
            </w:pPr>
            <w:r w:rsidRPr="00FA38C7">
              <w:rPr>
                <w:rFonts w:ascii="Arial Narrow" w:hAnsi="Arial Narrow"/>
                <w:szCs w:val="20"/>
              </w:rPr>
              <w:t>AME rate 0-365 days</w:t>
            </w:r>
          </w:p>
        </w:tc>
        <w:tc>
          <w:tcPr>
            <w:tcW w:w="557"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14:paraId="50E582CE" w14:textId="77777777" w:rsidR="006B14EA" w:rsidRPr="00FA38C7" w:rsidRDefault="006B14EA" w:rsidP="00FA38C7">
            <w:pPr>
              <w:pStyle w:val="Tabletext1"/>
              <w:jc w:val="right"/>
              <w:rPr>
                <w:rFonts w:ascii="Arial Narrow" w:hAnsi="Arial Narrow"/>
                <w:szCs w:val="20"/>
              </w:rPr>
            </w:pPr>
            <w:r w:rsidRPr="00FA38C7">
              <w:rPr>
                <w:rFonts w:ascii="Arial Narrow" w:hAnsi="Arial Narrow"/>
                <w:szCs w:val="20"/>
              </w:rPr>
              <w:t>120</w:t>
            </w:r>
          </w:p>
        </w:tc>
        <w:tc>
          <w:tcPr>
            <w:tcW w:w="538"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14:paraId="0FD807BC" w14:textId="77777777" w:rsidR="006B14EA" w:rsidRPr="00FA38C7" w:rsidRDefault="006B14EA" w:rsidP="00FA38C7">
            <w:pPr>
              <w:pStyle w:val="Tabletext1"/>
              <w:jc w:val="right"/>
              <w:rPr>
                <w:rFonts w:ascii="Arial Narrow" w:hAnsi="Arial Narrow"/>
                <w:szCs w:val="20"/>
              </w:rPr>
            </w:pPr>
            <w:r w:rsidRPr="00FA38C7">
              <w:rPr>
                <w:rFonts w:ascii="Arial Narrow" w:hAnsi="Arial Narrow"/>
                <w:szCs w:val="20"/>
              </w:rPr>
              <w:t>0.23</w:t>
            </w:r>
          </w:p>
        </w:tc>
        <w:tc>
          <w:tcPr>
            <w:tcW w:w="479" w:type="pct"/>
            <w:tcBorders>
              <w:top w:val="single" w:sz="8" w:space="0" w:color="000000"/>
              <w:left w:val="single" w:sz="8" w:space="0" w:color="000000"/>
              <w:bottom w:val="single" w:sz="8" w:space="0" w:color="000000"/>
              <w:right w:val="single" w:sz="8" w:space="0" w:color="000000"/>
            </w:tcBorders>
          </w:tcPr>
          <w:p w14:paraId="6DAD642D" w14:textId="77777777" w:rsidR="006B14EA" w:rsidRPr="00FA38C7" w:rsidRDefault="006B14EA" w:rsidP="00FA38C7">
            <w:pPr>
              <w:pStyle w:val="Tabletext1"/>
              <w:jc w:val="right"/>
              <w:rPr>
                <w:rFonts w:ascii="Arial Narrow" w:hAnsi="Arial Narrow"/>
                <w:szCs w:val="20"/>
              </w:rPr>
            </w:pPr>
            <w:r w:rsidRPr="00FA38C7">
              <w:rPr>
                <w:rFonts w:ascii="Arial Narrow" w:hAnsi="Arial Narrow"/>
                <w:szCs w:val="20"/>
              </w:rPr>
              <w:t>(0.32)</w:t>
            </w:r>
          </w:p>
        </w:tc>
        <w:tc>
          <w:tcPr>
            <w:tcW w:w="501"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14:paraId="2FE90AFC" w14:textId="77777777" w:rsidR="006B14EA" w:rsidRPr="00FA38C7" w:rsidRDefault="006B14EA" w:rsidP="00FA38C7">
            <w:pPr>
              <w:pStyle w:val="Tabletext1"/>
              <w:jc w:val="right"/>
              <w:rPr>
                <w:rFonts w:ascii="Arial Narrow" w:hAnsi="Arial Narrow"/>
                <w:szCs w:val="20"/>
              </w:rPr>
            </w:pPr>
            <w:r w:rsidRPr="00FA38C7">
              <w:rPr>
                <w:rFonts w:ascii="Arial Narrow" w:hAnsi="Arial Narrow"/>
                <w:szCs w:val="20"/>
              </w:rPr>
              <w:t>128</w:t>
            </w:r>
          </w:p>
        </w:tc>
        <w:tc>
          <w:tcPr>
            <w:tcW w:w="449"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14:paraId="1A572A1C" w14:textId="77777777" w:rsidR="006B14EA" w:rsidRPr="00FA38C7" w:rsidRDefault="006B14EA" w:rsidP="00FA38C7">
            <w:pPr>
              <w:pStyle w:val="Tabletext1"/>
              <w:jc w:val="right"/>
              <w:rPr>
                <w:rFonts w:ascii="Arial Narrow" w:hAnsi="Arial Narrow"/>
                <w:szCs w:val="20"/>
              </w:rPr>
            </w:pPr>
            <w:r w:rsidRPr="00FA38C7">
              <w:rPr>
                <w:rFonts w:ascii="Arial Narrow" w:hAnsi="Arial Narrow"/>
                <w:szCs w:val="20"/>
              </w:rPr>
              <w:t>0.20</w:t>
            </w:r>
          </w:p>
        </w:tc>
        <w:tc>
          <w:tcPr>
            <w:tcW w:w="479" w:type="pct"/>
            <w:tcBorders>
              <w:top w:val="single" w:sz="8" w:space="0" w:color="000000"/>
              <w:left w:val="single" w:sz="8" w:space="0" w:color="000000"/>
              <w:bottom w:val="single" w:sz="8" w:space="0" w:color="000000"/>
              <w:right w:val="single" w:sz="8" w:space="0" w:color="000000"/>
            </w:tcBorders>
          </w:tcPr>
          <w:p w14:paraId="1CF72F5E" w14:textId="77777777" w:rsidR="006B14EA" w:rsidRPr="00FA38C7" w:rsidRDefault="006B14EA" w:rsidP="00FA38C7">
            <w:pPr>
              <w:pStyle w:val="Tabletext1"/>
              <w:jc w:val="right"/>
              <w:rPr>
                <w:rFonts w:ascii="Arial Narrow" w:hAnsi="Arial Narrow"/>
                <w:szCs w:val="20"/>
              </w:rPr>
            </w:pPr>
            <w:r w:rsidRPr="00FA38C7">
              <w:rPr>
                <w:rFonts w:ascii="Arial Narrow" w:hAnsi="Arial Narrow"/>
                <w:szCs w:val="20"/>
              </w:rPr>
              <w:t>(0.36)</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14:paraId="51E0EFA8" w14:textId="77777777" w:rsidR="006B14EA" w:rsidRPr="00FA38C7" w:rsidRDefault="006B14EA" w:rsidP="00FA38C7">
            <w:pPr>
              <w:pStyle w:val="Tabletext1"/>
              <w:jc w:val="right"/>
              <w:rPr>
                <w:rFonts w:ascii="Arial Narrow" w:hAnsi="Arial Narrow"/>
                <w:szCs w:val="20"/>
              </w:rPr>
            </w:pPr>
            <w:r w:rsidRPr="00FA38C7">
              <w:rPr>
                <w:rFonts w:ascii="Arial Narrow" w:hAnsi="Arial Narrow"/>
                <w:szCs w:val="20"/>
              </w:rPr>
              <w:t>1.12</w:t>
            </w:r>
          </w:p>
        </w:tc>
        <w:tc>
          <w:tcPr>
            <w:tcW w:w="533"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14:paraId="3D56D6F3" w14:textId="77777777" w:rsidR="006B14EA" w:rsidRPr="00FA38C7" w:rsidRDefault="006B14EA" w:rsidP="00FA38C7">
            <w:pPr>
              <w:pStyle w:val="Tabletext1"/>
              <w:jc w:val="right"/>
              <w:rPr>
                <w:rFonts w:ascii="Arial Narrow" w:hAnsi="Arial Narrow"/>
                <w:szCs w:val="20"/>
              </w:rPr>
            </w:pPr>
            <w:r w:rsidRPr="00FA38C7">
              <w:rPr>
                <w:rFonts w:ascii="Arial Narrow" w:hAnsi="Arial Narrow"/>
                <w:szCs w:val="20"/>
              </w:rPr>
              <w:t>0.78, 1.61</w:t>
            </w:r>
          </w:p>
        </w:tc>
        <w:tc>
          <w:tcPr>
            <w:tcW w:w="359"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14:paraId="4780F6BA" w14:textId="77777777" w:rsidR="006B14EA" w:rsidRPr="00FA38C7" w:rsidRDefault="006B14EA" w:rsidP="00FA38C7">
            <w:pPr>
              <w:pStyle w:val="Tabletext1"/>
              <w:jc w:val="right"/>
              <w:rPr>
                <w:rFonts w:ascii="Arial Narrow" w:hAnsi="Arial Narrow"/>
                <w:szCs w:val="20"/>
              </w:rPr>
            </w:pPr>
            <w:r w:rsidRPr="00FA38C7">
              <w:rPr>
                <w:rFonts w:ascii="Arial Narrow" w:hAnsi="Arial Narrow"/>
                <w:szCs w:val="20"/>
              </w:rPr>
              <w:t>0.55</w:t>
            </w:r>
          </w:p>
        </w:tc>
      </w:tr>
      <w:tr w:rsidR="006B14EA" w:rsidRPr="00FA38C7" w14:paraId="01E71867" w14:textId="77777777" w:rsidTr="00075773">
        <w:trPr>
          <w:trHeight w:val="216"/>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14:paraId="69427D0C" w14:textId="77777777" w:rsidR="006B14EA" w:rsidRPr="00FA38C7" w:rsidRDefault="006B14EA" w:rsidP="00FA38C7">
            <w:pPr>
              <w:pStyle w:val="Tabletext1"/>
              <w:rPr>
                <w:rFonts w:ascii="Arial Narrow" w:hAnsi="Arial Narrow"/>
                <w:szCs w:val="20"/>
              </w:rPr>
            </w:pPr>
            <w:r w:rsidRPr="00FA38C7">
              <w:rPr>
                <w:rFonts w:ascii="Arial Narrow" w:hAnsi="Arial Narrow"/>
                <w:szCs w:val="20"/>
              </w:rPr>
              <w:t>Preventable AME rate 0-365 days</w:t>
            </w:r>
          </w:p>
        </w:tc>
        <w:tc>
          <w:tcPr>
            <w:tcW w:w="557"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14:paraId="36C4175E" w14:textId="77777777" w:rsidR="006B14EA" w:rsidRPr="00FA38C7" w:rsidRDefault="006B14EA" w:rsidP="00FA38C7">
            <w:pPr>
              <w:pStyle w:val="Tabletext1"/>
              <w:jc w:val="right"/>
              <w:rPr>
                <w:rFonts w:ascii="Arial Narrow" w:hAnsi="Arial Narrow"/>
                <w:szCs w:val="20"/>
              </w:rPr>
            </w:pPr>
            <w:r w:rsidRPr="00FA38C7">
              <w:rPr>
                <w:rFonts w:ascii="Arial Narrow" w:hAnsi="Arial Narrow"/>
                <w:szCs w:val="20"/>
              </w:rPr>
              <w:t>120</w:t>
            </w:r>
          </w:p>
        </w:tc>
        <w:tc>
          <w:tcPr>
            <w:tcW w:w="538"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14:paraId="1BC13B1B" w14:textId="77777777" w:rsidR="006B14EA" w:rsidRPr="00FA38C7" w:rsidRDefault="006B14EA" w:rsidP="00FA38C7">
            <w:pPr>
              <w:pStyle w:val="Tabletext1"/>
              <w:jc w:val="right"/>
              <w:rPr>
                <w:rFonts w:ascii="Arial Narrow" w:hAnsi="Arial Narrow"/>
                <w:szCs w:val="20"/>
              </w:rPr>
            </w:pPr>
            <w:r w:rsidRPr="00FA38C7">
              <w:rPr>
                <w:rFonts w:ascii="Arial Narrow" w:hAnsi="Arial Narrow"/>
                <w:szCs w:val="20"/>
              </w:rPr>
              <w:t>0.19</w:t>
            </w:r>
          </w:p>
        </w:tc>
        <w:tc>
          <w:tcPr>
            <w:tcW w:w="479" w:type="pct"/>
            <w:tcBorders>
              <w:top w:val="single" w:sz="8" w:space="0" w:color="000000"/>
              <w:left w:val="single" w:sz="8" w:space="0" w:color="000000"/>
              <w:bottom w:val="single" w:sz="8" w:space="0" w:color="000000"/>
              <w:right w:val="single" w:sz="8" w:space="0" w:color="000000"/>
            </w:tcBorders>
          </w:tcPr>
          <w:p w14:paraId="5F0538FF" w14:textId="77777777" w:rsidR="006B14EA" w:rsidRPr="00FA38C7" w:rsidRDefault="006B14EA" w:rsidP="00FA38C7">
            <w:pPr>
              <w:pStyle w:val="Tabletext1"/>
              <w:jc w:val="right"/>
              <w:rPr>
                <w:rFonts w:ascii="Arial Narrow" w:hAnsi="Arial Narrow"/>
                <w:szCs w:val="20"/>
              </w:rPr>
            </w:pPr>
            <w:r w:rsidRPr="00FA38C7">
              <w:rPr>
                <w:rFonts w:ascii="Arial Narrow" w:hAnsi="Arial Narrow"/>
                <w:szCs w:val="20"/>
              </w:rPr>
              <w:t>(0.31)</w:t>
            </w:r>
          </w:p>
        </w:tc>
        <w:tc>
          <w:tcPr>
            <w:tcW w:w="501"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14:paraId="666885B2" w14:textId="77777777" w:rsidR="006B14EA" w:rsidRPr="00FA38C7" w:rsidRDefault="006B14EA" w:rsidP="00FA38C7">
            <w:pPr>
              <w:pStyle w:val="Tabletext1"/>
              <w:jc w:val="right"/>
              <w:rPr>
                <w:rFonts w:ascii="Arial Narrow" w:hAnsi="Arial Narrow"/>
                <w:szCs w:val="20"/>
              </w:rPr>
            </w:pPr>
            <w:r w:rsidRPr="00FA38C7">
              <w:rPr>
                <w:rFonts w:ascii="Arial Narrow" w:hAnsi="Arial Narrow"/>
                <w:szCs w:val="20"/>
              </w:rPr>
              <w:t>128</w:t>
            </w:r>
          </w:p>
        </w:tc>
        <w:tc>
          <w:tcPr>
            <w:tcW w:w="449"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14:paraId="52DDEF8E" w14:textId="77777777" w:rsidR="006B14EA" w:rsidRPr="00FA38C7" w:rsidRDefault="006B14EA" w:rsidP="00FA38C7">
            <w:pPr>
              <w:pStyle w:val="Tabletext1"/>
              <w:jc w:val="right"/>
              <w:rPr>
                <w:rFonts w:ascii="Arial Narrow" w:hAnsi="Arial Narrow"/>
                <w:szCs w:val="20"/>
              </w:rPr>
            </w:pPr>
            <w:r w:rsidRPr="00FA38C7">
              <w:rPr>
                <w:rFonts w:ascii="Arial Narrow" w:hAnsi="Arial Narrow"/>
                <w:szCs w:val="20"/>
              </w:rPr>
              <w:t>0.17</w:t>
            </w:r>
          </w:p>
        </w:tc>
        <w:tc>
          <w:tcPr>
            <w:tcW w:w="479" w:type="pct"/>
            <w:tcBorders>
              <w:top w:val="single" w:sz="8" w:space="0" w:color="000000"/>
              <w:left w:val="single" w:sz="8" w:space="0" w:color="000000"/>
              <w:bottom w:val="single" w:sz="8" w:space="0" w:color="000000"/>
              <w:right w:val="single" w:sz="8" w:space="0" w:color="000000"/>
            </w:tcBorders>
          </w:tcPr>
          <w:p w14:paraId="273BF806" w14:textId="77777777" w:rsidR="006B14EA" w:rsidRPr="00FA38C7" w:rsidRDefault="006B14EA" w:rsidP="00FA38C7">
            <w:pPr>
              <w:pStyle w:val="Tabletext1"/>
              <w:jc w:val="right"/>
              <w:rPr>
                <w:rFonts w:ascii="Arial Narrow" w:hAnsi="Arial Narrow"/>
                <w:szCs w:val="20"/>
              </w:rPr>
            </w:pPr>
            <w:r w:rsidRPr="00FA38C7">
              <w:rPr>
                <w:rFonts w:ascii="Arial Narrow" w:hAnsi="Arial Narrow"/>
                <w:szCs w:val="20"/>
              </w:rPr>
              <w:t>(0.32)</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14:paraId="42A6C510" w14:textId="77777777" w:rsidR="006B14EA" w:rsidRPr="00FA38C7" w:rsidRDefault="006B14EA" w:rsidP="00FA38C7">
            <w:pPr>
              <w:pStyle w:val="Tabletext1"/>
              <w:jc w:val="right"/>
              <w:rPr>
                <w:rFonts w:ascii="Arial Narrow" w:hAnsi="Arial Narrow"/>
                <w:szCs w:val="20"/>
              </w:rPr>
            </w:pPr>
            <w:r w:rsidRPr="00FA38C7">
              <w:rPr>
                <w:rFonts w:ascii="Arial Narrow" w:hAnsi="Arial Narrow"/>
                <w:szCs w:val="20"/>
              </w:rPr>
              <w:t>1.17</w:t>
            </w:r>
          </w:p>
        </w:tc>
        <w:tc>
          <w:tcPr>
            <w:tcW w:w="533"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14:paraId="12E2CA36" w14:textId="77777777" w:rsidR="006B14EA" w:rsidRPr="00FA38C7" w:rsidRDefault="006B14EA" w:rsidP="00FA38C7">
            <w:pPr>
              <w:pStyle w:val="Tabletext1"/>
              <w:jc w:val="right"/>
              <w:rPr>
                <w:rFonts w:ascii="Arial Narrow" w:hAnsi="Arial Narrow"/>
                <w:szCs w:val="20"/>
              </w:rPr>
            </w:pPr>
            <w:r w:rsidRPr="00FA38C7">
              <w:rPr>
                <w:rFonts w:ascii="Arial Narrow" w:hAnsi="Arial Narrow"/>
                <w:szCs w:val="20"/>
              </w:rPr>
              <w:t>0.77, 1.76</w:t>
            </w:r>
          </w:p>
        </w:tc>
        <w:tc>
          <w:tcPr>
            <w:tcW w:w="359"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14:paraId="21743377" w14:textId="77777777" w:rsidR="006B14EA" w:rsidRPr="00FA38C7" w:rsidRDefault="006B14EA" w:rsidP="00FA38C7">
            <w:pPr>
              <w:pStyle w:val="Tabletext1"/>
              <w:jc w:val="right"/>
              <w:rPr>
                <w:rFonts w:ascii="Arial Narrow" w:hAnsi="Arial Narrow"/>
                <w:szCs w:val="20"/>
              </w:rPr>
            </w:pPr>
            <w:r w:rsidRPr="00FA38C7">
              <w:rPr>
                <w:rFonts w:ascii="Arial Narrow" w:hAnsi="Arial Narrow"/>
                <w:szCs w:val="20"/>
              </w:rPr>
              <w:t>0.47</w:t>
            </w:r>
          </w:p>
        </w:tc>
      </w:tr>
    </w:tbl>
    <w:p w14:paraId="7C3A89CF" w14:textId="16C676C0" w:rsidR="006B14EA" w:rsidRPr="007B3AF1" w:rsidRDefault="007B3AF1" w:rsidP="00897C5B">
      <w:pPr>
        <w:pStyle w:val="Caption"/>
      </w:pPr>
      <w:r w:rsidRPr="00D3586C">
        <w:t>Table B-12</w:t>
      </w:r>
      <w:r w:rsidRPr="00C17257">
        <w:t>: Comparison of differences in adverse drug events for each trial arm.</w:t>
      </w:r>
    </w:p>
    <w:p w14:paraId="16583CF3" w14:textId="43341AB0" w:rsidR="00153259" w:rsidRPr="00D35E20" w:rsidRDefault="00D35E20" w:rsidP="007501B9">
      <w:r>
        <w:t xml:space="preserve">Falls were the most frequent adverse event and a </w:t>
      </w:r>
      <w:r w:rsidRPr="00D3586C">
        <w:rPr>
          <w:i/>
        </w:rPr>
        <w:t>post-hoc</w:t>
      </w:r>
      <w:r>
        <w:t xml:space="preserve"> subgroup analysis was undertaken </w:t>
      </w:r>
      <w:r w:rsidR="00153259">
        <w:t>to determine the numbers of people who had a fall</w:t>
      </w:r>
      <w:r w:rsidR="007501B9">
        <w:t xml:space="preserve">. </w:t>
      </w:r>
      <w:r w:rsidR="00153259">
        <w:t xml:space="preserve">Within the intervention arm, the proportion of persons with a fall fell, while the proportion of persons with a fall in the control arm increased over </w:t>
      </w:r>
      <w:r w:rsidR="00153259" w:rsidRPr="00D3586C">
        <w:t xml:space="preserve">time (Table </w:t>
      </w:r>
      <w:r w:rsidR="00D3586C" w:rsidRPr="00D3586C">
        <w:t>B-13</w:t>
      </w:r>
      <w:r w:rsidR="00153259" w:rsidRPr="00D3586C">
        <w:t>)</w:t>
      </w:r>
      <w:r w:rsidR="007501B9">
        <w:t xml:space="preserve">. </w:t>
      </w:r>
      <w:r w:rsidR="00153259" w:rsidRPr="00D3586C">
        <w:t>This</w:t>
      </w:r>
      <w:r w:rsidR="00153259">
        <w:t xml:space="preserve"> result did not </w:t>
      </w:r>
      <w:r w:rsidR="00153259" w:rsidRPr="00153259">
        <w:t>reach</w:t>
      </w:r>
      <w:r w:rsidR="00D3586C">
        <w:t xml:space="preserve"> statistical significance</w:t>
      </w:r>
      <w:r w:rsidR="00153259">
        <w:t xml:space="preserve"> (Rate Ratio 0.80, 95%CI 0.53, 1.21, p=0.29)</w:t>
      </w:r>
      <w:r w:rsidR="00D3586C">
        <w:t>.</w:t>
      </w:r>
    </w:p>
    <w:tbl>
      <w:tblPr>
        <w:tblpPr w:leftFromText="180" w:rightFromText="180" w:vertAnchor="text" w:horzAnchor="margin" w:tblpY="187"/>
        <w:tblW w:w="5000" w:type="pct"/>
        <w:tblCellMar>
          <w:left w:w="0" w:type="dxa"/>
          <w:right w:w="0" w:type="dxa"/>
        </w:tblCellMar>
        <w:tblLook w:val="0000" w:firstRow="0" w:lastRow="0" w:firstColumn="0" w:lastColumn="0" w:noHBand="0" w:noVBand="0"/>
        <w:tblCaption w:val="Comparison of differences in falls for each trial arm"/>
        <w:tblDescription w:val="Within the intervention arm, the proportion of persons with a fall fell, while the proportion of persons with a fall in the control arm increased over time "/>
      </w:tblPr>
      <w:tblGrid>
        <w:gridCol w:w="1315"/>
        <w:gridCol w:w="1225"/>
        <w:gridCol w:w="1163"/>
        <w:gridCol w:w="1163"/>
        <w:gridCol w:w="1163"/>
        <w:gridCol w:w="942"/>
        <w:gridCol w:w="942"/>
        <w:gridCol w:w="1097"/>
      </w:tblGrid>
      <w:tr w:rsidR="00D3586C" w:rsidRPr="00C87BFE" w14:paraId="45FD37B0" w14:textId="77777777" w:rsidTr="00C87BFE">
        <w:trPr>
          <w:cantSplit/>
          <w:tblHeader/>
        </w:trPr>
        <w:tc>
          <w:tcPr>
            <w:tcW w:w="729" w:type="pct"/>
            <w:tcBorders>
              <w:top w:val="single" w:sz="6" w:space="0" w:color="000000"/>
              <w:left w:val="single" w:sz="6" w:space="0" w:color="000000"/>
              <w:bottom w:val="single" w:sz="2" w:space="0" w:color="000000"/>
              <w:right w:val="nil"/>
            </w:tcBorders>
            <w:shd w:val="clear" w:color="auto" w:fill="000000" w:themeFill="text1"/>
            <w:tcMar>
              <w:left w:w="80" w:type="dxa"/>
              <w:right w:w="80" w:type="dxa"/>
            </w:tcMar>
          </w:tcPr>
          <w:p w14:paraId="0DB1D1EB" w14:textId="77777777" w:rsidR="00D3586C" w:rsidRPr="00C87BFE" w:rsidRDefault="00D3586C" w:rsidP="00FA38C7">
            <w:pPr>
              <w:pStyle w:val="TableHeader"/>
              <w:rPr>
                <w:rFonts w:ascii="Arial Narrow" w:hAnsi="Arial Narrow"/>
                <w:sz w:val="20"/>
                <w:szCs w:val="20"/>
              </w:rPr>
            </w:pPr>
            <w:bookmarkStart w:id="191" w:name="Title_1969" w:colFirst="0" w:colLast="0"/>
            <w:r w:rsidRPr="00C87BFE">
              <w:rPr>
                <w:rFonts w:ascii="Arial Narrow" w:hAnsi="Arial Narrow"/>
                <w:sz w:val="20"/>
                <w:szCs w:val="20"/>
              </w:rPr>
              <w:lastRenderedPageBreak/>
              <w:t>Outcome*</w:t>
            </w:r>
            <w:bookmarkStart w:id="192" w:name="Title_42"/>
            <w:bookmarkEnd w:id="192"/>
          </w:p>
        </w:tc>
        <w:tc>
          <w:tcPr>
            <w:tcW w:w="679" w:type="pct"/>
            <w:tcBorders>
              <w:top w:val="single" w:sz="6" w:space="0" w:color="000000"/>
              <w:left w:val="single" w:sz="2" w:space="0" w:color="000000"/>
              <w:bottom w:val="single" w:sz="2" w:space="0" w:color="000000"/>
              <w:right w:val="nil"/>
            </w:tcBorders>
            <w:shd w:val="clear" w:color="auto" w:fill="000000" w:themeFill="text1"/>
            <w:tcMar>
              <w:left w:w="80" w:type="dxa"/>
              <w:right w:w="80" w:type="dxa"/>
            </w:tcMar>
          </w:tcPr>
          <w:p w14:paraId="79CEEC86" w14:textId="77777777" w:rsidR="00D3586C" w:rsidRPr="00C87BFE" w:rsidRDefault="00D3586C" w:rsidP="00FA38C7">
            <w:pPr>
              <w:pStyle w:val="TableHeader"/>
              <w:rPr>
                <w:rFonts w:ascii="Arial Narrow" w:hAnsi="Arial Narrow"/>
                <w:sz w:val="20"/>
                <w:szCs w:val="20"/>
              </w:rPr>
            </w:pPr>
            <w:r w:rsidRPr="00C87BFE">
              <w:rPr>
                <w:rFonts w:ascii="Arial Narrow" w:hAnsi="Arial Narrow"/>
                <w:sz w:val="20"/>
                <w:szCs w:val="20"/>
              </w:rPr>
              <w:t xml:space="preserve">Time from </w:t>
            </w:r>
            <w:proofErr w:type="spellStart"/>
            <w:r w:rsidRPr="00C87BFE">
              <w:rPr>
                <w:rFonts w:ascii="Arial Narrow" w:hAnsi="Arial Narrow"/>
                <w:sz w:val="20"/>
                <w:szCs w:val="20"/>
              </w:rPr>
              <w:t>randomis-ation</w:t>
            </w:r>
            <w:proofErr w:type="spellEnd"/>
          </w:p>
        </w:tc>
        <w:tc>
          <w:tcPr>
            <w:tcW w:w="645" w:type="pct"/>
            <w:tcBorders>
              <w:top w:val="single" w:sz="6" w:space="0" w:color="000000"/>
              <w:left w:val="single" w:sz="2" w:space="0" w:color="000000"/>
              <w:bottom w:val="single" w:sz="2" w:space="0" w:color="000000"/>
              <w:right w:val="nil"/>
            </w:tcBorders>
            <w:shd w:val="clear" w:color="auto" w:fill="000000" w:themeFill="text1"/>
            <w:tcMar>
              <w:left w:w="80" w:type="dxa"/>
              <w:right w:w="80" w:type="dxa"/>
            </w:tcMar>
          </w:tcPr>
          <w:p w14:paraId="1254CDD0" w14:textId="77777777" w:rsidR="00D3586C" w:rsidRPr="00C87BFE" w:rsidRDefault="00D3586C" w:rsidP="00FA38C7">
            <w:pPr>
              <w:pStyle w:val="TableHeader"/>
              <w:rPr>
                <w:rFonts w:ascii="Arial Narrow" w:hAnsi="Arial Narrow"/>
                <w:sz w:val="20"/>
                <w:szCs w:val="20"/>
              </w:rPr>
            </w:pPr>
            <w:proofErr w:type="spellStart"/>
            <w:r w:rsidRPr="00C87BFE">
              <w:rPr>
                <w:rFonts w:ascii="Arial Narrow" w:hAnsi="Arial Narrow"/>
                <w:sz w:val="20"/>
                <w:szCs w:val="20"/>
              </w:rPr>
              <w:t>Intervent</w:t>
            </w:r>
            <w:proofErr w:type="spellEnd"/>
            <w:r w:rsidRPr="00C87BFE">
              <w:rPr>
                <w:rFonts w:ascii="Arial Narrow" w:hAnsi="Arial Narrow"/>
                <w:sz w:val="20"/>
                <w:szCs w:val="20"/>
              </w:rPr>
              <w:t>-ion (N)</w:t>
            </w:r>
          </w:p>
        </w:tc>
        <w:tc>
          <w:tcPr>
            <w:tcW w:w="645" w:type="pct"/>
            <w:tcBorders>
              <w:top w:val="single" w:sz="6" w:space="0" w:color="000000"/>
              <w:left w:val="single" w:sz="2" w:space="0" w:color="000000"/>
              <w:bottom w:val="single" w:sz="2" w:space="0" w:color="000000"/>
              <w:right w:val="nil"/>
            </w:tcBorders>
            <w:shd w:val="clear" w:color="auto" w:fill="000000" w:themeFill="text1"/>
            <w:tcMar>
              <w:left w:w="80" w:type="dxa"/>
              <w:right w:w="80" w:type="dxa"/>
            </w:tcMar>
          </w:tcPr>
          <w:p w14:paraId="5A686539" w14:textId="77777777" w:rsidR="00D3586C" w:rsidRPr="00C87BFE" w:rsidRDefault="00D3586C" w:rsidP="00FA38C7">
            <w:pPr>
              <w:pStyle w:val="TableHeader"/>
              <w:rPr>
                <w:rFonts w:ascii="Arial Narrow" w:hAnsi="Arial Narrow"/>
                <w:sz w:val="20"/>
                <w:szCs w:val="20"/>
              </w:rPr>
            </w:pPr>
            <w:r w:rsidRPr="00C87BFE">
              <w:rPr>
                <w:rFonts w:ascii="Arial Narrow" w:hAnsi="Arial Narrow"/>
                <w:sz w:val="20"/>
                <w:szCs w:val="20"/>
              </w:rPr>
              <w:t xml:space="preserve">N Fall, </w:t>
            </w:r>
            <w:proofErr w:type="spellStart"/>
            <w:r w:rsidRPr="00C87BFE">
              <w:rPr>
                <w:rFonts w:ascii="Arial Narrow" w:hAnsi="Arial Narrow"/>
                <w:sz w:val="20"/>
                <w:szCs w:val="20"/>
              </w:rPr>
              <w:t>Intervent</w:t>
            </w:r>
            <w:proofErr w:type="spellEnd"/>
            <w:r w:rsidRPr="00C87BFE">
              <w:rPr>
                <w:rFonts w:ascii="Arial Narrow" w:hAnsi="Arial Narrow"/>
                <w:sz w:val="20"/>
                <w:szCs w:val="20"/>
              </w:rPr>
              <w:t>-ion</w:t>
            </w:r>
          </w:p>
        </w:tc>
        <w:tc>
          <w:tcPr>
            <w:tcW w:w="645" w:type="pct"/>
            <w:tcBorders>
              <w:top w:val="single" w:sz="6" w:space="0" w:color="000000"/>
              <w:left w:val="single" w:sz="2" w:space="0" w:color="000000"/>
              <w:bottom w:val="single" w:sz="2" w:space="0" w:color="000000"/>
              <w:right w:val="nil"/>
            </w:tcBorders>
            <w:shd w:val="clear" w:color="auto" w:fill="000000" w:themeFill="text1"/>
            <w:tcMar>
              <w:left w:w="80" w:type="dxa"/>
              <w:right w:w="80" w:type="dxa"/>
            </w:tcMar>
          </w:tcPr>
          <w:p w14:paraId="7200328A" w14:textId="77777777" w:rsidR="00D3586C" w:rsidRPr="00C87BFE" w:rsidRDefault="00D3586C" w:rsidP="00FA38C7">
            <w:pPr>
              <w:pStyle w:val="TableHeader"/>
              <w:rPr>
                <w:rFonts w:ascii="Arial Narrow" w:hAnsi="Arial Narrow"/>
                <w:sz w:val="20"/>
                <w:szCs w:val="20"/>
              </w:rPr>
            </w:pPr>
            <w:r w:rsidRPr="00C87BFE">
              <w:rPr>
                <w:rFonts w:ascii="Arial Narrow" w:hAnsi="Arial Narrow"/>
                <w:sz w:val="20"/>
                <w:szCs w:val="20"/>
              </w:rPr>
              <w:t xml:space="preserve">Fall %, </w:t>
            </w:r>
            <w:proofErr w:type="spellStart"/>
            <w:r w:rsidRPr="00C87BFE">
              <w:rPr>
                <w:rFonts w:ascii="Arial Narrow" w:hAnsi="Arial Narrow"/>
                <w:sz w:val="20"/>
                <w:szCs w:val="20"/>
              </w:rPr>
              <w:t>Intervent</w:t>
            </w:r>
            <w:proofErr w:type="spellEnd"/>
            <w:r w:rsidRPr="00C87BFE">
              <w:rPr>
                <w:rFonts w:ascii="Arial Narrow" w:hAnsi="Arial Narrow"/>
                <w:sz w:val="20"/>
                <w:szCs w:val="20"/>
              </w:rPr>
              <w:t>-ion</w:t>
            </w:r>
          </w:p>
        </w:tc>
        <w:tc>
          <w:tcPr>
            <w:tcW w:w="523" w:type="pct"/>
            <w:tcBorders>
              <w:top w:val="single" w:sz="6" w:space="0" w:color="000000"/>
              <w:left w:val="single" w:sz="2" w:space="0" w:color="000000"/>
              <w:bottom w:val="single" w:sz="2" w:space="0" w:color="000000"/>
              <w:right w:val="nil"/>
            </w:tcBorders>
            <w:shd w:val="clear" w:color="auto" w:fill="000000" w:themeFill="text1"/>
            <w:tcMar>
              <w:left w:w="80" w:type="dxa"/>
              <w:right w:w="80" w:type="dxa"/>
            </w:tcMar>
          </w:tcPr>
          <w:p w14:paraId="0C9FDB7C" w14:textId="77777777" w:rsidR="00D3586C" w:rsidRPr="00C87BFE" w:rsidRDefault="00D3586C" w:rsidP="00FA38C7">
            <w:pPr>
              <w:pStyle w:val="TableHeader"/>
              <w:rPr>
                <w:rFonts w:ascii="Arial Narrow" w:hAnsi="Arial Narrow"/>
                <w:sz w:val="20"/>
                <w:szCs w:val="20"/>
              </w:rPr>
            </w:pPr>
            <w:r w:rsidRPr="00C87BFE">
              <w:rPr>
                <w:rFonts w:ascii="Arial Narrow" w:hAnsi="Arial Narrow"/>
                <w:sz w:val="20"/>
                <w:szCs w:val="20"/>
              </w:rPr>
              <w:t>Control (N)</w:t>
            </w:r>
          </w:p>
        </w:tc>
        <w:tc>
          <w:tcPr>
            <w:tcW w:w="523" w:type="pct"/>
            <w:tcBorders>
              <w:top w:val="single" w:sz="6" w:space="0" w:color="000000"/>
              <w:left w:val="single" w:sz="2" w:space="0" w:color="000000"/>
              <w:bottom w:val="single" w:sz="2" w:space="0" w:color="000000"/>
              <w:right w:val="nil"/>
            </w:tcBorders>
            <w:shd w:val="clear" w:color="auto" w:fill="000000" w:themeFill="text1"/>
            <w:tcMar>
              <w:left w:w="80" w:type="dxa"/>
              <w:right w:w="80" w:type="dxa"/>
            </w:tcMar>
          </w:tcPr>
          <w:p w14:paraId="6BB3E78E" w14:textId="77777777" w:rsidR="00D3586C" w:rsidRPr="00C87BFE" w:rsidRDefault="00D3586C" w:rsidP="00FA38C7">
            <w:pPr>
              <w:pStyle w:val="TableHeader"/>
              <w:rPr>
                <w:rFonts w:ascii="Arial Narrow" w:hAnsi="Arial Narrow"/>
                <w:sz w:val="20"/>
                <w:szCs w:val="20"/>
              </w:rPr>
            </w:pPr>
            <w:r w:rsidRPr="00C87BFE">
              <w:rPr>
                <w:rFonts w:ascii="Arial Narrow" w:hAnsi="Arial Narrow"/>
                <w:sz w:val="20"/>
                <w:szCs w:val="20"/>
              </w:rPr>
              <w:t>N Fall, Control</w:t>
            </w:r>
          </w:p>
        </w:tc>
        <w:tc>
          <w:tcPr>
            <w:tcW w:w="609" w:type="pct"/>
            <w:tcBorders>
              <w:top w:val="single" w:sz="6" w:space="0" w:color="000000"/>
              <w:left w:val="single" w:sz="2" w:space="0" w:color="000000"/>
              <w:bottom w:val="single" w:sz="2" w:space="0" w:color="000000"/>
              <w:right w:val="single" w:sz="6" w:space="0" w:color="000000"/>
            </w:tcBorders>
            <w:shd w:val="clear" w:color="auto" w:fill="000000" w:themeFill="text1"/>
            <w:tcMar>
              <w:left w:w="80" w:type="dxa"/>
              <w:right w:w="80" w:type="dxa"/>
            </w:tcMar>
          </w:tcPr>
          <w:p w14:paraId="6FC725AC" w14:textId="77777777" w:rsidR="00D3586C" w:rsidRPr="00C87BFE" w:rsidRDefault="00D3586C" w:rsidP="00FA38C7">
            <w:pPr>
              <w:pStyle w:val="TableHeader"/>
              <w:rPr>
                <w:rFonts w:ascii="Arial Narrow" w:hAnsi="Arial Narrow"/>
                <w:sz w:val="20"/>
                <w:szCs w:val="20"/>
              </w:rPr>
            </w:pPr>
            <w:r w:rsidRPr="00C87BFE">
              <w:rPr>
                <w:rFonts w:ascii="Arial Narrow" w:hAnsi="Arial Narrow"/>
                <w:sz w:val="20"/>
                <w:szCs w:val="20"/>
              </w:rPr>
              <w:t>Fall %, Control</w:t>
            </w:r>
          </w:p>
        </w:tc>
      </w:tr>
      <w:bookmarkEnd w:id="191"/>
      <w:tr w:rsidR="00C87BFE" w:rsidRPr="00C87BFE" w14:paraId="280C3B9E" w14:textId="77777777" w:rsidTr="00C87BFE">
        <w:trPr>
          <w:cantSplit/>
        </w:trPr>
        <w:tc>
          <w:tcPr>
            <w:tcW w:w="729" w:type="pct"/>
            <w:vMerge w:val="restart"/>
            <w:tcBorders>
              <w:top w:val="single" w:sz="2" w:space="0" w:color="000000"/>
              <w:left w:val="single" w:sz="6" w:space="0" w:color="000000"/>
              <w:right w:val="nil"/>
            </w:tcBorders>
            <w:shd w:val="clear" w:color="auto" w:fill="FFFFFF"/>
            <w:tcMar>
              <w:left w:w="80" w:type="dxa"/>
              <w:right w:w="80" w:type="dxa"/>
            </w:tcMar>
          </w:tcPr>
          <w:p w14:paraId="1E4E2CB0" w14:textId="77777777" w:rsidR="00C87BFE" w:rsidRPr="00C87BFE" w:rsidRDefault="00C87BFE" w:rsidP="00FA38C7">
            <w:pPr>
              <w:pStyle w:val="Tabletext1"/>
              <w:rPr>
                <w:rFonts w:ascii="Arial Narrow" w:hAnsi="Arial Narrow"/>
                <w:b/>
                <w:bCs/>
                <w:szCs w:val="20"/>
              </w:rPr>
            </w:pPr>
            <w:r w:rsidRPr="00C87BFE">
              <w:rPr>
                <w:rFonts w:ascii="Arial Narrow" w:hAnsi="Arial Narrow"/>
                <w:b/>
                <w:bCs/>
                <w:szCs w:val="20"/>
              </w:rPr>
              <w:t>Residents with any fall ADE</w:t>
            </w:r>
          </w:p>
        </w:tc>
        <w:tc>
          <w:tcPr>
            <w:tcW w:w="679" w:type="pct"/>
            <w:tcBorders>
              <w:top w:val="nil"/>
              <w:left w:val="single" w:sz="2" w:space="0" w:color="000000"/>
              <w:bottom w:val="single" w:sz="2" w:space="0" w:color="000000"/>
              <w:right w:val="nil"/>
            </w:tcBorders>
            <w:shd w:val="clear" w:color="auto" w:fill="FFFFFF"/>
            <w:tcMar>
              <w:left w:w="80" w:type="dxa"/>
              <w:right w:w="80" w:type="dxa"/>
            </w:tcMar>
          </w:tcPr>
          <w:p w14:paraId="381515EF" w14:textId="77777777" w:rsidR="00C87BFE" w:rsidRPr="00C87BFE" w:rsidRDefault="00C87BFE" w:rsidP="00C87BFE">
            <w:pPr>
              <w:pStyle w:val="Tabletext1"/>
              <w:jc w:val="center"/>
              <w:rPr>
                <w:rFonts w:ascii="Arial Narrow" w:hAnsi="Arial Narrow"/>
                <w:szCs w:val="20"/>
              </w:rPr>
            </w:pPr>
            <w:r w:rsidRPr="00C87BFE">
              <w:rPr>
                <w:rFonts w:ascii="Arial Narrow" w:hAnsi="Arial Narrow"/>
                <w:szCs w:val="20"/>
              </w:rPr>
              <w:t>0-182 days</w:t>
            </w:r>
          </w:p>
        </w:tc>
        <w:tc>
          <w:tcPr>
            <w:tcW w:w="645" w:type="pct"/>
            <w:tcBorders>
              <w:top w:val="nil"/>
              <w:left w:val="single" w:sz="2" w:space="0" w:color="000000"/>
              <w:bottom w:val="single" w:sz="2" w:space="0" w:color="000000"/>
              <w:right w:val="nil"/>
            </w:tcBorders>
            <w:shd w:val="clear" w:color="auto" w:fill="FFFFFF"/>
            <w:tcMar>
              <w:left w:w="80" w:type="dxa"/>
              <w:right w:w="80" w:type="dxa"/>
            </w:tcMar>
          </w:tcPr>
          <w:p w14:paraId="1BF73BEE" w14:textId="77777777" w:rsidR="00C87BFE" w:rsidRPr="00C87BFE" w:rsidRDefault="00C87BFE" w:rsidP="00FA38C7">
            <w:pPr>
              <w:pStyle w:val="Tabletext1"/>
              <w:jc w:val="right"/>
              <w:rPr>
                <w:rFonts w:ascii="Arial Narrow" w:hAnsi="Arial Narrow"/>
                <w:szCs w:val="20"/>
              </w:rPr>
            </w:pPr>
            <w:r w:rsidRPr="00C87BFE">
              <w:rPr>
                <w:rFonts w:ascii="Arial Narrow" w:hAnsi="Arial Narrow"/>
                <w:szCs w:val="20"/>
              </w:rPr>
              <w:t>120</w:t>
            </w:r>
          </w:p>
        </w:tc>
        <w:tc>
          <w:tcPr>
            <w:tcW w:w="645" w:type="pct"/>
            <w:tcBorders>
              <w:top w:val="nil"/>
              <w:left w:val="single" w:sz="2" w:space="0" w:color="000000"/>
              <w:bottom w:val="single" w:sz="2" w:space="0" w:color="000000"/>
              <w:right w:val="nil"/>
            </w:tcBorders>
            <w:shd w:val="clear" w:color="auto" w:fill="FFFFFF"/>
            <w:tcMar>
              <w:left w:w="80" w:type="dxa"/>
              <w:right w:w="80" w:type="dxa"/>
            </w:tcMar>
          </w:tcPr>
          <w:p w14:paraId="76C2E596" w14:textId="77777777" w:rsidR="00C87BFE" w:rsidRPr="00C87BFE" w:rsidRDefault="00C87BFE" w:rsidP="00FA38C7">
            <w:pPr>
              <w:pStyle w:val="Tabletext1"/>
              <w:jc w:val="right"/>
              <w:rPr>
                <w:rFonts w:ascii="Arial Narrow" w:hAnsi="Arial Narrow"/>
                <w:szCs w:val="20"/>
              </w:rPr>
            </w:pPr>
            <w:r w:rsidRPr="00C87BFE">
              <w:rPr>
                <w:rFonts w:ascii="Arial Narrow" w:hAnsi="Arial Narrow"/>
                <w:szCs w:val="20"/>
              </w:rPr>
              <w:t>38</w:t>
            </w:r>
          </w:p>
        </w:tc>
        <w:tc>
          <w:tcPr>
            <w:tcW w:w="645" w:type="pct"/>
            <w:tcBorders>
              <w:top w:val="nil"/>
              <w:left w:val="single" w:sz="2" w:space="0" w:color="000000"/>
              <w:bottom w:val="single" w:sz="2" w:space="0" w:color="000000"/>
              <w:right w:val="nil"/>
            </w:tcBorders>
            <w:shd w:val="clear" w:color="auto" w:fill="FFFFFF"/>
            <w:tcMar>
              <w:left w:w="80" w:type="dxa"/>
              <w:right w:w="80" w:type="dxa"/>
            </w:tcMar>
          </w:tcPr>
          <w:p w14:paraId="2DEE9A50" w14:textId="77777777" w:rsidR="00C87BFE" w:rsidRPr="00C87BFE" w:rsidRDefault="00C87BFE" w:rsidP="00FA38C7">
            <w:pPr>
              <w:pStyle w:val="Tabletext1"/>
              <w:jc w:val="right"/>
              <w:rPr>
                <w:rFonts w:ascii="Arial Narrow" w:hAnsi="Arial Narrow"/>
                <w:szCs w:val="20"/>
              </w:rPr>
            </w:pPr>
            <w:r w:rsidRPr="00C87BFE">
              <w:rPr>
                <w:rFonts w:ascii="Arial Narrow" w:hAnsi="Arial Narrow"/>
                <w:szCs w:val="20"/>
              </w:rPr>
              <w:t>32%</w:t>
            </w:r>
          </w:p>
        </w:tc>
        <w:tc>
          <w:tcPr>
            <w:tcW w:w="523" w:type="pct"/>
            <w:tcBorders>
              <w:top w:val="nil"/>
              <w:left w:val="single" w:sz="2" w:space="0" w:color="000000"/>
              <w:bottom w:val="single" w:sz="2" w:space="0" w:color="000000"/>
              <w:right w:val="nil"/>
            </w:tcBorders>
            <w:shd w:val="clear" w:color="auto" w:fill="FFFFFF"/>
            <w:tcMar>
              <w:left w:w="80" w:type="dxa"/>
              <w:right w:w="80" w:type="dxa"/>
            </w:tcMar>
          </w:tcPr>
          <w:p w14:paraId="35A2BB6A" w14:textId="77777777" w:rsidR="00C87BFE" w:rsidRPr="00C87BFE" w:rsidRDefault="00C87BFE" w:rsidP="00FA38C7">
            <w:pPr>
              <w:pStyle w:val="Tabletext1"/>
              <w:jc w:val="right"/>
              <w:rPr>
                <w:rFonts w:ascii="Arial Narrow" w:hAnsi="Arial Narrow"/>
                <w:szCs w:val="20"/>
              </w:rPr>
            </w:pPr>
            <w:r w:rsidRPr="00C87BFE">
              <w:rPr>
                <w:rFonts w:ascii="Arial Narrow" w:hAnsi="Arial Narrow"/>
                <w:szCs w:val="20"/>
              </w:rPr>
              <w:t>128</w:t>
            </w:r>
          </w:p>
        </w:tc>
        <w:tc>
          <w:tcPr>
            <w:tcW w:w="523" w:type="pct"/>
            <w:tcBorders>
              <w:top w:val="nil"/>
              <w:left w:val="single" w:sz="2" w:space="0" w:color="000000"/>
              <w:bottom w:val="single" w:sz="2" w:space="0" w:color="000000"/>
              <w:right w:val="nil"/>
            </w:tcBorders>
            <w:shd w:val="clear" w:color="auto" w:fill="FFFFFF"/>
            <w:tcMar>
              <w:left w:w="80" w:type="dxa"/>
              <w:right w:w="80" w:type="dxa"/>
            </w:tcMar>
          </w:tcPr>
          <w:p w14:paraId="3EFCAEDE" w14:textId="77777777" w:rsidR="00C87BFE" w:rsidRPr="00C87BFE" w:rsidRDefault="00C87BFE" w:rsidP="00FA38C7">
            <w:pPr>
              <w:pStyle w:val="Tabletext1"/>
              <w:jc w:val="right"/>
              <w:rPr>
                <w:rFonts w:ascii="Arial Narrow" w:hAnsi="Arial Narrow"/>
                <w:szCs w:val="20"/>
              </w:rPr>
            </w:pPr>
            <w:r w:rsidRPr="00C87BFE">
              <w:rPr>
                <w:rFonts w:ascii="Arial Narrow" w:hAnsi="Arial Narrow"/>
                <w:szCs w:val="20"/>
              </w:rPr>
              <w:t>30</w:t>
            </w:r>
          </w:p>
        </w:tc>
        <w:tc>
          <w:tcPr>
            <w:tcW w:w="609" w:type="pct"/>
            <w:tcBorders>
              <w:top w:val="nil"/>
              <w:left w:val="single" w:sz="2" w:space="0" w:color="000000"/>
              <w:bottom w:val="single" w:sz="2" w:space="0" w:color="000000"/>
              <w:right w:val="single" w:sz="6" w:space="0" w:color="000000"/>
            </w:tcBorders>
            <w:shd w:val="clear" w:color="auto" w:fill="FFFFFF"/>
            <w:tcMar>
              <w:left w:w="80" w:type="dxa"/>
              <w:right w:w="80" w:type="dxa"/>
            </w:tcMar>
          </w:tcPr>
          <w:p w14:paraId="7ECD60EC" w14:textId="77777777" w:rsidR="00C87BFE" w:rsidRPr="00C87BFE" w:rsidRDefault="00C87BFE" w:rsidP="00FA38C7">
            <w:pPr>
              <w:pStyle w:val="Tabletext1"/>
              <w:jc w:val="right"/>
              <w:rPr>
                <w:rFonts w:ascii="Arial Narrow" w:hAnsi="Arial Narrow"/>
                <w:szCs w:val="20"/>
              </w:rPr>
            </w:pPr>
            <w:r w:rsidRPr="00C87BFE">
              <w:rPr>
                <w:rFonts w:ascii="Arial Narrow" w:hAnsi="Arial Narrow"/>
                <w:szCs w:val="20"/>
              </w:rPr>
              <w:t>23%</w:t>
            </w:r>
          </w:p>
        </w:tc>
      </w:tr>
      <w:tr w:rsidR="00C87BFE" w:rsidRPr="00C87BFE" w14:paraId="2CBAD070" w14:textId="77777777" w:rsidTr="00C87BFE">
        <w:trPr>
          <w:cantSplit/>
        </w:trPr>
        <w:tc>
          <w:tcPr>
            <w:tcW w:w="729" w:type="pct"/>
            <w:vMerge/>
            <w:tcBorders>
              <w:left w:val="single" w:sz="6" w:space="0" w:color="000000"/>
              <w:bottom w:val="single" w:sz="2" w:space="0" w:color="000000"/>
              <w:right w:val="nil"/>
            </w:tcBorders>
            <w:shd w:val="clear" w:color="auto" w:fill="FFFFFF"/>
            <w:tcMar>
              <w:left w:w="80" w:type="dxa"/>
              <w:right w:w="80" w:type="dxa"/>
            </w:tcMar>
          </w:tcPr>
          <w:p w14:paraId="7857D5DE" w14:textId="18AA2925" w:rsidR="00C87BFE" w:rsidRPr="00C87BFE" w:rsidRDefault="00C87BFE" w:rsidP="00FA38C7">
            <w:pPr>
              <w:pStyle w:val="Tabletext1"/>
              <w:rPr>
                <w:rFonts w:ascii="Arial Narrow" w:hAnsi="Arial Narrow" w:cstheme="minorHAnsi"/>
                <w:b/>
                <w:bCs/>
                <w:color w:val="000000"/>
                <w:szCs w:val="20"/>
              </w:rPr>
            </w:pPr>
          </w:p>
        </w:tc>
        <w:tc>
          <w:tcPr>
            <w:tcW w:w="679" w:type="pct"/>
            <w:tcBorders>
              <w:top w:val="nil"/>
              <w:left w:val="single" w:sz="2" w:space="0" w:color="000000"/>
              <w:bottom w:val="single" w:sz="2" w:space="0" w:color="000000"/>
              <w:right w:val="nil"/>
            </w:tcBorders>
            <w:shd w:val="clear" w:color="auto" w:fill="FFFFFF"/>
            <w:tcMar>
              <w:left w:w="80" w:type="dxa"/>
              <w:right w:w="80" w:type="dxa"/>
            </w:tcMar>
          </w:tcPr>
          <w:p w14:paraId="5CB48BB3" w14:textId="77777777" w:rsidR="00C87BFE" w:rsidRPr="00C87BFE" w:rsidRDefault="00C87BFE" w:rsidP="00C87BFE">
            <w:pPr>
              <w:pStyle w:val="Tabletext1"/>
              <w:jc w:val="center"/>
              <w:rPr>
                <w:rFonts w:ascii="Arial Narrow" w:hAnsi="Arial Narrow"/>
                <w:szCs w:val="20"/>
              </w:rPr>
            </w:pPr>
            <w:r w:rsidRPr="00C87BFE">
              <w:rPr>
                <w:rFonts w:ascii="Arial Narrow" w:hAnsi="Arial Narrow"/>
                <w:szCs w:val="20"/>
              </w:rPr>
              <w:t>183-365 days</w:t>
            </w:r>
          </w:p>
        </w:tc>
        <w:tc>
          <w:tcPr>
            <w:tcW w:w="645" w:type="pct"/>
            <w:tcBorders>
              <w:top w:val="nil"/>
              <w:left w:val="single" w:sz="2" w:space="0" w:color="000000"/>
              <w:bottom w:val="single" w:sz="2" w:space="0" w:color="000000"/>
              <w:right w:val="nil"/>
            </w:tcBorders>
            <w:shd w:val="clear" w:color="auto" w:fill="FFFFFF"/>
            <w:tcMar>
              <w:left w:w="80" w:type="dxa"/>
              <w:right w:w="80" w:type="dxa"/>
            </w:tcMar>
          </w:tcPr>
          <w:p w14:paraId="15603B28" w14:textId="77777777" w:rsidR="00C87BFE" w:rsidRPr="00C87BFE" w:rsidRDefault="00C87BFE" w:rsidP="00FA38C7">
            <w:pPr>
              <w:pStyle w:val="Tabletext1"/>
              <w:jc w:val="right"/>
              <w:rPr>
                <w:rFonts w:ascii="Arial Narrow" w:hAnsi="Arial Narrow"/>
                <w:szCs w:val="20"/>
              </w:rPr>
            </w:pPr>
            <w:r w:rsidRPr="00C87BFE">
              <w:rPr>
                <w:rFonts w:ascii="Arial Narrow" w:hAnsi="Arial Narrow"/>
                <w:szCs w:val="20"/>
              </w:rPr>
              <w:t>106</w:t>
            </w:r>
          </w:p>
        </w:tc>
        <w:tc>
          <w:tcPr>
            <w:tcW w:w="645" w:type="pct"/>
            <w:tcBorders>
              <w:top w:val="nil"/>
              <w:left w:val="single" w:sz="2" w:space="0" w:color="000000"/>
              <w:bottom w:val="single" w:sz="2" w:space="0" w:color="000000"/>
              <w:right w:val="nil"/>
            </w:tcBorders>
            <w:shd w:val="clear" w:color="auto" w:fill="FFFFFF"/>
            <w:tcMar>
              <w:left w:w="80" w:type="dxa"/>
              <w:right w:w="80" w:type="dxa"/>
            </w:tcMar>
          </w:tcPr>
          <w:p w14:paraId="27CA1AF1" w14:textId="77777777" w:rsidR="00C87BFE" w:rsidRPr="00C87BFE" w:rsidRDefault="00C87BFE" w:rsidP="00FA38C7">
            <w:pPr>
              <w:pStyle w:val="Tabletext1"/>
              <w:jc w:val="right"/>
              <w:rPr>
                <w:rFonts w:ascii="Arial Narrow" w:hAnsi="Arial Narrow"/>
                <w:szCs w:val="20"/>
              </w:rPr>
            </w:pPr>
            <w:r w:rsidRPr="00C87BFE">
              <w:rPr>
                <w:rFonts w:ascii="Arial Narrow" w:hAnsi="Arial Narrow"/>
                <w:szCs w:val="20"/>
              </w:rPr>
              <w:t>27</w:t>
            </w:r>
          </w:p>
        </w:tc>
        <w:tc>
          <w:tcPr>
            <w:tcW w:w="645" w:type="pct"/>
            <w:tcBorders>
              <w:top w:val="nil"/>
              <w:left w:val="single" w:sz="2" w:space="0" w:color="000000"/>
              <w:bottom w:val="single" w:sz="2" w:space="0" w:color="000000"/>
              <w:right w:val="nil"/>
            </w:tcBorders>
            <w:shd w:val="clear" w:color="auto" w:fill="FFFFFF"/>
            <w:tcMar>
              <w:left w:w="80" w:type="dxa"/>
              <w:right w:w="80" w:type="dxa"/>
            </w:tcMar>
          </w:tcPr>
          <w:p w14:paraId="0F7845E1" w14:textId="77777777" w:rsidR="00C87BFE" w:rsidRPr="00C87BFE" w:rsidRDefault="00C87BFE" w:rsidP="00FA38C7">
            <w:pPr>
              <w:pStyle w:val="Tabletext1"/>
              <w:jc w:val="right"/>
              <w:rPr>
                <w:rFonts w:ascii="Arial Narrow" w:hAnsi="Arial Narrow"/>
                <w:szCs w:val="20"/>
              </w:rPr>
            </w:pPr>
            <w:r w:rsidRPr="00C87BFE">
              <w:rPr>
                <w:rFonts w:ascii="Arial Narrow" w:hAnsi="Arial Narrow"/>
                <w:szCs w:val="20"/>
              </w:rPr>
              <w:t>25%</w:t>
            </w:r>
          </w:p>
        </w:tc>
        <w:tc>
          <w:tcPr>
            <w:tcW w:w="523" w:type="pct"/>
            <w:tcBorders>
              <w:top w:val="nil"/>
              <w:left w:val="single" w:sz="2" w:space="0" w:color="000000"/>
              <w:bottom w:val="single" w:sz="2" w:space="0" w:color="000000"/>
              <w:right w:val="nil"/>
            </w:tcBorders>
            <w:shd w:val="clear" w:color="auto" w:fill="FFFFFF"/>
            <w:tcMar>
              <w:left w:w="80" w:type="dxa"/>
              <w:right w:w="80" w:type="dxa"/>
            </w:tcMar>
          </w:tcPr>
          <w:p w14:paraId="141D704E" w14:textId="77777777" w:rsidR="00C87BFE" w:rsidRPr="00C87BFE" w:rsidRDefault="00C87BFE" w:rsidP="00FA38C7">
            <w:pPr>
              <w:pStyle w:val="Tabletext1"/>
              <w:jc w:val="right"/>
              <w:rPr>
                <w:rFonts w:ascii="Arial Narrow" w:hAnsi="Arial Narrow"/>
                <w:szCs w:val="20"/>
              </w:rPr>
            </w:pPr>
            <w:r w:rsidRPr="00C87BFE">
              <w:rPr>
                <w:rFonts w:ascii="Arial Narrow" w:hAnsi="Arial Narrow"/>
                <w:szCs w:val="20"/>
              </w:rPr>
              <w:t>119</w:t>
            </w:r>
          </w:p>
        </w:tc>
        <w:tc>
          <w:tcPr>
            <w:tcW w:w="523" w:type="pct"/>
            <w:tcBorders>
              <w:top w:val="nil"/>
              <w:left w:val="single" w:sz="2" w:space="0" w:color="000000"/>
              <w:bottom w:val="single" w:sz="2" w:space="0" w:color="000000"/>
              <w:right w:val="nil"/>
            </w:tcBorders>
            <w:shd w:val="clear" w:color="auto" w:fill="FFFFFF"/>
            <w:tcMar>
              <w:left w:w="80" w:type="dxa"/>
              <w:right w:w="80" w:type="dxa"/>
            </w:tcMar>
          </w:tcPr>
          <w:p w14:paraId="486A1037" w14:textId="77777777" w:rsidR="00C87BFE" w:rsidRPr="00C87BFE" w:rsidRDefault="00C87BFE" w:rsidP="00FA38C7">
            <w:pPr>
              <w:pStyle w:val="Tabletext1"/>
              <w:jc w:val="right"/>
              <w:rPr>
                <w:rFonts w:ascii="Arial Narrow" w:hAnsi="Arial Narrow"/>
                <w:szCs w:val="20"/>
              </w:rPr>
            </w:pPr>
            <w:r w:rsidRPr="00C87BFE">
              <w:rPr>
                <w:rFonts w:ascii="Arial Narrow" w:hAnsi="Arial Narrow"/>
                <w:szCs w:val="20"/>
              </w:rPr>
              <w:t>40</w:t>
            </w:r>
          </w:p>
        </w:tc>
        <w:tc>
          <w:tcPr>
            <w:tcW w:w="609" w:type="pct"/>
            <w:tcBorders>
              <w:top w:val="nil"/>
              <w:left w:val="single" w:sz="2" w:space="0" w:color="000000"/>
              <w:bottom w:val="single" w:sz="2" w:space="0" w:color="000000"/>
              <w:right w:val="single" w:sz="6" w:space="0" w:color="000000"/>
            </w:tcBorders>
            <w:shd w:val="clear" w:color="auto" w:fill="FFFFFF"/>
            <w:tcMar>
              <w:left w:w="80" w:type="dxa"/>
              <w:right w:w="80" w:type="dxa"/>
            </w:tcMar>
          </w:tcPr>
          <w:p w14:paraId="27FCEA72" w14:textId="77777777" w:rsidR="00C87BFE" w:rsidRPr="00C87BFE" w:rsidRDefault="00C87BFE" w:rsidP="00FA38C7">
            <w:pPr>
              <w:pStyle w:val="Tabletext1"/>
              <w:jc w:val="right"/>
              <w:rPr>
                <w:rFonts w:ascii="Arial Narrow" w:hAnsi="Arial Narrow"/>
                <w:szCs w:val="20"/>
              </w:rPr>
            </w:pPr>
            <w:r w:rsidRPr="00C87BFE">
              <w:rPr>
                <w:rFonts w:ascii="Arial Narrow" w:hAnsi="Arial Narrow"/>
                <w:szCs w:val="20"/>
              </w:rPr>
              <w:t>34%</w:t>
            </w:r>
          </w:p>
        </w:tc>
      </w:tr>
      <w:tr w:rsidR="00C87BFE" w:rsidRPr="00C87BFE" w14:paraId="66A6EF4D" w14:textId="77777777" w:rsidTr="00C87BFE">
        <w:trPr>
          <w:cantSplit/>
        </w:trPr>
        <w:tc>
          <w:tcPr>
            <w:tcW w:w="729" w:type="pct"/>
            <w:vMerge w:val="restart"/>
            <w:tcBorders>
              <w:top w:val="single" w:sz="2" w:space="0" w:color="000000"/>
              <w:left w:val="single" w:sz="6" w:space="0" w:color="000000"/>
              <w:right w:val="nil"/>
            </w:tcBorders>
            <w:shd w:val="clear" w:color="auto" w:fill="FFFFFF"/>
            <w:tcMar>
              <w:left w:w="80" w:type="dxa"/>
              <w:right w:w="80" w:type="dxa"/>
            </w:tcMar>
          </w:tcPr>
          <w:p w14:paraId="15DB14EF" w14:textId="77777777" w:rsidR="00C87BFE" w:rsidRPr="00C87BFE" w:rsidRDefault="00C87BFE" w:rsidP="00FA38C7">
            <w:pPr>
              <w:pStyle w:val="Tabletext1"/>
              <w:rPr>
                <w:rFonts w:ascii="Arial Narrow" w:hAnsi="Arial Narrow"/>
                <w:b/>
                <w:bCs/>
                <w:szCs w:val="20"/>
              </w:rPr>
            </w:pPr>
            <w:r w:rsidRPr="00C87BFE">
              <w:rPr>
                <w:rFonts w:ascii="Arial Narrow" w:hAnsi="Arial Narrow"/>
                <w:b/>
                <w:bCs/>
                <w:szCs w:val="20"/>
              </w:rPr>
              <w:t>Residents with any preventable fall ADE</w:t>
            </w:r>
          </w:p>
        </w:tc>
        <w:tc>
          <w:tcPr>
            <w:tcW w:w="679" w:type="pct"/>
            <w:tcBorders>
              <w:top w:val="nil"/>
              <w:left w:val="single" w:sz="2" w:space="0" w:color="000000"/>
              <w:bottom w:val="single" w:sz="2" w:space="0" w:color="000000"/>
              <w:right w:val="nil"/>
            </w:tcBorders>
            <w:shd w:val="clear" w:color="auto" w:fill="FFFFFF"/>
            <w:tcMar>
              <w:left w:w="80" w:type="dxa"/>
              <w:right w:w="80" w:type="dxa"/>
            </w:tcMar>
          </w:tcPr>
          <w:p w14:paraId="10BEC9CD" w14:textId="77777777" w:rsidR="00C87BFE" w:rsidRPr="00C87BFE" w:rsidRDefault="00C87BFE" w:rsidP="00C87BFE">
            <w:pPr>
              <w:pStyle w:val="Tabletext1"/>
              <w:jc w:val="center"/>
              <w:rPr>
                <w:rFonts w:ascii="Arial Narrow" w:hAnsi="Arial Narrow"/>
                <w:szCs w:val="20"/>
              </w:rPr>
            </w:pPr>
            <w:r w:rsidRPr="00C87BFE">
              <w:rPr>
                <w:rFonts w:ascii="Arial Narrow" w:hAnsi="Arial Narrow"/>
                <w:szCs w:val="20"/>
              </w:rPr>
              <w:t>0-182 days</w:t>
            </w:r>
          </w:p>
        </w:tc>
        <w:tc>
          <w:tcPr>
            <w:tcW w:w="645" w:type="pct"/>
            <w:tcBorders>
              <w:top w:val="nil"/>
              <w:left w:val="single" w:sz="2" w:space="0" w:color="000000"/>
              <w:bottom w:val="single" w:sz="2" w:space="0" w:color="000000"/>
              <w:right w:val="nil"/>
            </w:tcBorders>
            <w:shd w:val="clear" w:color="auto" w:fill="FFFFFF"/>
            <w:tcMar>
              <w:left w:w="80" w:type="dxa"/>
              <w:right w:w="80" w:type="dxa"/>
            </w:tcMar>
          </w:tcPr>
          <w:p w14:paraId="02508110" w14:textId="77777777" w:rsidR="00C87BFE" w:rsidRPr="00C87BFE" w:rsidRDefault="00C87BFE" w:rsidP="00FA38C7">
            <w:pPr>
              <w:pStyle w:val="Tabletext1"/>
              <w:jc w:val="right"/>
              <w:rPr>
                <w:rFonts w:ascii="Arial Narrow" w:hAnsi="Arial Narrow"/>
                <w:szCs w:val="20"/>
              </w:rPr>
            </w:pPr>
            <w:r w:rsidRPr="00C87BFE">
              <w:rPr>
                <w:rFonts w:ascii="Arial Narrow" w:hAnsi="Arial Narrow"/>
                <w:szCs w:val="20"/>
              </w:rPr>
              <w:t>120</w:t>
            </w:r>
          </w:p>
        </w:tc>
        <w:tc>
          <w:tcPr>
            <w:tcW w:w="645" w:type="pct"/>
            <w:tcBorders>
              <w:top w:val="nil"/>
              <w:left w:val="single" w:sz="2" w:space="0" w:color="000000"/>
              <w:bottom w:val="single" w:sz="2" w:space="0" w:color="000000"/>
              <w:right w:val="nil"/>
            </w:tcBorders>
            <w:shd w:val="clear" w:color="auto" w:fill="FFFFFF"/>
            <w:tcMar>
              <w:left w:w="80" w:type="dxa"/>
              <w:right w:w="80" w:type="dxa"/>
            </w:tcMar>
          </w:tcPr>
          <w:p w14:paraId="6573F024" w14:textId="77777777" w:rsidR="00C87BFE" w:rsidRPr="00C87BFE" w:rsidRDefault="00C87BFE" w:rsidP="00FA38C7">
            <w:pPr>
              <w:pStyle w:val="Tabletext1"/>
              <w:jc w:val="right"/>
              <w:rPr>
                <w:rFonts w:ascii="Arial Narrow" w:hAnsi="Arial Narrow"/>
                <w:szCs w:val="20"/>
              </w:rPr>
            </w:pPr>
            <w:r w:rsidRPr="00C87BFE">
              <w:rPr>
                <w:rFonts w:ascii="Arial Narrow" w:hAnsi="Arial Narrow"/>
                <w:szCs w:val="20"/>
              </w:rPr>
              <w:t>38</w:t>
            </w:r>
          </w:p>
        </w:tc>
        <w:tc>
          <w:tcPr>
            <w:tcW w:w="645" w:type="pct"/>
            <w:tcBorders>
              <w:top w:val="nil"/>
              <w:left w:val="single" w:sz="2" w:space="0" w:color="000000"/>
              <w:bottom w:val="single" w:sz="2" w:space="0" w:color="000000"/>
              <w:right w:val="nil"/>
            </w:tcBorders>
            <w:shd w:val="clear" w:color="auto" w:fill="FFFFFF"/>
            <w:tcMar>
              <w:left w:w="80" w:type="dxa"/>
              <w:right w:w="80" w:type="dxa"/>
            </w:tcMar>
          </w:tcPr>
          <w:p w14:paraId="2BD0912A" w14:textId="77777777" w:rsidR="00C87BFE" w:rsidRPr="00C87BFE" w:rsidRDefault="00C87BFE" w:rsidP="00FA38C7">
            <w:pPr>
              <w:pStyle w:val="Tabletext1"/>
              <w:jc w:val="right"/>
              <w:rPr>
                <w:rFonts w:ascii="Arial Narrow" w:hAnsi="Arial Narrow"/>
                <w:szCs w:val="20"/>
              </w:rPr>
            </w:pPr>
            <w:r w:rsidRPr="00C87BFE">
              <w:rPr>
                <w:rFonts w:ascii="Arial Narrow" w:hAnsi="Arial Narrow"/>
                <w:szCs w:val="20"/>
              </w:rPr>
              <w:t>32%</w:t>
            </w:r>
          </w:p>
        </w:tc>
        <w:tc>
          <w:tcPr>
            <w:tcW w:w="523" w:type="pct"/>
            <w:tcBorders>
              <w:top w:val="nil"/>
              <w:left w:val="single" w:sz="2" w:space="0" w:color="000000"/>
              <w:bottom w:val="single" w:sz="2" w:space="0" w:color="000000"/>
              <w:right w:val="nil"/>
            </w:tcBorders>
            <w:shd w:val="clear" w:color="auto" w:fill="FFFFFF"/>
            <w:tcMar>
              <w:left w:w="80" w:type="dxa"/>
              <w:right w:w="80" w:type="dxa"/>
            </w:tcMar>
          </w:tcPr>
          <w:p w14:paraId="7B5DBAF1" w14:textId="77777777" w:rsidR="00C87BFE" w:rsidRPr="00C87BFE" w:rsidRDefault="00C87BFE" w:rsidP="00FA38C7">
            <w:pPr>
              <w:pStyle w:val="Tabletext1"/>
              <w:jc w:val="right"/>
              <w:rPr>
                <w:rFonts w:ascii="Arial Narrow" w:hAnsi="Arial Narrow"/>
                <w:szCs w:val="20"/>
              </w:rPr>
            </w:pPr>
            <w:r w:rsidRPr="00C87BFE">
              <w:rPr>
                <w:rFonts w:ascii="Arial Narrow" w:hAnsi="Arial Narrow"/>
                <w:szCs w:val="20"/>
              </w:rPr>
              <w:t>128</w:t>
            </w:r>
          </w:p>
        </w:tc>
        <w:tc>
          <w:tcPr>
            <w:tcW w:w="523" w:type="pct"/>
            <w:tcBorders>
              <w:top w:val="nil"/>
              <w:left w:val="single" w:sz="2" w:space="0" w:color="000000"/>
              <w:bottom w:val="single" w:sz="2" w:space="0" w:color="000000"/>
              <w:right w:val="nil"/>
            </w:tcBorders>
            <w:shd w:val="clear" w:color="auto" w:fill="FFFFFF"/>
            <w:tcMar>
              <w:left w:w="80" w:type="dxa"/>
              <w:right w:w="80" w:type="dxa"/>
            </w:tcMar>
          </w:tcPr>
          <w:p w14:paraId="55D9A2B7" w14:textId="77777777" w:rsidR="00C87BFE" w:rsidRPr="00C87BFE" w:rsidRDefault="00C87BFE" w:rsidP="00FA38C7">
            <w:pPr>
              <w:pStyle w:val="Tabletext1"/>
              <w:jc w:val="right"/>
              <w:rPr>
                <w:rFonts w:ascii="Arial Narrow" w:hAnsi="Arial Narrow"/>
                <w:szCs w:val="20"/>
              </w:rPr>
            </w:pPr>
            <w:r w:rsidRPr="00C87BFE">
              <w:rPr>
                <w:rFonts w:ascii="Arial Narrow" w:hAnsi="Arial Narrow"/>
                <w:szCs w:val="20"/>
              </w:rPr>
              <w:t>30</w:t>
            </w:r>
          </w:p>
        </w:tc>
        <w:tc>
          <w:tcPr>
            <w:tcW w:w="609" w:type="pct"/>
            <w:tcBorders>
              <w:top w:val="nil"/>
              <w:left w:val="single" w:sz="2" w:space="0" w:color="000000"/>
              <w:bottom w:val="single" w:sz="2" w:space="0" w:color="000000"/>
              <w:right w:val="single" w:sz="6" w:space="0" w:color="000000"/>
            </w:tcBorders>
            <w:shd w:val="clear" w:color="auto" w:fill="FFFFFF"/>
            <w:tcMar>
              <w:left w:w="80" w:type="dxa"/>
              <w:right w:w="80" w:type="dxa"/>
            </w:tcMar>
          </w:tcPr>
          <w:p w14:paraId="1944275E" w14:textId="77777777" w:rsidR="00C87BFE" w:rsidRPr="00C87BFE" w:rsidRDefault="00C87BFE" w:rsidP="00FA38C7">
            <w:pPr>
              <w:pStyle w:val="Tabletext1"/>
              <w:jc w:val="right"/>
              <w:rPr>
                <w:rFonts w:ascii="Arial Narrow" w:hAnsi="Arial Narrow"/>
                <w:szCs w:val="20"/>
              </w:rPr>
            </w:pPr>
            <w:r w:rsidRPr="00C87BFE">
              <w:rPr>
                <w:rFonts w:ascii="Arial Narrow" w:hAnsi="Arial Narrow"/>
                <w:szCs w:val="20"/>
              </w:rPr>
              <w:t>23%</w:t>
            </w:r>
          </w:p>
        </w:tc>
      </w:tr>
      <w:tr w:rsidR="00C87BFE" w:rsidRPr="00C87BFE" w14:paraId="17CD110D" w14:textId="77777777" w:rsidTr="00C87BFE">
        <w:trPr>
          <w:cantSplit/>
        </w:trPr>
        <w:tc>
          <w:tcPr>
            <w:tcW w:w="729" w:type="pct"/>
            <w:vMerge/>
            <w:tcBorders>
              <w:left w:val="single" w:sz="6" w:space="0" w:color="000000"/>
              <w:bottom w:val="single" w:sz="6" w:space="0" w:color="000000"/>
              <w:right w:val="nil"/>
            </w:tcBorders>
            <w:shd w:val="clear" w:color="auto" w:fill="FFFFFF"/>
            <w:tcMar>
              <w:left w:w="80" w:type="dxa"/>
              <w:right w:w="80" w:type="dxa"/>
            </w:tcMar>
          </w:tcPr>
          <w:p w14:paraId="2D3758FB" w14:textId="52F91F0C" w:rsidR="00C87BFE" w:rsidRPr="00C87BFE" w:rsidRDefault="00C87BFE" w:rsidP="00FA38C7">
            <w:pPr>
              <w:pStyle w:val="Tabletext1"/>
              <w:rPr>
                <w:rFonts w:ascii="Arial Narrow" w:hAnsi="Arial Narrow" w:cstheme="minorHAnsi"/>
                <w:b/>
                <w:bCs/>
                <w:color w:val="000000"/>
                <w:szCs w:val="20"/>
              </w:rPr>
            </w:pPr>
          </w:p>
        </w:tc>
        <w:tc>
          <w:tcPr>
            <w:tcW w:w="679" w:type="pct"/>
            <w:tcBorders>
              <w:top w:val="nil"/>
              <w:left w:val="single" w:sz="2" w:space="0" w:color="000000"/>
              <w:bottom w:val="single" w:sz="6" w:space="0" w:color="000000"/>
              <w:right w:val="nil"/>
            </w:tcBorders>
            <w:shd w:val="clear" w:color="auto" w:fill="FFFFFF"/>
            <w:tcMar>
              <w:left w:w="80" w:type="dxa"/>
              <w:right w:w="80" w:type="dxa"/>
            </w:tcMar>
          </w:tcPr>
          <w:p w14:paraId="3F5D6043" w14:textId="77777777" w:rsidR="00C87BFE" w:rsidRPr="00C87BFE" w:rsidRDefault="00C87BFE" w:rsidP="00C87BFE">
            <w:pPr>
              <w:pStyle w:val="Tabletext1"/>
              <w:jc w:val="center"/>
              <w:rPr>
                <w:rFonts w:ascii="Arial Narrow" w:hAnsi="Arial Narrow"/>
                <w:szCs w:val="20"/>
              </w:rPr>
            </w:pPr>
            <w:r w:rsidRPr="00C87BFE">
              <w:rPr>
                <w:rFonts w:ascii="Arial Narrow" w:hAnsi="Arial Narrow"/>
                <w:szCs w:val="20"/>
              </w:rPr>
              <w:t>183-365 days</w:t>
            </w:r>
          </w:p>
        </w:tc>
        <w:tc>
          <w:tcPr>
            <w:tcW w:w="645" w:type="pct"/>
            <w:tcBorders>
              <w:top w:val="nil"/>
              <w:left w:val="single" w:sz="2" w:space="0" w:color="000000"/>
              <w:bottom w:val="single" w:sz="6" w:space="0" w:color="000000"/>
              <w:right w:val="nil"/>
            </w:tcBorders>
            <w:shd w:val="clear" w:color="auto" w:fill="FFFFFF"/>
            <w:tcMar>
              <w:left w:w="80" w:type="dxa"/>
              <w:right w:w="80" w:type="dxa"/>
            </w:tcMar>
          </w:tcPr>
          <w:p w14:paraId="7C42C453" w14:textId="77777777" w:rsidR="00C87BFE" w:rsidRPr="00C87BFE" w:rsidRDefault="00C87BFE" w:rsidP="00FA38C7">
            <w:pPr>
              <w:pStyle w:val="Tabletext1"/>
              <w:jc w:val="right"/>
              <w:rPr>
                <w:rFonts w:ascii="Arial Narrow" w:hAnsi="Arial Narrow"/>
                <w:szCs w:val="20"/>
              </w:rPr>
            </w:pPr>
            <w:r w:rsidRPr="00C87BFE">
              <w:rPr>
                <w:rFonts w:ascii="Arial Narrow" w:hAnsi="Arial Narrow"/>
                <w:szCs w:val="20"/>
              </w:rPr>
              <w:t>106</w:t>
            </w:r>
          </w:p>
        </w:tc>
        <w:tc>
          <w:tcPr>
            <w:tcW w:w="645" w:type="pct"/>
            <w:tcBorders>
              <w:top w:val="nil"/>
              <w:left w:val="single" w:sz="2" w:space="0" w:color="000000"/>
              <w:bottom w:val="single" w:sz="6" w:space="0" w:color="000000"/>
              <w:right w:val="nil"/>
            </w:tcBorders>
            <w:shd w:val="clear" w:color="auto" w:fill="FFFFFF"/>
            <w:tcMar>
              <w:left w:w="80" w:type="dxa"/>
              <w:right w:w="80" w:type="dxa"/>
            </w:tcMar>
          </w:tcPr>
          <w:p w14:paraId="2872AA20" w14:textId="77777777" w:rsidR="00C87BFE" w:rsidRPr="00C87BFE" w:rsidRDefault="00C87BFE" w:rsidP="00FA38C7">
            <w:pPr>
              <w:pStyle w:val="Tabletext1"/>
              <w:jc w:val="right"/>
              <w:rPr>
                <w:rFonts w:ascii="Arial Narrow" w:hAnsi="Arial Narrow"/>
                <w:szCs w:val="20"/>
              </w:rPr>
            </w:pPr>
            <w:r w:rsidRPr="00C87BFE">
              <w:rPr>
                <w:rFonts w:ascii="Arial Narrow" w:hAnsi="Arial Narrow"/>
                <w:szCs w:val="20"/>
              </w:rPr>
              <w:t>27</w:t>
            </w:r>
          </w:p>
        </w:tc>
        <w:tc>
          <w:tcPr>
            <w:tcW w:w="645" w:type="pct"/>
            <w:tcBorders>
              <w:top w:val="nil"/>
              <w:left w:val="single" w:sz="2" w:space="0" w:color="000000"/>
              <w:bottom w:val="single" w:sz="6" w:space="0" w:color="000000"/>
              <w:right w:val="nil"/>
            </w:tcBorders>
            <w:shd w:val="clear" w:color="auto" w:fill="FFFFFF"/>
            <w:tcMar>
              <w:left w:w="80" w:type="dxa"/>
              <w:right w:w="80" w:type="dxa"/>
            </w:tcMar>
          </w:tcPr>
          <w:p w14:paraId="51F55EC6" w14:textId="77777777" w:rsidR="00C87BFE" w:rsidRPr="00C87BFE" w:rsidRDefault="00C87BFE" w:rsidP="00FA38C7">
            <w:pPr>
              <w:pStyle w:val="Tabletext1"/>
              <w:jc w:val="right"/>
              <w:rPr>
                <w:rFonts w:ascii="Arial Narrow" w:hAnsi="Arial Narrow"/>
                <w:szCs w:val="20"/>
              </w:rPr>
            </w:pPr>
            <w:r w:rsidRPr="00C87BFE">
              <w:rPr>
                <w:rFonts w:ascii="Arial Narrow" w:hAnsi="Arial Narrow"/>
                <w:szCs w:val="20"/>
              </w:rPr>
              <w:t>25%</w:t>
            </w:r>
          </w:p>
        </w:tc>
        <w:tc>
          <w:tcPr>
            <w:tcW w:w="523" w:type="pct"/>
            <w:tcBorders>
              <w:top w:val="nil"/>
              <w:left w:val="single" w:sz="2" w:space="0" w:color="000000"/>
              <w:bottom w:val="single" w:sz="6" w:space="0" w:color="000000"/>
              <w:right w:val="nil"/>
            </w:tcBorders>
            <w:shd w:val="clear" w:color="auto" w:fill="FFFFFF"/>
            <w:tcMar>
              <w:left w:w="80" w:type="dxa"/>
              <w:right w:w="80" w:type="dxa"/>
            </w:tcMar>
          </w:tcPr>
          <w:p w14:paraId="4D41A0E7" w14:textId="77777777" w:rsidR="00C87BFE" w:rsidRPr="00C87BFE" w:rsidRDefault="00C87BFE" w:rsidP="00FA38C7">
            <w:pPr>
              <w:pStyle w:val="Tabletext1"/>
              <w:jc w:val="right"/>
              <w:rPr>
                <w:rFonts w:ascii="Arial Narrow" w:hAnsi="Arial Narrow"/>
                <w:szCs w:val="20"/>
              </w:rPr>
            </w:pPr>
            <w:r w:rsidRPr="00C87BFE">
              <w:rPr>
                <w:rFonts w:ascii="Arial Narrow" w:hAnsi="Arial Narrow"/>
                <w:szCs w:val="20"/>
              </w:rPr>
              <w:t>119</w:t>
            </w:r>
          </w:p>
        </w:tc>
        <w:tc>
          <w:tcPr>
            <w:tcW w:w="523" w:type="pct"/>
            <w:tcBorders>
              <w:top w:val="nil"/>
              <w:left w:val="single" w:sz="2" w:space="0" w:color="000000"/>
              <w:bottom w:val="single" w:sz="6" w:space="0" w:color="000000"/>
              <w:right w:val="nil"/>
            </w:tcBorders>
            <w:shd w:val="clear" w:color="auto" w:fill="FFFFFF"/>
            <w:tcMar>
              <w:left w:w="80" w:type="dxa"/>
              <w:right w:w="80" w:type="dxa"/>
            </w:tcMar>
          </w:tcPr>
          <w:p w14:paraId="69C6A8FD" w14:textId="77777777" w:rsidR="00C87BFE" w:rsidRPr="00C87BFE" w:rsidRDefault="00C87BFE" w:rsidP="00FA38C7">
            <w:pPr>
              <w:pStyle w:val="Tabletext1"/>
              <w:jc w:val="right"/>
              <w:rPr>
                <w:rFonts w:ascii="Arial Narrow" w:hAnsi="Arial Narrow"/>
                <w:szCs w:val="20"/>
              </w:rPr>
            </w:pPr>
            <w:r w:rsidRPr="00C87BFE">
              <w:rPr>
                <w:rFonts w:ascii="Arial Narrow" w:hAnsi="Arial Narrow"/>
                <w:szCs w:val="20"/>
              </w:rPr>
              <w:t>38</w:t>
            </w:r>
          </w:p>
        </w:tc>
        <w:tc>
          <w:tcPr>
            <w:tcW w:w="609" w:type="pct"/>
            <w:tcBorders>
              <w:top w:val="nil"/>
              <w:left w:val="single" w:sz="2" w:space="0" w:color="000000"/>
              <w:bottom w:val="single" w:sz="6" w:space="0" w:color="000000"/>
              <w:right w:val="single" w:sz="6" w:space="0" w:color="000000"/>
            </w:tcBorders>
            <w:shd w:val="clear" w:color="auto" w:fill="FFFFFF"/>
            <w:tcMar>
              <w:left w:w="80" w:type="dxa"/>
              <w:right w:w="80" w:type="dxa"/>
            </w:tcMar>
          </w:tcPr>
          <w:p w14:paraId="054DE168" w14:textId="77777777" w:rsidR="00C87BFE" w:rsidRPr="00C87BFE" w:rsidRDefault="00C87BFE" w:rsidP="00FA38C7">
            <w:pPr>
              <w:pStyle w:val="Tabletext1"/>
              <w:jc w:val="right"/>
              <w:rPr>
                <w:rFonts w:ascii="Arial Narrow" w:hAnsi="Arial Narrow"/>
                <w:szCs w:val="20"/>
              </w:rPr>
            </w:pPr>
            <w:r w:rsidRPr="00C87BFE">
              <w:rPr>
                <w:rFonts w:ascii="Arial Narrow" w:hAnsi="Arial Narrow"/>
                <w:szCs w:val="20"/>
              </w:rPr>
              <w:t>32%</w:t>
            </w:r>
          </w:p>
        </w:tc>
      </w:tr>
    </w:tbl>
    <w:p w14:paraId="20EBBB19" w14:textId="56665D51" w:rsidR="00034296" w:rsidRDefault="00D3586C" w:rsidP="00897C5B">
      <w:pPr>
        <w:pStyle w:val="Caption"/>
      </w:pPr>
      <w:r>
        <w:t>Table B-13</w:t>
      </w:r>
      <w:r w:rsidRPr="00D3586C">
        <w:t xml:space="preserve"> Comparison of differences in falls for each trial arm</w:t>
      </w:r>
    </w:p>
    <w:p w14:paraId="305F44C2" w14:textId="785B0DCE" w:rsidR="00D35E20" w:rsidRDefault="00CA3F76" w:rsidP="007501B9">
      <w:r>
        <w:t xml:space="preserve">To determine </w:t>
      </w:r>
      <w:r w:rsidR="00D3586C">
        <w:t>which residents were</w:t>
      </w:r>
      <w:r>
        <w:t xml:space="preserve"> most at risk of adverse events, we assessed the relationship between the resident characteristics collected at </w:t>
      </w:r>
      <w:proofErr w:type="gramStart"/>
      <w:r>
        <w:t>base-line</w:t>
      </w:r>
      <w:proofErr w:type="gramEnd"/>
      <w:r>
        <w:t xml:space="preserve"> and their subsequent first adverse event</w:t>
      </w:r>
      <w:r w:rsidR="007501B9">
        <w:t xml:space="preserve">. </w:t>
      </w:r>
      <w:r w:rsidR="00153259">
        <w:t>Factors collected at baseline that were found to be independently predictive of adverse medicines events included male sex (Odds Ratio (OR), 2.6; 95% CI, 1.4-5.0), number of sedative medications (OR, 1.2; 95% CI, 1.02-1.4), and use of anticoagulants (OR, 2.9; 95% CI, 1.3-6.2)</w:t>
      </w:r>
      <w:r w:rsidR="007501B9">
        <w:t xml:space="preserve">. </w:t>
      </w:r>
      <w:r w:rsidR="00153259">
        <w:t>The factors found to be independently predictive of preventable adverse medicine events were male sex (OR, 2.5; 95% CI, 1.3-4.7), number of sedative medications (OR, 1.2; 95% CI, 1.01-1.4), use of medications to treat diabetes (OR, 2.6; 95% CI, 1.2-5.7) and use of antipsychoti</w:t>
      </w:r>
      <w:r w:rsidR="00D3586C">
        <w:t>cs (OR, 3.0; 95% CI, 1.2-7.1).</w:t>
      </w:r>
    </w:p>
    <w:p w14:paraId="530EE0D4" w14:textId="32954ED2" w:rsidR="005048BA" w:rsidRDefault="00CA3F76" w:rsidP="007501B9">
      <w:r w:rsidRPr="00CA3F76">
        <w:t xml:space="preserve">While the changes in </w:t>
      </w:r>
      <w:r>
        <w:t xml:space="preserve">adverse medicine events and </w:t>
      </w:r>
      <w:r w:rsidRPr="00CA3F76">
        <w:t xml:space="preserve">falls were not statistically significant, </w:t>
      </w:r>
      <w:proofErr w:type="gramStart"/>
      <w:r w:rsidRPr="00CA3F76">
        <w:t xml:space="preserve">the </w:t>
      </w:r>
      <w:r>
        <w:t>majority of</w:t>
      </w:r>
      <w:proofErr w:type="gramEnd"/>
      <w:r>
        <w:t xml:space="preserve"> the pharmacists’</w:t>
      </w:r>
      <w:r w:rsidRPr="00CA3F76">
        <w:t xml:space="preserve"> recommendations </w:t>
      </w:r>
      <w:r>
        <w:t xml:space="preserve">were </w:t>
      </w:r>
      <w:r w:rsidRPr="00CA3F76">
        <w:t xml:space="preserve">for reducing sedative </w:t>
      </w:r>
      <w:r>
        <w:t xml:space="preserve">and anticholinergic </w:t>
      </w:r>
      <w:r w:rsidRPr="00CA3F76">
        <w:t xml:space="preserve">medicines </w:t>
      </w:r>
      <w:r>
        <w:t>(Section B.6.1)</w:t>
      </w:r>
      <w:r w:rsidR="007501B9">
        <w:t xml:space="preserve">. </w:t>
      </w:r>
      <w:r>
        <w:t>T</w:t>
      </w:r>
      <w:r w:rsidRPr="00CA3F76">
        <w:t xml:space="preserve">he </w:t>
      </w:r>
      <w:r>
        <w:t xml:space="preserve">predictive </w:t>
      </w:r>
      <w:r w:rsidRPr="00CA3F76">
        <w:t xml:space="preserve">models showed that sedative medicines were </w:t>
      </w:r>
      <w:r>
        <w:t xml:space="preserve">a predictor </w:t>
      </w:r>
      <w:r w:rsidRPr="00CA3F76">
        <w:t xml:space="preserve">of adverse </w:t>
      </w:r>
      <w:r>
        <w:t xml:space="preserve">medicine </w:t>
      </w:r>
      <w:r w:rsidRPr="00CA3F76">
        <w:t>events</w:t>
      </w:r>
      <w:r w:rsidR="007501B9">
        <w:t xml:space="preserve">. </w:t>
      </w:r>
      <w:r w:rsidR="005048BA" w:rsidRPr="00CA3F76">
        <w:t>Th</w:t>
      </w:r>
      <w:r w:rsidRPr="00CA3F76">
        <w:t>is is consistent with the</w:t>
      </w:r>
      <w:r w:rsidR="005048BA" w:rsidRPr="00CA3F76">
        <w:t xml:space="preserve"> hypothesis underpinning the </w:t>
      </w:r>
      <w:proofErr w:type="spellStart"/>
      <w:r w:rsidR="005048BA" w:rsidRPr="00CA3F76">
        <w:t>ReMInDAR</w:t>
      </w:r>
      <w:proofErr w:type="spellEnd"/>
      <w:r w:rsidR="005048BA" w:rsidRPr="00CA3F76">
        <w:t xml:space="preserve"> trial</w:t>
      </w:r>
      <w:r>
        <w:t>, which</w:t>
      </w:r>
      <w:r w:rsidR="005048BA" w:rsidRPr="00CA3F76">
        <w:t xml:space="preserve"> was that medicine use could affect</w:t>
      </w:r>
      <w:r w:rsidR="007D6B15">
        <w:t xml:space="preserve"> cognition,</w:t>
      </w:r>
      <w:r w:rsidR="005048BA" w:rsidRPr="00CA3F76">
        <w:t xml:space="preserve"> </w:t>
      </w:r>
      <w:proofErr w:type="gramStart"/>
      <w:r w:rsidR="005048BA" w:rsidRPr="00CA3F76">
        <w:t>gait</w:t>
      </w:r>
      <w:proofErr w:type="gramEnd"/>
      <w:r w:rsidR="005048BA" w:rsidRPr="00CA3F76">
        <w:t xml:space="preserve"> or activity, </w:t>
      </w:r>
      <w:r w:rsidRPr="00CA3F76">
        <w:t xml:space="preserve">resulting in medicine-induced deterioration, </w:t>
      </w:r>
      <w:r w:rsidR="005048BA" w:rsidRPr="00CA3F76">
        <w:t>which would subsequently lead</w:t>
      </w:r>
      <w:r w:rsidRPr="00CA3F76">
        <w:t xml:space="preserve"> to adverse events (Figure A-1)</w:t>
      </w:r>
      <w:r w:rsidR="007501B9">
        <w:t xml:space="preserve">. </w:t>
      </w:r>
      <w:r w:rsidR="005048BA" w:rsidRPr="00CA3F76">
        <w:t xml:space="preserve">To explore the potential for </w:t>
      </w:r>
      <w:r>
        <w:t>medicines</w:t>
      </w:r>
      <w:r w:rsidR="005048BA" w:rsidRPr="00CA3F76">
        <w:t xml:space="preserve"> to </w:t>
      </w:r>
      <w:r>
        <w:t>a</w:t>
      </w:r>
      <w:r w:rsidR="005048BA" w:rsidRPr="00CA3F76">
        <w:t>ffect the changes observed, we used m</w:t>
      </w:r>
      <w:r w:rsidR="005048BA">
        <w:t>ultivariate</w:t>
      </w:r>
      <w:r>
        <w:t>,</w:t>
      </w:r>
      <w:r w:rsidR="005048BA">
        <w:t xml:space="preserve"> multilevel regression models to </w:t>
      </w:r>
      <w:r>
        <w:t>examine</w:t>
      </w:r>
      <w:r w:rsidR="005048BA">
        <w:t xml:space="preserve"> the relationship between sedative and anticholinergic medication load and activit</w:t>
      </w:r>
      <w:r>
        <w:t xml:space="preserve">y as measured by the </w:t>
      </w:r>
      <w:proofErr w:type="spellStart"/>
      <w:r w:rsidRPr="00F42B1D">
        <w:t>GENEActiv</w:t>
      </w:r>
      <w:proofErr w:type="spellEnd"/>
      <w:r w:rsidRPr="00F42B1D">
        <w:t xml:space="preserve"> accelerometer</w:t>
      </w:r>
      <w:r>
        <w:t xml:space="preserve"> </w:t>
      </w:r>
      <w:r w:rsidR="005048BA">
        <w:t>at baseline and 12-month follow-up.</w:t>
      </w:r>
    </w:p>
    <w:p w14:paraId="7CD410D6" w14:textId="29CC7A59" w:rsidR="005048BA" w:rsidRPr="007D6B15" w:rsidRDefault="000C5C1E" w:rsidP="007501B9">
      <w:r>
        <w:t>The</w:t>
      </w:r>
      <w:r w:rsidR="007D6B15">
        <w:t xml:space="preserve"> results are </w:t>
      </w:r>
      <w:r w:rsidR="007D6B15" w:rsidRPr="007D6B15">
        <w:t>plotted in Figure B-15</w:t>
      </w:r>
      <w:r w:rsidR="007501B9">
        <w:t xml:space="preserve">. </w:t>
      </w:r>
      <w:r>
        <w:t>The predicted changes in activity across time for incremental changes to medication load are plotted relative to expected changes in activity for a stable medication load of 2 (i.e., relative to the situation where medication load = 2 at both time points)</w:t>
      </w:r>
      <w:r w:rsidR="007501B9">
        <w:t xml:space="preserve">. </w:t>
      </w:r>
      <w:r>
        <w:t xml:space="preserve">The analysis shows that if sedative load is increased from 2 to 4, the change in sedentary behaviour (green line) over the 12-month period is predicted to be +26 min/d, while sleep, light and </w:t>
      </w:r>
      <w:r w:rsidR="007D6B15">
        <w:t>moderate activity all decline.</w:t>
      </w:r>
    </w:p>
    <w:p w14:paraId="795F8042" w14:textId="7E8F64A9" w:rsidR="007D6B15" w:rsidRDefault="005048BA" w:rsidP="007501B9">
      <w:pPr>
        <w:rPr>
          <w:rStyle w:val="CaptionChar"/>
        </w:rPr>
      </w:pPr>
      <w:r>
        <w:rPr>
          <w:noProof/>
        </w:rPr>
        <w:lastRenderedPageBreak/>
        <w:drawing>
          <wp:inline distT="0" distB="0" distL="0" distR="0" wp14:anchorId="4F7E3E5B" wp14:editId="7C6CECA4">
            <wp:extent cx="5587376" cy="4086225"/>
            <wp:effectExtent l="0" t="0" r="0" b="0"/>
            <wp:docPr id="46" name="Picture 46" descr=" the predicted changes in activity across time for incremental changes to medication load are plotted relative to expected changes in activity for a stable medication load of 2 (i.e., relative to the situation where medication load = 2 at both time points).  If sedative load is increased from 2 to 4, the change in sedentary behaviour (green line) over the 12-month period is predicted to be about +26 min/d." title="Predicted changes in activity accross a 12 month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611674" cy="4103995"/>
                    </a:xfrm>
                    <a:prstGeom prst="rect">
                      <a:avLst/>
                    </a:prstGeom>
                  </pic:spPr>
                </pic:pic>
              </a:graphicData>
            </a:graphic>
          </wp:inline>
        </w:drawing>
      </w:r>
      <w:r w:rsidRPr="00432835">
        <w:rPr>
          <w:rStyle w:val="CaptionChar"/>
        </w:rPr>
        <w:t xml:space="preserve">Figure </w:t>
      </w:r>
      <w:r w:rsidR="007D6B15">
        <w:rPr>
          <w:rStyle w:val="CaptionChar"/>
        </w:rPr>
        <w:t>B-15</w:t>
      </w:r>
      <w:r w:rsidRPr="00432835">
        <w:rPr>
          <w:rStyle w:val="CaptionChar"/>
        </w:rPr>
        <w:t xml:space="preserve">. Predicted changes in activity across a 12-month period when medication loads are changed. </w:t>
      </w:r>
    </w:p>
    <w:p w14:paraId="604375B5" w14:textId="4A388F32" w:rsidR="00075773" w:rsidRDefault="005048BA" w:rsidP="007501B9">
      <w:pPr>
        <w:rPr>
          <w:rFonts w:asciiTheme="majorHAnsi" w:eastAsiaTheme="majorEastAsia" w:hAnsiTheme="majorHAnsi" w:cstheme="majorBidi"/>
          <w:color w:val="0D0D0D" w:themeColor="text1" w:themeTint="F2"/>
          <w:sz w:val="24"/>
          <w:szCs w:val="24"/>
        </w:rPr>
      </w:pPr>
      <w:r w:rsidRPr="00432835">
        <w:rPr>
          <w:rStyle w:val="CaptionChar"/>
        </w:rPr>
        <w:t>Changes in activity are considered relative to no change in medication load (i.e., medication load = 2 at both time points).</w:t>
      </w:r>
      <w:r w:rsidR="00075773">
        <w:br w:type="page"/>
      </w:r>
    </w:p>
    <w:p w14:paraId="1C0333D6" w14:textId="0CD920CC" w:rsidR="00553498" w:rsidRPr="00F42B1D" w:rsidRDefault="00553498" w:rsidP="00FF37D6">
      <w:pPr>
        <w:pStyle w:val="Heading3-SectionB7"/>
      </w:pPr>
      <w:bookmarkStart w:id="193" w:name="_Toc117758255"/>
      <w:r w:rsidRPr="00F42B1D">
        <w:lastRenderedPageBreak/>
        <w:t>Stakeholder Evaluation</w:t>
      </w:r>
      <w:bookmarkEnd w:id="193"/>
    </w:p>
    <w:p w14:paraId="41E86B3D" w14:textId="78C50701" w:rsidR="00553498" w:rsidRPr="00F42B1D" w:rsidRDefault="00553498" w:rsidP="007501B9">
      <w:r w:rsidRPr="00F42B1D">
        <w:t xml:space="preserve">Evaluation of the residential clients' and healthcare professionals' experience of the pharmacist service in the form of stakeholder feedback was solicited from </w:t>
      </w:r>
      <w:proofErr w:type="spellStart"/>
      <w:r w:rsidRPr="00F42B1D">
        <w:t>ReMInDAR</w:t>
      </w:r>
      <w:proofErr w:type="spellEnd"/>
      <w:r w:rsidRPr="00F42B1D">
        <w:t xml:space="preserve"> stakeholders over the trial period</w:t>
      </w:r>
      <w:r w:rsidR="007501B9">
        <w:t xml:space="preserve">. </w:t>
      </w:r>
      <w:r w:rsidRPr="00F42B1D">
        <w:t xml:space="preserve">This was </w:t>
      </w:r>
      <w:r w:rsidR="00C967F6" w:rsidRPr="00F42B1D">
        <w:t>undertaken</w:t>
      </w:r>
      <w:r w:rsidRPr="00F42B1D">
        <w:t xml:space="preserve"> to discern the need and acceptability </w:t>
      </w:r>
      <w:r w:rsidR="00C967F6" w:rsidRPr="00F42B1D">
        <w:t>of</w:t>
      </w:r>
      <w:r w:rsidRPr="00F42B1D">
        <w:t xml:space="preserve"> this type of pharmacy service </w:t>
      </w:r>
      <w:r w:rsidR="00C967F6" w:rsidRPr="00F42B1D">
        <w:t xml:space="preserve">to </w:t>
      </w:r>
      <w:r w:rsidRPr="00F42B1D">
        <w:t xml:space="preserve">the different stakeholder groups and to </w:t>
      </w:r>
      <w:r w:rsidR="00C967F6" w:rsidRPr="00F42B1D">
        <w:t xml:space="preserve">the </w:t>
      </w:r>
      <w:r w:rsidRPr="00F42B1D">
        <w:t xml:space="preserve">factors </w:t>
      </w:r>
      <w:r w:rsidR="00C967F6" w:rsidRPr="00F42B1D">
        <w:t>that would promote success</w:t>
      </w:r>
      <w:r w:rsidR="007501B9">
        <w:t xml:space="preserve">. </w:t>
      </w:r>
      <w:r w:rsidRPr="00F42B1D">
        <w:t xml:space="preserve">Feedback was sought from the residents, their GPs, the RACF staff and the </w:t>
      </w:r>
      <w:r w:rsidR="001A2CBA" w:rsidRPr="00F42B1D">
        <w:t>pharmacists’</w:t>
      </w:r>
      <w:r w:rsidRPr="00F42B1D">
        <w:t xml:space="preserve"> trialling the service</w:t>
      </w:r>
      <w:r w:rsidR="007501B9">
        <w:t xml:space="preserve">. </w:t>
      </w:r>
      <w:r w:rsidR="00531A90" w:rsidRPr="00F42B1D">
        <w:t xml:space="preserve">Stakeholder interviews or focus groups with 7 trial participants, 4 residential </w:t>
      </w:r>
      <w:r w:rsidR="00812C48">
        <w:t>aged care</w:t>
      </w:r>
      <w:r w:rsidR="00531A90" w:rsidRPr="00F42B1D">
        <w:t xml:space="preserve"> staff, 4 general practitioners and 6 pharmacists were undertaken to determine participant satisfaction with the service, barriers and enablers to participation and potential for application of the service more widely</w:t>
      </w:r>
      <w:r w:rsidR="007501B9">
        <w:t xml:space="preserve">. </w:t>
      </w:r>
      <w:r w:rsidR="00531A90" w:rsidRPr="00F42B1D">
        <w:t>In addition, all pharmacists were provided with a survey to evaluate the training for the intervention, and 56% responded.</w:t>
      </w:r>
    </w:p>
    <w:p w14:paraId="0C66DC7A" w14:textId="352CEA31" w:rsidR="00553498" w:rsidRPr="00F42B1D" w:rsidRDefault="00553498" w:rsidP="007501B9">
      <w:r w:rsidRPr="00F42B1D">
        <w:t xml:space="preserve">Overall, all stakeholder groups thought that the </w:t>
      </w:r>
      <w:proofErr w:type="spellStart"/>
      <w:r w:rsidRPr="00F42B1D">
        <w:t>ReMInDAR</w:t>
      </w:r>
      <w:proofErr w:type="spellEnd"/>
      <w:r w:rsidRPr="00F42B1D">
        <w:t xml:space="preserve"> pharmacy service was </w:t>
      </w:r>
      <w:r w:rsidR="00C967F6" w:rsidRPr="00F42B1D">
        <w:t>a</w:t>
      </w:r>
      <w:r w:rsidRPr="00F42B1D">
        <w:t xml:space="preserve"> much needed</w:t>
      </w:r>
      <w:r w:rsidR="00640FC5" w:rsidRPr="00F42B1D">
        <w:t xml:space="preserve"> and</w:t>
      </w:r>
      <w:r w:rsidRPr="00F42B1D">
        <w:t xml:space="preserve"> valuable </w:t>
      </w:r>
      <w:r w:rsidR="00640FC5" w:rsidRPr="00F42B1D">
        <w:t xml:space="preserve">service, with </w:t>
      </w:r>
      <w:r w:rsidRPr="00F42B1D">
        <w:t>the feedback overwhelmingly positive</w:t>
      </w:r>
      <w:r w:rsidR="007501B9">
        <w:t xml:space="preserve">. </w:t>
      </w:r>
      <w:r w:rsidRPr="00F42B1D">
        <w:t>Pharmacist</w:t>
      </w:r>
      <w:r w:rsidR="00640FC5" w:rsidRPr="00F42B1D">
        <w:t>s reported</w:t>
      </w:r>
      <w:r w:rsidRPr="00F42B1D">
        <w:t xml:space="preserve"> gain</w:t>
      </w:r>
      <w:r w:rsidR="00640FC5" w:rsidRPr="00F42B1D">
        <w:t>ing</w:t>
      </w:r>
      <w:r w:rsidRPr="00F42B1D">
        <w:t xml:space="preserve"> additional skills and experience, the GPs </w:t>
      </w:r>
      <w:r w:rsidR="00640FC5" w:rsidRPr="00F42B1D">
        <w:t xml:space="preserve">reported </w:t>
      </w:r>
      <w:r w:rsidRPr="00F42B1D">
        <w:t>some of the recommendations useful in improving medication management for their patients, and the residents enjoyed having regular visits</w:t>
      </w:r>
      <w:r w:rsidR="007501B9">
        <w:t xml:space="preserve">. </w:t>
      </w:r>
      <w:r w:rsidRPr="00F42B1D">
        <w:t>The essential elements for a successful pharmacist service that were identified by stakeholders were:</w:t>
      </w:r>
    </w:p>
    <w:p w14:paraId="6124FB93" w14:textId="77777777" w:rsidR="00553498" w:rsidRPr="00F42B1D" w:rsidRDefault="00553498" w:rsidP="00976D0B">
      <w:pPr>
        <w:pStyle w:val="ListBullet"/>
      </w:pPr>
      <w:r w:rsidRPr="00F42B1D">
        <w:t xml:space="preserve">Training and peer support of the pharmacists in new tools, communication skills and </w:t>
      </w:r>
      <w:r w:rsidR="00640FC5" w:rsidRPr="00F42B1D">
        <w:t xml:space="preserve">making </w:t>
      </w:r>
      <w:r w:rsidRPr="00F42B1D">
        <w:t xml:space="preserve">clinical </w:t>
      </w:r>
      <w:proofErr w:type="gramStart"/>
      <w:r w:rsidRPr="00F42B1D">
        <w:t>recommendation</w:t>
      </w:r>
      <w:r w:rsidR="00640FC5" w:rsidRPr="00F42B1D">
        <w:t>s</w:t>
      </w:r>
      <w:r w:rsidRPr="00F42B1D">
        <w:t>;</w:t>
      </w:r>
      <w:proofErr w:type="gramEnd"/>
    </w:p>
    <w:p w14:paraId="62D42CA3" w14:textId="77777777" w:rsidR="00553498" w:rsidRPr="00F42B1D" w:rsidRDefault="00553498" w:rsidP="00976D0B">
      <w:pPr>
        <w:pStyle w:val="ListBullet"/>
      </w:pPr>
      <w:r w:rsidRPr="00F42B1D">
        <w:t xml:space="preserve">Early engagement with General </w:t>
      </w:r>
      <w:proofErr w:type="gramStart"/>
      <w:r w:rsidRPr="00F42B1D">
        <w:t>Practitioners;</w:t>
      </w:r>
      <w:proofErr w:type="gramEnd"/>
    </w:p>
    <w:p w14:paraId="00C15B2F" w14:textId="77777777" w:rsidR="00553498" w:rsidRPr="00F42B1D" w:rsidRDefault="00553498" w:rsidP="00976D0B">
      <w:pPr>
        <w:pStyle w:val="ListBullet"/>
      </w:pPr>
      <w:r w:rsidRPr="00F42B1D">
        <w:t xml:space="preserve">Establishment of productive working relationships with residents, GPs and residential aged care </w:t>
      </w:r>
      <w:proofErr w:type="gramStart"/>
      <w:r w:rsidRPr="00F42B1D">
        <w:t>staff;</w:t>
      </w:r>
      <w:proofErr w:type="gramEnd"/>
    </w:p>
    <w:p w14:paraId="14D3D81E" w14:textId="72D41F04" w:rsidR="00553498" w:rsidRPr="00F42B1D" w:rsidRDefault="00553498" w:rsidP="00976D0B">
      <w:pPr>
        <w:pStyle w:val="ListBullet"/>
      </w:pPr>
      <w:r w:rsidRPr="00F42B1D">
        <w:t xml:space="preserve">Integrated communication </w:t>
      </w:r>
      <w:r w:rsidR="00640FC5" w:rsidRPr="00F42B1D">
        <w:t>and</w:t>
      </w:r>
      <w:r w:rsidRPr="00F42B1D">
        <w:t xml:space="preserve"> coordination </w:t>
      </w:r>
      <w:r w:rsidR="00640FC5" w:rsidRPr="00F42B1D">
        <w:t>among the</w:t>
      </w:r>
      <w:r w:rsidRPr="00F42B1D">
        <w:t xml:space="preserve"> multidisciplinary team</w:t>
      </w:r>
      <w:r w:rsidR="00640FC5" w:rsidRPr="00F42B1D">
        <w:t>, including</w:t>
      </w:r>
      <w:r w:rsidRPr="00F42B1D">
        <w:t xml:space="preserve"> </w:t>
      </w:r>
      <w:r w:rsidR="00640FC5" w:rsidRPr="00F42B1D">
        <w:t>n</w:t>
      </w:r>
      <w:r w:rsidRPr="00F42B1D">
        <w:t xml:space="preserve">urses, </w:t>
      </w:r>
      <w:r w:rsidR="00640FC5" w:rsidRPr="00F42B1D">
        <w:t xml:space="preserve">care staff, the </w:t>
      </w:r>
      <w:r w:rsidRPr="00F42B1D">
        <w:t xml:space="preserve">GP, </w:t>
      </w:r>
      <w:r w:rsidR="00640FC5" w:rsidRPr="00F42B1D">
        <w:t>and the p</w:t>
      </w:r>
      <w:r w:rsidR="00656AC8">
        <w:t>harmacist.</w:t>
      </w:r>
    </w:p>
    <w:p w14:paraId="1E16B9AA" w14:textId="71C69721" w:rsidR="00553498" w:rsidRPr="00F42B1D" w:rsidRDefault="00640FC5" w:rsidP="007501B9">
      <w:r w:rsidRPr="00F42B1D">
        <w:t xml:space="preserve">Stakeholders noted the </w:t>
      </w:r>
      <w:r w:rsidR="00553498" w:rsidRPr="00F42B1D">
        <w:t xml:space="preserve">need </w:t>
      </w:r>
      <w:r w:rsidRPr="00F42B1D">
        <w:t xml:space="preserve">for pharmacists </w:t>
      </w:r>
      <w:r w:rsidR="00553498" w:rsidRPr="00F42B1D">
        <w:t>to communicate regularly with staff and build relationship</w:t>
      </w:r>
      <w:r w:rsidRPr="00F42B1D">
        <w:t xml:space="preserve"> and the</w:t>
      </w:r>
      <w:r w:rsidR="00553498" w:rsidRPr="00F42B1D">
        <w:t xml:space="preserve"> need </w:t>
      </w:r>
      <w:r w:rsidRPr="00F42B1D">
        <w:t xml:space="preserve">for pharmacists </w:t>
      </w:r>
      <w:r w:rsidR="00553498" w:rsidRPr="00F42B1D">
        <w:t xml:space="preserve">to be seen as a resource to and integrated </w:t>
      </w:r>
      <w:r w:rsidRPr="00F42B1D">
        <w:t>as a full member of</w:t>
      </w:r>
      <w:r w:rsidR="00553498" w:rsidRPr="00F42B1D">
        <w:t xml:space="preserve"> </w:t>
      </w:r>
      <w:r w:rsidRPr="00F42B1D">
        <w:t xml:space="preserve">the </w:t>
      </w:r>
      <w:r w:rsidR="00553498" w:rsidRPr="00F42B1D">
        <w:t>team</w:t>
      </w:r>
      <w:r w:rsidR="00976D0B">
        <w:t>.</w:t>
      </w:r>
    </w:p>
    <w:p w14:paraId="68DD67AA" w14:textId="77777777" w:rsidR="00553498" w:rsidRPr="00976D0B" w:rsidRDefault="00553498" w:rsidP="00976D0B">
      <w:r w:rsidRPr="00976D0B">
        <w:t xml:space="preserve">Further consideration of the use of tools to identify medication </w:t>
      </w:r>
      <w:proofErr w:type="gramStart"/>
      <w:r w:rsidRPr="00976D0B">
        <w:t>induced-deterioration</w:t>
      </w:r>
      <w:proofErr w:type="gramEnd"/>
      <w:r w:rsidRPr="00976D0B">
        <w:t xml:space="preserve">. </w:t>
      </w:r>
    </w:p>
    <w:p w14:paraId="10DED019" w14:textId="77777777" w:rsidR="00553498" w:rsidRPr="00F42B1D" w:rsidRDefault="00553498" w:rsidP="00976D0B">
      <w:pPr>
        <w:pStyle w:val="ListBullet"/>
      </w:pPr>
      <w:r w:rsidRPr="00F42B1D">
        <w:t xml:space="preserve">Cognition tools were poorly received by residents, grip strength measurements were well </w:t>
      </w:r>
      <w:proofErr w:type="gramStart"/>
      <w:r w:rsidRPr="00F42B1D">
        <w:t>received</w:t>
      </w:r>
      <w:proofErr w:type="gramEnd"/>
      <w:r w:rsidRPr="00F42B1D">
        <w:t xml:space="preserve"> and the use of activity trackers might be acceptable if they were reliable, comfortable and attractive.</w:t>
      </w:r>
    </w:p>
    <w:p w14:paraId="4EE1F718" w14:textId="77777777" w:rsidR="00553498" w:rsidRPr="00F42B1D" w:rsidRDefault="00553498" w:rsidP="007501B9">
      <w:pPr>
        <w:rPr>
          <w:lang w:val="en-US"/>
        </w:rPr>
      </w:pPr>
      <w:r w:rsidRPr="00F42B1D">
        <w:rPr>
          <w:lang w:val="en-US"/>
        </w:rPr>
        <w:t xml:space="preserve">Residents who participated in the </w:t>
      </w:r>
      <w:proofErr w:type="spellStart"/>
      <w:r w:rsidRPr="00F42B1D">
        <w:rPr>
          <w:lang w:val="en-US"/>
        </w:rPr>
        <w:t>ReMInDAR</w:t>
      </w:r>
      <w:proofErr w:type="spellEnd"/>
      <w:r w:rsidRPr="00F42B1D">
        <w:rPr>
          <w:lang w:val="en-US"/>
        </w:rPr>
        <w:t xml:space="preserve"> trial were overwhelmingly welcoming of having a pharmacist service as they recalled minimal previous opportunities to speak with a pharmacist since they had entered the facility:</w:t>
      </w:r>
    </w:p>
    <w:p w14:paraId="4DD12D68" w14:textId="77777777" w:rsidR="00553498" w:rsidRPr="00656AC8" w:rsidRDefault="00553498" w:rsidP="00976D0B">
      <w:pPr>
        <w:pStyle w:val="ListQuotes"/>
      </w:pPr>
      <w:r w:rsidRPr="00656AC8">
        <w:t>“I have never seen a pharmacist since coming here, and I’ve been here for 5 years, so thank you for doing this.</w:t>
      </w:r>
      <w:proofErr w:type="gramStart"/>
      <w:r w:rsidRPr="00656AC8">
        <w:t>”;</w:t>
      </w:r>
      <w:proofErr w:type="gramEnd"/>
    </w:p>
    <w:p w14:paraId="6CC7D8E1" w14:textId="77777777" w:rsidR="00553498" w:rsidRPr="00656AC8" w:rsidRDefault="00553498" w:rsidP="00976D0B">
      <w:pPr>
        <w:pStyle w:val="ListQuotes"/>
      </w:pPr>
      <w:r w:rsidRPr="00656AC8">
        <w:lastRenderedPageBreak/>
        <w:t>“It’s about time we have pharmacists here</w:t>
      </w:r>
      <w:proofErr w:type="gramStart"/>
      <w:r w:rsidRPr="00656AC8">
        <w:t>”;</w:t>
      </w:r>
      <w:proofErr w:type="gramEnd"/>
    </w:p>
    <w:p w14:paraId="49D8115F" w14:textId="77777777" w:rsidR="00553498" w:rsidRPr="00656AC8" w:rsidRDefault="00553498" w:rsidP="00976D0B">
      <w:pPr>
        <w:pStyle w:val="ListQuotes"/>
      </w:pPr>
      <w:r w:rsidRPr="00656AC8">
        <w:t>“Nobody here can help me with my medicines. Nobody explains to me why I need to pay for these medicines. Can you please help?”.</w:t>
      </w:r>
    </w:p>
    <w:p w14:paraId="011F3711" w14:textId="6C8DF15D" w:rsidR="00553498" w:rsidRPr="00F42B1D" w:rsidRDefault="00553498" w:rsidP="007501B9">
      <w:r w:rsidRPr="00F42B1D">
        <w:t>In terms of opportunities to expand the service delivery, stakeholders were supportive of the need to continue to provide medication review services to residents in aged care</w:t>
      </w:r>
      <w:r w:rsidR="007501B9">
        <w:t xml:space="preserve">. </w:t>
      </w:r>
      <w:r w:rsidRPr="00F42B1D">
        <w:t xml:space="preserve">Logistical issues such as frequency of service; co-location of pharmacists; and expanding the service to other target groups within aged care, as well as into the community were </w:t>
      </w:r>
      <w:r w:rsidR="00640FC5" w:rsidRPr="00F42B1D">
        <w:t>identified issues to be resolved</w:t>
      </w:r>
      <w:r w:rsidR="00785138" w:rsidRPr="00F42B1D">
        <w:t>.</w:t>
      </w:r>
    </w:p>
    <w:p w14:paraId="25903A94" w14:textId="5CDC7D49" w:rsidR="00553498" w:rsidRPr="00F42B1D" w:rsidRDefault="00553498" w:rsidP="007501B9">
      <w:r w:rsidRPr="00F42B1D">
        <w:t>The themes arising from feedback collected from the different stakeholder groups are presented in greater detail in Section F</w:t>
      </w:r>
      <w:r w:rsidR="001A2CBA" w:rsidRPr="00F42B1D">
        <w:t>2</w:t>
      </w:r>
      <w:r w:rsidRPr="00F42B1D">
        <w:t xml:space="preserve"> for each stakeholder group.</w:t>
      </w:r>
    </w:p>
    <w:p w14:paraId="4C46A81C" w14:textId="438DB8FC" w:rsidR="00DB3295" w:rsidRPr="00F42B1D" w:rsidRDefault="00DB3295" w:rsidP="00857F40">
      <w:pPr>
        <w:pStyle w:val="Heading2-SectionB"/>
      </w:pPr>
      <w:bookmarkStart w:id="194" w:name="_Toc117758256"/>
      <w:r w:rsidRPr="00F42B1D">
        <w:t>Extended Assessment of Harms</w:t>
      </w:r>
      <w:bookmarkEnd w:id="194"/>
    </w:p>
    <w:p w14:paraId="4DAC0FF7" w14:textId="77777777" w:rsidR="00DB3295" w:rsidRPr="00F42B1D" w:rsidRDefault="00AC18BA" w:rsidP="007501B9">
      <w:r w:rsidRPr="00F42B1D">
        <w:t>No</w:t>
      </w:r>
      <w:r w:rsidR="00640FC5" w:rsidRPr="00F42B1D">
        <w:t xml:space="preserve"> harms were reported from the trial</w:t>
      </w:r>
      <w:r w:rsidRPr="00F42B1D">
        <w:t>.</w:t>
      </w:r>
    </w:p>
    <w:p w14:paraId="5CED4FBE" w14:textId="145256D9" w:rsidR="00DB3295" w:rsidRPr="00F42B1D" w:rsidRDefault="00DB3295" w:rsidP="00857F40">
      <w:pPr>
        <w:pStyle w:val="Heading2-SectionB"/>
      </w:pPr>
      <w:bookmarkStart w:id="195" w:name="_Ref421189603"/>
      <w:bookmarkStart w:id="196" w:name="_Ref421189625"/>
      <w:bookmarkStart w:id="197" w:name="_Toc117758257"/>
      <w:r w:rsidRPr="00F42B1D">
        <w:t>Interpretation of the Clinical Evidence</w:t>
      </w:r>
      <w:bookmarkEnd w:id="195"/>
      <w:bookmarkEnd w:id="196"/>
      <w:bookmarkEnd w:id="197"/>
    </w:p>
    <w:p w14:paraId="17192423" w14:textId="24DA4A87" w:rsidR="007D6B15" w:rsidRDefault="004C6BA9" w:rsidP="007501B9">
      <w:proofErr w:type="gramStart"/>
      <w:r w:rsidRPr="00F42B1D">
        <w:t>On the basis of</w:t>
      </w:r>
      <w:proofErr w:type="gramEnd"/>
      <w:r w:rsidRPr="00F42B1D">
        <w:t xml:space="preserve"> the evidence pro</w:t>
      </w:r>
      <w:r w:rsidR="004E774B">
        <w:t>vided</w:t>
      </w:r>
      <w:r w:rsidRPr="00F42B1D">
        <w:t xml:space="preserve">, relative to the comparator, the intervention has superior efficacy with regards to cognition, and is non-inferior for frailty, physical activity, grip strength, </w:t>
      </w:r>
      <w:r w:rsidR="004E774B">
        <w:t xml:space="preserve">weight </w:t>
      </w:r>
      <w:r w:rsidRPr="00F42B1D">
        <w:t>and quality of life.</w:t>
      </w:r>
    </w:p>
    <w:p w14:paraId="6569E6EC" w14:textId="77777777" w:rsidR="007D6B15" w:rsidRDefault="007D6B15" w:rsidP="007501B9">
      <w:r>
        <w:br w:type="page"/>
      </w:r>
    </w:p>
    <w:p w14:paraId="3A8C0CB6" w14:textId="3CF655EF" w:rsidR="00306F6C" w:rsidRPr="00F42B1D" w:rsidRDefault="00306F6C" w:rsidP="00391CFD">
      <w:pPr>
        <w:pStyle w:val="Heading1"/>
      </w:pPr>
      <w:bookmarkStart w:id="198" w:name="_Toc117758258"/>
      <w:r w:rsidRPr="00F42B1D">
        <w:lastRenderedPageBreak/>
        <w:t>Section C</w:t>
      </w:r>
      <w:r w:rsidR="00B35AE6">
        <w:t xml:space="preserve">: </w:t>
      </w:r>
      <w:r w:rsidRPr="00F42B1D">
        <w:t>Translation Issues</w:t>
      </w:r>
      <w:bookmarkEnd w:id="198"/>
    </w:p>
    <w:p w14:paraId="29D06C39" w14:textId="080F64FE" w:rsidR="002646F0" w:rsidRPr="00F42B1D" w:rsidRDefault="002646F0" w:rsidP="00857F40">
      <w:pPr>
        <w:pStyle w:val="Heading2-SectionC"/>
      </w:pPr>
      <w:bookmarkStart w:id="199" w:name="_Toc426968183"/>
      <w:bookmarkStart w:id="200" w:name="_Toc117758259"/>
      <w:r w:rsidRPr="00F42B1D">
        <w:t>Overview</w:t>
      </w:r>
      <w:bookmarkEnd w:id="199"/>
      <w:bookmarkEnd w:id="200"/>
    </w:p>
    <w:p w14:paraId="76948A62" w14:textId="18650578" w:rsidR="009B7991" w:rsidRDefault="009B7991" w:rsidP="007501B9">
      <w:r>
        <w:t>The primary economic analysis is a trial-based cost comparison from the perspective of the Australian healthcare system (public and private funded healthcare costs)</w:t>
      </w:r>
      <w:r w:rsidR="007501B9">
        <w:t xml:space="preserve">. </w:t>
      </w:r>
      <w:r>
        <w:t xml:space="preserve">The primary economic outcome is the incremental difference in average total health resource expenditure (net costs/savings) per resident over a </w:t>
      </w:r>
      <w:proofErr w:type="gramStart"/>
      <w:r>
        <w:t>one year</w:t>
      </w:r>
      <w:proofErr w:type="gramEnd"/>
      <w:r>
        <w:t xml:space="preserve"> time horizon</w:t>
      </w:r>
      <w:r w:rsidR="007501B9">
        <w:t xml:space="preserve">. </w:t>
      </w:r>
      <w:r>
        <w:t xml:space="preserve">The healthcare resource use/costs are determined using the data </w:t>
      </w:r>
      <w:r w:rsidR="00A123FF">
        <w:t>collected in the clinical trial or provided by the Services Australia or state health department data custodians.</w:t>
      </w:r>
    </w:p>
    <w:p w14:paraId="3B8DC764" w14:textId="7B47D7AA" w:rsidR="009B7991" w:rsidRDefault="009B7991" w:rsidP="007501B9">
      <w:r>
        <w:t xml:space="preserve">The health economic analysis will utilise participant data on an ‘intention to treat’ </w:t>
      </w:r>
      <w:r w:rsidR="00502D29">
        <w:t xml:space="preserve">(ITT) </w:t>
      </w:r>
      <w:r>
        <w:t>basis. External Pharmaceutical Benefits Sch</w:t>
      </w:r>
      <w:r w:rsidR="00F462B9">
        <w:t>eme</w:t>
      </w:r>
      <w:r>
        <w:t xml:space="preserve"> (PBS) and Medicare Benefits Schedule (MBS) administrative claims data, as well as external administrative claims data for hospital admissions has been linked on a per patient basis to the clinical trial data collection set and used to inform the economic evaluation</w:t>
      </w:r>
      <w:r w:rsidR="007501B9">
        <w:t xml:space="preserve">. </w:t>
      </w:r>
      <w:r w:rsidRPr="00F42B1D">
        <w:t xml:space="preserve">The evaluation plan for the health economics analyses </w:t>
      </w:r>
      <w:proofErr w:type="gramStart"/>
      <w:r w:rsidRPr="00F42B1D">
        <w:t>is located in</w:t>
      </w:r>
      <w:proofErr w:type="gramEnd"/>
      <w:r w:rsidRPr="00F42B1D">
        <w:t xml:space="preserve"> Appendix C</w:t>
      </w:r>
      <w:r w:rsidR="00C00BFC">
        <w:t>3</w:t>
      </w:r>
      <w:r w:rsidRPr="00F42B1D">
        <w:t>.</w:t>
      </w:r>
    </w:p>
    <w:p w14:paraId="49270F7C" w14:textId="3B1DE48F" w:rsidR="009B7991" w:rsidRDefault="009B7991" w:rsidP="007501B9">
      <w:r>
        <w:t xml:space="preserve">A trial-based cost effectiveness analysis has not been presented because the study did not meet </w:t>
      </w:r>
      <w:r w:rsidR="00502D29">
        <w:t>its</w:t>
      </w:r>
      <w:r>
        <w:t xml:space="preserve"> primary clinical outcome objective of identifying a reduction in medicine-induced frailty.</w:t>
      </w:r>
    </w:p>
    <w:p w14:paraId="316F9F99" w14:textId="22445A57" w:rsidR="00FE517B" w:rsidRPr="00F42B1D" w:rsidRDefault="009B7991" w:rsidP="007501B9">
      <w:r>
        <w:t xml:space="preserve">Potential translation issues with respect to the economic analysis are identified and addressed below. </w:t>
      </w:r>
    </w:p>
    <w:p w14:paraId="512C729B" w14:textId="0D5346C0" w:rsidR="002646F0" w:rsidRPr="00897C5B" w:rsidRDefault="002646F0" w:rsidP="00857F40">
      <w:pPr>
        <w:pStyle w:val="Heading2-SectionC"/>
      </w:pPr>
      <w:bookmarkStart w:id="201" w:name="_Toc426968184"/>
      <w:bookmarkStart w:id="202" w:name="_Toc117758260"/>
      <w:r w:rsidRPr="00897C5B">
        <w:t>Applicability translation issues</w:t>
      </w:r>
      <w:bookmarkEnd w:id="201"/>
      <w:bookmarkEnd w:id="202"/>
    </w:p>
    <w:p w14:paraId="1595798B" w14:textId="0ACCB03B" w:rsidR="00502D29" w:rsidRPr="00897C5B" w:rsidRDefault="00C6535E" w:rsidP="00897C5B">
      <w:pPr>
        <w:pStyle w:val="Heading3"/>
      </w:pPr>
      <w:bookmarkStart w:id="203" w:name="_Toc117758261"/>
      <w:r>
        <w:t>C</w:t>
      </w:r>
      <w:r w:rsidR="00502D29">
        <w:t>2.1</w:t>
      </w:r>
      <w:r w:rsidR="00502D29">
        <w:tab/>
        <w:t>Is the costing data acquired from administrative claims data applicable?</w:t>
      </w:r>
      <w:bookmarkEnd w:id="203"/>
    </w:p>
    <w:p w14:paraId="6931ADB3" w14:textId="69CC0F90" w:rsidR="00502D29" w:rsidRDefault="00502D29" w:rsidP="007501B9">
      <w:bookmarkStart w:id="204" w:name="_Toc426968185"/>
      <w:r>
        <w:t>Not all study participants provided the additional consent that was required for the release of MBS</w:t>
      </w:r>
      <w:r w:rsidR="004E774B">
        <w:t xml:space="preserve">, </w:t>
      </w:r>
      <w:proofErr w:type="gramStart"/>
      <w:r>
        <w:t>PBS</w:t>
      </w:r>
      <w:proofErr w:type="gramEnd"/>
      <w:r>
        <w:t xml:space="preserve"> and hospital cost data, therefore the average per patient MBS</w:t>
      </w:r>
      <w:r w:rsidR="004E774B">
        <w:t xml:space="preserve">, </w:t>
      </w:r>
      <w:r>
        <w:t>PBS and hospital costs are derived from a subset of the trial population</w:t>
      </w:r>
      <w:r w:rsidR="007501B9">
        <w:t xml:space="preserve">. </w:t>
      </w:r>
      <w:r>
        <w:t>It is necessary to confirm that the study participants for whom cost data was available are representative of the broader study participants.</w:t>
      </w:r>
    </w:p>
    <w:p w14:paraId="5E308020" w14:textId="34A540DF" w:rsidR="00502D29" w:rsidRDefault="00502D29" w:rsidP="007501B9">
      <w:r>
        <w:t xml:space="preserve">The complete set of study participants (excluding withdrawals but including patients who </w:t>
      </w:r>
      <w:r w:rsidR="004E774B">
        <w:t xml:space="preserve">died </w:t>
      </w:r>
      <w:r>
        <w:t>during the study period) comprised 248 a</w:t>
      </w:r>
      <w:r w:rsidR="004E774B">
        <w:t>ged care residents</w:t>
      </w:r>
      <w:r w:rsidR="007501B9">
        <w:t xml:space="preserve">. </w:t>
      </w:r>
      <w:r w:rsidR="004E774B">
        <w:t>Of these, s</w:t>
      </w:r>
      <w:r>
        <w:t>tate hospital data was obtained for 170 South Australian and 39 Tasmanian study participants (</w:t>
      </w:r>
      <w:proofErr w:type="gramStart"/>
      <w:r>
        <w:t>i.e.</w:t>
      </w:r>
      <w:proofErr w:type="gramEnd"/>
      <w:r>
        <w:t xml:space="preserve"> approximately 85% of the study participants) which should therefore be reliable representation</w:t>
      </w:r>
      <w:r w:rsidR="007501B9">
        <w:t xml:space="preserve">. </w:t>
      </w:r>
      <w:r>
        <w:t xml:space="preserve">In </w:t>
      </w:r>
      <w:proofErr w:type="gramStart"/>
      <w:r>
        <w:t>addition</w:t>
      </w:r>
      <w:proofErr w:type="gramEnd"/>
      <w:r>
        <w:t xml:space="preserve"> 168 (approximately 68%) provided additional consent to allow </w:t>
      </w:r>
      <w:r>
        <w:lastRenderedPageBreak/>
        <w:t>retrieval of their MBS</w:t>
      </w:r>
      <w:r w:rsidR="004E774B">
        <w:t xml:space="preserve"> and </w:t>
      </w:r>
      <w:r>
        <w:t>PBS cost data from the Commonwealth government</w:t>
      </w:r>
      <w:r w:rsidR="00A123FF">
        <w:t xml:space="preserve"> (Services </w:t>
      </w:r>
      <w:proofErr w:type="spellStart"/>
      <w:r w:rsidR="00A123FF">
        <w:t>Austalia</w:t>
      </w:r>
      <w:proofErr w:type="spellEnd"/>
      <w:r w:rsidR="00A123FF">
        <w:t>)</w:t>
      </w:r>
      <w:r w:rsidR="007501B9">
        <w:t xml:space="preserve">. </w:t>
      </w:r>
      <w:r>
        <w:t xml:space="preserve">A comparison of the baseline characteristics </w:t>
      </w:r>
      <w:r w:rsidR="004E774B">
        <w:t xml:space="preserve">of </w:t>
      </w:r>
      <w:r>
        <w:t>the ITT study group and the 67% of participants who provided MBS</w:t>
      </w:r>
      <w:r w:rsidR="004E774B">
        <w:t xml:space="preserve"> and </w:t>
      </w:r>
      <w:r>
        <w:t xml:space="preserve">PBS data is </w:t>
      </w:r>
      <w:r w:rsidRPr="00CC5A20">
        <w:t>shown (Table</w:t>
      </w:r>
      <w:r w:rsidR="00C616AA" w:rsidRPr="00CC5A20">
        <w:t>s</w:t>
      </w:r>
      <w:r w:rsidRPr="00CC5A20">
        <w:t xml:space="preserve"> </w:t>
      </w:r>
      <w:r w:rsidR="00CC5A20" w:rsidRPr="00CC5A20">
        <w:t>C1 and C2</w:t>
      </w:r>
      <w:r w:rsidRPr="00CC5A20">
        <w:t>).</w:t>
      </w:r>
    </w:p>
    <w:p w14:paraId="71999AC5" w14:textId="3D30B0E0" w:rsidR="004E774B" w:rsidRPr="00D53955" w:rsidRDefault="004E774B" w:rsidP="007501B9">
      <w:r w:rsidRPr="00D53955">
        <w:t>The comparison of available demographics and baseline characteristics between each sub-group and the full trial set suggests that the sub-groups for whom costing data is available are representative of the study population overall</w:t>
      </w:r>
      <w:r w:rsidR="007501B9">
        <w:t xml:space="preserve">. </w:t>
      </w:r>
      <w:r w:rsidRPr="00D53955">
        <w:t>The sub-groups closely reflected their respective trial arms with respect to age, frailty score, M</w:t>
      </w:r>
      <w:r>
        <w:t>o</w:t>
      </w:r>
      <w:r w:rsidRPr="00D53955">
        <w:t>CA score, number of medicines, ACFI subsidy rate and self-rated health</w:t>
      </w:r>
      <w:r w:rsidR="007501B9">
        <w:t xml:space="preserve">. </w:t>
      </w:r>
      <w:r w:rsidRPr="00D53955">
        <w:t>There were some minor numerical differences with respect to gender and BMI, but these were not significant and not expected to affect the applicability of the economic analysis.</w:t>
      </w:r>
    </w:p>
    <w:tbl>
      <w:tblPr>
        <w:tblStyle w:val="ListTable3"/>
        <w:tblW w:w="5000" w:type="pct"/>
        <w:tblLayout w:type="fixed"/>
        <w:tblLook w:val="04A0" w:firstRow="1" w:lastRow="0" w:firstColumn="1" w:lastColumn="0" w:noHBand="0" w:noVBand="1"/>
        <w:tblCaption w:val="Comparison of demographics and baseline data for the ITT study population and the sub-groups with MBS administrative costing data."/>
        <w:tblDescription w:val="Comparison of demographics and baseline data for the ITT study population and the sub-groups with MBS administrative costing data."/>
      </w:tblPr>
      <w:tblGrid>
        <w:gridCol w:w="1271"/>
        <w:gridCol w:w="992"/>
        <w:gridCol w:w="994"/>
        <w:gridCol w:w="990"/>
        <w:gridCol w:w="994"/>
        <w:gridCol w:w="822"/>
        <w:gridCol w:w="985"/>
        <w:gridCol w:w="983"/>
        <w:gridCol w:w="985"/>
      </w:tblGrid>
      <w:tr w:rsidR="004E774B" w:rsidRPr="00976D0B" w14:paraId="197368CD" w14:textId="77777777" w:rsidTr="00976D0B">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705" w:type="pct"/>
          </w:tcPr>
          <w:p w14:paraId="618FE727" w14:textId="77777777" w:rsidR="00F466F2" w:rsidRPr="00976D0B" w:rsidRDefault="00F466F2" w:rsidP="00480188">
            <w:pPr>
              <w:pStyle w:val="TableHeader"/>
              <w:rPr>
                <w:rFonts w:ascii="Arial Narrow" w:hAnsi="Arial Narrow"/>
                <w:b/>
                <w:bCs w:val="0"/>
                <w:sz w:val="20"/>
                <w:szCs w:val="20"/>
              </w:rPr>
            </w:pPr>
            <w:r w:rsidRPr="00976D0B">
              <w:rPr>
                <w:rFonts w:ascii="Arial Narrow" w:hAnsi="Arial Narrow"/>
                <w:b/>
                <w:bCs w:val="0"/>
                <w:sz w:val="20"/>
                <w:szCs w:val="20"/>
              </w:rPr>
              <w:t>Descriptor</w:t>
            </w:r>
          </w:p>
        </w:tc>
        <w:tc>
          <w:tcPr>
            <w:tcW w:w="550" w:type="pct"/>
            <w:noWrap/>
          </w:tcPr>
          <w:p w14:paraId="68A39B0F" w14:textId="6A290498" w:rsidR="00F466F2" w:rsidRPr="00976D0B" w:rsidRDefault="00F466F2" w:rsidP="00480188">
            <w:pPr>
              <w:pStyle w:val="TableHeader"/>
              <w:cnfStyle w:val="100000000000" w:firstRow="1" w:lastRow="0" w:firstColumn="0" w:lastColumn="0" w:oddVBand="0" w:evenVBand="0" w:oddHBand="0" w:evenHBand="0" w:firstRowFirstColumn="0" w:firstRowLastColumn="0" w:lastRowFirstColumn="0" w:lastRowLastColumn="0"/>
              <w:rPr>
                <w:rFonts w:ascii="Arial Narrow" w:hAnsi="Arial Narrow"/>
                <w:b/>
                <w:bCs w:val="0"/>
                <w:sz w:val="20"/>
                <w:szCs w:val="20"/>
              </w:rPr>
            </w:pPr>
            <w:proofErr w:type="spellStart"/>
            <w:r w:rsidRPr="00976D0B">
              <w:rPr>
                <w:rFonts w:ascii="Arial Narrow" w:hAnsi="Arial Narrow"/>
                <w:b/>
                <w:bCs w:val="0"/>
                <w:sz w:val="20"/>
                <w:szCs w:val="20"/>
              </w:rPr>
              <w:t>Intervent</w:t>
            </w:r>
            <w:proofErr w:type="spellEnd"/>
            <w:r w:rsidR="004E774B" w:rsidRPr="00976D0B">
              <w:rPr>
                <w:rFonts w:ascii="Arial Narrow" w:hAnsi="Arial Narrow"/>
                <w:b/>
                <w:bCs w:val="0"/>
                <w:sz w:val="20"/>
                <w:szCs w:val="20"/>
              </w:rPr>
              <w:t>-</w:t>
            </w:r>
            <w:r w:rsidRPr="00976D0B">
              <w:rPr>
                <w:rFonts w:ascii="Arial Narrow" w:hAnsi="Arial Narrow"/>
                <w:b/>
                <w:bCs w:val="0"/>
                <w:sz w:val="20"/>
                <w:szCs w:val="20"/>
              </w:rPr>
              <w:t>ion, ITT trial arm (n=120)</w:t>
            </w:r>
          </w:p>
        </w:tc>
        <w:tc>
          <w:tcPr>
            <w:tcW w:w="551" w:type="pct"/>
          </w:tcPr>
          <w:p w14:paraId="67806AC2" w14:textId="6AE85627" w:rsidR="00F466F2" w:rsidRPr="00976D0B" w:rsidRDefault="00F466F2" w:rsidP="00480188">
            <w:pPr>
              <w:pStyle w:val="TableHeader"/>
              <w:cnfStyle w:val="100000000000" w:firstRow="1" w:lastRow="0" w:firstColumn="0" w:lastColumn="0" w:oddVBand="0" w:evenVBand="0" w:oddHBand="0" w:evenHBand="0" w:firstRowFirstColumn="0" w:firstRowLastColumn="0" w:lastRowFirstColumn="0" w:lastRowLastColumn="0"/>
              <w:rPr>
                <w:rFonts w:ascii="Arial Narrow" w:hAnsi="Arial Narrow"/>
                <w:b/>
                <w:bCs w:val="0"/>
                <w:sz w:val="20"/>
                <w:szCs w:val="20"/>
              </w:rPr>
            </w:pPr>
            <w:proofErr w:type="spellStart"/>
            <w:r w:rsidRPr="00976D0B">
              <w:rPr>
                <w:rFonts w:ascii="Arial Narrow" w:hAnsi="Arial Narrow"/>
                <w:b/>
                <w:bCs w:val="0"/>
                <w:sz w:val="20"/>
                <w:szCs w:val="20"/>
              </w:rPr>
              <w:t>Intervent</w:t>
            </w:r>
            <w:proofErr w:type="spellEnd"/>
            <w:r w:rsidR="004E774B" w:rsidRPr="00976D0B">
              <w:rPr>
                <w:rFonts w:ascii="Arial Narrow" w:hAnsi="Arial Narrow"/>
                <w:b/>
                <w:bCs w:val="0"/>
                <w:sz w:val="20"/>
                <w:szCs w:val="20"/>
              </w:rPr>
              <w:t>-</w:t>
            </w:r>
            <w:r w:rsidRPr="00976D0B">
              <w:rPr>
                <w:rFonts w:ascii="Arial Narrow" w:hAnsi="Arial Narrow"/>
                <w:b/>
                <w:bCs w:val="0"/>
                <w:sz w:val="20"/>
                <w:szCs w:val="20"/>
              </w:rPr>
              <w:t>ion, ITT trial arm, Proport</w:t>
            </w:r>
            <w:r w:rsidR="004E774B" w:rsidRPr="00976D0B">
              <w:rPr>
                <w:rFonts w:ascii="Arial Narrow" w:hAnsi="Arial Narrow"/>
                <w:b/>
                <w:bCs w:val="0"/>
                <w:sz w:val="20"/>
                <w:szCs w:val="20"/>
              </w:rPr>
              <w:t>-</w:t>
            </w:r>
            <w:r w:rsidRPr="00976D0B">
              <w:rPr>
                <w:rFonts w:ascii="Arial Narrow" w:hAnsi="Arial Narrow"/>
                <w:b/>
                <w:bCs w:val="0"/>
                <w:sz w:val="20"/>
                <w:szCs w:val="20"/>
              </w:rPr>
              <w:t>ion (%) or Variation [IQR]</w:t>
            </w:r>
          </w:p>
        </w:tc>
        <w:tc>
          <w:tcPr>
            <w:tcW w:w="549" w:type="pct"/>
          </w:tcPr>
          <w:p w14:paraId="448C8C49" w14:textId="6AA9A53F" w:rsidR="00F466F2" w:rsidRPr="00976D0B" w:rsidRDefault="00F466F2" w:rsidP="00480188">
            <w:pPr>
              <w:pStyle w:val="TableHeader"/>
              <w:cnfStyle w:val="100000000000" w:firstRow="1" w:lastRow="0" w:firstColumn="0" w:lastColumn="0" w:oddVBand="0" w:evenVBand="0" w:oddHBand="0" w:evenHBand="0" w:firstRowFirstColumn="0" w:firstRowLastColumn="0" w:lastRowFirstColumn="0" w:lastRowLastColumn="0"/>
              <w:rPr>
                <w:rFonts w:ascii="Arial Narrow" w:hAnsi="Arial Narrow"/>
                <w:b/>
                <w:bCs w:val="0"/>
                <w:sz w:val="20"/>
                <w:szCs w:val="20"/>
              </w:rPr>
            </w:pPr>
            <w:proofErr w:type="spellStart"/>
            <w:r w:rsidRPr="00976D0B">
              <w:rPr>
                <w:rFonts w:ascii="Arial Narrow" w:hAnsi="Arial Narrow"/>
                <w:b/>
                <w:bCs w:val="0"/>
                <w:sz w:val="20"/>
                <w:szCs w:val="20"/>
              </w:rPr>
              <w:t>Intervent</w:t>
            </w:r>
            <w:proofErr w:type="spellEnd"/>
            <w:r w:rsidR="004E774B" w:rsidRPr="00976D0B">
              <w:rPr>
                <w:rFonts w:ascii="Arial Narrow" w:hAnsi="Arial Narrow"/>
                <w:b/>
                <w:bCs w:val="0"/>
                <w:sz w:val="20"/>
                <w:szCs w:val="20"/>
              </w:rPr>
              <w:t>-</w:t>
            </w:r>
            <w:r w:rsidRPr="00976D0B">
              <w:rPr>
                <w:rFonts w:ascii="Arial Narrow" w:hAnsi="Arial Narrow"/>
                <w:b/>
                <w:bCs w:val="0"/>
                <w:sz w:val="20"/>
                <w:szCs w:val="20"/>
              </w:rPr>
              <w:t>ion, MBS costs sub-dataset (n=80)</w:t>
            </w:r>
          </w:p>
        </w:tc>
        <w:tc>
          <w:tcPr>
            <w:tcW w:w="551" w:type="pct"/>
          </w:tcPr>
          <w:p w14:paraId="5EEEB75E" w14:textId="2F4A7EDE" w:rsidR="00F466F2" w:rsidRPr="00976D0B" w:rsidRDefault="00F466F2" w:rsidP="00480188">
            <w:pPr>
              <w:pStyle w:val="TableHeader"/>
              <w:cnfStyle w:val="100000000000" w:firstRow="1" w:lastRow="0" w:firstColumn="0" w:lastColumn="0" w:oddVBand="0" w:evenVBand="0" w:oddHBand="0" w:evenHBand="0" w:firstRowFirstColumn="0" w:firstRowLastColumn="0" w:lastRowFirstColumn="0" w:lastRowLastColumn="0"/>
              <w:rPr>
                <w:rFonts w:ascii="Arial Narrow" w:hAnsi="Arial Narrow"/>
                <w:b/>
                <w:bCs w:val="0"/>
                <w:sz w:val="20"/>
                <w:szCs w:val="20"/>
              </w:rPr>
            </w:pPr>
            <w:proofErr w:type="spellStart"/>
            <w:r w:rsidRPr="00976D0B">
              <w:rPr>
                <w:rFonts w:ascii="Arial Narrow" w:hAnsi="Arial Narrow"/>
                <w:b/>
                <w:bCs w:val="0"/>
                <w:sz w:val="20"/>
                <w:szCs w:val="20"/>
              </w:rPr>
              <w:t>Intervent</w:t>
            </w:r>
            <w:proofErr w:type="spellEnd"/>
            <w:r w:rsidR="004E774B" w:rsidRPr="00976D0B">
              <w:rPr>
                <w:rFonts w:ascii="Arial Narrow" w:hAnsi="Arial Narrow"/>
                <w:b/>
                <w:bCs w:val="0"/>
                <w:sz w:val="20"/>
                <w:szCs w:val="20"/>
              </w:rPr>
              <w:t>-</w:t>
            </w:r>
            <w:r w:rsidRPr="00976D0B">
              <w:rPr>
                <w:rFonts w:ascii="Arial Narrow" w:hAnsi="Arial Narrow"/>
                <w:b/>
                <w:bCs w:val="0"/>
                <w:sz w:val="20"/>
                <w:szCs w:val="20"/>
              </w:rPr>
              <w:t>ion, MBS costs sub-dataset</w:t>
            </w:r>
          </w:p>
          <w:p w14:paraId="06FD6BBE" w14:textId="610A6B05" w:rsidR="00F466F2" w:rsidRPr="00976D0B" w:rsidRDefault="00F466F2" w:rsidP="00480188">
            <w:pPr>
              <w:pStyle w:val="TableHeader"/>
              <w:cnfStyle w:val="100000000000" w:firstRow="1" w:lastRow="0" w:firstColumn="0" w:lastColumn="0" w:oddVBand="0" w:evenVBand="0" w:oddHBand="0" w:evenHBand="0" w:firstRowFirstColumn="0" w:firstRowLastColumn="0" w:lastRowFirstColumn="0" w:lastRowLastColumn="0"/>
              <w:rPr>
                <w:rFonts w:ascii="Arial Narrow" w:hAnsi="Arial Narrow"/>
                <w:b/>
                <w:bCs w:val="0"/>
                <w:sz w:val="20"/>
                <w:szCs w:val="20"/>
              </w:rPr>
            </w:pPr>
            <w:r w:rsidRPr="00976D0B">
              <w:rPr>
                <w:rFonts w:ascii="Arial Narrow" w:hAnsi="Arial Narrow"/>
                <w:b/>
                <w:bCs w:val="0"/>
                <w:sz w:val="20"/>
                <w:szCs w:val="20"/>
              </w:rPr>
              <w:t>Proport</w:t>
            </w:r>
            <w:r w:rsidR="004E774B" w:rsidRPr="00976D0B">
              <w:rPr>
                <w:rFonts w:ascii="Arial Narrow" w:hAnsi="Arial Narrow"/>
                <w:b/>
                <w:bCs w:val="0"/>
                <w:sz w:val="20"/>
                <w:szCs w:val="20"/>
              </w:rPr>
              <w:t>-</w:t>
            </w:r>
            <w:r w:rsidRPr="00976D0B">
              <w:rPr>
                <w:rFonts w:ascii="Arial Narrow" w:hAnsi="Arial Narrow"/>
                <w:b/>
                <w:bCs w:val="0"/>
                <w:sz w:val="20"/>
                <w:szCs w:val="20"/>
              </w:rPr>
              <w:t>ion (%) or Variation [IQR]</w:t>
            </w:r>
          </w:p>
        </w:tc>
        <w:tc>
          <w:tcPr>
            <w:tcW w:w="456" w:type="pct"/>
            <w:noWrap/>
          </w:tcPr>
          <w:p w14:paraId="431AFC4A" w14:textId="77777777" w:rsidR="00F466F2" w:rsidRPr="00976D0B" w:rsidRDefault="00F466F2" w:rsidP="00480188">
            <w:pPr>
              <w:pStyle w:val="TableHeader"/>
              <w:cnfStyle w:val="100000000000" w:firstRow="1" w:lastRow="0" w:firstColumn="0" w:lastColumn="0" w:oddVBand="0" w:evenVBand="0" w:oddHBand="0" w:evenHBand="0" w:firstRowFirstColumn="0" w:firstRowLastColumn="0" w:lastRowFirstColumn="0" w:lastRowLastColumn="0"/>
              <w:rPr>
                <w:rFonts w:ascii="Arial Narrow" w:hAnsi="Arial Narrow"/>
                <w:b/>
                <w:bCs w:val="0"/>
                <w:sz w:val="20"/>
                <w:szCs w:val="20"/>
              </w:rPr>
            </w:pPr>
            <w:r w:rsidRPr="00976D0B">
              <w:rPr>
                <w:rFonts w:ascii="Arial Narrow" w:hAnsi="Arial Narrow"/>
                <w:b/>
                <w:bCs w:val="0"/>
                <w:sz w:val="20"/>
                <w:szCs w:val="20"/>
              </w:rPr>
              <w:t>Control, ITT trial arm (n=128)</w:t>
            </w:r>
          </w:p>
        </w:tc>
        <w:tc>
          <w:tcPr>
            <w:tcW w:w="546" w:type="pct"/>
          </w:tcPr>
          <w:p w14:paraId="7D4D796C" w14:textId="77777777" w:rsidR="00F466F2" w:rsidRPr="00976D0B" w:rsidRDefault="00F466F2" w:rsidP="00480188">
            <w:pPr>
              <w:pStyle w:val="TableHeader"/>
              <w:cnfStyle w:val="100000000000" w:firstRow="1" w:lastRow="0" w:firstColumn="0" w:lastColumn="0" w:oddVBand="0" w:evenVBand="0" w:oddHBand="0" w:evenHBand="0" w:firstRowFirstColumn="0" w:firstRowLastColumn="0" w:lastRowFirstColumn="0" w:lastRowLastColumn="0"/>
              <w:rPr>
                <w:rFonts w:ascii="Arial Narrow" w:hAnsi="Arial Narrow"/>
                <w:b/>
                <w:bCs w:val="0"/>
                <w:sz w:val="20"/>
                <w:szCs w:val="20"/>
              </w:rPr>
            </w:pPr>
            <w:r w:rsidRPr="00976D0B">
              <w:rPr>
                <w:rFonts w:ascii="Arial Narrow" w:hAnsi="Arial Narrow"/>
                <w:b/>
                <w:bCs w:val="0"/>
                <w:sz w:val="20"/>
                <w:szCs w:val="20"/>
              </w:rPr>
              <w:t>Control, ITT trial arm</w:t>
            </w:r>
          </w:p>
          <w:p w14:paraId="20381C92" w14:textId="77777777" w:rsidR="00F466F2" w:rsidRPr="00976D0B" w:rsidRDefault="00F466F2" w:rsidP="00480188">
            <w:pPr>
              <w:pStyle w:val="TableHeader"/>
              <w:cnfStyle w:val="100000000000" w:firstRow="1" w:lastRow="0" w:firstColumn="0" w:lastColumn="0" w:oddVBand="0" w:evenVBand="0" w:oddHBand="0" w:evenHBand="0" w:firstRowFirstColumn="0" w:firstRowLastColumn="0" w:lastRowFirstColumn="0" w:lastRowLastColumn="0"/>
              <w:rPr>
                <w:rFonts w:ascii="Arial Narrow" w:hAnsi="Arial Narrow"/>
                <w:b/>
                <w:bCs w:val="0"/>
                <w:sz w:val="20"/>
                <w:szCs w:val="20"/>
              </w:rPr>
            </w:pPr>
            <w:r w:rsidRPr="00976D0B">
              <w:rPr>
                <w:rFonts w:ascii="Arial Narrow" w:hAnsi="Arial Narrow"/>
                <w:b/>
                <w:bCs w:val="0"/>
                <w:sz w:val="20"/>
                <w:szCs w:val="20"/>
              </w:rPr>
              <w:t>Proportion (%) or Variation [IQR]</w:t>
            </w:r>
          </w:p>
        </w:tc>
        <w:tc>
          <w:tcPr>
            <w:tcW w:w="545" w:type="pct"/>
          </w:tcPr>
          <w:p w14:paraId="23ACDC17" w14:textId="77777777" w:rsidR="00F466F2" w:rsidRPr="00976D0B" w:rsidRDefault="00F466F2" w:rsidP="00480188">
            <w:pPr>
              <w:pStyle w:val="TableHeader"/>
              <w:cnfStyle w:val="100000000000" w:firstRow="1" w:lastRow="0" w:firstColumn="0" w:lastColumn="0" w:oddVBand="0" w:evenVBand="0" w:oddHBand="0" w:evenHBand="0" w:firstRowFirstColumn="0" w:firstRowLastColumn="0" w:lastRowFirstColumn="0" w:lastRowLastColumn="0"/>
              <w:rPr>
                <w:rFonts w:ascii="Arial Narrow" w:hAnsi="Arial Narrow"/>
                <w:b/>
                <w:bCs w:val="0"/>
                <w:sz w:val="20"/>
                <w:szCs w:val="20"/>
              </w:rPr>
            </w:pPr>
            <w:r w:rsidRPr="00976D0B">
              <w:rPr>
                <w:rFonts w:ascii="Arial Narrow" w:hAnsi="Arial Narrow"/>
                <w:b/>
                <w:bCs w:val="0"/>
                <w:sz w:val="20"/>
                <w:szCs w:val="20"/>
              </w:rPr>
              <w:t>Control, MBS costs sub-dataset (n=88)</w:t>
            </w:r>
          </w:p>
        </w:tc>
        <w:tc>
          <w:tcPr>
            <w:tcW w:w="546" w:type="pct"/>
          </w:tcPr>
          <w:p w14:paraId="39842A09" w14:textId="77777777" w:rsidR="00F466F2" w:rsidRPr="00976D0B" w:rsidRDefault="00F466F2" w:rsidP="00480188">
            <w:pPr>
              <w:pStyle w:val="TableHeader"/>
              <w:cnfStyle w:val="100000000000" w:firstRow="1" w:lastRow="0" w:firstColumn="0" w:lastColumn="0" w:oddVBand="0" w:evenVBand="0" w:oddHBand="0" w:evenHBand="0" w:firstRowFirstColumn="0" w:firstRowLastColumn="0" w:lastRowFirstColumn="0" w:lastRowLastColumn="0"/>
              <w:rPr>
                <w:rFonts w:ascii="Arial Narrow" w:hAnsi="Arial Narrow"/>
                <w:b/>
                <w:bCs w:val="0"/>
                <w:sz w:val="20"/>
                <w:szCs w:val="20"/>
              </w:rPr>
            </w:pPr>
            <w:r w:rsidRPr="00976D0B">
              <w:rPr>
                <w:rFonts w:ascii="Arial Narrow" w:hAnsi="Arial Narrow"/>
                <w:b/>
                <w:bCs w:val="0"/>
                <w:sz w:val="20"/>
                <w:szCs w:val="20"/>
              </w:rPr>
              <w:t>Control, MBS costs sub-dataset</w:t>
            </w:r>
          </w:p>
          <w:p w14:paraId="1E4D6048" w14:textId="1AFB0061" w:rsidR="00F466F2" w:rsidRPr="00976D0B" w:rsidRDefault="00F466F2" w:rsidP="00480188">
            <w:pPr>
              <w:pStyle w:val="TableHeader"/>
              <w:cnfStyle w:val="100000000000" w:firstRow="1" w:lastRow="0" w:firstColumn="0" w:lastColumn="0" w:oddVBand="0" w:evenVBand="0" w:oddHBand="0" w:evenHBand="0" w:firstRowFirstColumn="0" w:firstRowLastColumn="0" w:lastRowFirstColumn="0" w:lastRowLastColumn="0"/>
              <w:rPr>
                <w:rFonts w:ascii="Arial Narrow" w:hAnsi="Arial Narrow"/>
                <w:b/>
                <w:bCs w:val="0"/>
                <w:sz w:val="20"/>
                <w:szCs w:val="20"/>
              </w:rPr>
            </w:pPr>
            <w:r w:rsidRPr="00976D0B">
              <w:rPr>
                <w:rFonts w:ascii="Arial Narrow" w:hAnsi="Arial Narrow"/>
                <w:b/>
                <w:bCs w:val="0"/>
                <w:sz w:val="20"/>
                <w:szCs w:val="20"/>
              </w:rPr>
              <w:t>Proport</w:t>
            </w:r>
            <w:r w:rsidR="004E774B" w:rsidRPr="00976D0B">
              <w:rPr>
                <w:rFonts w:ascii="Arial Narrow" w:hAnsi="Arial Narrow"/>
                <w:b/>
                <w:bCs w:val="0"/>
                <w:sz w:val="20"/>
                <w:szCs w:val="20"/>
              </w:rPr>
              <w:t>-</w:t>
            </w:r>
            <w:r w:rsidRPr="00976D0B">
              <w:rPr>
                <w:rFonts w:ascii="Arial Narrow" w:hAnsi="Arial Narrow"/>
                <w:b/>
                <w:bCs w:val="0"/>
                <w:sz w:val="20"/>
                <w:szCs w:val="20"/>
              </w:rPr>
              <w:t>ion (%) or Variation [IQR]</w:t>
            </w:r>
          </w:p>
        </w:tc>
      </w:tr>
      <w:tr w:rsidR="004E774B" w:rsidRPr="00976D0B" w14:paraId="1C07A00C" w14:textId="77777777" w:rsidTr="00976D0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5" w:type="pct"/>
            <w:hideMark/>
          </w:tcPr>
          <w:p w14:paraId="7B882E40" w14:textId="77777777" w:rsidR="00F466F2" w:rsidRPr="00976D0B" w:rsidRDefault="00F466F2" w:rsidP="00976D0B">
            <w:pPr>
              <w:pStyle w:val="Tabletext1"/>
              <w:rPr>
                <w:rFonts w:ascii="Arial Narrow" w:hAnsi="Arial Narrow"/>
                <w:b w:val="0"/>
                <w:bCs w:val="0"/>
                <w:szCs w:val="20"/>
              </w:rPr>
            </w:pPr>
            <w:r w:rsidRPr="00976D0B">
              <w:rPr>
                <w:rFonts w:ascii="Arial Narrow" w:hAnsi="Arial Narrow"/>
                <w:b w:val="0"/>
                <w:bCs w:val="0"/>
                <w:szCs w:val="20"/>
              </w:rPr>
              <w:t>Age (years) at Baseline, (median [IQR])</w:t>
            </w:r>
          </w:p>
        </w:tc>
        <w:tc>
          <w:tcPr>
            <w:tcW w:w="550" w:type="pct"/>
            <w:noWrap/>
            <w:hideMark/>
          </w:tcPr>
          <w:p w14:paraId="32634CC7" w14:textId="77777777" w:rsidR="00F466F2" w:rsidRPr="00976D0B" w:rsidRDefault="00F466F2" w:rsidP="00480188">
            <w:pPr>
              <w:pStyle w:val="Tabletext1"/>
              <w:jc w:val="cente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76D0B">
              <w:rPr>
                <w:rFonts w:ascii="Arial Narrow" w:hAnsi="Arial Narrow"/>
                <w:szCs w:val="20"/>
              </w:rPr>
              <w:t>87 years</w:t>
            </w:r>
          </w:p>
        </w:tc>
        <w:tc>
          <w:tcPr>
            <w:tcW w:w="551" w:type="pct"/>
          </w:tcPr>
          <w:p w14:paraId="26854E21" w14:textId="7460E789" w:rsidR="00F466F2" w:rsidRPr="00976D0B" w:rsidRDefault="00F466F2" w:rsidP="00480188">
            <w:pPr>
              <w:pStyle w:val="Tabletext1"/>
              <w:jc w:val="cente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76D0B">
              <w:rPr>
                <w:rFonts w:ascii="Arial Narrow" w:hAnsi="Arial Narrow"/>
                <w:szCs w:val="20"/>
              </w:rPr>
              <w:t>[81.75, 90.00]</w:t>
            </w:r>
          </w:p>
        </w:tc>
        <w:tc>
          <w:tcPr>
            <w:tcW w:w="549" w:type="pct"/>
          </w:tcPr>
          <w:p w14:paraId="631307AD" w14:textId="77777777" w:rsidR="00F466F2" w:rsidRPr="00976D0B" w:rsidRDefault="00F466F2" w:rsidP="00480188">
            <w:pPr>
              <w:pStyle w:val="Tabletext1"/>
              <w:jc w:val="cente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76D0B">
              <w:rPr>
                <w:rFonts w:ascii="Arial Narrow" w:hAnsi="Arial Narrow"/>
                <w:szCs w:val="20"/>
              </w:rPr>
              <w:t>88 years</w:t>
            </w:r>
          </w:p>
        </w:tc>
        <w:tc>
          <w:tcPr>
            <w:tcW w:w="551" w:type="pct"/>
          </w:tcPr>
          <w:p w14:paraId="6C1A60D2" w14:textId="77777777" w:rsidR="00F466F2" w:rsidRPr="00976D0B" w:rsidRDefault="00F466F2" w:rsidP="00480188">
            <w:pPr>
              <w:pStyle w:val="Tabletext1"/>
              <w:jc w:val="cente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76D0B">
              <w:rPr>
                <w:rFonts w:ascii="Arial Narrow" w:hAnsi="Arial Narrow"/>
                <w:szCs w:val="20"/>
              </w:rPr>
              <w:t>[81.74, 90.46]</w:t>
            </w:r>
          </w:p>
        </w:tc>
        <w:tc>
          <w:tcPr>
            <w:tcW w:w="456" w:type="pct"/>
            <w:noWrap/>
            <w:hideMark/>
          </w:tcPr>
          <w:p w14:paraId="4B01447C" w14:textId="77777777" w:rsidR="00F466F2" w:rsidRPr="00976D0B" w:rsidRDefault="00F466F2" w:rsidP="00480188">
            <w:pPr>
              <w:pStyle w:val="Tabletext1"/>
              <w:jc w:val="cente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76D0B">
              <w:rPr>
                <w:rFonts w:ascii="Arial Narrow" w:hAnsi="Arial Narrow"/>
                <w:szCs w:val="20"/>
              </w:rPr>
              <w:t>87 years</w:t>
            </w:r>
          </w:p>
        </w:tc>
        <w:tc>
          <w:tcPr>
            <w:tcW w:w="546" w:type="pct"/>
          </w:tcPr>
          <w:p w14:paraId="0AAD2DFB" w14:textId="77777777" w:rsidR="00F466F2" w:rsidRPr="00976D0B" w:rsidRDefault="00F466F2" w:rsidP="00480188">
            <w:pPr>
              <w:pStyle w:val="Tabletext1"/>
              <w:jc w:val="cente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76D0B">
              <w:rPr>
                <w:rFonts w:ascii="Arial Narrow" w:hAnsi="Arial Narrow"/>
                <w:szCs w:val="20"/>
              </w:rPr>
              <w:t>[81.75, 90.00]</w:t>
            </w:r>
          </w:p>
        </w:tc>
        <w:tc>
          <w:tcPr>
            <w:tcW w:w="545" w:type="pct"/>
          </w:tcPr>
          <w:p w14:paraId="30C99CFF" w14:textId="77777777" w:rsidR="00F466F2" w:rsidRPr="00976D0B" w:rsidRDefault="00F466F2" w:rsidP="00480188">
            <w:pPr>
              <w:pStyle w:val="Tabletext1"/>
              <w:jc w:val="cente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76D0B">
              <w:rPr>
                <w:rFonts w:ascii="Arial Narrow" w:hAnsi="Arial Narrow"/>
                <w:szCs w:val="20"/>
              </w:rPr>
              <w:t>87 years</w:t>
            </w:r>
          </w:p>
        </w:tc>
        <w:tc>
          <w:tcPr>
            <w:tcW w:w="546" w:type="pct"/>
          </w:tcPr>
          <w:p w14:paraId="4198BFEC" w14:textId="77777777" w:rsidR="00F466F2" w:rsidRPr="00976D0B" w:rsidRDefault="00F466F2" w:rsidP="00480188">
            <w:pPr>
              <w:pStyle w:val="Tabletext1"/>
              <w:jc w:val="cente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76D0B">
              <w:rPr>
                <w:rFonts w:ascii="Arial Narrow" w:hAnsi="Arial Narrow"/>
                <w:szCs w:val="20"/>
              </w:rPr>
              <w:t>[80, 90]</w:t>
            </w:r>
          </w:p>
        </w:tc>
      </w:tr>
      <w:tr w:rsidR="004E774B" w:rsidRPr="00976D0B" w14:paraId="3386F56D" w14:textId="77777777" w:rsidTr="00976D0B">
        <w:trPr>
          <w:trHeight w:val="300"/>
        </w:trPr>
        <w:tc>
          <w:tcPr>
            <w:cnfStyle w:val="001000000000" w:firstRow="0" w:lastRow="0" w:firstColumn="1" w:lastColumn="0" w:oddVBand="0" w:evenVBand="0" w:oddHBand="0" w:evenHBand="0" w:firstRowFirstColumn="0" w:firstRowLastColumn="0" w:lastRowFirstColumn="0" w:lastRowLastColumn="0"/>
            <w:tcW w:w="705" w:type="pct"/>
            <w:hideMark/>
          </w:tcPr>
          <w:p w14:paraId="6B93A1A2" w14:textId="77777777" w:rsidR="00F466F2" w:rsidRPr="00976D0B" w:rsidRDefault="00F466F2" w:rsidP="00976D0B">
            <w:pPr>
              <w:pStyle w:val="Tabletext1"/>
              <w:rPr>
                <w:rFonts w:ascii="Arial Narrow" w:hAnsi="Arial Narrow"/>
                <w:b w:val="0"/>
                <w:bCs w:val="0"/>
                <w:szCs w:val="20"/>
              </w:rPr>
            </w:pPr>
            <w:r w:rsidRPr="00976D0B">
              <w:rPr>
                <w:rFonts w:ascii="Arial Narrow" w:hAnsi="Arial Narrow"/>
                <w:b w:val="0"/>
                <w:bCs w:val="0"/>
                <w:szCs w:val="20"/>
              </w:rPr>
              <w:t>Gender = Male, n (%)</w:t>
            </w:r>
          </w:p>
        </w:tc>
        <w:tc>
          <w:tcPr>
            <w:tcW w:w="550" w:type="pct"/>
            <w:noWrap/>
            <w:hideMark/>
          </w:tcPr>
          <w:p w14:paraId="19ACA350" w14:textId="77777777" w:rsidR="00F466F2" w:rsidRPr="00976D0B" w:rsidRDefault="00F466F2" w:rsidP="00480188">
            <w:pPr>
              <w:pStyle w:val="Tabletext1"/>
              <w:jc w:val="center"/>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976D0B">
              <w:rPr>
                <w:rFonts w:ascii="Arial Narrow" w:hAnsi="Arial Narrow"/>
                <w:szCs w:val="20"/>
              </w:rPr>
              <w:t>41</w:t>
            </w:r>
          </w:p>
        </w:tc>
        <w:tc>
          <w:tcPr>
            <w:tcW w:w="551" w:type="pct"/>
          </w:tcPr>
          <w:p w14:paraId="0F01F76D" w14:textId="77777777" w:rsidR="00F466F2" w:rsidRPr="00976D0B" w:rsidRDefault="00F466F2" w:rsidP="00480188">
            <w:pPr>
              <w:pStyle w:val="Tabletext1"/>
              <w:jc w:val="center"/>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976D0B">
              <w:rPr>
                <w:rFonts w:ascii="Arial Narrow" w:hAnsi="Arial Narrow"/>
                <w:szCs w:val="20"/>
              </w:rPr>
              <w:t>34.2%</w:t>
            </w:r>
          </w:p>
        </w:tc>
        <w:tc>
          <w:tcPr>
            <w:tcW w:w="549" w:type="pct"/>
          </w:tcPr>
          <w:p w14:paraId="597DCF63" w14:textId="77777777" w:rsidR="00F466F2" w:rsidRPr="00976D0B" w:rsidRDefault="00F466F2" w:rsidP="00480188">
            <w:pPr>
              <w:pStyle w:val="Tabletext1"/>
              <w:jc w:val="center"/>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976D0B">
              <w:rPr>
                <w:rFonts w:ascii="Arial Narrow" w:hAnsi="Arial Narrow"/>
                <w:szCs w:val="20"/>
              </w:rPr>
              <w:t>24</w:t>
            </w:r>
          </w:p>
        </w:tc>
        <w:tc>
          <w:tcPr>
            <w:tcW w:w="551" w:type="pct"/>
          </w:tcPr>
          <w:p w14:paraId="4A89EB0C" w14:textId="77777777" w:rsidR="00F466F2" w:rsidRPr="00976D0B" w:rsidRDefault="00F466F2" w:rsidP="00480188">
            <w:pPr>
              <w:pStyle w:val="Tabletext1"/>
              <w:jc w:val="center"/>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976D0B">
              <w:rPr>
                <w:rFonts w:ascii="Arial Narrow" w:hAnsi="Arial Narrow"/>
                <w:szCs w:val="20"/>
              </w:rPr>
              <w:t>30%</w:t>
            </w:r>
          </w:p>
        </w:tc>
        <w:tc>
          <w:tcPr>
            <w:tcW w:w="456" w:type="pct"/>
            <w:noWrap/>
            <w:hideMark/>
          </w:tcPr>
          <w:p w14:paraId="280AFC49" w14:textId="77777777" w:rsidR="00F466F2" w:rsidRPr="00976D0B" w:rsidRDefault="00F466F2" w:rsidP="00480188">
            <w:pPr>
              <w:pStyle w:val="Tabletext1"/>
              <w:jc w:val="center"/>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976D0B">
              <w:rPr>
                <w:rFonts w:ascii="Arial Narrow" w:hAnsi="Arial Narrow"/>
                <w:szCs w:val="20"/>
              </w:rPr>
              <w:t>39</w:t>
            </w:r>
          </w:p>
        </w:tc>
        <w:tc>
          <w:tcPr>
            <w:tcW w:w="546" w:type="pct"/>
          </w:tcPr>
          <w:p w14:paraId="487D3697" w14:textId="77777777" w:rsidR="00F466F2" w:rsidRPr="00976D0B" w:rsidRDefault="00F466F2" w:rsidP="00480188">
            <w:pPr>
              <w:pStyle w:val="Tabletext1"/>
              <w:jc w:val="center"/>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976D0B">
              <w:rPr>
                <w:rFonts w:ascii="Arial Narrow" w:hAnsi="Arial Narrow"/>
                <w:szCs w:val="20"/>
              </w:rPr>
              <w:t>30.5%</w:t>
            </w:r>
          </w:p>
        </w:tc>
        <w:tc>
          <w:tcPr>
            <w:tcW w:w="545" w:type="pct"/>
          </w:tcPr>
          <w:p w14:paraId="06A40FEF" w14:textId="77777777" w:rsidR="00F466F2" w:rsidRPr="00976D0B" w:rsidRDefault="00F466F2" w:rsidP="00480188">
            <w:pPr>
              <w:pStyle w:val="Tabletext1"/>
              <w:jc w:val="center"/>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976D0B">
              <w:rPr>
                <w:rFonts w:ascii="Arial Narrow" w:hAnsi="Arial Narrow"/>
                <w:szCs w:val="20"/>
              </w:rPr>
              <w:t>26</w:t>
            </w:r>
          </w:p>
        </w:tc>
        <w:tc>
          <w:tcPr>
            <w:tcW w:w="546" w:type="pct"/>
          </w:tcPr>
          <w:p w14:paraId="5F03E577" w14:textId="77777777" w:rsidR="00F466F2" w:rsidRPr="00976D0B" w:rsidRDefault="00F466F2" w:rsidP="00480188">
            <w:pPr>
              <w:pStyle w:val="Tabletext1"/>
              <w:jc w:val="center"/>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976D0B">
              <w:rPr>
                <w:rFonts w:ascii="Arial Narrow" w:hAnsi="Arial Narrow"/>
                <w:szCs w:val="20"/>
              </w:rPr>
              <w:t>30%</w:t>
            </w:r>
          </w:p>
        </w:tc>
      </w:tr>
      <w:tr w:rsidR="004E774B" w:rsidRPr="00976D0B" w14:paraId="12805EF9" w14:textId="77777777" w:rsidTr="00976D0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5" w:type="pct"/>
            <w:hideMark/>
          </w:tcPr>
          <w:p w14:paraId="5B821F5A" w14:textId="77777777" w:rsidR="00F466F2" w:rsidRPr="00976D0B" w:rsidRDefault="00F466F2" w:rsidP="00976D0B">
            <w:pPr>
              <w:pStyle w:val="Tabletext1"/>
              <w:rPr>
                <w:rFonts w:ascii="Arial Narrow" w:hAnsi="Arial Narrow"/>
                <w:b w:val="0"/>
                <w:bCs w:val="0"/>
                <w:szCs w:val="20"/>
              </w:rPr>
            </w:pPr>
            <w:r w:rsidRPr="00976D0B">
              <w:rPr>
                <w:rFonts w:ascii="Arial Narrow" w:hAnsi="Arial Narrow"/>
                <w:b w:val="0"/>
                <w:bCs w:val="0"/>
                <w:szCs w:val="20"/>
              </w:rPr>
              <w:t>BMI, (median [IQR])</w:t>
            </w:r>
          </w:p>
        </w:tc>
        <w:tc>
          <w:tcPr>
            <w:tcW w:w="550" w:type="pct"/>
            <w:noWrap/>
            <w:hideMark/>
          </w:tcPr>
          <w:p w14:paraId="29F9A7D9" w14:textId="77777777" w:rsidR="00F466F2" w:rsidRPr="00976D0B" w:rsidRDefault="00F466F2" w:rsidP="00480188">
            <w:pPr>
              <w:pStyle w:val="Tabletext1"/>
              <w:jc w:val="cente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76D0B">
              <w:rPr>
                <w:rFonts w:ascii="Arial Narrow" w:hAnsi="Arial Narrow"/>
                <w:szCs w:val="20"/>
              </w:rPr>
              <w:t>27.02</w:t>
            </w:r>
          </w:p>
        </w:tc>
        <w:tc>
          <w:tcPr>
            <w:tcW w:w="551" w:type="pct"/>
          </w:tcPr>
          <w:p w14:paraId="69A8F5BD" w14:textId="77777777" w:rsidR="00F466F2" w:rsidRPr="00976D0B" w:rsidRDefault="00F466F2" w:rsidP="00480188">
            <w:pPr>
              <w:pStyle w:val="Tabletext1"/>
              <w:jc w:val="cente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76D0B">
              <w:rPr>
                <w:rFonts w:ascii="Arial Narrow" w:hAnsi="Arial Narrow"/>
                <w:szCs w:val="20"/>
              </w:rPr>
              <w:t>[24.65, 30.85]</w:t>
            </w:r>
          </w:p>
        </w:tc>
        <w:tc>
          <w:tcPr>
            <w:tcW w:w="549" w:type="pct"/>
          </w:tcPr>
          <w:p w14:paraId="11E83F8F" w14:textId="77777777" w:rsidR="00F466F2" w:rsidRPr="00976D0B" w:rsidRDefault="00F466F2" w:rsidP="00480188">
            <w:pPr>
              <w:pStyle w:val="Tabletext1"/>
              <w:jc w:val="cente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76D0B">
              <w:rPr>
                <w:rFonts w:ascii="Arial Narrow" w:hAnsi="Arial Narrow"/>
                <w:szCs w:val="20"/>
              </w:rPr>
              <w:t>26.23</w:t>
            </w:r>
          </w:p>
        </w:tc>
        <w:tc>
          <w:tcPr>
            <w:tcW w:w="551" w:type="pct"/>
          </w:tcPr>
          <w:p w14:paraId="15DB1A02" w14:textId="77777777" w:rsidR="00F466F2" w:rsidRPr="00976D0B" w:rsidRDefault="00F466F2" w:rsidP="00480188">
            <w:pPr>
              <w:pStyle w:val="Tabletext1"/>
              <w:jc w:val="cente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76D0B">
              <w:rPr>
                <w:rFonts w:ascii="Arial Narrow" w:hAnsi="Arial Narrow"/>
                <w:szCs w:val="20"/>
              </w:rPr>
              <w:t xml:space="preserve">[24.61, </w:t>
            </w:r>
            <w:proofErr w:type="gramStart"/>
            <w:r w:rsidRPr="00976D0B">
              <w:rPr>
                <w:rFonts w:ascii="Arial Narrow" w:hAnsi="Arial Narrow"/>
                <w:szCs w:val="20"/>
              </w:rPr>
              <w:t>30.77]</w:t>
            </w:r>
            <w:r w:rsidRPr="00976D0B">
              <w:rPr>
                <w:rFonts w:ascii="Arial Narrow" w:hAnsi="Arial Narrow"/>
                <w:szCs w:val="20"/>
                <w:vertAlign w:val="superscript"/>
              </w:rPr>
              <w:t>a</w:t>
            </w:r>
            <w:proofErr w:type="gramEnd"/>
          </w:p>
        </w:tc>
        <w:tc>
          <w:tcPr>
            <w:tcW w:w="456" w:type="pct"/>
            <w:noWrap/>
            <w:hideMark/>
          </w:tcPr>
          <w:p w14:paraId="11817607" w14:textId="77777777" w:rsidR="00F466F2" w:rsidRPr="00976D0B" w:rsidRDefault="00F466F2" w:rsidP="00480188">
            <w:pPr>
              <w:pStyle w:val="Tabletext1"/>
              <w:jc w:val="cente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76D0B">
              <w:rPr>
                <w:rFonts w:ascii="Arial Narrow" w:hAnsi="Arial Narrow"/>
                <w:szCs w:val="20"/>
              </w:rPr>
              <w:t>25.06</w:t>
            </w:r>
          </w:p>
        </w:tc>
        <w:tc>
          <w:tcPr>
            <w:tcW w:w="546" w:type="pct"/>
          </w:tcPr>
          <w:p w14:paraId="2E999FF8" w14:textId="77777777" w:rsidR="00F466F2" w:rsidRPr="00976D0B" w:rsidRDefault="00F466F2" w:rsidP="00480188">
            <w:pPr>
              <w:pStyle w:val="Tabletext1"/>
              <w:jc w:val="cente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76D0B">
              <w:rPr>
                <w:rFonts w:ascii="Arial Narrow" w:hAnsi="Arial Narrow"/>
                <w:szCs w:val="20"/>
              </w:rPr>
              <w:t>[22.27, 30.13]</w:t>
            </w:r>
          </w:p>
        </w:tc>
        <w:tc>
          <w:tcPr>
            <w:tcW w:w="545" w:type="pct"/>
          </w:tcPr>
          <w:p w14:paraId="569AB420" w14:textId="77777777" w:rsidR="00F466F2" w:rsidRPr="00976D0B" w:rsidRDefault="00F466F2" w:rsidP="00480188">
            <w:pPr>
              <w:pStyle w:val="Tabletext1"/>
              <w:jc w:val="cente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76D0B">
              <w:rPr>
                <w:rFonts w:ascii="Arial Narrow" w:hAnsi="Arial Narrow"/>
                <w:szCs w:val="20"/>
              </w:rPr>
              <w:t>25.31</w:t>
            </w:r>
          </w:p>
        </w:tc>
        <w:tc>
          <w:tcPr>
            <w:tcW w:w="546" w:type="pct"/>
          </w:tcPr>
          <w:p w14:paraId="07FD10F6" w14:textId="77777777" w:rsidR="00F466F2" w:rsidRPr="00976D0B" w:rsidRDefault="00F466F2" w:rsidP="00480188">
            <w:pPr>
              <w:pStyle w:val="Tabletext1"/>
              <w:jc w:val="cente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76D0B">
              <w:rPr>
                <w:rFonts w:ascii="Arial Narrow" w:hAnsi="Arial Narrow"/>
                <w:szCs w:val="20"/>
              </w:rPr>
              <w:t xml:space="preserve">[21.75, </w:t>
            </w:r>
            <w:proofErr w:type="gramStart"/>
            <w:r w:rsidRPr="00976D0B">
              <w:rPr>
                <w:rFonts w:ascii="Arial Narrow" w:hAnsi="Arial Narrow"/>
                <w:szCs w:val="20"/>
              </w:rPr>
              <w:t>31.03]</w:t>
            </w:r>
            <w:r w:rsidRPr="00976D0B">
              <w:rPr>
                <w:rFonts w:ascii="Arial Narrow" w:hAnsi="Arial Narrow"/>
                <w:szCs w:val="20"/>
                <w:vertAlign w:val="superscript"/>
              </w:rPr>
              <w:t>b</w:t>
            </w:r>
            <w:proofErr w:type="gramEnd"/>
          </w:p>
        </w:tc>
      </w:tr>
      <w:tr w:rsidR="004E774B" w:rsidRPr="00976D0B" w14:paraId="63745A46" w14:textId="77777777" w:rsidTr="00976D0B">
        <w:trPr>
          <w:trHeight w:val="300"/>
        </w:trPr>
        <w:tc>
          <w:tcPr>
            <w:cnfStyle w:val="001000000000" w:firstRow="0" w:lastRow="0" w:firstColumn="1" w:lastColumn="0" w:oddVBand="0" w:evenVBand="0" w:oddHBand="0" w:evenHBand="0" w:firstRowFirstColumn="0" w:firstRowLastColumn="0" w:lastRowFirstColumn="0" w:lastRowLastColumn="0"/>
            <w:tcW w:w="705" w:type="pct"/>
            <w:hideMark/>
          </w:tcPr>
          <w:p w14:paraId="61C8335F" w14:textId="77777777" w:rsidR="00F466F2" w:rsidRPr="00976D0B" w:rsidRDefault="00F466F2" w:rsidP="00976D0B">
            <w:pPr>
              <w:pStyle w:val="Tabletext1"/>
              <w:rPr>
                <w:rFonts w:ascii="Arial Narrow" w:hAnsi="Arial Narrow"/>
                <w:b w:val="0"/>
                <w:bCs w:val="0"/>
                <w:szCs w:val="20"/>
              </w:rPr>
            </w:pPr>
            <w:r w:rsidRPr="00976D0B">
              <w:rPr>
                <w:rFonts w:ascii="Arial Narrow" w:hAnsi="Arial Narrow"/>
                <w:b w:val="0"/>
                <w:bCs w:val="0"/>
                <w:szCs w:val="20"/>
              </w:rPr>
              <w:t>Frailty Index (median [IQR])</w:t>
            </w:r>
          </w:p>
        </w:tc>
        <w:tc>
          <w:tcPr>
            <w:tcW w:w="550" w:type="pct"/>
            <w:noWrap/>
            <w:hideMark/>
          </w:tcPr>
          <w:p w14:paraId="5867B733" w14:textId="77777777" w:rsidR="00F466F2" w:rsidRPr="00976D0B" w:rsidRDefault="00F466F2" w:rsidP="00480188">
            <w:pPr>
              <w:pStyle w:val="Tabletext1"/>
              <w:jc w:val="center"/>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976D0B">
              <w:rPr>
                <w:rFonts w:ascii="Arial Narrow" w:hAnsi="Arial Narrow"/>
                <w:szCs w:val="20"/>
              </w:rPr>
              <w:t>0.26</w:t>
            </w:r>
          </w:p>
        </w:tc>
        <w:tc>
          <w:tcPr>
            <w:tcW w:w="551" w:type="pct"/>
          </w:tcPr>
          <w:p w14:paraId="1DEC0AC1" w14:textId="449F7778" w:rsidR="00F466F2" w:rsidRPr="00976D0B" w:rsidRDefault="00F466F2" w:rsidP="00480188">
            <w:pPr>
              <w:pStyle w:val="Tabletext1"/>
              <w:jc w:val="center"/>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976D0B">
              <w:rPr>
                <w:rFonts w:ascii="Arial Narrow" w:hAnsi="Arial Narrow"/>
                <w:szCs w:val="20"/>
              </w:rPr>
              <w:t>[0.22, 0.31]</w:t>
            </w:r>
          </w:p>
        </w:tc>
        <w:tc>
          <w:tcPr>
            <w:tcW w:w="549" w:type="pct"/>
          </w:tcPr>
          <w:p w14:paraId="03653ED2" w14:textId="77777777" w:rsidR="00F466F2" w:rsidRPr="00976D0B" w:rsidRDefault="00F466F2" w:rsidP="00480188">
            <w:pPr>
              <w:pStyle w:val="Tabletext1"/>
              <w:jc w:val="center"/>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976D0B">
              <w:rPr>
                <w:rFonts w:ascii="Arial Narrow" w:hAnsi="Arial Narrow"/>
                <w:szCs w:val="20"/>
              </w:rPr>
              <w:t>0.26</w:t>
            </w:r>
          </w:p>
        </w:tc>
        <w:tc>
          <w:tcPr>
            <w:tcW w:w="551" w:type="pct"/>
          </w:tcPr>
          <w:p w14:paraId="5E27B450" w14:textId="34B70472" w:rsidR="00F466F2" w:rsidRPr="00976D0B" w:rsidRDefault="00F466F2" w:rsidP="00480188">
            <w:pPr>
              <w:pStyle w:val="Tabletext1"/>
              <w:jc w:val="center"/>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976D0B">
              <w:rPr>
                <w:rFonts w:ascii="Arial Narrow" w:hAnsi="Arial Narrow"/>
                <w:szCs w:val="20"/>
              </w:rPr>
              <w:t>[0.22, 0.30]</w:t>
            </w:r>
          </w:p>
        </w:tc>
        <w:tc>
          <w:tcPr>
            <w:tcW w:w="456" w:type="pct"/>
            <w:noWrap/>
            <w:hideMark/>
          </w:tcPr>
          <w:p w14:paraId="343D397B" w14:textId="77777777" w:rsidR="00F466F2" w:rsidRPr="00976D0B" w:rsidRDefault="00F466F2" w:rsidP="00480188">
            <w:pPr>
              <w:pStyle w:val="Tabletext1"/>
              <w:jc w:val="center"/>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976D0B">
              <w:rPr>
                <w:rFonts w:ascii="Arial Narrow" w:hAnsi="Arial Narrow"/>
                <w:szCs w:val="20"/>
              </w:rPr>
              <w:t>0.28</w:t>
            </w:r>
          </w:p>
        </w:tc>
        <w:tc>
          <w:tcPr>
            <w:tcW w:w="546" w:type="pct"/>
          </w:tcPr>
          <w:p w14:paraId="2BD2E40C" w14:textId="77777777" w:rsidR="00F466F2" w:rsidRPr="00976D0B" w:rsidRDefault="00F466F2" w:rsidP="00480188">
            <w:pPr>
              <w:pStyle w:val="Tabletext1"/>
              <w:jc w:val="center"/>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976D0B">
              <w:rPr>
                <w:rFonts w:ascii="Arial Narrow" w:hAnsi="Arial Narrow"/>
                <w:szCs w:val="20"/>
              </w:rPr>
              <w:t>[0.21, 0.33]</w:t>
            </w:r>
          </w:p>
        </w:tc>
        <w:tc>
          <w:tcPr>
            <w:tcW w:w="545" w:type="pct"/>
          </w:tcPr>
          <w:p w14:paraId="54837B52" w14:textId="77777777" w:rsidR="00F466F2" w:rsidRPr="00976D0B" w:rsidRDefault="00F466F2" w:rsidP="00480188">
            <w:pPr>
              <w:pStyle w:val="Tabletext1"/>
              <w:jc w:val="center"/>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976D0B">
              <w:rPr>
                <w:rFonts w:ascii="Arial Narrow" w:hAnsi="Arial Narrow"/>
                <w:szCs w:val="20"/>
              </w:rPr>
              <w:t>0.28</w:t>
            </w:r>
          </w:p>
        </w:tc>
        <w:tc>
          <w:tcPr>
            <w:tcW w:w="546" w:type="pct"/>
          </w:tcPr>
          <w:p w14:paraId="531EE642" w14:textId="77777777" w:rsidR="00F466F2" w:rsidRPr="00976D0B" w:rsidRDefault="00F466F2" w:rsidP="00480188">
            <w:pPr>
              <w:pStyle w:val="Tabletext1"/>
              <w:jc w:val="center"/>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976D0B">
              <w:rPr>
                <w:rFonts w:ascii="Arial Narrow" w:hAnsi="Arial Narrow"/>
                <w:szCs w:val="20"/>
              </w:rPr>
              <w:t>[0.21, 0.32]</w:t>
            </w:r>
          </w:p>
        </w:tc>
      </w:tr>
      <w:tr w:rsidR="004E774B" w:rsidRPr="00976D0B" w14:paraId="1DFE502A" w14:textId="77777777" w:rsidTr="00976D0B">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705" w:type="pct"/>
            <w:hideMark/>
          </w:tcPr>
          <w:p w14:paraId="01B829A4" w14:textId="77777777" w:rsidR="00F466F2" w:rsidRPr="00976D0B" w:rsidRDefault="00F466F2" w:rsidP="00976D0B">
            <w:pPr>
              <w:pStyle w:val="Tabletext1"/>
              <w:rPr>
                <w:rFonts w:ascii="Arial Narrow" w:hAnsi="Arial Narrow"/>
                <w:b w:val="0"/>
                <w:bCs w:val="0"/>
                <w:szCs w:val="20"/>
              </w:rPr>
            </w:pPr>
            <w:r w:rsidRPr="00976D0B">
              <w:rPr>
                <w:rFonts w:ascii="Arial Narrow" w:hAnsi="Arial Narrow"/>
                <w:b w:val="0"/>
                <w:bCs w:val="0"/>
                <w:szCs w:val="20"/>
              </w:rPr>
              <w:t>Calculated Montreal Cognitive Assessment (MoCA) score (score between 0-1), (median [IQR])</w:t>
            </w:r>
          </w:p>
        </w:tc>
        <w:tc>
          <w:tcPr>
            <w:tcW w:w="550" w:type="pct"/>
            <w:noWrap/>
            <w:hideMark/>
          </w:tcPr>
          <w:p w14:paraId="112235DF" w14:textId="77777777" w:rsidR="00F466F2" w:rsidRPr="00976D0B" w:rsidRDefault="00F466F2" w:rsidP="00480188">
            <w:pPr>
              <w:pStyle w:val="Tabletext1"/>
              <w:jc w:val="cente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76D0B">
              <w:rPr>
                <w:rFonts w:ascii="Arial Narrow" w:hAnsi="Arial Narrow"/>
                <w:szCs w:val="20"/>
              </w:rPr>
              <w:t>0.77</w:t>
            </w:r>
          </w:p>
        </w:tc>
        <w:tc>
          <w:tcPr>
            <w:tcW w:w="551" w:type="pct"/>
          </w:tcPr>
          <w:p w14:paraId="687975D1" w14:textId="77777777" w:rsidR="00F466F2" w:rsidRPr="00976D0B" w:rsidRDefault="00F466F2" w:rsidP="00480188">
            <w:pPr>
              <w:pStyle w:val="Tabletext1"/>
              <w:jc w:val="cente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76D0B">
              <w:rPr>
                <w:rFonts w:ascii="Arial Narrow" w:hAnsi="Arial Narrow"/>
                <w:szCs w:val="20"/>
              </w:rPr>
              <w:t>[0.67, 0.87]</w:t>
            </w:r>
          </w:p>
        </w:tc>
        <w:tc>
          <w:tcPr>
            <w:tcW w:w="549" w:type="pct"/>
          </w:tcPr>
          <w:p w14:paraId="16A9C08C" w14:textId="77777777" w:rsidR="00F466F2" w:rsidRPr="00976D0B" w:rsidRDefault="00F466F2" w:rsidP="00480188">
            <w:pPr>
              <w:pStyle w:val="Tabletext1"/>
              <w:jc w:val="cente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76D0B">
              <w:rPr>
                <w:rFonts w:ascii="Arial Narrow" w:hAnsi="Arial Narrow"/>
                <w:szCs w:val="20"/>
              </w:rPr>
              <w:t>0.78</w:t>
            </w:r>
          </w:p>
        </w:tc>
        <w:tc>
          <w:tcPr>
            <w:tcW w:w="551" w:type="pct"/>
          </w:tcPr>
          <w:p w14:paraId="094C8ABD" w14:textId="77777777" w:rsidR="00F466F2" w:rsidRPr="00976D0B" w:rsidRDefault="00F466F2" w:rsidP="00480188">
            <w:pPr>
              <w:pStyle w:val="Tabletext1"/>
              <w:jc w:val="cente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76D0B">
              <w:rPr>
                <w:rFonts w:ascii="Arial Narrow" w:hAnsi="Arial Narrow"/>
                <w:szCs w:val="20"/>
              </w:rPr>
              <w:t>[0.67, 0.87]</w:t>
            </w:r>
          </w:p>
        </w:tc>
        <w:tc>
          <w:tcPr>
            <w:tcW w:w="456" w:type="pct"/>
            <w:noWrap/>
            <w:hideMark/>
          </w:tcPr>
          <w:p w14:paraId="587319E6" w14:textId="77777777" w:rsidR="00F466F2" w:rsidRPr="00976D0B" w:rsidRDefault="00F466F2" w:rsidP="00480188">
            <w:pPr>
              <w:pStyle w:val="Tabletext1"/>
              <w:jc w:val="cente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76D0B">
              <w:rPr>
                <w:rFonts w:ascii="Arial Narrow" w:hAnsi="Arial Narrow"/>
                <w:szCs w:val="20"/>
              </w:rPr>
              <w:t>0.73</w:t>
            </w:r>
          </w:p>
        </w:tc>
        <w:tc>
          <w:tcPr>
            <w:tcW w:w="546" w:type="pct"/>
          </w:tcPr>
          <w:p w14:paraId="52B570F5" w14:textId="77777777" w:rsidR="00F466F2" w:rsidRPr="00976D0B" w:rsidRDefault="00F466F2" w:rsidP="00480188">
            <w:pPr>
              <w:pStyle w:val="Tabletext1"/>
              <w:jc w:val="cente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76D0B">
              <w:rPr>
                <w:rFonts w:ascii="Arial Narrow" w:hAnsi="Arial Narrow"/>
                <w:szCs w:val="20"/>
              </w:rPr>
              <w:t>[0.66, 0.81]</w:t>
            </w:r>
          </w:p>
        </w:tc>
        <w:tc>
          <w:tcPr>
            <w:tcW w:w="545" w:type="pct"/>
          </w:tcPr>
          <w:p w14:paraId="15BB5022" w14:textId="77777777" w:rsidR="00F466F2" w:rsidRPr="00976D0B" w:rsidRDefault="00F466F2" w:rsidP="00480188">
            <w:pPr>
              <w:pStyle w:val="Tabletext1"/>
              <w:jc w:val="cente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76D0B">
              <w:rPr>
                <w:rFonts w:ascii="Arial Narrow" w:hAnsi="Arial Narrow"/>
                <w:szCs w:val="20"/>
              </w:rPr>
              <w:t>0.73</w:t>
            </w:r>
          </w:p>
        </w:tc>
        <w:tc>
          <w:tcPr>
            <w:tcW w:w="546" w:type="pct"/>
          </w:tcPr>
          <w:p w14:paraId="4DFDD5C2" w14:textId="77777777" w:rsidR="00F466F2" w:rsidRPr="00976D0B" w:rsidRDefault="00F466F2" w:rsidP="00480188">
            <w:pPr>
              <w:pStyle w:val="Tabletext1"/>
              <w:jc w:val="cente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76D0B">
              <w:rPr>
                <w:rFonts w:ascii="Arial Narrow" w:hAnsi="Arial Narrow"/>
                <w:szCs w:val="20"/>
              </w:rPr>
              <w:t>[0.67, 0.83]</w:t>
            </w:r>
          </w:p>
        </w:tc>
      </w:tr>
      <w:tr w:rsidR="004E774B" w:rsidRPr="00976D0B" w14:paraId="2E0C1A4B" w14:textId="77777777" w:rsidTr="00976D0B">
        <w:trPr>
          <w:trHeight w:val="300"/>
        </w:trPr>
        <w:tc>
          <w:tcPr>
            <w:cnfStyle w:val="001000000000" w:firstRow="0" w:lastRow="0" w:firstColumn="1" w:lastColumn="0" w:oddVBand="0" w:evenVBand="0" w:oddHBand="0" w:evenHBand="0" w:firstRowFirstColumn="0" w:firstRowLastColumn="0" w:lastRowFirstColumn="0" w:lastRowLastColumn="0"/>
            <w:tcW w:w="705" w:type="pct"/>
            <w:hideMark/>
          </w:tcPr>
          <w:p w14:paraId="4056292F" w14:textId="77777777" w:rsidR="00F466F2" w:rsidRPr="00976D0B" w:rsidRDefault="00F466F2" w:rsidP="00976D0B">
            <w:pPr>
              <w:pStyle w:val="Tabletext1"/>
              <w:rPr>
                <w:rFonts w:ascii="Arial Narrow" w:hAnsi="Arial Narrow"/>
                <w:b w:val="0"/>
                <w:bCs w:val="0"/>
                <w:szCs w:val="20"/>
              </w:rPr>
            </w:pPr>
            <w:r w:rsidRPr="00976D0B">
              <w:rPr>
                <w:rFonts w:ascii="Arial Narrow" w:hAnsi="Arial Narrow"/>
                <w:b w:val="0"/>
                <w:bCs w:val="0"/>
                <w:szCs w:val="20"/>
              </w:rPr>
              <w:t xml:space="preserve">Number of unique** </w:t>
            </w:r>
            <w:proofErr w:type="gramStart"/>
            <w:r w:rsidRPr="00976D0B">
              <w:rPr>
                <w:rFonts w:ascii="Arial Narrow" w:hAnsi="Arial Narrow"/>
                <w:b w:val="0"/>
                <w:bCs w:val="0"/>
                <w:szCs w:val="20"/>
              </w:rPr>
              <w:t>medicines,(</w:t>
            </w:r>
            <w:proofErr w:type="gramEnd"/>
            <w:r w:rsidRPr="00976D0B">
              <w:rPr>
                <w:rFonts w:ascii="Arial Narrow" w:hAnsi="Arial Narrow"/>
                <w:b w:val="0"/>
                <w:bCs w:val="0"/>
                <w:szCs w:val="20"/>
              </w:rPr>
              <w:t>median)</w:t>
            </w:r>
          </w:p>
        </w:tc>
        <w:tc>
          <w:tcPr>
            <w:tcW w:w="550" w:type="pct"/>
            <w:noWrap/>
            <w:hideMark/>
          </w:tcPr>
          <w:p w14:paraId="4476C651" w14:textId="77777777" w:rsidR="00F466F2" w:rsidRPr="00976D0B" w:rsidRDefault="00F466F2" w:rsidP="00480188">
            <w:pPr>
              <w:pStyle w:val="Tabletext1"/>
              <w:jc w:val="center"/>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976D0B">
              <w:rPr>
                <w:rFonts w:ascii="Arial Narrow" w:hAnsi="Arial Narrow"/>
                <w:szCs w:val="20"/>
              </w:rPr>
              <w:t>15.25</w:t>
            </w:r>
          </w:p>
        </w:tc>
        <w:tc>
          <w:tcPr>
            <w:tcW w:w="551" w:type="pct"/>
          </w:tcPr>
          <w:p w14:paraId="1BA2EDE4" w14:textId="77777777" w:rsidR="00F466F2" w:rsidRPr="00976D0B" w:rsidRDefault="00F466F2" w:rsidP="00480188">
            <w:pPr>
              <w:pStyle w:val="Tabletext1"/>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szCs w:val="20"/>
              </w:rPr>
            </w:pPr>
          </w:p>
        </w:tc>
        <w:tc>
          <w:tcPr>
            <w:tcW w:w="549" w:type="pct"/>
          </w:tcPr>
          <w:p w14:paraId="548CFCD9" w14:textId="77777777" w:rsidR="00F466F2" w:rsidRPr="00976D0B" w:rsidRDefault="00F466F2" w:rsidP="00480188">
            <w:pPr>
              <w:pStyle w:val="Tabletext1"/>
              <w:jc w:val="center"/>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976D0B">
              <w:rPr>
                <w:rFonts w:ascii="Arial Narrow" w:hAnsi="Arial Narrow"/>
                <w:szCs w:val="20"/>
              </w:rPr>
              <w:t>15.13</w:t>
            </w:r>
          </w:p>
        </w:tc>
        <w:tc>
          <w:tcPr>
            <w:tcW w:w="551" w:type="pct"/>
          </w:tcPr>
          <w:p w14:paraId="3FCCF370" w14:textId="77777777" w:rsidR="00F466F2" w:rsidRPr="00976D0B" w:rsidRDefault="00F466F2" w:rsidP="00480188">
            <w:pPr>
              <w:pStyle w:val="Tabletext1"/>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szCs w:val="20"/>
              </w:rPr>
            </w:pPr>
          </w:p>
        </w:tc>
        <w:tc>
          <w:tcPr>
            <w:tcW w:w="456" w:type="pct"/>
            <w:noWrap/>
            <w:hideMark/>
          </w:tcPr>
          <w:p w14:paraId="34A3EB07" w14:textId="77777777" w:rsidR="00F466F2" w:rsidRPr="00976D0B" w:rsidRDefault="00F466F2" w:rsidP="00480188">
            <w:pPr>
              <w:pStyle w:val="Tabletext1"/>
              <w:jc w:val="center"/>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976D0B">
              <w:rPr>
                <w:rFonts w:ascii="Arial Narrow" w:hAnsi="Arial Narrow"/>
                <w:szCs w:val="20"/>
              </w:rPr>
              <w:t>14.41</w:t>
            </w:r>
          </w:p>
        </w:tc>
        <w:tc>
          <w:tcPr>
            <w:tcW w:w="546" w:type="pct"/>
          </w:tcPr>
          <w:p w14:paraId="0F7C2F22" w14:textId="77777777" w:rsidR="00F466F2" w:rsidRPr="00976D0B" w:rsidRDefault="00F466F2" w:rsidP="00480188">
            <w:pPr>
              <w:pStyle w:val="Tabletext1"/>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szCs w:val="20"/>
              </w:rPr>
            </w:pPr>
          </w:p>
        </w:tc>
        <w:tc>
          <w:tcPr>
            <w:tcW w:w="545" w:type="pct"/>
          </w:tcPr>
          <w:p w14:paraId="2A28D8AF" w14:textId="77777777" w:rsidR="00F466F2" w:rsidRPr="00976D0B" w:rsidRDefault="00F466F2" w:rsidP="00480188">
            <w:pPr>
              <w:pStyle w:val="Tabletext1"/>
              <w:jc w:val="center"/>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976D0B">
              <w:rPr>
                <w:rFonts w:ascii="Arial Narrow" w:hAnsi="Arial Narrow"/>
                <w:szCs w:val="20"/>
              </w:rPr>
              <w:t>14.14</w:t>
            </w:r>
          </w:p>
        </w:tc>
        <w:tc>
          <w:tcPr>
            <w:tcW w:w="546" w:type="pct"/>
          </w:tcPr>
          <w:p w14:paraId="7C0D874A" w14:textId="77777777" w:rsidR="00F466F2" w:rsidRPr="00976D0B" w:rsidRDefault="00F466F2" w:rsidP="00480188">
            <w:pPr>
              <w:pStyle w:val="Tabletext1"/>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szCs w:val="20"/>
              </w:rPr>
            </w:pPr>
          </w:p>
        </w:tc>
      </w:tr>
      <w:tr w:rsidR="004E774B" w:rsidRPr="00976D0B" w14:paraId="0D104AE3" w14:textId="77777777" w:rsidTr="00976D0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5" w:type="pct"/>
          </w:tcPr>
          <w:p w14:paraId="21598531" w14:textId="77777777" w:rsidR="00F466F2" w:rsidRPr="00976D0B" w:rsidRDefault="00F466F2" w:rsidP="00976D0B">
            <w:pPr>
              <w:pStyle w:val="Tabletext1"/>
              <w:rPr>
                <w:rFonts w:ascii="Arial Narrow" w:hAnsi="Arial Narrow"/>
                <w:b w:val="0"/>
                <w:bCs w:val="0"/>
                <w:szCs w:val="20"/>
              </w:rPr>
            </w:pPr>
            <w:r w:rsidRPr="00976D0B">
              <w:rPr>
                <w:rFonts w:ascii="Arial Narrow" w:hAnsi="Arial Narrow"/>
                <w:b w:val="0"/>
                <w:bCs w:val="0"/>
                <w:szCs w:val="20"/>
              </w:rPr>
              <w:t>Daily ACFI supplement at baseline (mean)</w:t>
            </w:r>
          </w:p>
        </w:tc>
        <w:tc>
          <w:tcPr>
            <w:tcW w:w="550" w:type="pct"/>
            <w:noWrap/>
          </w:tcPr>
          <w:p w14:paraId="02576965" w14:textId="6C3258B0" w:rsidR="00F466F2" w:rsidRPr="00976D0B" w:rsidRDefault="00F466F2" w:rsidP="00480188">
            <w:pPr>
              <w:pStyle w:val="Tabletext1"/>
              <w:jc w:val="cente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76D0B">
              <w:rPr>
                <w:rFonts w:ascii="Arial Narrow" w:hAnsi="Arial Narrow"/>
                <w:szCs w:val="20"/>
              </w:rPr>
              <w:t>$145.47</w:t>
            </w:r>
            <w:r w:rsidRPr="00976D0B">
              <w:rPr>
                <w:rFonts w:ascii="Arial Narrow" w:hAnsi="Arial Narrow"/>
                <w:szCs w:val="20"/>
                <w:vertAlign w:val="superscript"/>
              </w:rPr>
              <w:t>c</w:t>
            </w:r>
          </w:p>
        </w:tc>
        <w:tc>
          <w:tcPr>
            <w:tcW w:w="551" w:type="pct"/>
          </w:tcPr>
          <w:p w14:paraId="6E72EAD5" w14:textId="77777777" w:rsidR="00F466F2" w:rsidRPr="00976D0B" w:rsidRDefault="00F466F2" w:rsidP="00480188">
            <w:pPr>
              <w:pStyle w:val="Tabletext1"/>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szCs w:val="20"/>
              </w:rPr>
            </w:pPr>
          </w:p>
        </w:tc>
        <w:tc>
          <w:tcPr>
            <w:tcW w:w="549" w:type="pct"/>
          </w:tcPr>
          <w:p w14:paraId="49A7CE7D" w14:textId="62813885" w:rsidR="00F466F2" w:rsidRPr="00976D0B" w:rsidRDefault="00F466F2" w:rsidP="00480188">
            <w:pPr>
              <w:pStyle w:val="Tabletext1"/>
              <w:jc w:val="cente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76D0B">
              <w:rPr>
                <w:rFonts w:ascii="Arial Narrow" w:hAnsi="Arial Narrow"/>
                <w:szCs w:val="20"/>
              </w:rPr>
              <w:t>$142.89</w:t>
            </w:r>
            <w:r w:rsidRPr="00976D0B">
              <w:rPr>
                <w:rFonts w:ascii="Arial Narrow" w:hAnsi="Arial Narrow"/>
                <w:szCs w:val="20"/>
                <w:vertAlign w:val="superscript"/>
              </w:rPr>
              <w:t>d</w:t>
            </w:r>
          </w:p>
        </w:tc>
        <w:tc>
          <w:tcPr>
            <w:tcW w:w="551" w:type="pct"/>
          </w:tcPr>
          <w:p w14:paraId="45A96B8D" w14:textId="77777777" w:rsidR="00F466F2" w:rsidRPr="00976D0B" w:rsidRDefault="00F466F2" w:rsidP="00480188">
            <w:pPr>
              <w:pStyle w:val="Tabletext1"/>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szCs w:val="20"/>
              </w:rPr>
            </w:pPr>
          </w:p>
        </w:tc>
        <w:tc>
          <w:tcPr>
            <w:tcW w:w="456" w:type="pct"/>
            <w:noWrap/>
          </w:tcPr>
          <w:p w14:paraId="0F8FC768" w14:textId="12622567" w:rsidR="00F466F2" w:rsidRPr="00976D0B" w:rsidRDefault="00F466F2" w:rsidP="00480188">
            <w:pPr>
              <w:pStyle w:val="Tabletext1"/>
              <w:jc w:val="cente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76D0B">
              <w:rPr>
                <w:rFonts w:ascii="Arial Narrow" w:hAnsi="Arial Narrow"/>
                <w:szCs w:val="20"/>
              </w:rPr>
              <w:t>$154.85</w:t>
            </w:r>
            <w:r w:rsidRPr="00976D0B">
              <w:rPr>
                <w:rFonts w:ascii="Arial Narrow" w:hAnsi="Arial Narrow"/>
                <w:szCs w:val="20"/>
                <w:vertAlign w:val="superscript"/>
              </w:rPr>
              <w:t>e</w:t>
            </w:r>
          </w:p>
        </w:tc>
        <w:tc>
          <w:tcPr>
            <w:tcW w:w="546" w:type="pct"/>
          </w:tcPr>
          <w:p w14:paraId="19E1A9B0" w14:textId="77777777" w:rsidR="00F466F2" w:rsidRPr="00976D0B" w:rsidRDefault="00F466F2" w:rsidP="00480188">
            <w:pPr>
              <w:pStyle w:val="Tabletext1"/>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szCs w:val="20"/>
              </w:rPr>
            </w:pPr>
          </w:p>
        </w:tc>
        <w:tc>
          <w:tcPr>
            <w:tcW w:w="545" w:type="pct"/>
          </w:tcPr>
          <w:p w14:paraId="013794AA" w14:textId="77777777" w:rsidR="00F466F2" w:rsidRPr="00976D0B" w:rsidRDefault="00F466F2" w:rsidP="00480188">
            <w:pPr>
              <w:pStyle w:val="Tabletext1"/>
              <w:jc w:val="cente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76D0B">
              <w:rPr>
                <w:rFonts w:ascii="Arial Narrow" w:hAnsi="Arial Narrow"/>
                <w:szCs w:val="20"/>
              </w:rPr>
              <w:t>$154.27</w:t>
            </w:r>
            <w:r w:rsidRPr="00976D0B">
              <w:rPr>
                <w:rFonts w:ascii="Arial Narrow" w:hAnsi="Arial Narrow"/>
                <w:szCs w:val="20"/>
                <w:vertAlign w:val="superscript"/>
              </w:rPr>
              <w:t>f</w:t>
            </w:r>
          </w:p>
        </w:tc>
        <w:tc>
          <w:tcPr>
            <w:tcW w:w="546" w:type="pct"/>
          </w:tcPr>
          <w:p w14:paraId="4C4EFB6C" w14:textId="77777777" w:rsidR="00F466F2" w:rsidRPr="00976D0B" w:rsidRDefault="00F466F2" w:rsidP="00480188">
            <w:pPr>
              <w:pStyle w:val="Tabletext1"/>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szCs w:val="20"/>
              </w:rPr>
            </w:pPr>
          </w:p>
        </w:tc>
      </w:tr>
      <w:tr w:rsidR="004E774B" w:rsidRPr="00976D0B" w14:paraId="4E641331" w14:textId="77777777" w:rsidTr="00976D0B">
        <w:trPr>
          <w:trHeight w:val="300"/>
        </w:trPr>
        <w:tc>
          <w:tcPr>
            <w:cnfStyle w:val="001000000000" w:firstRow="0" w:lastRow="0" w:firstColumn="1" w:lastColumn="0" w:oddVBand="0" w:evenVBand="0" w:oddHBand="0" w:evenHBand="0" w:firstRowFirstColumn="0" w:firstRowLastColumn="0" w:lastRowFirstColumn="0" w:lastRowLastColumn="0"/>
            <w:tcW w:w="705" w:type="pct"/>
          </w:tcPr>
          <w:p w14:paraId="45158D94" w14:textId="77777777" w:rsidR="00F466F2" w:rsidRPr="00976D0B" w:rsidRDefault="00F466F2" w:rsidP="00976D0B">
            <w:pPr>
              <w:pStyle w:val="Tabletext1"/>
              <w:rPr>
                <w:rFonts w:ascii="Arial Narrow" w:hAnsi="Arial Narrow"/>
                <w:b w:val="0"/>
                <w:bCs w:val="0"/>
                <w:color w:val="000000"/>
                <w:szCs w:val="20"/>
              </w:rPr>
            </w:pPr>
            <w:r w:rsidRPr="00976D0B">
              <w:rPr>
                <w:rFonts w:ascii="Arial Narrow" w:hAnsi="Arial Narrow"/>
                <w:b w:val="0"/>
                <w:bCs w:val="0"/>
                <w:szCs w:val="20"/>
              </w:rPr>
              <w:lastRenderedPageBreak/>
              <w:t xml:space="preserve">Baseline utility (mean)* </w:t>
            </w:r>
          </w:p>
        </w:tc>
        <w:tc>
          <w:tcPr>
            <w:tcW w:w="550" w:type="pct"/>
            <w:noWrap/>
          </w:tcPr>
          <w:p w14:paraId="66E5398F" w14:textId="77777777" w:rsidR="00F466F2" w:rsidRPr="00976D0B" w:rsidRDefault="00F466F2" w:rsidP="00480188">
            <w:pPr>
              <w:pStyle w:val="Tabletext1"/>
              <w:jc w:val="center"/>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976D0B">
              <w:rPr>
                <w:rFonts w:ascii="Arial Narrow" w:hAnsi="Arial Narrow"/>
                <w:szCs w:val="20"/>
              </w:rPr>
              <w:t>0.68</w:t>
            </w:r>
          </w:p>
        </w:tc>
        <w:tc>
          <w:tcPr>
            <w:tcW w:w="551" w:type="pct"/>
          </w:tcPr>
          <w:p w14:paraId="02DE1824" w14:textId="77777777" w:rsidR="00F466F2" w:rsidRPr="00976D0B" w:rsidRDefault="00F466F2" w:rsidP="00480188">
            <w:pPr>
              <w:pStyle w:val="Tabletext1"/>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szCs w:val="20"/>
              </w:rPr>
            </w:pPr>
          </w:p>
        </w:tc>
        <w:tc>
          <w:tcPr>
            <w:tcW w:w="549" w:type="pct"/>
          </w:tcPr>
          <w:p w14:paraId="1D50D3DA" w14:textId="77777777" w:rsidR="00F466F2" w:rsidRPr="00976D0B" w:rsidRDefault="00F466F2" w:rsidP="00480188">
            <w:pPr>
              <w:pStyle w:val="Tabletext1"/>
              <w:jc w:val="center"/>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976D0B">
              <w:rPr>
                <w:rFonts w:ascii="Arial Narrow" w:hAnsi="Arial Narrow"/>
                <w:szCs w:val="20"/>
              </w:rPr>
              <w:t>0.71</w:t>
            </w:r>
          </w:p>
        </w:tc>
        <w:tc>
          <w:tcPr>
            <w:tcW w:w="551" w:type="pct"/>
          </w:tcPr>
          <w:p w14:paraId="40DC2392" w14:textId="77777777" w:rsidR="00F466F2" w:rsidRPr="00976D0B" w:rsidRDefault="00F466F2" w:rsidP="00480188">
            <w:pPr>
              <w:pStyle w:val="Tabletext1"/>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szCs w:val="20"/>
              </w:rPr>
            </w:pPr>
          </w:p>
        </w:tc>
        <w:tc>
          <w:tcPr>
            <w:tcW w:w="456" w:type="pct"/>
            <w:noWrap/>
          </w:tcPr>
          <w:p w14:paraId="584D6C8F" w14:textId="77777777" w:rsidR="00F466F2" w:rsidRPr="00976D0B" w:rsidRDefault="00F466F2" w:rsidP="00480188">
            <w:pPr>
              <w:pStyle w:val="Tabletext1"/>
              <w:jc w:val="center"/>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976D0B">
              <w:rPr>
                <w:rFonts w:ascii="Arial Narrow" w:hAnsi="Arial Narrow"/>
                <w:szCs w:val="20"/>
              </w:rPr>
              <w:t>0.65</w:t>
            </w:r>
          </w:p>
        </w:tc>
        <w:tc>
          <w:tcPr>
            <w:tcW w:w="546" w:type="pct"/>
          </w:tcPr>
          <w:p w14:paraId="2D4A7F98" w14:textId="77777777" w:rsidR="00F466F2" w:rsidRPr="00976D0B" w:rsidRDefault="00F466F2" w:rsidP="00480188">
            <w:pPr>
              <w:pStyle w:val="Tabletext1"/>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szCs w:val="20"/>
              </w:rPr>
            </w:pPr>
          </w:p>
        </w:tc>
        <w:tc>
          <w:tcPr>
            <w:tcW w:w="545" w:type="pct"/>
          </w:tcPr>
          <w:p w14:paraId="1E0DB54D" w14:textId="77777777" w:rsidR="00F466F2" w:rsidRPr="00976D0B" w:rsidRDefault="00F466F2" w:rsidP="00480188">
            <w:pPr>
              <w:pStyle w:val="Tabletext1"/>
              <w:jc w:val="center"/>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976D0B">
              <w:rPr>
                <w:rFonts w:ascii="Arial Narrow" w:hAnsi="Arial Narrow"/>
                <w:szCs w:val="20"/>
              </w:rPr>
              <w:t>0.63</w:t>
            </w:r>
          </w:p>
        </w:tc>
        <w:tc>
          <w:tcPr>
            <w:tcW w:w="546" w:type="pct"/>
          </w:tcPr>
          <w:p w14:paraId="0EF0FE9A" w14:textId="77777777" w:rsidR="00F466F2" w:rsidRPr="00976D0B" w:rsidRDefault="00F466F2" w:rsidP="00480188">
            <w:pPr>
              <w:pStyle w:val="Tabletext1"/>
              <w:jc w:val="center"/>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976D0B">
              <w:rPr>
                <w:rFonts w:ascii="Arial Narrow" w:hAnsi="Arial Narrow"/>
                <w:szCs w:val="20"/>
              </w:rPr>
              <w:t>0.63</w:t>
            </w:r>
          </w:p>
        </w:tc>
      </w:tr>
      <w:tr w:rsidR="004E774B" w:rsidRPr="00976D0B" w14:paraId="091B6F75" w14:textId="77777777" w:rsidTr="00976D0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5" w:type="pct"/>
            <w:hideMark/>
          </w:tcPr>
          <w:p w14:paraId="70410FF2" w14:textId="77777777" w:rsidR="00F466F2" w:rsidRPr="00976D0B" w:rsidRDefault="00F466F2" w:rsidP="00976D0B">
            <w:pPr>
              <w:pStyle w:val="Tabletext1"/>
              <w:rPr>
                <w:rFonts w:ascii="Arial Narrow" w:hAnsi="Arial Narrow"/>
                <w:b w:val="0"/>
                <w:bCs w:val="0"/>
                <w:szCs w:val="20"/>
              </w:rPr>
            </w:pPr>
            <w:r w:rsidRPr="00976D0B">
              <w:rPr>
                <w:rFonts w:ascii="Arial Narrow" w:hAnsi="Arial Narrow"/>
                <w:b w:val="0"/>
                <w:bCs w:val="0"/>
                <w:szCs w:val="20"/>
              </w:rPr>
              <w:t>Self-rated EQ-5D Health Scale (1-100), (median [IQR])</w:t>
            </w:r>
          </w:p>
        </w:tc>
        <w:tc>
          <w:tcPr>
            <w:tcW w:w="550" w:type="pct"/>
            <w:noWrap/>
            <w:hideMark/>
          </w:tcPr>
          <w:p w14:paraId="0B0DAC41" w14:textId="77777777" w:rsidR="00F466F2" w:rsidRPr="00976D0B" w:rsidRDefault="00F466F2" w:rsidP="00480188">
            <w:pPr>
              <w:pStyle w:val="Tabletext1"/>
              <w:jc w:val="cente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76D0B">
              <w:rPr>
                <w:rFonts w:ascii="Arial Narrow" w:hAnsi="Arial Narrow"/>
                <w:szCs w:val="20"/>
              </w:rPr>
              <w:t>75.00</w:t>
            </w:r>
          </w:p>
        </w:tc>
        <w:tc>
          <w:tcPr>
            <w:tcW w:w="551" w:type="pct"/>
          </w:tcPr>
          <w:p w14:paraId="2695FE79" w14:textId="77777777" w:rsidR="00F466F2" w:rsidRPr="00976D0B" w:rsidRDefault="00F466F2" w:rsidP="00480188">
            <w:pPr>
              <w:pStyle w:val="Tabletext1"/>
              <w:jc w:val="cente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76D0B">
              <w:rPr>
                <w:rFonts w:ascii="Arial Narrow" w:hAnsi="Arial Narrow"/>
                <w:szCs w:val="20"/>
              </w:rPr>
              <w:t>[60.00, 85.00]</w:t>
            </w:r>
          </w:p>
        </w:tc>
        <w:tc>
          <w:tcPr>
            <w:tcW w:w="549" w:type="pct"/>
          </w:tcPr>
          <w:p w14:paraId="63503F06" w14:textId="77777777" w:rsidR="00F466F2" w:rsidRPr="00976D0B" w:rsidRDefault="00F466F2" w:rsidP="00480188">
            <w:pPr>
              <w:pStyle w:val="Tabletext1"/>
              <w:jc w:val="cente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76D0B">
              <w:rPr>
                <w:rFonts w:ascii="Arial Narrow" w:hAnsi="Arial Narrow"/>
                <w:szCs w:val="20"/>
              </w:rPr>
              <w:t>75</w:t>
            </w:r>
          </w:p>
        </w:tc>
        <w:tc>
          <w:tcPr>
            <w:tcW w:w="551" w:type="pct"/>
          </w:tcPr>
          <w:p w14:paraId="188EA592" w14:textId="77777777" w:rsidR="00F466F2" w:rsidRPr="00976D0B" w:rsidRDefault="00F466F2" w:rsidP="00480188">
            <w:pPr>
              <w:pStyle w:val="Tabletext1"/>
              <w:jc w:val="cente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76D0B">
              <w:rPr>
                <w:rFonts w:ascii="Arial Narrow" w:hAnsi="Arial Narrow"/>
                <w:szCs w:val="20"/>
              </w:rPr>
              <w:t>[64, 86]</w:t>
            </w:r>
          </w:p>
        </w:tc>
        <w:tc>
          <w:tcPr>
            <w:tcW w:w="456" w:type="pct"/>
            <w:noWrap/>
            <w:hideMark/>
          </w:tcPr>
          <w:p w14:paraId="33728418" w14:textId="77777777" w:rsidR="00F466F2" w:rsidRPr="00976D0B" w:rsidRDefault="00F466F2" w:rsidP="00480188">
            <w:pPr>
              <w:pStyle w:val="Tabletext1"/>
              <w:jc w:val="cente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76D0B">
              <w:rPr>
                <w:rFonts w:ascii="Arial Narrow" w:hAnsi="Arial Narrow"/>
                <w:szCs w:val="20"/>
              </w:rPr>
              <w:t>75.00</w:t>
            </w:r>
          </w:p>
        </w:tc>
        <w:tc>
          <w:tcPr>
            <w:tcW w:w="546" w:type="pct"/>
          </w:tcPr>
          <w:p w14:paraId="4B424D15" w14:textId="77777777" w:rsidR="00F466F2" w:rsidRPr="00976D0B" w:rsidRDefault="00F466F2" w:rsidP="00480188">
            <w:pPr>
              <w:pStyle w:val="Tabletext1"/>
              <w:jc w:val="cente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76D0B">
              <w:rPr>
                <w:rFonts w:ascii="Arial Narrow" w:hAnsi="Arial Narrow"/>
                <w:szCs w:val="20"/>
              </w:rPr>
              <w:t>[60.00, 80.00]</w:t>
            </w:r>
          </w:p>
        </w:tc>
        <w:tc>
          <w:tcPr>
            <w:tcW w:w="545" w:type="pct"/>
          </w:tcPr>
          <w:p w14:paraId="4993F997" w14:textId="77777777" w:rsidR="00F466F2" w:rsidRPr="00976D0B" w:rsidRDefault="00F466F2" w:rsidP="00480188">
            <w:pPr>
              <w:pStyle w:val="Tabletext1"/>
              <w:jc w:val="cente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76D0B">
              <w:rPr>
                <w:rFonts w:ascii="Arial Narrow" w:hAnsi="Arial Narrow"/>
                <w:szCs w:val="20"/>
              </w:rPr>
              <w:t>75</w:t>
            </w:r>
          </w:p>
        </w:tc>
        <w:tc>
          <w:tcPr>
            <w:tcW w:w="546" w:type="pct"/>
          </w:tcPr>
          <w:p w14:paraId="4CDB0353" w14:textId="77777777" w:rsidR="00F466F2" w:rsidRPr="00976D0B" w:rsidRDefault="00F466F2" w:rsidP="00480188">
            <w:pPr>
              <w:pStyle w:val="Tabletext1"/>
              <w:jc w:val="cente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76D0B">
              <w:rPr>
                <w:rFonts w:ascii="Arial Narrow" w:hAnsi="Arial Narrow"/>
                <w:szCs w:val="20"/>
              </w:rPr>
              <w:t>[60, 80]</w:t>
            </w:r>
          </w:p>
        </w:tc>
      </w:tr>
    </w:tbl>
    <w:p w14:paraId="0D2919CA" w14:textId="2DA410FD" w:rsidR="00BC478F" w:rsidRPr="00C17257" w:rsidRDefault="00CC5A20" w:rsidP="00897C5B">
      <w:pPr>
        <w:pStyle w:val="Caption"/>
      </w:pPr>
      <w:r>
        <w:t>Table C-1</w:t>
      </w:r>
      <w:r w:rsidR="00BC478F" w:rsidRPr="00C17257">
        <w:t>: Comparison of demographics and baseline data for the ITT study population and the sub-groups with MBS administrative costing data.</w:t>
      </w:r>
    </w:p>
    <w:p w14:paraId="7CCF1B1E" w14:textId="2BE82153" w:rsidR="00BC478F" w:rsidRPr="00CC5A20" w:rsidRDefault="00BC478F" w:rsidP="00897C5B">
      <w:pPr>
        <w:pStyle w:val="Caption"/>
        <w:rPr>
          <w:snapToGrid w:val="0"/>
          <w:lang w:eastAsia="en-US"/>
        </w:rPr>
      </w:pPr>
      <w:r w:rsidRPr="00CC5A20">
        <w:rPr>
          <w:snapToGrid w:val="0"/>
          <w:lang w:eastAsia="en-US"/>
        </w:rPr>
        <w:t xml:space="preserve">* based on responses to EQ-5D-5L questionnaire transformed to utility weights (UK preferences) using crosswalk method </w:t>
      </w:r>
      <w:r w:rsidRPr="00CC5A20">
        <w:rPr>
          <w:snapToGrid w:val="0"/>
          <w:lang w:eastAsia="en-US"/>
        </w:rPr>
        <w:fldChar w:fldCharType="begin"/>
      </w:r>
      <w:r w:rsidR="00EB6EA4">
        <w:rPr>
          <w:snapToGrid w:val="0"/>
          <w:lang w:eastAsia="en-US"/>
        </w:rPr>
        <w:instrText xml:space="preserve"> ADDIN EN.CITE &lt;EndNote&gt;&lt;Cite&gt;&lt;Author&gt;Van Hout&lt;/Author&gt;&lt;Year&gt;2012&lt;/Year&gt;&lt;RecNum&gt;69&lt;/RecNum&gt;&lt;DisplayText&gt;(67)&lt;/DisplayText&gt;&lt;record&gt;&lt;rec-number&gt;69&lt;/rec-number&gt;&lt;foreign-keys&gt;&lt;key app="EN" db-id="9s5z5ped05vxdnede99vfsxhtzavzdzs2d5r" timestamp="1615942982"&gt;69&lt;/key&gt;&lt;/foreign-keys&gt;&lt;ref-type name="Journal Article"&gt;17&lt;/ref-type&gt;&lt;contributors&gt;&lt;authors&gt;&lt;author&gt;Van Hout, Ben&lt;/author&gt;&lt;author&gt;Janssen, MF&lt;/author&gt;&lt;author&gt;Feng, You-Shan&lt;/author&gt;&lt;author&gt;Kohlmann, Thomas&lt;/author&gt;&lt;author&gt;Busschbach, Jan&lt;/author&gt;&lt;author&gt;Golicki, Dominik&lt;/author&gt;&lt;author&gt;Lloyd, Andrew&lt;/author&gt;&lt;author&gt;Scalone, Luciana&lt;/author&gt;&lt;author&gt;Kind, Paul&lt;/author&gt;&lt;author&gt;Pickard, A Simon&lt;/author&gt;&lt;/authors&gt;&lt;/contributors&gt;&lt;titles&gt;&lt;title&gt;Interim scoring for the EQ-5D-5L: mapping the EQ-5D-5L to EQ-5D-3L value sets&lt;/title&gt;&lt;secondary-title&gt;Value in health&lt;/secondary-title&gt;&lt;/titles&gt;&lt;periodical&gt;&lt;full-title&gt;Value in Health&lt;/full-title&gt;&lt;/periodical&gt;&lt;pages&gt;708-715&lt;/pages&gt;&lt;volume&gt;15&lt;/volume&gt;&lt;number&gt;5&lt;/number&gt;&lt;dates&gt;&lt;year&gt;2012&lt;/year&gt;&lt;/dates&gt;&lt;isbn&gt;1098-3015&lt;/isbn&gt;&lt;urls&gt;&lt;/urls&gt;&lt;/record&gt;&lt;/Cite&gt;&lt;/EndNote&gt;</w:instrText>
      </w:r>
      <w:r w:rsidRPr="00CC5A20">
        <w:rPr>
          <w:snapToGrid w:val="0"/>
          <w:lang w:eastAsia="en-US"/>
        </w:rPr>
        <w:fldChar w:fldCharType="separate"/>
      </w:r>
      <w:r w:rsidR="00EB6EA4">
        <w:rPr>
          <w:noProof/>
          <w:snapToGrid w:val="0"/>
          <w:lang w:eastAsia="en-US"/>
        </w:rPr>
        <w:t>(</w:t>
      </w:r>
      <w:hyperlink w:anchor="_ENREF_67" w:tooltip="Van Hout, 2012 #69" w:history="1">
        <w:r w:rsidR="00EB6EA4">
          <w:rPr>
            <w:noProof/>
            <w:snapToGrid w:val="0"/>
            <w:lang w:eastAsia="en-US"/>
          </w:rPr>
          <w:t>67</w:t>
        </w:r>
      </w:hyperlink>
      <w:r w:rsidR="00EB6EA4">
        <w:rPr>
          <w:noProof/>
          <w:snapToGrid w:val="0"/>
          <w:lang w:eastAsia="en-US"/>
        </w:rPr>
        <w:t>)</w:t>
      </w:r>
      <w:r w:rsidRPr="00CC5A20">
        <w:rPr>
          <w:snapToGrid w:val="0"/>
          <w:lang w:eastAsia="en-US"/>
        </w:rPr>
        <w:fldChar w:fldCharType="end"/>
      </w:r>
      <w:r w:rsidRPr="00CC5A20">
        <w:rPr>
          <w:snapToGrid w:val="0"/>
          <w:lang w:eastAsia="en-US"/>
        </w:rPr>
        <w:t xml:space="preserve"> – see Section C.4.</w:t>
      </w:r>
    </w:p>
    <w:p w14:paraId="13751155" w14:textId="1E807A40" w:rsidR="007D1CE9" w:rsidRPr="00CC5A20" w:rsidRDefault="00485020" w:rsidP="00897C5B">
      <w:pPr>
        <w:pStyle w:val="Caption"/>
        <w:rPr>
          <w:snapToGrid w:val="0"/>
          <w:lang w:eastAsia="en-US"/>
        </w:rPr>
      </w:pPr>
      <w:r w:rsidRPr="00CC5A20">
        <w:rPr>
          <w:snapToGrid w:val="0"/>
          <w:lang w:eastAsia="en-US"/>
        </w:rPr>
        <w:t>The sample size for each arm or sub-</w:t>
      </w:r>
      <w:r w:rsidR="007D1CE9" w:rsidRPr="00CC5A20">
        <w:rPr>
          <w:snapToGrid w:val="0"/>
          <w:lang w:eastAsia="en-US"/>
        </w:rPr>
        <w:t>group</w:t>
      </w:r>
      <w:r w:rsidRPr="00CC5A20">
        <w:rPr>
          <w:snapToGrid w:val="0"/>
          <w:lang w:eastAsia="en-US"/>
        </w:rPr>
        <w:t xml:space="preserve"> is indicated in the table. However, sample size for BMI outcome is</w:t>
      </w:r>
      <w:r w:rsidRPr="00CC5A20">
        <w:rPr>
          <w:snapToGrid w:val="0"/>
          <w:vertAlign w:val="superscript"/>
          <w:lang w:eastAsia="en-US"/>
        </w:rPr>
        <w:t xml:space="preserve"> </w:t>
      </w:r>
      <w:r w:rsidR="00BC478F" w:rsidRPr="00CC5A20">
        <w:rPr>
          <w:snapToGrid w:val="0"/>
          <w:vertAlign w:val="superscript"/>
          <w:lang w:eastAsia="en-US"/>
        </w:rPr>
        <w:t>a</w:t>
      </w:r>
      <w:r w:rsidRPr="00CC5A20">
        <w:rPr>
          <w:snapToGrid w:val="0"/>
          <w:lang w:eastAsia="en-US"/>
        </w:rPr>
        <w:t xml:space="preserve"> n = 51, </w:t>
      </w:r>
      <w:r w:rsidR="00BC478F" w:rsidRPr="00CC5A20">
        <w:rPr>
          <w:snapToGrid w:val="0"/>
          <w:vertAlign w:val="superscript"/>
          <w:lang w:eastAsia="en-US"/>
        </w:rPr>
        <w:t>b</w:t>
      </w:r>
      <w:r w:rsidR="00BC478F" w:rsidRPr="00CC5A20">
        <w:rPr>
          <w:snapToGrid w:val="0"/>
          <w:lang w:eastAsia="en-US"/>
        </w:rPr>
        <w:t xml:space="preserve"> n = 59</w:t>
      </w:r>
      <w:r w:rsidRPr="00CC5A20">
        <w:rPr>
          <w:snapToGrid w:val="0"/>
          <w:lang w:eastAsia="en-US"/>
        </w:rPr>
        <w:t xml:space="preserve"> and for Daily ACFI supplement is </w:t>
      </w:r>
      <w:proofErr w:type="spellStart"/>
      <w:r w:rsidRPr="00CC5A20">
        <w:rPr>
          <w:snapToGrid w:val="0"/>
          <w:vertAlign w:val="superscript"/>
          <w:lang w:eastAsia="en-US"/>
        </w:rPr>
        <w:t>c</w:t>
      </w:r>
      <w:r w:rsidRPr="00CC5A20">
        <w:rPr>
          <w:snapToGrid w:val="0"/>
          <w:lang w:eastAsia="en-US"/>
        </w:rPr>
        <w:t>n</w:t>
      </w:r>
      <w:proofErr w:type="spellEnd"/>
      <w:r w:rsidRPr="00CC5A20">
        <w:rPr>
          <w:snapToGrid w:val="0"/>
          <w:lang w:eastAsia="en-US"/>
        </w:rPr>
        <w:t xml:space="preserve">=116, </w:t>
      </w:r>
      <w:proofErr w:type="spellStart"/>
      <w:r w:rsidRPr="00CC5A20">
        <w:rPr>
          <w:snapToGrid w:val="0"/>
          <w:vertAlign w:val="superscript"/>
          <w:lang w:eastAsia="en-US"/>
        </w:rPr>
        <w:t>d</w:t>
      </w:r>
      <w:r w:rsidRPr="00CC5A20">
        <w:rPr>
          <w:snapToGrid w:val="0"/>
          <w:lang w:eastAsia="en-US"/>
        </w:rPr>
        <w:t>n</w:t>
      </w:r>
      <w:proofErr w:type="spellEnd"/>
      <w:r w:rsidRPr="00CC5A20">
        <w:rPr>
          <w:snapToGrid w:val="0"/>
          <w:lang w:eastAsia="en-US"/>
        </w:rPr>
        <w:t xml:space="preserve">=78, </w:t>
      </w:r>
      <w:proofErr w:type="spellStart"/>
      <w:r w:rsidRPr="00CC5A20">
        <w:rPr>
          <w:snapToGrid w:val="0"/>
          <w:vertAlign w:val="superscript"/>
          <w:lang w:eastAsia="en-US"/>
        </w:rPr>
        <w:t>e</w:t>
      </w:r>
      <w:r w:rsidRPr="00CC5A20">
        <w:rPr>
          <w:snapToGrid w:val="0"/>
          <w:lang w:eastAsia="en-US"/>
        </w:rPr>
        <w:t>n</w:t>
      </w:r>
      <w:proofErr w:type="spellEnd"/>
      <w:r w:rsidRPr="00CC5A20">
        <w:rPr>
          <w:snapToGrid w:val="0"/>
          <w:lang w:eastAsia="en-US"/>
        </w:rPr>
        <w:t xml:space="preserve">=123, </w:t>
      </w:r>
      <w:proofErr w:type="spellStart"/>
      <w:r w:rsidRPr="00CC5A20">
        <w:rPr>
          <w:snapToGrid w:val="0"/>
          <w:vertAlign w:val="superscript"/>
          <w:lang w:eastAsia="en-US"/>
        </w:rPr>
        <w:t>f</w:t>
      </w:r>
      <w:r w:rsidRPr="00CC5A20">
        <w:rPr>
          <w:snapToGrid w:val="0"/>
          <w:lang w:eastAsia="en-US"/>
        </w:rPr>
        <w:t>n</w:t>
      </w:r>
      <w:proofErr w:type="spellEnd"/>
      <w:r w:rsidRPr="00CC5A20">
        <w:rPr>
          <w:snapToGrid w:val="0"/>
          <w:lang w:eastAsia="en-US"/>
        </w:rPr>
        <w:t>=85.</w:t>
      </w:r>
    </w:p>
    <w:p w14:paraId="4D741FC3" w14:textId="77777777" w:rsidR="007D1CE9" w:rsidRDefault="007D1CE9" w:rsidP="007501B9">
      <w:pPr>
        <w:rPr>
          <w:snapToGrid w:val="0"/>
          <w:lang w:eastAsia="en-US"/>
        </w:rPr>
      </w:pPr>
      <w:r>
        <w:rPr>
          <w:snapToGrid w:val="0"/>
          <w:lang w:eastAsia="en-US"/>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omparison of demographics and baseline data for the ITT study population and the sub-groups with PBS administrative costing data."/>
        <w:tblDescription w:val="Comparison of demographics and baseline data for the ITT study population and the sub-groups with PBS administrative costing data."/>
      </w:tblPr>
      <w:tblGrid>
        <w:gridCol w:w="1128"/>
        <w:gridCol w:w="993"/>
        <w:gridCol w:w="992"/>
        <w:gridCol w:w="992"/>
        <w:gridCol w:w="992"/>
        <w:gridCol w:w="994"/>
        <w:gridCol w:w="921"/>
        <w:gridCol w:w="920"/>
        <w:gridCol w:w="1084"/>
      </w:tblGrid>
      <w:tr w:rsidR="004E774B" w:rsidRPr="00480188" w14:paraId="6DAAABA7" w14:textId="77777777" w:rsidTr="00480188">
        <w:trPr>
          <w:trHeight w:val="300"/>
          <w:tblHeader/>
        </w:trPr>
        <w:tc>
          <w:tcPr>
            <w:tcW w:w="626" w:type="pct"/>
            <w:shd w:val="clear" w:color="auto" w:fill="000000" w:themeFill="text1"/>
          </w:tcPr>
          <w:p w14:paraId="27A3A32F" w14:textId="77777777" w:rsidR="00F466F2" w:rsidRPr="00480188" w:rsidRDefault="00F466F2" w:rsidP="00480188">
            <w:pPr>
              <w:pStyle w:val="TableHeader"/>
              <w:rPr>
                <w:rFonts w:ascii="Arial Narrow" w:hAnsi="Arial Narrow"/>
                <w:sz w:val="20"/>
                <w:szCs w:val="20"/>
              </w:rPr>
            </w:pPr>
            <w:bookmarkStart w:id="205" w:name="Title_1991" w:colFirst="0" w:colLast="0"/>
            <w:r w:rsidRPr="00480188">
              <w:rPr>
                <w:rFonts w:ascii="Arial Narrow" w:hAnsi="Arial Narrow"/>
                <w:sz w:val="20"/>
                <w:szCs w:val="20"/>
              </w:rPr>
              <w:lastRenderedPageBreak/>
              <w:t>Descriptor</w:t>
            </w:r>
          </w:p>
        </w:tc>
        <w:tc>
          <w:tcPr>
            <w:tcW w:w="551" w:type="pct"/>
            <w:shd w:val="clear" w:color="auto" w:fill="000000" w:themeFill="text1"/>
            <w:noWrap/>
          </w:tcPr>
          <w:p w14:paraId="4BB806DC" w14:textId="659FE231" w:rsidR="00F466F2" w:rsidRPr="00480188" w:rsidRDefault="00F466F2" w:rsidP="00480188">
            <w:pPr>
              <w:pStyle w:val="TableHeader"/>
              <w:rPr>
                <w:rFonts w:ascii="Arial Narrow" w:hAnsi="Arial Narrow"/>
                <w:sz w:val="20"/>
                <w:szCs w:val="20"/>
              </w:rPr>
            </w:pPr>
            <w:proofErr w:type="spellStart"/>
            <w:r w:rsidRPr="00480188">
              <w:rPr>
                <w:rFonts w:ascii="Arial Narrow" w:hAnsi="Arial Narrow"/>
                <w:sz w:val="20"/>
                <w:szCs w:val="20"/>
              </w:rPr>
              <w:t>Intervent</w:t>
            </w:r>
            <w:proofErr w:type="spellEnd"/>
            <w:r w:rsidR="004E774B" w:rsidRPr="00480188">
              <w:rPr>
                <w:rFonts w:ascii="Arial Narrow" w:hAnsi="Arial Narrow"/>
                <w:sz w:val="20"/>
                <w:szCs w:val="20"/>
              </w:rPr>
              <w:t>-</w:t>
            </w:r>
            <w:r w:rsidRPr="00480188">
              <w:rPr>
                <w:rFonts w:ascii="Arial Narrow" w:hAnsi="Arial Narrow"/>
                <w:sz w:val="20"/>
                <w:szCs w:val="20"/>
              </w:rPr>
              <w:t xml:space="preserve">ion, ITT trial arm </w:t>
            </w:r>
          </w:p>
          <w:p w14:paraId="6DEBF605" w14:textId="77777777" w:rsidR="00F466F2" w:rsidRPr="00480188" w:rsidRDefault="00F466F2" w:rsidP="00480188">
            <w:pPr>
              <w:pStyle w:val="TableHeader"/>
              <w:rPr>
                <w:rFonts w:ascii="Arial Narrow" w:hAnsi="Arial Narrow"/>
                <w:sz w:val="20"/>
                <w:szCs w:val="20"/>
              </w:rPr>
            </w:pPr>
            <w:r w:rsidRPr="00480188">
              <w:rPr>
                <w:rFonts w:ascii="Arial Narrow" w:hAnsi="Arial Narrow"/>
                <w:sz w:val="20"/>
                <w:szCs w:val="20"/>
              </w:rPr>
              <w:t>(n=120)</w:t>
            </w:r>
          </w:p>
        </w:tc>
        <w:tc>
          <w:tcPr>
            <w:tcW w:w="550" w:type="pct"/>
            <w:shd w:val="clear" w:color="auto" w:fill="000000" w:themeFill="text1"/>
          </w:tcPr>
          <w:p w14:paraId="1049FE54" w14:textId="68F90E65" w:rsidR="00F466F2" w:rsidRPr="00480188" w:rsidRDefault="00F466F2" w:rsidP="00480188">
            <w:pPr>
              <w:pStyle w:val="TableHeader"/>
              <w:rPr>
                <w:rFonts w:ascii="Arial Narrow" w:hAnsi="Arial Narrow"/>
                <w:sz w:val="20"/>
                <w:szCs w:val="20"/>
              </w:rPr>
            </w:pPr>
            <w:proofErr w:type="spellStart"/>
            <w:r w:rsidRPr="00480188">
              <w:rPr>
                <w:rFonts w:ascii="Arial Narrow" w:hAnsi="Arial Narrow"/>
                <w:sz w:val="20"/>
                <w:szCs w:val="20"/>
              </w:rPr>
              <w:t>Intervent</w:t>
            </w:r>
            <w:proofErr w:type="spellEnd"/>
            <w:r w:rsidR="004E774B" w:rsidRPr="00480188">
              <w:rPr>
                <w:rFonts w:ascii="Arial Narrow" w:hAnsi="Arial Narrow"/>
                <w:sz w:val="20"/>
                <w:szCs w:val="20"/>
              </w:rPr>
              <w:t>-</w:t>
            </w:r>
            <w:r w:rsidRPr="00480188">
              <w:rPr>
                <w:rFonts w:ascii="Arial Narrow" w:hAnsi="Arial Narrow"/>
                <w:sz w:val="20"/>
                <w:szCs w:val="20"/>
              </w:rPr>
              <w:t xml:space="preserve">ion, ITT trial arm </w:t>
            </w:r>
          </w:p>
          <w:p w14:paraId="01AE8E32" w14:textId="524FFF2F" w:rsidR="00F466F2" w:rsidRPr="00480188" w:rsidRDefault="00F466F2" w:rsidP="00480188">
            <w:pPr>
              <w:pStyle w:val="TableHeader"/>
              <w:rPr>
                <w:rFonts w:ascii="Arial Narrow" w:hAnsi="Arial Narrow"/>
                <w:sz w:val="20"/>
                <w:szCs w:val="20"/>
              </w:rPr>
            </w:pPr>
            <w:r w:rsidRPr="00480188">
              <w:rPr>
                <w:rFonts w:ascii="Arial Narrow" w:hAnsi="Arial Narrow"/>
                <w:sz w:val="20"/>
                <w:szCs w:val="20"/>
              </w:rPr>
              <w:t>Proport</w:t>
            </w:r>
            <w:r w:rsidR="004E774B" w:rsidRPr="00480188">
              <w:rPr>
                <w:rFonts w:ascii="Arial Narrow" w:hAnsi="Arial Narrow"/>
                <w:sz w:val="20"/>
                <w:szCs w:val="20"/>
              </w:rPr>
              <w:t>-</w:t>
            </w:r>
            <w:r w:rsidRPr="00480188">
              <w:rPr>
                <w:rFonts w:ascii="Arial Narrow" w:hAnsi="Arial Narrow"/>
                <w:sz w:val="20"/>
                <w:szCs w:val="20"/>
              </w:rPr>
              <w:t>ion (%) or Variation [IQR]</w:t>
            </w:r>
          </w:p>
        </w:tc>
        <w:tc>
          <w:tcPr>
            <w:tcW w:w="550" w:type="pct"/>
            <w:shd w:val="clear" w:color="auto" w:fill="000000" w:themeFill="text1"/>
          </w:tcPr>
          <w:p w14:paraId="2091D80D" w14:textId="5DE2322F" w:rsidR="00F466F2" w:rsidRPr="00480188" w:rsidRDefault="00F466F2" w:rsidP="00480188">
            <w:pPr>
              <w:pStyle w:val="TableHeader"/>
              <w:rPr>
                <w:rFonts w:ascii="Arial Narrow" w:hAnsi="Arial Narrow"/>
                <w:sz w:val="20"/>
                <w:szCs w:val="20"/>
              </w:rPr>
            </w:pPr>
            <w:proofErr w:type="spellStart"/>
            <w:r w:rsidRPr="00480188">
              <w:rPr>
                <w:rFonts w:ascii="Arial Narrow" w:hAnsi="Arial Narrow"/>
                <w:sz w:val="20"/>
                <w:szCs w:val="20"/>
              </w:rPr>
              <w:t>Intervent</w:t>
            </w:r>
            <w:proofErr w:type="spellEnd"/>
            <w:r w:rsidR="004E774B" w:rsidRPr="00480188">
              <w:rPr>
                <w:rFonts w:ascii="Arial Narrow" w:hAnsi="Arial Narrow"/>
                <w:sz w:val="20"/>
                <w:szCs w:val="20"/>
              </w:rPr>
              <w:t>-</w:t>
            </w:r>
            <w:r w:rsidRPr="00480188">
              <w:rPr>
                <w:rFonts w:ascii="Arial Narrow" w:hAnsi="Arial Narrow"/>
                <w:sz w:val="20"/>
                <w:szCs w:val="20"/>
              </w:rPr>
              <w:t>ion, PBS costs sub-dataset (n=78)</w:t>
            </w:r>
          </w:p>
        </w:tc>
        <w:tc>
          <w:tcPr>
            <w:tcW w:w="550" w:type="pct"/>
            <w:shd w:val="clear" w:color="auto" w:fill="000000" w:themeFill="text1"/>
          </w:tcPr>
          <w:p w14:paraId="161A33EF" w14:textId="3EAB2908" w:rsidR="00F466F2" w:rsidRPr="00480188" w:rsidRDefault="00F466F2" w:rsidP="00480188">
            <w:pPr>
              <w:pStyle w:val="TableHeader"/>
              <w:rPr>
                <w:rFonts w:ascii="Arial Narrow" w:hAnsi="Arial Narrow"/>
                <w:sz w:val="20"/>
                <w:szCs w:val="20"/>
              </w:rPr>
            </w:pPr>
            <w:proofErr w:type="spellStart"/>
            <w:r w:rsidRPr="00480188">
              <w:rPr>
                <w:rFonts w:ascii="Arial Narrow" w:hAnsi="Arial Narrow"/>
                <w:sz w:val="20"/>
                <w:szCs w:val="20"/>
              </w:rPr>
              <w:t>Intervent</w:t>
            </w:r>
            <w:proofErr w:type="spellEnd"/>
            <w:r w:rsidR="004E774B" w:rsidRPr="00480188">
              <w:rPr>
                <w:rFonts w:ascii="Arial Narrow" w:hAnsi="Arial Narrow"/>
                <w:sz w:val="20"/>
                <w:szCs w:val="20"/>
              </w:rPr>
              <w:t>-</w:t>
            </w:r>
            <w:r w:rsidRPr="00480188">
              <w:rPr>
                <w:rFonts w:ascii="Arial Narrow" w:hAnsi="Arial Narrow"/>
                <w:sz w:val="20"/>
                <w:szCs w:val="20"/>
              </w:rPr>
              <w:t xml:space="preserve">ion, PBS costs </w:t>
            </w:r>
            <w:r w:rsidRPr="00480188">
              <w:rPr>
                <w:rFonts w:ascii="Arial Narrow" w:hAnsi="Arial Narrow"/>
                <w:sz w:val="20"/>
                <w:szCs w:val="20"/>
              </w:rPr>
              <w:br/>
              <w:t>sub-dataset Proport</w:t>
            </w:r>
            <w:r w:rsidR="004E774B" w:rsidRPr="00480188">
              <w:rPr>
                <w:rFonts w:ascii="Arial Narrow" w:hAnsi="Arial Narrow"/>
                <w:sz w:val="20"/>
                <w:szCs w:val="20"/>
              </w:rPr>
              <w:t>-</w:t>
            </w:r>
            <w:r w:rsidRPr="00480188">
              <w:rPr>
                <w:rFonts w:ascii="Arial Narrow" w:hAnsi="Arial Narrow"/>
                <w:sz w:val="20"/>
                <w:szCs w:val="20"/>
              </w:rPr>
              <w:t>ion (%) or Variation [IQR]</w:t>
            </w:r>
          </w:p>
        </w:tc>
        <w:tc>
          <w:tcPr>
            <w:tcW w:w="551" w:type="pct"/>
            <w:shd w:val="clear" w:color="auto" w:fill="000000" w:themeFill="text1"/>
            <w:noWrap/>
          </w:tcPr>
          <w:p w14:paraId="06470DB4" w14:textId="77777777" w:rsidR="00F466F2" w:rsidRPr="00480188" w:rsidRDefault="00F466F2" w:rsidP="00480188">
            <w:pPr>
              <w:pStyle w:val="TableHeader"/>
              <w:rPr>
                <w:rFonts w:ascii="Arial Narrow" w:hAnsi="Arial Narrow"/>
                <w:sz w:val="20"/>
                <w:szCs w:val="20"/>
              </w:rPr>
            </w:pPr>
            <w:r w:rsidRPr="00480188">
              <w:rPr>
                <w:rFonts w:ascii="Arial Narrow" w:hAnsi="Arial Narrow"/>
                <w:sz w:val="20"/>
                <w:szCs w:val="20"/>
              </w:rPr>
              <w:t>Control, ITT trial arm</w:t>
            </w:r>
          </w:p>
          <w:p w14:paraId="6EE55681" w14:textId="77777777" w:rsidR="00F466F2" w:rsidRPr="00480188" w:rsidRDefault="00F466F2" w:rsidP="00480188">
            <w:pPr>
              <w:pStyle w:val="TableHeader"/>
              <w:rPr>
                <w:rFonts w:ascii="Arial Narrow" w:hAnsi="Arial Narrow"/>
                <w:sz w:val="20"/>
                <w:szCs w:val="20"/>
              </w:rPr>
            </w:pPr>
            <w:r w:rsidRPr="00480188">
              <w:rPr>
                <w:rFonts w:ascii="Arial Narrow" w:hAnsi="Arial Narrow"/>
                <w:sz w:val="20"/>
                <w:szCs w:val="20"/>
              </w:rPr>
              <w:t>(n=128)</w:t>
            </w:r>
          </w:p>
        </w:tc>
        <w:tc>
          <w:tcPr>
            <w:tcW w:w="511" w:type="pct"/>
            <w:shd w:val="clear" w:color="auto" w:fill="000000" w:themeFill="text1"/>
          </w:tcPr>
          <w:p w14:paraId="6F3481D4" w14:textId="77777777" w:rsidR="00F466F2" w:rsidRPr="00480188" w:rsidRDefault="00F466F2" w:rsidP="00480188">
            <w:pPr>
              <w:pStyle w:val="TableHeader"/>
              <w:rPr>
                <w:rFonts w:ascii="Arial Narrow" w:hAnsi="Arial Narrow"/>
                <w:sz w:val="20"/>
                <w:szCs w:val="20"/>
              </w:rPr>
            </w:pPr>
            <w:r w:rsidRPr="00480188">
              <w:rPr>
                <w:rFonts w:ascii="Arial Narrow" w:hAnsi="Arial Narrow"/>
                <w:sz w:val="20"/>
                <w:szCs w:val="20"/>
              </w:rPr>
              <w:t>Control, ITT trial arm</w:t>
            </w:r>
          </w:p>
          <w:p w14:paraId="4C65A2AB" w14:textId="3617206B" w:rsidR="00F466F2" w:rsidRPr="00480188" w:rsidRDefault="00F466F2" w:rsidP="00480188">
            <w:pPr>
              <w:pStyle w:val="TableHeader"/>
              <w:rPr>
                <w:rFonts w:ascii="Arial Narrow" w:hAnsi="Arial Narrow"/>
                <w:sz w:val="20"/>
                <w:szCs w:val="20"/>
              </w:rPr>
            </w:pPr>
            <w:r w:rsidRPr="00480188">
              <w:rPr>
                <w:rFonts w:ascii="Arial Narrow" w:hAnsi="Arial Narrow"/>
                <w:sz w:val="20"/>
                <w:szCs w:val="20"/>
              </w:rPr>
              <w:t>Proport</w:t>
            </w:r>
            <w:r w:rsidR="004E774B" w:rsidRPr="00480188">
              <w:rPr>
                <w:rFonts w:ascii="Arial Narrow" w:hAnsi="Arial Narrow"/>
                <w:sz w:val="20"/>
                <w:szCs w:val="20"/>
              </w:rPr>
              <w:t>-</w:t>
            </w:r>
            <w:r w:rsidRPr="00480188">
              <w:rPr>
                <w:rFonts w:ascii="Arial Narrow" w:hAnsi="Arial Narrow"/>
                <w:sz w:val="20"/>
                <w:szCs w:val="20"/>
              </w:rPr>
              <w:t>ion (%) or Variation [IQR]</w:t>
            </w:r>
          </w:p>
        </w:tc>
        <w:tc>
          <w:tcPr>
            <w:tcW w:w="510" w:type="pct"/>
            <w:shd w:val="clear" w:color="auto" w:fill="000000" w:themeFill="text1"/>
          </w:tcPr>
          <w:p w14:paraId="721E4F50" w14:textId="77777777" w:rsidR="00F466F2" w:rsidRPr="00480188" w:rsidRDefault="00F466F2" w:rsidP="00480188">
            <w:pPr>
              <w:pStyle w:val="TableHeader"/>
              <w:rPr>
                <w:rFonts w:ascii="Arial Narrow" w:hAnsi="Arial Narrow"/>
                <w:sz w:val="20"/>
                <w:szCs w:val="20"/>
              </w:rPr>
            </w:pPr>
            <w:r w:rsidRPr="00480188">
              <w:rPr>
                <w:rFonts w:ascii="Arial Narrow" w:hAnsi="Arial Narrow"/>
                <w:sz w:val="20"/>
                <w:szCs w:val="20"/>
              </w:rPr>
              <w:t>Control, PBS costs</w:t>
            </w:r>
            <w:r w:rsidRPr="00480188">
              <w:rPr>
                <w:rFonts w:ascii="Arial Narrow" w:hAnsi="Arial Narrow"/>
                <w:sz w:val="20"/>
                <w:szCs w:val="20"/>
              </w:rPr>
              <w:br/>
              <w:t xml:space="preserve">sub-dataset </w:t>
            </w:r>
          </w:p>
          <w:p w14:paraId="0FD59E0F" w14:textId="77777777" w:rsidR="00F466F2" w:rsidRPr="00480188" w:rsidRDefault="00F466F2" w:rsidP="00480188">
            <w:pPr>
              <w:pStyle w:val="TableHeader"/>
              <w:rPr>
                <w:rFonts w:ascii="Arial Narrow" w:hAnsi="Arial Narrow"/>
                <w:sz w:val="20"/>
                <w:szCs w:val="20"/>
              </w:rPr>
            </w:pPr>
            <w:r w:rsidRPr="00480188">
              <w:rPr>
                <w:rFonts w:ascii="Arial Narrow" w:hAnsi="Arial Narrow"/>
                <w:sz w:val="20"/>
                <w:szCs w:val="20"/>
              </w:rPr>
              <w:t>(n=85)</w:t>
            </w:r>
          </w:p>
        </w:tc>
        <w:tc>
          <w:tcPr>
            <w:tcW w:w="601" w:type="pct"/>
            <w:shd w:val="clear" w:color="auto" w:fill="000000" w:themeFill="text1"/>
          </w:tcPr>
          <w:p w14:paraId="111D71CE" w14:textId="77777777" w:rsidR="00F466F2" w:rsidRPr="00480188" w:rsidRDefault="00F466F2" w:rsidP="00480188">
            <w:pPr>
              <w:pStyle w:val="TableHeader"/>
              <w:rPr>
                <w:rFonts w:ascii="Arial Narrow" w:hAnsi="Arial Narrow"/>
                <w:sz w:val="20"/>
                <w:szCs w:val="20"/>
              </w:rPr>
            </w:pPr>
            <w:r w:rsidRPr="00480188">
              <w:rPr>
                <w:rFonts w:ascii="Arial Narrow" w:hAnsi="Arial Narrow"/>
                <w:sz w:val="20"/>
                <w:szCs w:val="20"/>
              </w:rPr>
              <w:t>Control, PBS costs</w:t>
            </w:r>
            <w:r w:rsidRPr="00480188">
              <w:rPr>
                <w:rFonts w:ascii="Arial Narrow" w:hAnsi="Arial Narrow"/>
                <w:sz w:val="20"/>
                <w:szCs w:val="20"/>
              </w:rPr>
              <w:br/>
              <w:t xml:space="preserve">sub-dataset </w:t>
            </w:r>
          </w:p>
          <w:p w14:paraId="31A3A2D6" w14:textId="77777777" w:rsidR="00F466F2" w:rsidRPr="00480188" w:rsidRDefault="00F466F2" w:rsidP="00480188">
            <w:pPr>
              <w:pStyle w:val="TableHeader"/>
              <w:rPr>
                <w:rFonts w:ascii="Arial Narrow" w:hAnsi="Arial Narrow"/>
                <w:sz w:val="20"/>
                <w:szCs w:val="20"/>
              </w:rPr>
            </w:pPr>
            <w:r w:rsidRPr="00480188">
              <w:rPr>
                <w:rFonts w:ascii="Arial Narrow" w:hAnsi="Arial Narrow"/>
                <w:sz w:val="20"/>
                <w:szCs w:val="20"/>
              </w:rPr>
              <w:t>Proportion (%) or Variation [IQR]</w:t>
            </w:r>
          </w:p>
        </w:tc>
      </w:tr>
      <w:bookmarkEnd w:id="205"/>
      <w:tr w:rsidR="004E774B" w:rsidRPr="00480188" w14:paraId="494C77D3" w14:textId="77777777" w:rsidTr="004E774B">
        <w:trPr>
          <w:trHeight w:val="300"/>
        </w:trPr>
        <w:tc>
          <w:tcPr>
            <w:tcW w:w="626" w:type="pct"/>
            <w:shd w:val="clear" w:color="auto" w:fill="auto"/>
            <w:hideMark/>
          </w:tcPr>
          <w:p w14:paraId="4788238C" w14:textId="77777777" w:rsidR="00F466F2" w:rsidRPr="00480188" w:rsidRDefault="00F466F2" w:rsidP="00480188">
            <w:pPr>
              <w:pStyle w:val="Tabletext1"/>
              <w:rPr>
                <w:rFonts w:ascii="Arial Narrow" w:hAnsi="Arial Narrow"/>
                <w:szCs w:val="20"/>
              </w:rPr>
            </w:pPr>
            <w:r w:rsidRPr="00480188">
              <w:rPr>
                <w:rFonts w:ascii="Arial Narrow" w:hAnsi="Arial Narrow"/>
                <w:szCs w:val="20"/>
              </w:rPr>
              <w:t>Age (years) at Baseline, (median [IQR])</w:t>
            </w:r>
          </w:p>
        </w:tc>
        <w:tc>
          <w:tcPr>
            <w:tcW w:w="551" w:type="pct"/>
            <w:shd w:val="clear" w:color="auto" w:fill="auto"/>
            <w:noWrap/>
            <w:vAlign w:val="center"/>
            <w:hideMark/>
          </w:tcPr>
          <w:p w14:paraId="4CC891B1" w14:textId="77777777" w:rsidR="00F466F2" w:rsidRPr="00480188" w:rsidRDefault="00F466F2" w:rsidP="00480188">
            <w:pPr>
              <w:pStyle w:val="Tabletext1"/>
              <w:jc w:val="center"/>
              <w:rPr>
                <w:rFonts w:ascii="Arial Narrow" w:hAnsi="Arial Narrow"/>
                <w:szCs w:val="20"/>
              </w:rPr>
            </w:pPr>
            <w:r w:rsidRPr="00480188">
              <w:rPr>
                <w:rFonts w:ascii="Arial Narrow" w:hAnsi="Arial Narrow"/>
                <w:szCs w:val="20"/>
              </w:rPr>
              <w:t>87 years</w:t>
            </w:r>
          </w:p>
        </w:tc>
        <w:tc>
          <w:tcPr>
            <w:tcW w:w="550" w:type="pct"/>
            <w:shd w:val="clear" w:color="auto" w:fill="auto"/>
            <w:vAlign w:val="center"/>
          </w:tcPr>
          <w:p w14:paraId="458A195A" w14:textId="77777777" w:rsidR="00F466F2" w:rsidRPr="00480188" w:rsidRDefault="00F466F2" w:rsidP="00480188">
            <w:pPr>
              <w:pStyle w:val="Tabletext1"/>
              <w:jc w:val="center"/>
              <w:rPr>
                <w:rFonts w:ascii="Arial Narrow" w:hAnsi="Arial Narrow"/>
                <w:szCs w:val="20"/>
              </w:rPr>
            </w:pPr>
            <w:r w:rsidRPr="00480188">
              <w:rPr>
                <w:rFonts w:ascii="Arial Narrow" w:hAnsi="Arial Narrow"/>
                <w:szCs w:val="20"/>
              </w:rPr>
              <w:t>[81.75, 90.00]</w:t>
            </w:r>
          </w:p>
        </w:tc>
        <w:tc>
          <w:tcPr>
            <w:tcW w:w="550" w:type="pct"/>
            <w:vAlign w:val="center"/>
          </w:tcPr>
          <w:p w14:paraId="5DFB7AAB" w14:textId="77777777" w:rsidR="00F466F2" w:rsidRPr="00480188" w:rsidRDefault="00F466F2" w:rsidP="00480188">
            <w:pPr>
              <w:pStyle w:val="Tabletext1"/>
              <w:jc w:val="center"/>
              <w:rPr>
                <w:rFonts w:ascii="Arial Narrow" w:hAnsi="Arial Narrow"/>
                <w:szCs w:val="20"/>
              </w:rPr>
            </w:pPr>
            <w:r w:rsidRPr="00480188">
              <w:rPr>
                <w:rFonts w:ascii="Arial Narrow" w:hAnsi="Arial Narrow"/>
                <w:szCs w:val="20"/>
              </w:rPr>
              <w:t>87 years</w:t>
            </w:r>
          </w:p>
        </w:tc>
        <w:tc>
          <w:tcPr>
            <w:tcW w:w="550" w:type="pct"/>
            <w:vAlign w:val="center"/>
          </w:tcPr>
          <w:p w14:paraId="139DDE52" w14:textId="77777777" w:rsidR="00F466F2" w:rsidRPr="00480188" w:rsidRDefault="00F466F2" w:rsidP="00480188">
            <w:pPr>
              <w:pStyle w:val="Tabletext1"/>
              <w:jc w:val="center"/>
              <w:rPr>
                <w:rFonts w:ascii="Arial Narrow" w:hAnsi="Arial Narrow"/>
                <w:szCs w:val="20"/>
              </w:rPr>
            </w:pPr>
            <w:r w:rsidRPr="00480188">
              <w:rPr>
                <w:rFonts w:ascii="Arial Narrow" w:hAnsi="Arial Narrow"/>
                <w:szCs w:val="20"/>
              </w:rPr>
              <w:t>[82, 90]</w:t>
            </w:r>
          </w:p>
        </w:tc>
        <w:tc>
          <w:tcPr>
            <w:tcW w:w="551" w:type="pct"/>
            <w:shd w:val="clear" w:color="auto" w:fill="auto"/>
            <w:noWrap/>
            <w:vAlign w:val="center"/>
            <w:hideMark/>
          </w:tcPr>
          <w:p w14:paraId="2A66AE5B" w14:textId="77777777" w:rsidR="00F466F2" w:rsidRPr="00480188" w:rsidRDefault="00F466F2" w:rsidP="00480188">
            <w:pPr>
              <w:pStyle w:val="Tabletext1"/>
              <w:jc w:val="center"/>
              <w:rPr>
                <w:rFonts w:ascii="Arial Narrow" w:hAnsi="Arial Narrow"/>
                <w:szCs w:val="20"/>
              </w:rPr>
            </w:pPr>
            <w:r w:rsidRPr="00480188">
              <w:rPr>
                <w:rFonts w:ascii="Arial Narrow" w:hAnsi="Arial Narrow"/>
                <w:szCs w:val="20"/>
              </w:rPr>
              <w:t>87 years</w:t>
            </w:r>
          </w:p>
        </w:tc>
        <w:tc>
          <w:tcPr>
            <w:tcW w:w="511" w:type="pct"/>
            <w:shd w:val="clear" w:color="auto" w:fill="auto"/>
            <w:vAlign w:val="center"/>
          </w:tcPr>
          <w:p w14:paraId="403BA63C" w14:textId="2C3BA251" w:rsidR="00F466F2" w:rsidRPr="00480188" w:rsidRDefault="00F466F2" w:rsidP="00480188">
            <w:pPr>
              <w:pStyle w:val="Tabletext1"/>
              <w:jc w:val="center"/>
              <w:rPr>
                <w:rFonts w:ascii="Arial Narrow" w:hAnsi="Arial Narrow"/>
                <w:szCs w:val="20"/>
              </w:rPr>
            </w:pPr>
            <w:r w:rsidRPr="00480188">
              <w:rPr>
                <w:rFonts w:ascii="Arial Narrow" w:hAnsi="Arial Narrow"/>
                <w:szCs w:val="20"/>
              </w:rPr>
              <w:t>[81.75, 90.00]</w:t>
            </w:r>
          </w:p>
        </w:tc>
        <w:tc>
          <w:tcPr>
            <w:tcW w:w="510" w:type="pct"/>
            <w:vAlign w:val="center"/>
          </w:tcPr>
          <w:p w14:paraId="4B652915" w14:textId="77777777" w:rsidR="00F466F2" w:rsidRPr="00480188" w:rsidRDefault="00F466F2" w:rsidP="00480188">
            <w:pPr>
              <w:pStyle w:val="Tabletext1"/>
              <w:jc w:val="center"/>
              <w:rPr>
                <w:rFonts w:ascii="Arial Narrow" w:hAnsi="Arial Narrow"/>
                <w:szCs w:val="20"/>
              </w:rPr>
            </w:pPr>
            <w:r w:rsidRPr="00480188">
              <w:rPr>
                <w:rFonts w:ascii="Arial Narrow" w:hAnsi="Arial Narrow"/>
                <w:szCs w:val="20"/>
              </w:rPr>
              <w:t>87 years</w:t>
            </w:r>
          </w:p>
        </w:tc>
        <w:tc>
          <w:tcPr>
            <w:tcW w:w="601" w:type="pct"/>
            <w:vAlign w:val="center"/>
          </w:tcPr>
          <w:p w14:paraId="02E5E9F1" w14:textId="77777777" w:rsidR="00F466F2" w:rsidRPr="00480188" w:rsidRDefault="00F466F2" w:rsidP="00480188">
            <w:pPr>
              <w:pStyle w:val="Tabletext1"/>
              <w:jc w:val="center"/>
              <w:rPr>
                <w:rFonts w:ascii="Arial Narrow" w:hAnsi="Arial Narrow"/>
                <w:szCs w:val="20"/>
              </w:rPr>
            </w:pPr>
            <w:r w:rsidRPr="00480188">
              <w:rPr>
                <w:rFonts w:ascii="Arial Narrow" w:hAnsi="Arial Narrow"/>
                <w:szCs w:val="20"/>
              </w:rPr>
              <w:t>[80, 90]</w:t>
            </w:r>
          </w:p>
        </w:tc>
      </w:tr>
      <w:tr w:rsidR="004E774B" w:rsidRPr="00480188" w14:paraId="0B34CA9B" w14:textId="77777777" w:rsidTr="004E774B">
        <w:trPr>
          <w:trHeight w:val="300"/>
        </w:trPr>
        <w:tc>
          <w:tcPr>
            <w:tcW w:w="626" w:type="pct"/>
            <w:tcBorders>
              <w:bottom w:val="single" w:sz="4" w:space="0" w:color="auto"/>
            </w:tcBorders>
            <w:shd w:val="clear" w:color="auto" w:fill="auto"/>
            <w:hideMark/>
          </w:tcPr>
          <w:p w14:paraId="159DB91E" w14:textId="77777777" w:rsidR="00F466F2" w:rsidRPr="00480188" w:rsidRDefault="00F466F2" w:rsidP="00480188">
            <w:pPr>
              <w:pStyle w:val="Tabletext1"/>
              <w:rPr>
                <w:rFonts w:ascii="Arial Narrow" w:hAnsi="Arial Narrow"/>
                <w:szCs w:val="20"/>
              </w:rPr>
            </w:pPr>
            <w:r w:rsidRPr="00480188">
              <w:rPr>
                <w:rFonts w:ascii="Arial Narrow" w:hAnsi="Arial Narrow"/>
                <w:szCs w:val="20"/>
              </w:rPr>
              <w:t>Gender = Male, n (%)</w:t>
            </w:r>
          </w:p>
        </w:tc>
        <w:tc>
          <w:tcPr>
            <w:tcW w:w="551" w:type="pct"/>
            <w:tcBorders>
              <w:bottom w:val="single" w:sz="4" w:space="0" w:color="auto"/>
            </w:tcBorders>
            <w:shd w:val="clear" w:color="auto" w:fill="auto"/>
            <w:noWrap/>
            <w:vAlign w:val="center"/>
            <w:hideMark/>
          </w:tcPr>
          <w:p w14:paraId="5ED367BF" w14:textId="77777777" w:rsidR="00F466F2" w:rsidRPr="00480188" w:rsidRDefault="00F466F2" w:rsidP="00480188">
            <w:pPr>
              <w:pStyle w:val="Tabletext1"/>
              <w:jc w:val="center"/>
              <w:rPr>
                <w:rFonts w:ascii="Arial Narrow" w:hAnsi="Arial Narrow"/>
                <w:szCs w:val="20"/>
              </w:rPr>
            </w:pPr>
            <w:r w:rsidRPr="00480188">
              <w:rPr>
                <w:rFonts w:ascii="Arial Narrow" w:hAnsi="Arial Narrow"/>
                <w:szCs w:val="20"/>
              </w:rPr>
              <w:t>41</w:t>
            </w:r>
          </w:p>
        </w:tc>
        <w:tc>
          <w:tcPr>
            <w:tcW w:w="550" w:type="pct"/>
            <w:tcBorders>
              <w:bottom w:val="single" w:sz="4" w:space="0" w:color="auto"/>
            </w:tcBorders>
            <w:shd w:val="clear" w:color="auto" w:fill="auto"/>
            <w:vAlign w:val="center"/>
          </w:tcPr>
          <w:p w14:paraId="6F3FFEE6" w14:textId="77777777" w:rsidR="00F466F2" w:rsidRPr="00480188" w:rsidRDefault="00F466F2" w:rsidP="00480188">
            <w:pPr>
              <w:pStyle w:val="Tabletext1"/>
              <w:jc w:val="center"/>
              <w:rPr>
                <w:rFonts w:ascii="Arial Narrow" w:hAnsi="Arial Narrow"/>
                <w:szCs w:val="20"/>
              </w:rPr>
            </w:pPr>
            <w:r w:rsidRPr="00480188">
              <w:rPr>
                <w:rFonts w:ascii="Arial Narrow" w:hAnsi="Arial Narrow"/>
                <w:szCs w:val="20"/>
              </w:rPr>
              <w:t>34.2%</w:t>
            </w:r>
          </w:p>
        </w:tc>
        <w:tc>
          <w:tcPr>
            <w:tcW w:w="550" w:type="pct"/>
            <w:tcBorders>
              <w:bottom w:val="single" w:sz="4" w:space="0" w:color="auto"/>
            </w:tcBorders>
            <w:vAlign w:val="center"/>
          </w:tcPr>
          <w:p w14:paraId="0522A8B5" w14:textId="77777777" w:rsidR="00F466F2" w:rsidRPr="00480188" w:rsidRDefault="00F466F2" w:rsidP="00480188">
            <w:pPr>
              <w:pStyle w:val="Tabletext1"/>
              <w:jc w:val="center"/>
              <w:rPr>
                <w:rFonts w:ascii="Arial Narrow" w:hAnsi="Arial Narrow"/>
                <w:szCs w:val="20"/>
              </w:rPr>
            </w:pPr>
            <w:r w:rsidRPr="00480188">
              <w:rPr>
                <w:rFonts w:ascii="Arial Narrow" w:hAnsi="Arial Narrow"/>
                <w:szCs w:val="20"/>
              </w:rPr>
              <w:t>24</w:t>
            </w:r>
          </w:p>
        </w:tc>
        <w:tc>
          <w:tcPr>
            <w:tcW w:w="550" w:type="pct"/>
            <w:tcBorders>
              <w:bottom w:val="single" w:sz="4" w:space="0" w:color="auto"/>
            </w:tcBorders>
            <w:vAlign w:val="center"/>
          </w:tcPr>
          <w:p w14:paraId="1DAED1A4" w14:textId="77777777" w:rsidR="00F466F2" w:rsidRPr="00480188" w:rsidRDefault="00F466F2" w:rsidP="00480188">
            <w:pPr>
              <w:pStyle w:val="Tabletext1"/>
              <w:jc w:val="center"/>
              <w:rPr>
                <w:rFonts w:ascii="Arial Narrow" w:hAnsi="Arial Narrow"/>
                <w:szCs w:val="20"/>
              </w:rPr>
            </w:pPr>
            <w:r w:rsidRPr="00480188">
              <w:rPr>
                <w:rFonts w:ascii="Arial Narrow" w:hAnsi="Arial Narrow"/>
                <w:szCs w:val="20"/>
              </w:rPr>
              <w:t>31%</w:t>
            </w:r>
          </w:p>
        </w:tc>
        <w:tc>
          <w:tcPr>
            <w:tcW w:w="551" w:type="pct"/>
            <w:tcBorders>
              <w:bottom w:val="single" w:sz="4" w:space="0" w:color="auto"/>
            </w:tcBorders>
            <w:shd w:val="clear" w:color="auto" w:fill="auto"/>
            <w:noWrap/>
            <w:vAlign w:val="center"/>
            <w:hideMark/>
          </w:tcPr>
          <w:p w14:paraId="56AD48A8" w14:textId="77777777" w:rsidR="00F466F2" w:rsidRPr="00480188" w:rsidRDefault="00F466F2" w:rsidP="00480188">
            <w:pPr>
              <w:pStyle w:val="Tabletext1"/>
              <w:jc w:val="center"/>
              <w:rPr>
                <w:rFonts w:ascii="Arial Narrow" w:hAnsi="Arial Narrow"/>
                <w:szCs w:val="20"/>
              </w:rPr>
            </w:pPr>
            <w:r w:rsidRPr="00480188">
              <w:rPr>
                <w:rFonts w:ascii="Arial Narrow" w:hAnsi="Arial Narrow"/>
                <w:szCs w:val="20"/>
              </w:rPr>
              <w:t>39</w:t>
            </w:r>
          </w:p>
        </w:tc>
        <w:tc>
          <w:tcPr>
            <w:tcW w:w="511" w:type="pct"/>
            <w:tcBorders>
              <w:bottom w:val="single" w:sz="4" w:space="0" w:color="auto"/>
            </w:tcBorders>
            <w:shd w:val="clear" w:color="auto" w:fill="auto"/>
            <w:vAlign w:val="center"/>
          </w:tcPr>
          <w:p w14:paraId="50C94B31" w14:textId="77777777" w:rsidR="00F466F2" w:rsidRPr="00480188" w:rsidRDefault="00F466F2" w:rsidP="00480188">
            <w:pPr>
              <w:pStyle w:val="Tabletext1"/>
              <w:jc w:val="center"/>
              <w:rPr>
                <w:rFonts w:ascii="Arial Narrow" w:hAnsi="Arial Narrow"/>
                <w:szCs w:val="20"/>
              </w:rPr>
            </w:pPr>
            <w:r w:rsidRPr="00480188">
              <w:rPr>
                <w:rFonts w:ascii="Arial Narrow" w:hAnsi="Arial Narrow"/>
                <w:szCs w:val="20"/>
              </w:rPr>
              <w:t>30.5%</w:t>
            </w:r>
          </w:p>
        </w:tc>
        <w:tc>
          <w:tcPr>
            <w:tcW w:w="510" w:type="pct"/>
            <w:tcBorders>
              <w:bottom w:val="single" w:sz="4" w:space="0" w:color="auto"/>
            </w:tcBorders>
            <w:vAlign w:val="center"/>
          </w:tcPr>
          <w:p w14:paraId="555681CC" w14:textId="77777777" w:rsidR="00F466F2" w:rsidRPr="00480188" w:rsidRDefault="00F466F2" w:rsidP="00480188">
            <w:pPr>
              <w:pStyle w:val="Tabletext1"/>
              <w:jc w:val="center"/>
              <w:rPr>
                <w:rFonts w:ascii="Arial Narrow" w:hAnsi="Arial Narrow"/>
                <w:szCs w:val="20"/>
              </w:rPr>
            </w:pPr>
            <w:r w:rsidRPr="00480188">
              <w:rPr>
                <w:rFonts w:ascii="Arial Narrow" w:hAnsi="Arial Narrow"/>
                <w:szCs w:val="20"/>
              </w:rPr>
              <w:t>24</w:t>
            </w:r>
          </w:p>
        </w:tc>
        <w:tc>
          <w:tcPr>
            <w:tcW w:w="601" w:type="pct"/>
            <w:tcBorders>
              <w:bottom w:val="single" w:sz="4" w:space="0" w:color="auto"/>
            </w:tcBorders>
            <w:vAlign w:val="center"/>
          </w:tcPr>
          <w:p w14:paraId="72BE57A2" w14:textId="77777777" w:rsidR="00F466F2" w:rsidRPr="00480188" w:rsidRDefault="00F466F2" w:rsidP="00480188">
            <w:pPr>
              <w:pStyle w:val="Tabletext1"/>
              <w:jc w:val="center"/>
              <w:rPr>
                <w:rFonts w:ascii="Arial Narrow" w:hAnsi="Arial Narrow"/>
                <w:szCs w:val="20"/>
              </w:rPr>
            </w:pPr>
            <w:r w:rsidRPr="00480188">
              <w:rPr>
                <w:rFonts w:ascii="Arial Narrow" w:hAnsi="Arial Narrow"/>
                <w:szCs w:val="20"/>
              </w:rPr>
              <w:t>28%</w:t>
            </w:r>
          </w:p>
        </w:tc>
      </w:tr>
      <w:tr w:rsidR="004E774B" w:rsidRPr="00480188" w14:paraId="56098D87" w14:textId="77777777" w:rsidTr="004E774B">
        <w:trPr>
          <w:trHeight w:val="300"/>
        </w:trPr>
        <w:tc>
          <w:tcPr>
            <w:tcW w:w="626" w:type="pct"/>
            <w:shd w:val="clear" w:color="auto" w:fill="auto"/>
            <w:hideMark/>
          </w:tcPr>
          <w:p w14:paraId="034D4D64" w14:textId="77777777" w:rsidR="00F466F2" w:rsidRPr="00480188" w:rsidRDefault="00F466F2" w:rsidP="00480188">
            <w:pPr>
              <w:pStyle w:val="Tabletext1"/>
              <w:rPr>
                <w:rFonts w:ascii="Arial Narrow" w:hAnsi="Arial Narrow"/>
                <w:szCs w:val="20"/>
              </w:rPr>
            </w:pPr>
            <w:r w:rsidRPr="00480188">
              <w:rPr>
                <w:rFonts w:ascii="Arial Narrow" w:hAnsi="Arial Narrow"/>
                <w:szCs w:val="20"/>
              </w:rPr>
              <w:t>BMI, (median [IQR])</w:t>
            </w:r>
          </w:p>
        </w:tc>
        <w:tc>
          <w:tcPr>
            <w:tcW w:w="551" w:type="pct"/>
            <w:shd w:val="clear" w:color="auto" w:fill="auto"/>
            <w:noWrap/>
            <w:vAlign w:val="center"/>
            <w:hideMark/>
          </w:tcPr>
          <w:p w14:paraId="479EA7D4" w14:textId="77777777" w:rsidR="00F466F2" w:rsidRPr="00480188" w:rsidRDefault="00F466F2" w:rsidP="00480188">
            <w:pPr>
              <w:pStyle w:val="Tabletext1"/>
              <w:jc w:val="center"/>
              <w:rPr>
                <w:rFonts w:ascii="Arial Narrow" w:hAnsi="Arial Narrow"/>
                <w:b/>
                <w:bCs/>
                <w:szCs w:val="20"/>
              </w:rPr>
            </w:pPr>
            <w:r w:rsidRPr="00480188">
              <w:rPr>
                <w:rFonts w:ascii="Arial Narrow" w:hAnsi="Arial Narrow"/>
                <w:b/>
                <w:bCs/>
                <w:szCs w:val="20"/>
              </w:rPr>
              <w:t>27.02</w:t>
            </w:r>
          </w:p>
        </w:tc>
        <w:tc>
          <w:tcPr>
            <w:tcW w:w="550" w:type="pct"/>
            <w:shd w:val="clear" w:color="auto" w:fill="auto"/>
            <w:vAlign w:val="center"/>
          </w:tcPr>
          <w:p w14:paraId="2C995A31" w14:textId="77777777" w:rsidR="00F466F2" w:rsidRPr="00480188" w:rsidRDefault="00F466F2" w:rsidP="00480188">
            <w:pPr>
              <w:pStyle w:val="Tabletext1"/>
              <w:jc w:val="center"/>
              <w:rPr>
                <w:rFonts w:ascii="Arial Narrow" w:hAnsi="Arial Narrow"/>
                <w:b/>
                <w:bCs/>
                <w:szCs w:val="20"/>
              </w:rPr>
            </w:pPr>
            <w:r w:rsidRPr="00480188">
              <w:rPr>
                <w:rFonts w:ascii="Arial Narrow" w:hAnsi="Arial Narrow"/>
                <w:b/>
                <w:bCs/>
                <w:szCs w:val="20"/>
              </w:rPr>
              <w:t>[24.65, 30.85]</w:t>
            </w:r>
          </w:p>
        </w:tc>
        <w:tc>
          <w:tcPr>
            <w:tcW w:w="550" w:type="pct"/>
            <w:vAlign w:val="center"/>
          </w:tcPr>
          <w:p w14:paraId="1225E30B" w14:textId="77777777" w:rsidR="00F466F2" w:rsidRPr="00480188" w:rsidRDefault="00F466F2" w:rsidP="00480188">
            <w:pPr>
              <w:pStyle w:val="Tabletext1"/>
              <w:jc w:val="center"/>
              <w:rPr>
                <w:rFonts w:ascii="Arial Narrow" w:hAnsi="Arial Narrow"/>
                <w:b/>
                <w:bCs/>
                <w:szCs w:val="20"/>
              </w:rPr>
            </w:pPr>
            <w:r w:rsidRPr="00480188">
              <w:rPr>
                <w:rFonts w:ascii="Arial Narrow" w:hAnsi="Arial Narrow"/>
                <w:b/>
                <w:bCs/>
                <w:szCs w:val="20"/>
              </w:rPr>
              <w:t>26.23</w:t>
            </w:r>
            <w:r w:rsidRPr="00480188">
              <w:rPr>
                <w:rFonts w:ascii="Arial Narrow" w:hAnsi="Arial Narrow"/>
                <w:b/>
                <w:bCs/>
                <w:szCs w:val="20"/>
                <w:vertAlign w:val="superscript"/>
              </w:rPr>
              <w:t>a</w:t>
            </w:r>
          </w:p>
        </w:tc>
        <w:tc>
          <w:tcPr>
            <w:tcW w:w="550" w:type="pct"/>
            <w:vAlign w:val="center"/>
          </w:tcPr>
          <w:p w14:paraId="5283DD49" w14:textId="77777777" w:rsidR="00F466F2" w:rsidRPr="00480188" w:rsidRDefault="00F466F2" w:rsidP="00480188">
            <w:pPr>
              <w:pStyle w:val="Tabletext1"/>
              <w:jc w:val="center"/>
              <w:rPr>
                <w:rFonts w:ascii="Arial Narrow" w:hAnsi="Arial Narrow"/>
                <w:b/>
                <w:bCs/>
                <w:szCs w:val="20"/>
              </w:rPr>
            </w:pPr>
            <w:r w:rsidRPr="00480188">
              <w:rPr>
                <w:rFonts w:ascii="Arial Narrow" w:hAnsi="Arial Narrow"/>
                <w:b/>
                <w:bCs/>
                <w:szCs w:val="20"/>
              </w:rPr>
              <w:t>24.61, 30.77]</w:t>
            </w:r>
            <w:r w:rsidRPr="00480188">
              <w:rPr>
                <w:rFonts w:ascii="Arial Narrow" w:hAnsi="Arial Narrow"/>
                <w:b/>
                <w:bCs/>
                <w:szCs w:val="20"/>
                <w:vertAlign w:val="superscript"/>
              </w:rPr>
              <w:t xml:space="preserve"> a</w:t>
            </w:r>
          </w:p>
        </w:tc>
        <w:tc>
          <w:tcPr>
            <w:tcW w:w="551" w:type="pct"/>
            <w:shd w:val="clear" w:color="auto" w:fill="auto"/>
            <w:noWrap/>
            <w:vAlign w:val="center"/>
            <w:hideMark/>
          </w:tcPr>
          <w:p w14:paraId="27CD0D84" w14:textId="77777777" w:rsidR="00F466F2" w:rsidRPr="00480188" w:rsidRDefault="00F466F2" w:rsidP="00480188">
            <w:pPr>
              <w:pStyle w:val="Tabletext1"/>
              <w:jc w:val="center"/>
              <w:rPr>
                <w:rFonts w:ascii="Arial Narrow" w:hAnsi="Arial Narrow"/>
                <w:b/>
                <w:bCs/>
                <w:szCs w:val="20"/>
              </w:rPr>
            </w:pPr>
            <w:r w:rsidRPr="00480188">
              <w:rPr>
                <w:rFonts w:ascii="Arial Narrow" w:hAnsi="Arial Narrow"/>
                <w:b/>
                <w:bCs/>
                <w:szCs w:val="20"/>
              </w:rPr>
              <w:t>25.06</w:t>
            </w:r>
          </w:p>
        </w:tc>
        <w:tc>
          <w:tcPr>
            <w:tcW w:w="511" w:type="pct"/>
            <w:shd w:val="clear" w:color="auto" w:fill="auto"/>
            <w:vAlign w:val="center"/>
          </w:tcPr>
          <w:p w14:paraId="008C4C2F" w14:textId="77777777" w:rsidR="00F466F2" w:rsidRPr="00480188" w:rsidRDefault="00F466F2" w:rsidP="00480188">
            <w:pPr>
              <w:pStyle w:val="Tabletext1"/>
              <w:jc w:val="center"/>
              <w:rPr>
                <w:rFonts w:ascii="Arial Narrow" w:hAnsi="Arial Narrow"/>
                <w:b/>
                <w:bCs/>
                <w:szCs w:val="20"/>
              </w:rPr>
            </w:pPr>
            <w:r w:rsidRPr="00480188">
              <w:rPr>
                <w:rFonts w:ascii="Arial Narrow" w:hAnsi="Arial Narrow"/>
                <w:b/>
                <w:bCs/>
                <w:szCs w:val="20"/>
              </w:rPr>
              <w:t>[22.27, 30.13]</w:t>
            </w:r>
          </w:p>
        </w:tc>
        <w:tc>
          <w:tcPr>
            <w:tcW w:w="510" w:type="pct"/>
            <w:vAlign w:val="center"/>
          </w:tcPr>
          <w:p w14:paraId="215368A4" w14:textId="77777777" w:rsidR="00F466F2" w:rsidRPr="00480188" w:rsidRDefault="00F466F2" w:rsidP="00480188">
            <w:pPr>
              <w:pStyle w:val="Tabletext1"/>
              <w:jc w:val="center"/>
              <w:rPr>
                <w:rFonts w:ascii="Arial Narrow" w:hAnsi="Arial Narrow"/>
                <w:b/>
                <w:bCs/>
                <w:szCs w:val="20"/>
              </w:rPr>
            </w:pPr>
            <w:r w:rsidRPr="00480188">
              <w:rPr>
                <w:rFonts w:ascii="Arial Narrow" w:hAnsi="Arial Narrow"/>
                <w:b/>
                <w:bCs/>
                <w:szCs w:val="20"/>
              </w:rPr>
              <w:t xml:space="preserve">25.41 </w:t>
            </w:r>
            <w:r w:rsidRPr="00480188">
              <w:rPr>
                <w:rFonts w:ascii="Arial Narrow" w:hAnsi="Arial Narrow"/>
                <w:b/>
                <w:bCs/>
                <w:szCs w:val="20"/>
                <w:vertAlign w:val="superscript"/>
              </w:rPr>
              <w:t>b</w:t>
            </w:r>
          </w:p>
        </w:tc>
        <w:tc>
          <w:tcPr>
            <w:tcW w:w="601" w:type="pct"/>
            <w:vAlign w:val="center"/>
          </w:tcPr>
          <w:p w14:paraId="17E20C96" w14:textId="77777777" w:rsidR="00F466F2" w:rsidRPr="00480188" w:rsidRDefault="00F466F2" w:rsidP="00480188">
            <w:pPr>
              <w:pStyle w:val="Tabletext1"/>
              <w:jc w:val="center"/>
              <w:rPr>
                <w:rFonts w:ascii="Arial Narrow" w:hAnsi="Arial Narrow"/>
                <w:b/>
                <w:bCs/>
                <w:szCs w:val="20"/>
              </w:rPr>
            </w:pPr>
            <w:r w:rsidRPr="00480188">
              <w:rPr>
                <w:rFonts w:ascii="Arial Narrow" w:hAnsi="Arial Narrow"/>
                <w:b/>
                <w:bCs/>
                <w:szCs w:val="20"/>
              </w:rPr>
              <w:t xml:space="preserve">[21.81, </w:t>
            </w:r>
            <w:proofErr w:type="gramStart"/>
            <w:r w:rsidRPr="00480188">
              <w:rPr>
                <w:rFonts w:ascii="Arial Narrow" w:hAnsi="Arial Narrow"/>
                <w:b/>
                <w:bCs/>
                <w:szCs w:val="20"/>
              </w:rPr>
              <w:t>31.34]</w:t>
            </w:r>
            <w:r w:rsidRPr="00480188">
              <w:rPr>
                <w:rFonts w:ascii="Arial Narrow" w:hAnsi="Arial Narrow"/>
                <w:b/>
                <w:bCs/>
                <w:szCs w:val="20"/>
                <w:vertAlign w:val="superscript"/>
              </w:rPr>
              <w:t>b</w:t>
            </w:r>
            <w:proofErr w:type="gramEnd"/>
          </w:p>
        </w:tc>
      </w:tr>
      <w:tr w:rsidR="004E774B" w:rsidRPr="00480188" w14:paraId="0FE24458" w14:textId="77777777" w:rsidTr="004E774B">
        <w:trPr>
          <w:trHeight w:val="300"/>
        </w:trPr>
        <w:tc>
          <w:tcPr>
            <w:tcW w:w="626" w:type="pct"/>
            <w:shd w:val="clear" w:color="auto" w:fill="auto"/>
            <w:hideMark/>
          </w:tcPr>
          <w:p w14:paraId="47874A9F" w14:textId="77777777" w:rsidR="00F466F2" w:rsidRPr="00480188" w:rsidRDefault="00F466F2" w:rsidP="00480188">
            <w:pPr>
              <w:pStyle w:val="Tabletext1"/>
              <w:rPr>
                <w:rFonts w:ascii="Arial Narrow" w:hAnsi="Arial Narrow"/>
                <w:szCs w:val="20"/>
              </w:rPr>
            </w:pPr>
            <w:r w:rsidRPr="00480188">
              <w:rPr>
                <w:rFonts w:ascii="Arial Narrow" w:hAnsi="Arial Narrow"/>
                <w:szCs w:val="20"/>
              </w:rPr>
              <w:t>Frailty Index (median [IQR])</w:t>
            </w:r>
          </w:p>
        </w:tc>
        <w:tc>
          <w:tcPr>
            <w:tcW w:w="551" w:type="pct"/>
            <w:shd w:val="clear" w:color="auto" w:fill="auto"/>
            <w:noWrap/>
            <w:vAlign w:val="center"/>
            <w:hideMark/>
          </w:tcPr>
          <w:p w14:paraId="2C469E5D" w14:textId="77777777" w:rsidR="00F466F2" w:rsidRPr="00480188" w:rsidRDefault="00F466F2" w:rsidP="00480188">
            <w:pPr>
              <w:pStyle w:val="Tabletext1"/>
              <w:jc w:val="center"/>
              <w:rPr>
                <w:rFonts w:ascii="Arial Narrow" w:hAnsi="Arial Narrow"/>
                <w:szCs w:val="20"/>
              </w:rPr>
            </w:pPr>
            <w:r w:rsidRPr="00480188">
              <w:rPr>
                <w:rFonts w:ascii="Arial Narrow" w:hAnsi="Arial Narrow"/>
                <w:szCs w:val="20"/>
              </w:rPr>
              <w:t>0.26</w:t>
            </w:r>
          </w:p>
        </w:tc>
        <w:tc>
          <w:tcPr>
            <w:tcW w:w="550" w:type="pct"/>
            <w:shd w:val="clear" w:color="auto" w:fill="auto"/>
            <w:vAlign w:val="center"/>
          </w:tcPr>
          <w:p w14:paraId="2C361F24" w14:textId="77777777" w:rsidR="00F466F2" w:rsidRPr="00480188" w:rsidRDefault="00F466F2" w:rsidP="00480188">
            <w:pPr>
              <w:pStyle w:val="Tabletext1"/>
              <w:jc w:val="center"/>
              <w:rPr>
                <w:rFonts w:ascii="Arial Narrow" w:hAnsi="Arial Narrow"/>
                <w:szCs w:val="20"/>
              </w:rPr>
            </w:pPr>
            <w:r w:rsidRPr="00480188">
              <w:rPr>
                <w:rFonts w:ascii="Arial Narrow" w:hAnsi="Arial Narrow"/>
                <w:szCs w:val="20"/>
              </w:rPr>
              <w:t>[0.22, 0.31]</w:t>
            </w:r>
          </w:p>
        </w:tc>
        <w:tc>
          <w:tcPr>
            <w:tcW w:w="550" w:type="pct"/>
            <w:vAlign w:val="center"/>
          </w:tcPr>
          <w:p w14:paraId="33557B40" w14:textId="77777777" w:rsidR="00F466F2" w:rsidRPr="00480188" w:rsidRDefault="00F466F2" w:rsidP="00480188">
            <w:pPr>
              <w:pStyle w:val="Tabletext1"/>
              <w:jc w:val="center"/>
              <w:rPr>
                <w:rFonts w:ascii="Arial Narrow" w:hAnsi="Arial Narrow"/>
                <w:szCs w:val="20"/>
              </w:rPr>
            </w:pPr>
            <w:r w:rsidRPr="00480188">
              <w:rPr>
                <w:rFonts w:ascii="Arial Narrow" w:hAnsi="Arial Narrow"/>
                <w:szCs w:val="20"/>
              </w:rPr>
              <w:t>0.26</w:t>
            </w:r>
          </w:p>
        </w:tc>
        <w:tc>
          <w:tcPr>
            <w:tcW w:w="550" w:type="pct"/>
            <w:vAlign w:val="center"/>
          </w:tcPr>
          <w:p w14:paraId="7166118D" w14:textId="77777777" w:rsidR="00F466F2" w:rsidRPr="00480188" w:rsidRDefault="00F466F2" w:rsidP="00480188">
            <w:pPr>
              <w:pStyle w:val="Tabletext1"/>
              <w:jc w:val="center"/>
              <w:rPr>
                <w:rFonts w:ascii="Arial Narrow" w:hAnsi="Arial Narrow"/>
                <w:szCs w:val="20"/>
              </w:rPr>
            </w:pPr>
            <w:r w:rsidRPr="00480188">
              <w:rPr>
                <w:rFonts w:ascii="Arial Narrow" w:hAnsi="Arial Narrow"/>
                <w:szCs w:val="20"/>
              </w:rPr>
              <w:t>[0.22, 0.30]</w:t>
            </w:r>
          </w:p>
        </w:tc>
        <w:tc>
          <w:tcPr>
            <w:tcW w:w="551" w:type="pct"/>
            <w:shd w:val="clear" w:color="auto" w:fill="auto"/>
            <w:noWrap/>
            <w:vAlign w:val="center"/>
            <w:hideMark/>
          </w:tcPr>
          <w:p w14:paraId="73BC3D1D" w14:textId="77777777" w:rsidR="00F466F2" w:rsidRPr="00480188" w:rsidRDefault="00F466F2" w:rsidP="00480188">
            <w:pPr>
              <w:pStyle w:val="Tabletext1"/>
              <w:jc w:val="center"/>
              <w:rPr>
                <w:rFonts w:ascii="Arial Narrow" w:hAnsi="Arial Narrow"/>
                <w:szCs w:val="20"/>
              </w:rPr>
            </w:pPr>
            <w:r w:rsidRPr="00480188">
              <w:rPr>
                <w:rFonts w:ascii="Arial Narrow" w:hAnsi="Arial Narrow"/>
                <w:szCs w:val="20"/>
              </w:rPr>
              <w:t>0.28</w:t>
            </w:r>
          </w:p>
        </w:tc>
        <w:tc>
          <w:tcPr>
            <w:tcW w:w="511" w:type="pct"/>
            <w:shd w:val="clear" w:color="auto" w:fill="auto"/>
            <w:vAlign w:val="center"/>
          </w:tcPr>
          <w:p w14:paraId="17817B26" w14:textId="77777777" w:rsidR="00F466F2" w:rsidRPr="00480188" w:rsidRDefault="00F466F2" w:rsidP="00480188">
            <w:pPr>
              <w:pStyle w:val="Tabletext1"/>
              <w:jc w:val="center"/>
              <w:rPr>
                <w:rFonts w:ascii="Arial Narrow" w:hAnsi="Arial Narrow"/>
                <w:szCs w:val="20"/>
              </w:rPr>
            </w:pPr>
            <w:r w:rsidRPr="00480188">
              <w:rPr>
                <w:rFonts w:ascii="Arial Narrow" w:hAnsi="Arial Narrow"/>
                <w:szCs w:val="20"/>
              </w:rPr>
              <w:t>[0.21, 0.33]</w:t>
            </w:r>
          </w:p>
        </w:tc>
        <w:tc>
          <w:tcPr>
            <w:tcW w:w="510" w:type="pct"/>
            <w:vAlign w:val="center"/>
          </w:tcPr>
          <w:p w14:paraId="5D5E0CC9" w14:textId="06CECF7A" w:rsidR="00F466F2" w:rsidRPr="00480188" w:rsidRDefault="00F466F2" w:rsidP="00480188">
            <w:pPr>
              <w:pStyle w:val="Tabletext1"/>
              <w:jc w:val="center"/>
              <w:rPr>
                <w:rFonts w:ascii="Arial Narrow" w:hAnsi="Arial Narrow"/>
                <w:szCs w:val="20"/>
              </w:rPr>
            </w:pPr>
            <w:r w:rsidRPr="00480188">
              <w:rPr>
                <w:rFonts w:ascii="Arial Narrow" w:hAnsi="Arial Narrow"/>
                <w:szCs w:val="20"/>
              </w:rPr>
              <w:t>0.28</w:t>
            </w:r>
          </w:p>
        </w:tc>
        <w:tc>
          <w:tcPr>
            <w:tcW w:w="601" w:type="pct"/>
            <w:vAlign w:val="center"/>
          </w:tcPr>
          <w:p w14:paraId="7C1D6CC2" w14:textId="77777777" w:rsidR="00F466F2" w:rsidRPr="00480188" w:rsidRDefault="00F466F2" w:rsidP="00480188">
            <w:pPr>
              <w:pStyle w:val="Tabletext1"/>
              <w:jc w:val="center"/>
              <w:rPr>
                <w:rFonts w:ascii="Arial Narrow" w:hAnsi="Arial Narrow"/>
                <w:szCs w:val="20"/>
              </w:rPr>
            </w:pPr>
            <w:r w:rsidRPr="00480188">
              <w:rPr>
                <w:rFonts w:ascii="Arial Narrow" w:hAnsi="Arial Narrow"/>
                <w:szCs w:val="20"/>
              </w:rPr>
              <w:t>[0.21, 0.32]</w:t>
            </w:r>
          </w:p>
        </w:tc>
      </w:tr>
      <w:tr w:rsidR="004E774B" w:rsidRPr="00480188" w14:paraId="4CA28BE8" w14:textId="77777777" w:rsidTr="004E774B">
        <w:trPr>
          <w:trHeight w:val="600"/>
        </w:trPr>
        <w:tc>
          <w:tcPr>
            <w:tcW w:w="626" w:type="pct"/>
            <w:shd w:val="clear" w:color="auto" w:fill="auto"/>
            <w:hideMark/>
          </w:tcPr>
          <w:p w14:paraId="76648CCD" w14:textId="77777777" w:rsidR="00F466F2" w:rsidRPr="00480188" w:rsidRDefault="00F466F2" w:rsidP="00480188">
            <w:pPr>
              <w:pStyle w:val="Tabletext1"/>
              <w:rPr>
                <w:rFonts w:ascii="Arial Narrow" w:hAnsi="Arial Narrow"/>
                <w:szCs w:val="20"/>
              </w:rPr>
            </w:pPr>
            <w:r w:rsidRPr="00480188">
              <w:rPr>
                <w:rFonts w:ascii="Arial Narrow" w:hAnsi="Arial Narrow"/>
                <w:szCs w:val="20"/>
              </w:rPr>
              <w:t>Calculated Montreal Cognitive Assessment (MoCA) score (score between 0-1), (median [IQR])</w:t>
            </w:r>
          </w:p>
        </w:tc>
        <w:tc>
          <w:tcPr>
            <w:tcW w:w="551" w:type="pct"/>
            <w:shd w:val="clear" w:color="auto" w:fill="auto"/>
            <w:noWrap/>
            <w:vAlign w:val="center"/>
            <w:hideMark/>
          </w:tcPr>
          <w:p w14:paraId="0A7A9474" w14:textId="77777777" w:rsidR="00F466F2" w:rsidRPr="00480188" w:rsidRDefault="00F466F2" w:rsidP="00480188">
            <w:pPr>
              <w:pStyle w:val="Tabletext1"/>
              <w:jc w:val="center"/>
              <w:rPr>
                <w:rFonts w:ascii="Arial Narrow" w:hAnsi="Arial Narrow"/>
                <w:b/>
                <w:bCs/>
                <w:szCs w:val="20"/>
              </w:rPr>
            </w:pPr>
            <w:r w:rsidRPr="00480188">
              <w:rPr>
                <w:rFonts w:ascii="Arial Narrow" w:hAnsi="Arial Narrow"/>
                <w:b/>
                <w:bCs/>
                <w:szCs w:val="20"/>
              </w:rPr>
              <w:t>0.77</w:t>
            </w:r>
            <w:r w:rsidRPr="00480188">
              <w:rPr>
                <w:rFonts w:ascii="Arial Narrow" w:hAnsi="Arial Narrow"/>
                <w:b/>
                <w:bCs/>
                <w:szCs w:val="20"/>
                <w:vertAlign w:val="superscript"/>
              </w:rPr>
              <w:t>1</w:t>
            </w:r>
          </w:p>
        </w:tc>
        <w:tc>
          <w:tcPr>
            <w:tcW w:w="550" w:type="pct"/>
            <w:shd w:val="clear" w:color="auto" w:fill="auto"/>
            <w:vAlign w:val="center"/>
          </w:tcPr>
          <w:p w14:paraId="1B9DE2E9" w14:textId="77777777" w:rsidR="00F466F2" w:rsidRPr="00480188" w:rsidRDefault="00F466F2" w:rsidP="00480188">
            <w:pPr>
              <w:pStyle w:val="Tabletext1"/>
              <w:jc w:val="center"/>
              <w:rPr>
                <w:rFonts w:ascii="Arial Narrow" w:hAnsi="Arial Narrow"/>
                <w:b/>
                <w:bCs/>
                <w:szCs w:val="20"/>
              </w:rPr>
            </w:pPr>
            <w:r w:rsidRPr="00480188">
              <w:rPr>
                <w:rFonts w:ascii="Arial Narrow" w:hAnsi="Arial Narrow"/>
                <w:b/>
                <w:bCs/>
                <w:szCs w:val="20"/>
              </w:rPr>
              <w:t>[0.67, 0.87]</w:t>
            </w:r>
            <w:r w:rsidRPr="00480188">
              <w:rPr>
                <w:rFonts w:ascii="Arial Narrow" w:hAnsi="Arial Narrow"/>
                <w:b/>
                <w:bCs/>
                <w:szCs w:val="20"/>
                <w:vertAlign w:val="superscript"/>
              </w:rPr>
              <w:t>1</w:t>
            </w:r>
          </w:p>
        </w:tc>
        <w:tc>
          <w:tcPr>
            <w:tcW w:w="550" w:type="pct"/>
            <w:vAlign w:val="center"/>
          </w:tcPr>
          <w:p w14:paraId="1316C409" w14:textId="77777777" w:rsidR="00F466F2" w:rsidRPr="00480188" w:rsidRDefault="00F466F2" w:rsidP="00480188">
            <w:pPr>
              <w:pStyle w:val="Tabletext1"/>
              <w:jc w:val="center"/>
              <w:rPr>
                <w:rFonts w:ascii="Arial Narrow" w:hAnsi="Arial Narrow"/>
                <w:b/>
                <w:bCs/>
                <w:szCs w:val="20"/>
              </w:rPr>
            </w:pPr>
            <w:r w:rsidRPr="00480188">
              <w:rPr>
                <w:rFonts w:ascii="Arial Narrow" w:hAnsi="Arial Narrow"/>
                <w:b/>
                <w:bCs/>
                <w:szCs w:val="20"/>
              </w:rPr>
              <w:t>0.78</w:t>
            </w:r>
          </w:p>
        </w:tc>
        <w:tc>
          <w:tcPr>
            <w:tcW w:w="550" w:type="pct"/>
            <w:vAlign w:val="center"/>
          </w:tcPr>
          <w:p w14:paraId="6B6B5A5E" w14:textId="77777777" w:rsidR="00F466F2" w:rsidRPr="00480188" w:rsidRDefault="00F466F2" w:rsidP="00480188">
            <w:pPr>
              <w:pStyle w:val="Tabletext1"/>
              <w:jc w:val="center"/>
              <w:rPr>
                <w:rFonts w:ascii="Arial Narrow" w:hAnsi="Arial Narrow"/>
                <w:b/>
                <w:bCs/>
                <w:szCs w:val="20"/>
              </w:rPr>
            </w:pPr>
            <w:r w:rsidRPr="00480188">
              <w:rPr>
                <w:rFonts w:ascii="Arial Narrow" w:hAnsi="Arial Narrow"/>
                <w:b/>
                <w:bCs/>
                <w:szCs w:val="20"/>
              </w:rPr>
              <w:t>[0.68, 0.87]</w:t>
            </w:r>
          </w:p>
        </w:tc>
        <w:tc>
          <w:tcPr>
            <w:tcW w:w="551" w:type="pct"/>
            <w:shd w:val="clear" w:color="auto" w:fill="auto"/>
            <w:noWrap/>
            <w:vAlign w:val="center"/>
            <w:hideMark/>
          </w:tcPr>
          <w:p w14:paraId="1076C4D5" w14:textId="77777777" w:rsidR="00F466F2" w:rsidRPr="00480188" w:rsidRDefault="00F466F2" w:rsidP="00480188">
            <w:pPr>
              <w:pStyle w:val="Tabletext1"/>
              <w:jc w:val="center"/>
              <w:rPr>
                <w:rFonts w:ascii="Arial Narrow" w:hAnsi="Arial Narrow"/>
                <w:b/>
                <w:bCs/>
                <w:szCs w:val="20"/>
              </w:rPr>
            </w:pPr>
            <w:r w:rsidRPr="00480188">
              <w:rPr>
                <w:rFonts w:ascii="Arial Narrow" w:hAnsi="Arial Narrow"/>
                <w:b/>
                <w:bCs/>
                <w:szCs w:val="20"/>
              </w:rPr>
              <w:t>0.73</w:t>
            </w:r>
          </w:p>
        </w:tc>
        <w:tc>
          <w:tcPr>
            <w:tcW w:w="511" w:type="pct"/>
            <w:shd w:val="clear" w:color="auto" w:fill="auto"/>
            <w:vAlign w:val="center"/>
          </w:tcPr>
          <w:p w14:paraId="3769DC72" w14:textId="46FA2AD3" w:rsidR="00F466F2" w:rsidRPr="00480188" w:rsidRDefault="00F466F2" w:rsidP="00480188">
            <w:pPr>
              <w:pStyle w:val="Tabletext1"/>
              <w:jc w:val="center"/>
              <w:rPr>
                <w:rFonts w:ascii="Arial Narrow" w:hAnsi="Arial Narrow"/>
                <w:b/>
                <w:bCs/>
                <w:szCs w:val="20"/>
              </w:rPr>
            </w:pPr>
            <w:r w:rsidRPr="00480188">
              <w:rPr>
                <w:rFonts w:ascii="Arial Narrow" w:hAnsi="Arial Narrow"/>
                <w:b/>
                <w:bCs/>
                <w:szCs w:val="20"/>
              </w:rPr>
              <w:t>[0.66, 0.81]</w:t>
            </w:r>
            <w:r w:rsidRPr="00480188">
              <w:rPr>
                <w:rFonts w:ascii="Arial Narrow" w:hAnsi="Arial Narrow"/>
                <w:b/>
                <w:bCs/>
                <w:szCs w:val="20"/>
                <w:vertAlign w:val="superscript"/>
              </w:rPr>
              <w:t>1</w:t>
            </w:r>
          </w:p>
        </w:tc>
        <w:tc>
          <w:tcPr>
            <w:tcW w:w="510" w:type="pct"/>
            <w:vAlign w:val="center"/>
          </w:tcPr>
          <w:p w14:paraId="733ADCAD" w14:textId="0649C0A4" w:rsidR="00F466F2" w:rsidRPr="00480188" w:rsidRDefault="00F466F2" w:rsidP="00480188">
            <w:pPr>
              <w:pStyle w:val="Tabletext1"/>
              <w:jc w:val="center"/>
              <w:rPr>
                <w:rFonts w:ascii="Arial Narrow" w:hAnsi="Arial Narrow"/>
                <w:b/>
                <w:bCs/>
                <w:szCs w:val="20"/>
              </w:rPr>
            </w:pPr>
            <w:r w:rsidRPr="00480188">
              <w:rPr>
                <w:rFonts w:ascii="Arial Narrow" w:hAnsi="Arial Narrow"/>
                <w:b/>
                <w:bCs/>
                <w:szCs w:val="20"/>
              </w:rPr>
              <w:t>0.73</w:t>
            </w:r>
          </w:p>
        </w:tc>
        <w:tc>
          <w:tcPr>
            <w:tcW w:w="601" w:type="pct"/>
            <w:vAlign w:val="center"/>
          </w:tcPr>
          <w:p w14:paraId="3430BBD4" w14:textId="77777777" w:rsidR="00F466F2" w:rsidRPr="00480188" w:rsidRDefault="00F466F2" w:rsidP="00480188">
            <w:pPr>
              <w:pStyle w:val="Tabletext1"/>
              <w:jc w:val="center"/>
              <w:rPr>
                <w:rFonts w:ascii="Arial Narrow" w:hAnsi="Arial Narrow"/>
                <w:b/>
                <w:bCs/>
                <w:szCs w:val="20"/>
              </w:rPr>
            </w:pPr>
            <w:r w:rsidRPr="00480188">
              <w:rPr>
                <w:rFonts w:ascii="Arial Narrow" w:hAnsi="Arial Narrow"/>
                <w:b/>
                <w:bCs/>
                <w:szCs w:val="20"/>
              </w:rPr>
              <w:t>[0.67, 0.83]</w:t>
            </w:r>
          </w:p>
        </w:tc>
      </w:tr>
      <w:tr w:rsidR="004E774B" w:rsidRPr="00480188" w14:paraId="59F0D0CF" w14:textId="77777777" w:rsidTr="004E774B">
        <w:trPr>
          <w:trHeight w:val="300"/>
        </w:trPr>
        <w:tc>
          <w:tcPr>
            <w:tcW w:w="626" w:type="pct"/>
            <w:shd w:val="clear" w:color="auto" w:fill="auto"/>
            <w:hideMark/>
          </w:tcPr>
          <w:p w14:paraId="12DE1F99" w14:textId="77777777" w:rsidR="00F466F2" w:rsidRPr="00480188" w:rsidRDefault="00F466F2" w:rsidP="00480188">
            <w:pPr>
              <w:pStyle w:val="Tabletext1"/>
              <w:rPr>
                <w:rFonts w:ascii="Arial Narrow" w:hAnsi="Arial Narrow"/>
                <w:szCs w:val="20"/>
              </w:rPr>
            </w:pPr>
            <w:r w:rsidRPr="00480188">
              <w:rPr>
                <w:rFonts w:ascii="Arial Narrow" w:hAnsi="Arial Narrow"/>
                <w:szCs w:val="20"/>
              </w:rPr>
              <w:t>Number of unique** medicines, n (median [IQR])</w:t>
            </w:r>
          </w:p>
        </w:tc>
        <w:tc>
          <w:tcPr>
            <w:tcW w:w="551" w:type="pct"/>
            <w:tcBorders>
              <w:top w:val="single" w:sz="4" w:space="0" w:color="auto"/>
              <w:left w:val="nil"/>
              <w:bottom w:val="single" w:sz="4" w:space="0" w:color="auto"/>
              <w:right w:val="single" w:sz="4" w:space="0" w:color="auto"/>
            </w:tcBorders>
            <w:shd w:val="clear" w:color="auto" w:fill="auto"/>
            <w:noWrap/>
            <w:vAlign w:val="center"/>
            <w:hideMark/>
          </w:tcPr>
          <w:p w14:paraId="6E6EDBAA" w14:textId="77777777" w:rsidR="00F466F2" w:rsidRPr="00480188" w:rsidRDefault="00F466F2" w:rsidP="00480188">
            <w:pPr>
              <w:pStyle w:val="Tabletext1"/>
              <w:jc w:val="center"/>
              <w:rPr>
                <w:rFonts w:ascii="Arial Narrow" w:hAnsi="Arial Narrow"/>
                <w:szCs w:val="20"/>
              </w:rPr>
            </w:pPr>
            <w:r w:rsidRPr="00480188">
              <w:rPr>
                <w:rFonts w:ascii="Arial Narrow" w:hAnsi="Arial Narrow"/>
                <w:szCs w:val="20"/>
              </w:rPr>
              <w:t>15.25</w:t>
            </w:r>
          </w:p>
        </w:tc>
        <w:tc>
          <w:tcPr>
            <w:tcW w:w="550" w:type="pct"/>
            <w:tcBorders>
              <w:top w:val="single" w:sz="4" w:space="0" w:color="auto"/>
              <w:left w:val="nil"/>
              <w:bottom w:val="single" w:sz="4" w:space="0" w:color="auto"/>
              <w:right w:val="single" w:sz="4" w:space="0" w:color="auto"/>
            </w:tcBorders>
            <w:shd w:val="clear" w:color="auto" w:fill="auto"/>
            <w:vAlign w:val="center"/>
          </w:tcPr>
          <w:p w14:paraId="2DEDF39B" w14:textId="77777777" w:rsidR="00F466F2" w:rsidRPr="00480188" w:rsidRDefault="00F466F2" w:rsidP="00480188">
            <w:pPr>
              <w:pStyle w:val="Tabletext1"/>
              <w:jc w:val="center"/>
              <w:rPr>
                <w:rFonts w:ascii="Arial Narrow" w:hAnsi="Arial Narrow"/>
                <w:szCs w:val="20"/>
              </w:rPr>
            </w:pPr>
            <w:r w:rsidRPr="00480188">
              <w:rPr>
                <w:rFonts w:ascii="Arial Narrow" w:hAnsi="Arial Narrow"/>
                <w:szCs w:val="20"/>
              </w:rPr>
              <w:t>15.25</w:t>
            </w:r>
          </w:p>
        </w:tc>
        <w:tc>
          <w:tcPr>
            <w:tcW w:w="550" w:type="pct"/>
            <w:tcBorders>
              <w:top w:val="single" w:sz="4" w:space="0" w:color="auto"/>
              <w:left w:val="single" w:sz="4" w:space="0" w:color="auto"/>
              <w:bottom w:val="single" w:sz="4" w:space="0" w:color="auto"/>
              <w:right w:val="single" w:sz="4" w:space="0" w:color="auto"/>
            </w:tcBorders>
            <w:vAlign w:val="center"/>
          </w:tcPr>
          <w:p w14:paraId="1CA75C0D" w14:textId="77777777" w:rsidR="00F466F2" w:rsidRPr="00480188" w:rsidRDefault="00F466F2" w:rsidP="00480188">
            <w:pPr>
              <w:pStyle w:val="Tabletext1"/>
              <w:jc w:val="center"/>
              <w:rPr>
                <w:rFonts w:ascii="Arial Narrow" w:hAnsi="Arial Narrow"/>
                <w:szCs w:val="20"/>
              </w:rPr>
            </w:pPr>
            <w:r w:rsidRPr="00480188">
              <w:rPr>
                <w:rFonts w:ascii="Arial Narrow" w:hAnsi="Arial Narrow"/>
                <w:szCs w:val="20"/>
              </w:rPr>
              <w:t>15.17</w:t>
            </w:r>
          </w:p>
        </w:tc>
        <w:tc>
          <w:tcPr>
            <w:tcW w:w="550" w:type="pct"/>
            <w:tcBorders>
              <w:top w:val="single" w:sz="4" w:space="0" w:color="auto"/>
              <w:left w:val="single" w:sz="4" w:space="0" w:color="auto"/>
              <w:bottom w:val="single" w:sz="4" w:space="0" w:color="auto"/>
              <w:right w:val="single" w:sz="4" w:space="0" w:color="auto"/>
            </w:tcBorders>
            <w:vAlign w:val="center"/>
          </w:tcPr>
          <w:p w14:paraId="5B8310EC" w14:textId="77777777" w:rsidR="00F466F2" w:rsidRPr="00480188" w:rsidRDefault="00F466F2" w:rsidP="00480188">
            <w:pPr>
              <w:pStyle w:val="Tabletext1"/>
              <w:jc w:val="center"/>
              <w:rPr>
                <w:rFonts w:ascii="Arial Narrow" w:hAnsi="Arial Narrow"/>
                <w:szCs w:val="20"/>
              </w:rPr>
            </w:pPr>
            <w:r w:rsidRPr="00480188">
              <w:rPr>
                <w:rFonts w:ascii="Arial Narrow" w:hAnsi="Arial Narrow"/>
                <w:szCs w:val="20"/>
              </w:rPr>
              <w:t>15.17</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2D2266" w14:textId="77777777" w:rsidR="00F466F2" w:rsidRPr="00480188" w:rsidRDefault="00F466F2" w:rsidP="00480188">
            <w:pPr>
              <w:pStyle w:val="Tabletext1"/>
              <w:jc w:val="center"/>
              <w:rPr>
                <w:rFonts w:ascii="Arial Narrow" w:hAnsi="Arial Narrow"/>
                <w:szCs w:val="20"/>
              </w:rPr>
            </w:pPr>
            <w:r w:rsidRPr="00480188">
              <w:rPr>
                <w:rFonts w:ascii="Arial Narrow" w:hAnsi="Arial Narrow"/>
                <w:szCs w:val="20"/>
              </w:rPr>
              <w:t>14.41</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14:paraId="348D75C7" w14:textId="77777777" w:rsidR="00F466F2" w:rsidRPr="00480188" w:rsidRDefault="00F466F2" w:rsidP="00480188">
            <w:pPr>
              <w:pStyle w:val="Tabletext1"/>
              <w:jc w:val="center"/>
              <w:rPr>
                <w:rFonts w:ascii="Arial Narrow" w:hAnsi="Arial Narrow"/>
                <w:szCs w:val="20"/>
              </w:rPr>
            </w:pPr>
            <w:r w:rsidRPr="00480188">
              <w:rPr>
                <w:rFonts w:ascii="Arial Narrow" w:hAnsi="Arial Narrow"/>
                <w:szCs w:val="20"/>
              </w:rPr>
              <w:t>14.41</w:t>
            </w:r>
          </w:p>
        </w:tc>
        <w:tc>
          <w:tcPr>
            <w:tcW w:w="510" w:type="pct"/>
            <w:tcBorders>
              <w:top w:val="single" w:sz="4" w:space="0" w:color="auto"/>
              <w:left w:val="single" w:sz="4" w:space="0" w:color="auto"/>
              <w:bottom w:val="single" w:sz="4" w:space="0" w:color="auto"/>
              <w:right w:val="single" w:sz="4" w:space="0" w:color="auto"/>
            </w:tcBorders>
            <w:vAlign w:val="center"/>
          </w:tcPr>
          <w:p w14:paraId="31EC1B26" w14:textId="77777777" w:rsidR="00F466F2" w:rsidRPr="00480188" w:rsidRDefault="00F466F2" w:rsidP="00480188">
            <w:pPr>
              <w:pStyle w:val="Tabletext1"/>
              <w:jc w:val="center"/>
              <w:rPr>
                <w:rFonts w:ascii="Arial Narrow" w:hAnsi="Arial Narrow"/>
                <w:szCs w:val="20"/>
              </w:rPr>
            </w:pPr>
            <w:r w:rsidRPr="00480188">
              <w:rPr>
                <w:rFonts w:ascii="Arial Narrow" w:hAnsi="Arial Narrow"/>
                <w:szCs w:val="20"/>
              </w:rPr>
              <w:t>14.31</w:t>
            </w:r>
          </w:p>
        </w:tc>
        <w:tc>
          <w:tcPr>
            <w:tcW w:w="601" w:type="pct"/>
            <w:tcBorders>
              <w:top w:val="single" w:sz="4" w:space="0" w:color="auto"/>
              <w:left w:val="single" w:sz="4" w:space="0" w:color="auto"/>
              <w:bottom w:val="single" w:sz="4" w:space="0" w:color="auto"/>
              <w:right w:val="single" w:sz="4" w:space="0" w:color="auto"/>
            </w:tcBorders>
            <w:vAlign w:val="center"/>
          </w:tcPr>
          <w:p w14:paraId="49DA6210" w14:textId="77777777" w:rsidR="00F466F2" w:rsidRPr="00480188" w:rsidRDefault="00F466F2" w:rsidP="00480188">
            <w:pPr>
              <w:pStyle w:val="Tabletext1"/>
              <w:jc w:val="center"/>
              <w:rPr>
                <w:rFonts w:ascii="Arial Narrow" w:hAnsi="Arial Narrow"/>
                <w:szCs w:val="20"/>
              </w:rPr>
            </w:pPr>
            <w:r w:rsidRPr="00480188">
              <w:rPr>
                <w:rFonts w:ascii="Arial Narrow" w:hAnsi="Arial Narrow"/>
                <w:szCs w:val="20"/>
              </w:rPr>
              <w:t>14.31</w:t>
            </w:r>
          </w:p>
        </w:tc>
      </w:tr>
      <w:tr w:rsidR="004E774B" w:rsidRPr="00480188" w14:paraId="31EF1142" w14:textId="77777777" w:rsidTr="004E774B">
        <w:trPr>
          <w:trHeight w:val="300"/>
        </w:trPr>
        <w:tc>
          <w:tcPr>
            <w:tcW w:w="626" w:type="pct"/>
            <w:shd w:val="clear" w:color="auto" w:fill="auto"/>
          </w:tcPr>
          <w:p w14:paraId="06877C9B" w14:textId="77777777" w:rsidR="00F466F2" w:rsidRPr="00480188" w:rsidRDefault="00F466F2" w:rsidP="00480188">
            <w:pPr>
              <w:pStyle w:val="Tabletext1"/>
              <w:rPr>
                <w:rFonts w:ascii="Arial Narrow" w:hAnsi="Arial Narrow"/>
                <w:szCs w:val="20"/>
              </w:rPr>
            </w:pPr>
            <w:r w:rsidRPr="00480188">
              <w:rPr>
                <w:rFonts w:ascii="Arial Narrow" w:hAnsi="Arial Narrow"/>
                <w:szCs w:val="20"/>
              </w:rPr>
              <w:t>Daily ACFI supplement at baseline (mean)</w:t>
            </w:r>
          </w:p>
        </w:tc>
        <w:tc>
          <w:tcPr>
            <w:tcW w:w="551" w:type="pct"/>
            <w:tcBorders>
              <w:top w:val="single" w:sz="4" w:space="0" w:color="auto"/>
              <w:left w:val="nil"/>
              <w:bottom w:val="single" w:sz="4" w:space="0" w:color="auto"/>
              <w:right w:val="single" w:sz="4" w:space="0" w:color="auto"/>
            </w:tcBorders>
            <w:shd w:val="clear" w:color="auto" w:fill="auto"/>
            <w:noWrap/>
            <w:vAlign w:val="center"/>
          </w:tcPr>
          <w:p w14:paraId="16C3ECE6" w14:textId="566FFAD7" w:rsidR="00F466F2" w:rsidRPr="00480188" w:rsidRDefault="00F466F2" w:rsidP="00480188">
            <w:pPr>
              <w:pStyle w:val="Tabletext1"/>
              <w:jc w:val="center"/>
              <w:rPr>
                <w:rFonts w:ascii="Arial Narrow" w:hAnsi="Arial Narrow"/>
                <w:szCs w:val="20"/>
              </w:rPr>
            </w:pPr>
            <w:r w:rsidRPr="00480188">
              <w:rPr>
                <w:rFonts w:ascii="Arial Narrow" w:hAnsi="Arial Narrow"/>
                <w:szCs w:val="20"/>
              </w:rPr>
              <w:t>$145.47</w:t>
            </w:r>
            <w:r w:rsidRPr="00480188">
              <w:rPr>
                <w:rFonts w:ascii="Arial Narrow" w:hAnsi="Arial Narrow"/>
                <w:szCs w:val="20"/>
                <w:vertAlign w:val="superscript"/>
              </w:rPr>
              <w:t>c</w:t>
            </w:r>
          </w:p>
        </w:tc>
        <w:tc>
          <w:tcPr>
            <w:tcW w:w="550" w:type="pct"/>
            <w:tcBorders>
              <w:top w:val="single" w:sz="4" w:space="0" w:color="auto"/>
              <w:left w:val="nil"/>
              <w:bottom w:val="single" w:sz="4" w:space="0" w:color="auto"/>
              <w:right w:val="single" w:sz="4" w:space="0" w:color="auto"/>
            </w:tcBorders>
            <w:shd w:val="clear" w:color="auto" w:fill="auto"/>
            <w:vAlign w:val="center"/>
          </w:tcPr>
          <w:p w14:paraId="7563FBEF" w14:textId="77777777" w:rsidR="00F466F2" w:rsidRPr="00480188" w:rsidRDefault="00F466F2" w:rsidP="00480188">
            <w:pPr>
              <w:pStyle w:val="Tabletext1"/>
              <w:jc w:val="center"/>
              <w:rPr>
                <w:rFonts w:ascii="Arial Narrow" w:hAnsi="Arial Narrow" w:cstheme="minorHAnsi"/>
                <w:color w:val="000000"/>
                <w:szCs w:val="20"/>
              </w:rPr>
            </w:pPr>
          </w:p>
        </w:tc>
        <w:tc>
          <w:tcPr>
            <w:tcW w:w="550" w:type="pct"/>
            <w:tcBorders>
              <w:top w:val="single" w:sz="4" w:space="0" w:color="auto"/>
              <w:left w:val="single" w:sz="4" w:space="0" w:color="auto"/>
              <w:bottom w:val="single" w:sz="4" w:space="0" w:color="auto"/>
              <w:right w:val="single" w:sz="4" w:space="0" w:color="auto"/>
            </w:tcBorders>
            <w:vAlign w:val="center"/>
          </w:tcPr>
          <w:p w14:paraId="17C4EB80" w14:textId="77777777" w:rsidR="00F466F2" w:rsidRPr="00480188" w:rsidRDefault="00F466F2" w:rsidP="00480188">
            <w:pPr>
              <w:pStyle w:val="Tabletext1"/>
              <w:jc w:val="center"/>
              <w:rPr>
                <w:rFonts w:ascii="Arial Narrow" w:hAnsi="Arial Narrow"/>
                <w:szCs w:val="20"/>
              </w:rPr>
            </w:pPr>
            <w:r w:rsidRPr="00480188">
              <w:rPr>
                <w:rFonts w:ascii="Arial Narrow" w:hAnsi="Arial Narrow"/>
                <w:szCs w:val="20"/>
              </w:rPr>
              <w:t>$142.85</w:t>
            </w:r>
            <w:r w:rsidRPr="00480188">
              <w:rPr>
                <w:rFonts w:ascii="Arial Narrow" w:hAnsi="Arial Narrow"/>
                <w:szCs w:val="20"/>
                <w:vertAlign w:val="superscript"/>
              </w:rPr>
              <w:t>d</w:t>
            </w:r>
          </w:p>
        </w:tc>
        <w:tc>
          <w:tcPr>
            <w:tcW w:w="550" w:type="pct"/>
            <w:tcBorders>
              <w:top w:val="single" w:sz="4" w:space="0" w:color="auto"/>
              <w:left w:val="single" w:sz="4" w:space="0" w:color="auto"/>
              <w:bottom w:val="single" w:sz="4" w:space="0" w:color="auto"/>
              <w:right w:val="single" w:sz="4" w:space="0" w:color="auto"/>
            </w:tcBorders>
            <w:vAlign w:val="center"/>
          </w:tcPr>
          <w:p w14:paraId="788B41B9" w14:textId="77777777" w:rsidR="00F466F2" w:rsidRPr="00480188" w:rsidRDefault="00F466F2" w:rsidP="00480188">
            <w:pPr>
              <w:pStyle w:val="Tabletext1"/>
              <w:jc w:val="center"/>
              <w:rPr>
                <w:rFonts w:ascii="Arial Narrow" w:hAnsi="Arial Narrow"/>
                <w:szCs w:val="20"/>
              </w:rPr>
            </w:pPr>
            <w:r w:rsidRPr="00480188">
              <w:rPr>
                <w:rFonts w:ascii="Arial Narrow" w:hAnsi="Arial Narrow"/>
                <w:szCs w:val="20"/>
              </w:rPr>
              <w:t>$</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654734" w14:textId="20F6EAD7" w:rsidR="00F466F2" w:rsidRPr="00480188" w:rsidRDefault="00F466F2" w:rsidP="00480188">
            <w:pPr>
              <w:pStyle w:val="Tabletext1"/>
              <w:jc w:val="center"/>
              <w:rPr>
                <w:rFonts w:ascii="Arial Narrow" w:hAnsi="Arial Narrow"/>
                <w:szCs w:val="20"/>
              </w:rPr>
            </w:pPr>
            <w:r w:rsidRPr="00480188">
              <w:rPr>
                <w:rFonts w:ascii="Arial Narrow" w:hAnsi="Arial Narrow"/>
                <w:szCs w:val="20"/>
              </w:rPr>
              <w:t>$154.85</w:t>
            </w:r>
            <w:r w:rsidRPr="00480188">
              <w:rPr>
                <w:rFonts w:ascii="Arial Narrow" w:hAnsi="Arial Narrow"/>
                <w:szCs w:val="20"/>
                <w:vertAlign w:val="superscript"/>
              </w:rPr>
              <w:t>e</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14:paraId="75694611" w14:textId="77777777" w:rsidR="00F466F2" w:rsidRPr="00480188" w:rsidRDefault="00F466F2" w:rsidP="00480188">
            <w:pPr>
              <w:pStyle w:val="Tabletext1"/>
              <w:jc w:val="center"/>
              <w:rPr>
                <w:rFonts w:ascii="Arial Narrow" w:hAnsi="Arial Narrow" w:cstheme="minorHAnsi"/>
                <w:color w:val="000000"/>
                <w:szCs w:val="20"/>
              </w:rPr>
            </w:pPr>
          </w:p>
        </w:tc>
        <w:tc>
          <w:tcPr>
            <w:tcW w:w="510" w:type="pct"/>
            <w:tcBorders>
              <w:top w:val="single" w:sz="4" w:space="0" w:color="auto"/>
              <w:left w:val="single" w:sz="4" w:space="0" w:color="auto"/>
              <w:bottom w:val="single" w:sz="4" w:space="0" w:color="auto"/>
              <w:right w:val="single" w:sz="4" w:space="0" w:color="auto"/>
            </w:tcBorders>
            <w:vAlign w:val="center"/>
          </w:tcPr>
          <w:p w14:paraId="62B1F282" w14:textId="77777777" w:rsidR="00F466F2" w:rsidRPr="00480188" w:rsidRDefault="00F466F2" w:rsidP="00480188">
            <w:pPr>
              <w:pStyle w:val="Tabletext1"/>
              <w:jc w:val="center"/>
              <w:rPr>
                <w:rFonts w:ascii="Arial Narrow" w:hAnsi="Arial Narrow"/>
                <w:szCs w:val="20"/>
              </w:rPr>
            </w:pPr>
            <w:r w:rsidRPr="00480188">
              <w:rPr>
                <w:rFonts w:ascii="Arial Narrow" w:hAnsi="Arial Narrow"/>
                <w:szCs w:val="20"/>
              </w:rPr>
              <w:t>$155.82</w:t>
            </w:r>
            <w:r w:rsidRPr="00480188">
              <w:rPr>
                <w:rFonts w:ascii="Arial Narrow" w:hAnsi="Arial Narrow"/>
                <w:szCs w:val="20"/>
                <w:vertAlign w:val="superscript"/>
              </w:rPr>
              <w:t>f</w:t>
            </w:r>
          </w:p>
        </w:tc>
        <w:tc>
          <w:tcPr>
            <w:tcW w:w="601" w:type="pct"/>
            <w:tcBorders>
              <w:top w:val="single" w:sz="4" w:space="0" w:color="auto"/>
              <w:left w:val="single" w:sz="4" w:space="0" w:color="auto"/>
              <w:bottom w:val="single" w:sz="4" w:space="0" w:color="auto"/>
              <w:right w:val="single" w:sz="4" w:space="0" w:color="auto"/>
            </w:tcBorders>
            <w:vAlign w:val="center"/>
          </w:tcPr>
          <w:p w14:paraId="5FB15AA3" w14:textId="77777777" w:rsidR="00F466F2" w:rsidRPr="00480188" w:rsidRDefault="00F466F2" w:rsidP="00480188">
            <w:pPr>
              <w:pStyle w:val="Tabletext1"/>
              <w:jc w:val="center"/>
              <w:rPr>
                <w:rFonts w:ascii="Arial Narrow" w:hAnsi="Arial Narrow" w:cstheme="minorHAnsi"/>
                <w:color w:val="000000"/>
                <w:szCs w:val="20"/>
              </w:rPr>
            </w:pPr>
          </w:p>
        </w:tc>
      </w:tr>
      <w:tr w:rsidR="004E774B" w:rsidRPr="00480188" w14:paraId="062908A4" w14:textId="77777777" w:rsidTr="004E774B">
        <w:trPr>
          <w:trHeight w:val="300"/>
        </w:trPr>
        <w:tc>
          <w:tcPr>
            <w:tcW w:w="626" w:type="pct"/>
            <w:shd w:val="clear" w:color="auto" w:fill="auto"/>
          </w:tcPr>
          <w:p w14:paraId="3B75D5FC" w14:textId="77777777" w:rsidR="00F466F2" w:rsidRPr="00480188" w:rsidRDefault="00F466F2" w:rsidP="00480188">
            <w:pPr>
              <w:pStyle w:val="Tabletext1"/>
              <w:rPr>
                <w:rFonts w:ascii="Arial Narrow" w:hAnsi="Arial Narrow"/>
                <w:color w:val="000000"/>
                <w:szCs w:val="20"/>
              </w:rPr>
            </w:pPr>
            <w:r w:rsidRPr="00480188">
              <w:rPr>
                <w:rFonts w:ascii="Arial Narrow" w:hAnsi="Arial Narrow"/>
                <w:szCs w:val="20"/>
              </w:rPr>
              <w:t xml:space="preserve">Baseline utility (mean)* </w:t>
            </w:r>
          </w:p>
        </w:tc>
        <w:tc>
          <w:tcPr>
            <w:tcW w:w="551" w:type="pct"/>
            <w:tcBorders>
              <w:top w:val="single" w:sz="4" w:space="0" w:color="auto"/>
              <w:left w:val="nil"/>
              <w:bottom w:val="single" w:sz="4" w:space="0" w:color="auto"/>
              <w:right w:val="single" w:sz="4" w:space="0" w:color="auto"/>
            </w:tcBorders>
            <w:shd w:val="clear" w:color="auto" w:fill="auto"/>
            <w:noWrap/>
            <w:vAlign w:val="center"/>
          </w:tcPr>
          <w:p w14:paraId="329F098D" w14:textId="77777777" w:rsidR="00F466F2" w:rsidRPr="00480188" w:rsidRDefault="00F466F2" w:rsidP="00480188">
            <w:pPr>
              <w:pStyle w:val="Tabletext1"/>
              <w:jc w:val="center"/>
              <w:rPr>
                <w:rFonts w:ascii="Arial Narrow" w:hAnsi="Arial Narrow"/>
                <w:b/>
                <w:bCs/>
                <w:szCs w:val="20"/>
              </w:rPr>
            </w:pPr>
            <w:r w:rsidRPr="00480188">
              <w:rPr>
                <w:rFonts w:ascii="Arial Narrow" w:hAnsi="Arial Narrow"/>
                <w:b/>
                <w:bCs/>
                <w:szCs w:val="20"/>
              </w:rPr>
              <w:t>0.68</w:t>
            </w:r>
          </w:p>
        </w:tc>
        <w:tc>
          <w:tcPr>
            <w:tcW w:w="550" w:type="pct"/>
            <w:tcBorders>
              <w:top w:val="single" w:sz="4" w:space="0" w:color="auto"/>
              <w:left w:val="nil"/>
              <w:bottom w:val="single" w:sz="4" w:space="0" w:color="auto"/>
              <w:right w:val="single" w:sz="4" w:space="0" w:color="auto"/>
            </w:tcBorders>
            <w:shd w:val="clear" w:color="auto" w:fill="auto"/>
            <w:vAlign w:val="center"/>
          </w:tcPr>
          <w:p w14:paraId="1A3E3A5F" w14:textId="77777777" w:rsidR="00F466F2" w:rsidRPr="00480188" w:rsidRDefault="00F466F2" w:rsidP="00480188">
            <w:pPr>
              <w:pStyle w:val="Tabletext1"/>
              <w:jc w:val="center"/>
              <w:rPr>
                <w:rFonts w:ascii="Arial Narrow" w:hAnsi="Arial Narrow"/>
                <w:b/>
                <w:bCs/>
                <w:szCs w:val="20"/>
              </w:rPr>
            </w:pPr>
            <w:r w:rsidRPr="00480188">
              <w:rPr>
                <w:rFonts w:ascii="Arial Narrow" w:hAnsi="Arial Narrow"/>
                <w:b/>
                <w:bCs/>
                <w:szCs w:val="20"/>
              </w:rPr>
              <w:t>0.68</w:t>
            </w:r>
          </w:p>
        </w:tc>
        <w:tc>
          <w:tcPr>
            <w:tcW w:w="550" w:type="pct"/>
            <w:tcBorders>
              <w:top w:val="single" w:sz="4" w:space="0" w:color="auto"/>
              <w:left w:val="single" w:sz="4" w:space="0" w:color="auto"/>
              <w:bottom w:val="single" w:sz="4" w:space="0" w:color="auto"/>
              <w:right w:val="single" w:sz="4" w:space="0" w:color="auto"/>
            </w:tcBorders>
            <w:vAlign w:val="center"/>
          </w:tcPr>
          <w:p w14:paraId="60520150" w14:textId="77777777" w:rsidR="00F466F2" w:rsidRPr="00480188" w:rsidRDefault="00F466F2" w:rsidP="00480188">
            <w:pPr>
              <w:pStyle w:val="Tabletext1"/>
              <w:jc w:val="center"/>
              <w:rPr>
                <w:rFonts w:ascii="Arial Narrow" w:hAnsi="Arial Narrow"/>
                <w:b/>
                <w:bCs/>
                <w:szCs w:val="20"/>
              </w:rPr>
            </w:pPr>
            <w:r w:rsidRPr="00480188">
              <w:rPr>
                <w:rFonts w:ascii="Arial Narrow" w:hAnsi="Arial Narrow"/>
                <w:b/>
                <w:bCs/>
                <w:szCs w:val="20"/>
              </w:rPr>
              <w:t>0.71</w:t>
            </w:r>
          </w:p>
        </w:tc>
        <w:tc>
          <w:tcPr>
            <w:tcW w:w="550" w:type="pct"/>
            <w:tcBorders>
              <w:top w:val="single" w:sz="4" w:space="0" w:color="auto"/>
              <w:left w:val="single" w:sz="4" w:space="0" w:color="auto"/>
              <w:bottom w:val="single" w:sz="4" w:space="0" w:color="auto"/>
              <w:right w:val="single" w:sz="4" w:space="0" w:color="auto"/>
            </w:tcBorders>
            <w:vAlign w:val="center"/>
          </w:tcPr>
          <w:p w14:paraId="450939BF" w14:textId="77777777" w:rsidR="00F466F2" w:rsidRPr="00480188" w:rsidRDefault="00F466F2" w:rsidP="00480188">
            <w:pPr>
              <w:pStyle w:val="Tabletext1"/>
              <w:jc w:val="center"/>
              <w:rPr>
                <w:rFonts w:ascii="Arial Narrow" w:hAnsi="Arial Narrow"/>
                <w:b/>
                <w:bCs/>
                <w:szCs w:val="20"/>
              </w:rPr>
            </w:pPr>
            <w:r w:rsidRPr="00480188">
              <w:rPr>
                <w:rFonts w:ascii="Arial Narrow" w:hAnsi="Arial Narrow"/>
                <w:b/>
                <w:bCs/>
                <w:szCs w:val="20"/>
              </w:rPr>
              <w:t>0.71</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F92C81" w14:textId="77777777" w:rsidR="00F466F2" w:rsidRPr="00480188" w:rsidRDefault="00F466F2" w:rsidP="00480188">
            <w:pPr>
              <w:pStyle w:val="Tabletext1"/>
              <w:jc w:val="center"/>
              <w:rPr>
                <w:rFonts w:ascii="Arial Narrow" w:hAnsi="Arial Narrow"/>
                <w:b/>
                <w:bCs/>
                <w:szCs w:val="20"/>
              </w:rPr>
            </w:pPr>
            <w:r w:rsidRPr="00480188">
              <w:rPr>
                <w:rFonts w:ascii="Arial Narrow" w:hAnsi="Arial Narrow"/>
                <w:b/>
                <w:bCs/>
                <w:szCs w:val="20"/>
              </w:rPr>
              <w:t>0.65</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14:paraId="2B2D1BB8" w14:textId="77777777" w:rsidR="00F466F2" w:rsidRPr="00480188" w:rsidRDefault="00F466F2" w:rsidP="00480188">
            <w:pPr>
              <w:pStyle w:val="Tabletext1"/>
              <w:jc w:val="center"/>
              <w:rPr>
                <w:rFonts w:ascii="Arial Narrow" w:hAnsi="Arial Narrow"/>
                <w:b/>
                <w:bCs/>
                <w:szCs w:val="20"/>
              </w:rPr>
            </w:pPr>
            <w:r w:rsidRPr="00480188">
              <w:rPr>
                <w:rFonts w:ascii="Arial Narrow" w:hAnsi="Arial Narrow"/>
                <w:b/>
                <w:bCs/>
                <w:szCs w:val="20"/>
              </w:rPr>
              <w:t>0.65</w:t>
            </w:r>
          </w:p>
        </w:tc>
        <w:tc>
          <w:tcPr>
            <w:tcW w:w="510" w:type="pct"/>
            <w:tcBorders>
              <w:top w:val="single" w:sz="4" w:space="0" w:color="auto"/>
              <w:left w:val="single" w:sz="4" w:space="0" w:color="auto"/>
              <w:bottom w:val="single" w:sz="4" w:space="0" w:color="auto"/>
              <w:right w:val="single" w:sz="4" w:space="0" w:color="auto"/>
            </w:tcBorders>
            <w:vAlign w:val="center"/>
          </w:tcPr>
          <w:p w14:paraId="7C8D26ED" w14:textId="77777777" w:rsidR="00F466F2" w:rsidRPr="00480188" w:rsidRDefault="00F466F2" w:rsidP="00480188">
            <w:pPr>
              <w:pStyle w:val="Tabletext1"/>
              <w:jc w:val="center"/>
              <w:rPr>
                <w:rFonts w:ascii="Arial Narrow" w:hAnsi="Arial Narrow"/>
                <w:b/>
                <w:bCs/>
                <w:szCs w:val="20"/>
              </w:rPr>
            </w:pPr>
            <w:r w:rsidRPr="00480188">
              <w:rPr>
                <w:rFonts w:ascii="Arial Narrow" w:hAnsi="Arial Narrow"/>
                <w:b/>
                <w:bCs/>
                <w:szCs w:val="20"/>
              </w:rPr>
              <w:t>0.63</w:t>
            </w:r>
          </w:p>
        </w:tc>
        <w:tc>
          <w:tcPr>
            <w:tcW w:w="601" w:type="pct"/>
            <w:tcBorders>
              <w:top w:val="single" w:sz="4" w:space="0" w:color="auto"/>
              <w:left w:val="single" w:sz="4" w:space="0" w:color="auto"/>
              <w:bottom w:val="single" w:sz="4" w:space="0" w:color="auto"/>
              <w:right w:val="single" w:sz="4" w:space="0" w:color="auto"/>
            </w:tcBorders>
            <w:vAlign w:val="center"/>
          </w:tcPr>
          <w:p w14:paraId="4E1B3E12" w14:textId="77777777" w:rsidR="00F466F2" w:rsidRPr="00480188" w:rsidRDefault="00F466F2" w:rsidP="00480188">
            <w:pPr>
              <w:pStyle w:val="Tabletext1"/>
              <w:jc w:val="center"/>
              <w:rPr>
                <w:rFonts w:ascii="Arial Narrow" w:hAnsi="Arial Narrow"/>
                <w:b/>
                <w:bCs/>
                <w:szCs w:val="20"/>
              </w:rPr>
            </w:pPr>
            <w:r w:rsidRPr="00480188">
              <w:rPr>
                <w:rFonts w:ascii="Arial Narrow" w:hAnsi="Arial Narrow"/>
                <w:b/>
                <w:bCs/>
                <w:szCs w:val="20"/>
              </w:rPr>
              <w:t>0.63</w:t>
            </w:r>
          </w:p>
        </w:tc>
      </w:tr>
      <w:tr w:rsidR="004E774B" w:rsidRPr="00480188" w14:paraId="71C8CBA3" w14:textId="77777777" w:rsidTr="004E774B">
        <w:trPr>
          <w:trHeight w:val="300"/>
        </w:trPr>
        <w:tc>
          <w:tcPr>
            <w:tcW w:w="626" w:type="pct"/>
            <w:tcBorders>
              <w:bottom w:val="single" w:sz="4" w:space="0" w:color="auto"/>
            </w:tcBorders>
            <w:shd w:val="clear" w:color="auto" w:fill="auto"/>
            <w:hideMark/>
          </w:tcPr>
          <w:p w14:paraId="6F3D35B8" w14:textId="77777777" w:rsidR="00F466F2" w:rsidRPr="00480188" w:rsidRDefault="00F466F2" w:rsidP="00480188">
            <w:pPr>
              <w:pStyle w:val="Tabletext1"/>
              <w:rPr>
                <w:rFonts w:ascii="Arial Narrow" w:hAnsi="Arial Narrow"/>
                <w:szCs w:val="20"/>
              </w:rPr>
            </w:pPr>
            <w:r w:rsidRPr="00480188">
              <w:rPr>
                <w:rFonts w:ascii="Arial Narrow" w:hAnsi="Arial Narrow"/>
                <w:szCs w:val="20"/>
              </w:rPr>
              <w:t>Self-rated EQ-5D Health Scale (1-100), (median [IQR])</w:t>
            </w:r>
          </w:p>
        </w:tc>
        <w:tc>
          <w:tcPr>
            <w:tcW w:w="551" w:type="pct"/>
            <w:tcBorders>
              <w:bottom w:val="single" w:sz="4" w:space="0" w:color="auto"/>
            </w:tcBorders>
            <w:shd w:val="clear" w:color="auto" w:fill="auto"/>
            <w:noWrap/>
            <w:vAlign w:val="center"/>
            <w:hideMark/>
          </w:tcPr>
          <w:p w14:paraId="1A42D240" w14:textId="77777777" w:rsidR="00F466F2" w:rsidRPr="00480188" w:rsidRDefault="00F466F2" w:rsidP="00480188">
            <w:pPr>
              <w:pStyle w:val="Tabletext1"/>
              <w:jc w:val="center"/>
              <w:rPr>
                <w:rFonts w:ascii="Arial Narrow" w:hAnsi="Arial Narrow"/>
                <w:szCs w:val="20"/>
              </w:rPr>
            </w:pPr>
            <w:r w:rsidRPr="00480188">
              <w:rPr>
                <w:rFonts w:ascii="Arial Narrow" w:hAnsi="Arial Narrow"/>
                <w:szCs w:val="20"/>
              </w:rPr>
              <w:t>75.00</w:t>
            </w:r>
          </w:p>
        </w:tc>
        <w:tc>
          <w:tcPr>
            <w:tcW w:w="550" w:type="pct"/>
            <w:tcBorders>
              <w:bottom w:val="single" w:sz="4" w:space="0" w:color="auto"/>
            </w:tcBorders>
            <w:shd w:val="clear" w:color="auto" w:fill="auto"/>
            <w:vAlign w:val="center"/>
          </w:tcPr>
          <w:p w14:paraId="1088A537" w14:textId="77777777" w:rsidR="00F466F2" w:rsidRPr="00480188" w:rsidRDefault="00F466F2" w:rsidP="00480188">
            <w:pPr>
              <w:pStyle w:val="Tabletext1"/>
              <w:jc w:val="center"/>
              <w:rPr>
                <w:rFonts w:ascii="Arial Narrow" w:hAnsi="Arial Narrow"/>
                <w:szCs w:val="20"/>
              </w:rPr>
            </w:pPr>
            <w:r w:rsidRPr="00480188">
              <w:rPr>
                <w:rFonts w:ascii="Arial Narrow" w:hAnsi="Arial Narrow"/>
                <w:szCs w:val="20"/>
              </w:rPr>
              <w:t>[60.00, 85.00]</w:t>
            </w:r>
          </w:p>
        </w:tc>
        <w:tc>
          <w:tcPr>
            <w:tcW w:w="550" w:type="pct"/>
            <w:tcBorders>
              <w:bottom w:val="single" w:sz="4" w:space="0" w:color="auto"/>
            </w:tcBorders>
            <w:vAlign w:val="center"/>
          </w:tcPr>
          <w:p w14:paraId="6536D8CA" w14:textId="77777777" w:rsidR="00F466F2" w:rsidRPr="00480188" w:rsidRDefault="00F466F2" w:rsidP="00480188">
            <w:pPr>
              <w:pStyle w:val="Tabletext1"/>
              <w:jc w:val="center"/>
              <w:rPr>
                <w:rFonts w:ascii="Arial Narrow" w:hAnsi="Arial Narrow"/>
                <w:szCs w:val="20"/>
              </w:rPr>
            </w:pPr>
            <w:r w:rsidRPr="00480188">
              <w:rPr>
                <w:rFonts w:ascii="Arial Narrow" w:hAnsi="Arial Narrow"/>
                <w:szCs w:val="20"/>
              </w:rPr>
              <w:t>75</w:t>
            </w:r>
          </w:p>
        </w:tc>
        <w:tc>
          <w:tcPr>
            <w:tcW w:w="550" w:type="pct"/>
            <w:tcBorders>
              <w:bottom w:val="single" w:sz="4" w:space="0" w:color="auto"/>
            </w:tcBorders>
            <w:vAlign w:val="center"/>
          </w:tcPr>
          <w:p w14:paraId="0427A4DD" w14:textId="77777777" w:rsidR="00F466F2" w:rsidRPr="00480188" w:rsidRDefault="00F466F2" w:rsidP="00480188">
            <w:pPr>
              <w:pStyle w:val="Tabletext1"/>
              <w:jc w:val="center"/>
              <w:rPr>
                <w:rFonts w:ascii="Arial Narrow" w:hAnsi="Arial Narrow"/>
                <w:szCs w:val="20"/>
              </w:rPr>
            </w:pPr>
            <w:r w:rsidRPr="00480188">
              <w:rPr>
                <w:rFonts w:ascii="Arial Narrow" w:hAnsi="Arial Narrow"/>
                <w:szCs w:val="20"/>
              </w:rPr>
              <w:t>[61, 89]</w:t>
            </w:r>
          </w:p>
        </w:tc>
        <w:tc>
          <w:tcPr>
            <w:tcW w:w="551" w:type="pct"/>
            <w:tcBorders>
              <w:bottom w:val="single" w:sz="4" w:space="0" w:color="auto"/>
            </w:tcBorders>
            <w:shd w:val="clear" w:color="auto" w:fill="auto"/>
            <w:noWrap/>
            <w:vAlign w:val="center"/>
            <w:hideMark/>
          </w:tcPr>
          <w:p w14:paraId="7FEC5FD7" w14:textId="77777777" w:rsidR="00F466F2" w:rsidRPr="00480188" w:rsidRDefault="00F466F2" w:rsidP="00480188">
            <w:pPr>
              <w:pStyle w:val="Tabletext1"/>
              <w:jc w:val="center"/>
              <w:rPr>
                <w:rFonts w:ascii="Arial Narrow" w:hAnsi="Arial Narrow"/>
                <w:szCs w:val="20"/>
              </w:rPr>
            </w:pPr>
            <w:r w:rsidRPr="00480188">
              <w:rPr>
                <w:rFonts w:ascii="Arial Narrow" w:hAnsi="Arial Narrow"/>
                <w:szCs w:val="20"/>
              </w:rPr>
              <w:t>75.00</w:t>
            </w:r>
          </w:p>
        </w:tc>
        <w:tc>
          <w:tcPr>
            <w:tcW w:w="511" w:type="pct"/>
            <w:tcBorders>
              <w:bottom w:val="single" w:sz="4" w:space="0" w:color="auto"/>
            </w:tcBorders>
            <w:shd w:val="clear" w:color="auto" w:fill="auto"/>
            <w:vAlign w:val="center"/>
          </w:tcPr>
          <w:p w14:paraId="2A25A5BB" w14:textId="77777777" w:rsidR="00F466F2" w:rsidRPr="00480188" w:rsidRDefault="00F466F2" w:rsidP="00480188">
            <w:pPr>
              <w:pStyle w:val="Tabletext1"/>
              <w:jc w:val="center"/>
              <w:rPr>
                <w:rFonts w:ascii="Arial Narrow" w:hAnsi="Arial Narrow"/>
                <w:szCs w:val="20"/>
              </w:rPr>
            </w:pPr>
            <w:r w:rsidRPr="00480188">
              <w:rPr>
                <w:rFonts w:ascii="Arial Narrow" w:hAnsi="Arial Narrow"/>
                <w:szCs w:val="20"/>
              </w:rPr>
              <w:t>[60.00, 80.00]</w:t>
            </w:r>
          </w:p>
        </w:tc>
        <w:tc>
          <w:tcPr>
            <w:tcW w:w="510" w:type="pct"/>
            <w:tcBorders>
              <w:bottom w:val="single" w:sz="4" w:space="0" w:color="auto"/>
            </w:tcBorders>
            <w:vAlign w:val="center"/>
          </w:tcPr>
          <w:p w14:paraId="0153BCB2" w14:textId="77777777" w:rsidR="00F466F2" w:rsidRPr="00480188" w:rsidRDefault="00F466F2" w:rsidP="00480188">
            <w:pPr>
              <w:pStyle w:val="Tabletext1"/>
              <w:jc w:val="center"/>
              <w:rPr>
                <w:rFonts w:ascii="Arial Narrow" w:hAnsi="Arial Narrow"/>
                <w:szCs w:val="20"/>
              </w:rPr>
            </w:pPr>
            <w:r w:rsidRPr="00480188">
              <w:rPr>
                <w:rFonts w:ascii="Arial Narrow" w:hAnsi="Arial Narrow"/>
                <w:szCs w:val="20"/>
              </w:rPr>
              <w:t>75</w:t>
            </w:r>
          </w:p>
        </w:tc>
        <w:tc>
          <w:tcPr>
            <w:tcW w:w="601" w:type="pct"/>
            <w:tcBorders>
              <w:bottom w:val="single" w:sz="4" w:space="0" w:color="auto"/>
            </w:tcBorders>
            <w:vAlign w:val="center"/>
          </w:tcPr>
          <w:p w14:paraId="047AB044" w14:textId="77777777" w:rsidR="00F466F2" w:rsidRPr="00480188" w:rsidRDefault="00F466F2" w:rsidP="00480188">
            <w:pPr>
              <w:pStyle w:val="Tabletext1"/>
              <w:jc w:val="center"/>
              <w:rPr>
                <w:rFonts w:ascii="Arial Narrow" w:hAnsi="Arial Narrow"/>
                <w:szCs w:val="20"/>
              </w:rPr>
            </w:pPr>
            <w:r w:rsidRPr="00480188">
              <w:rPr>
                <w:rFonts w:ascii="Arial Narrow" w:hAnsi="Arial Narrow"/>
                <w:szCs w:val="20"/>
              </w:rPr>
              <w:t>[60, 80]</w:t>
            </w:r>
          </w:p>
        </w:tc>
      </w:tr>
    </w:tbl>
    <w:p w14:paraId="47190F6E" w14:textId="089ED4D4" w:rsidR="00502D29" w:rsidRPr="00CC5A20" w:rsidRDefault="00502D29" w:rsidP="00897C5B">
      <w:pPr>
        <w:pStyle w:val="Caption"/>
      </w:pPr>
      <w:r w:rsidRPr="00CC5A20">
        <w:t xml:space="preserve">Table </w:t>
      </w:r>
      <w:r w:rsidR="00CC5A20" w:rsidRPr="00CC5A20">
        <w:t>C-2</w:t>
      </w:r>
      <w:r w:rsidRPr="00CC5A20">
        <w:t xml:space="preserve">: Comparison of demographics and baseline data for the ITT study population and the sub-groups with </w:t>
      </w:r>
      <w:r w:rsidR="00BC478F" w:rsidRPr="00CC5A20">
        <w:t xml:space="preserve">PBS </w:t>
      </w:r>
      <w:r w:rsidRPr="00CC5A20">
        <w:t>administrative costing data.</w:t>
      </w:r>
    </w:p>
    <w:p w14:paraId="77F12FEA" w14:textId="2CC9BE4D" w:rsidR="00502D29" w:rsidRPr="00480188" w:rsidRDefault="00502D29" w:rsidP="00480188">
      <w:pPr>
        <w:pStyle w:val="CommentText"/>
      </w:pPr>
      <w:r w:rsidRPr="00480188">
        <w:t>* based on responses to EQ-5D-5L questionnaire transformed to utility weights (UK preferences) using crosswalk method</w:t>
      </w:r>
      <w:r w:rsidR="00FF4718" w:rsidRPr="00480188">
        <w:t xml:space="preserve"> </w:t>
      </w:r>
      <w:r w:rsidR="00D53955" w:rsidRPr="00480188">
        <w:fldChar w:fldCharType="begin"/>
      </w:r>
      <w:r w:rsidR="00EB6EA4" w:rsidRPr="00480188">
        <w:instrText xml:space="preserve"> ADDIN EN.CITE &lt;EndNote&gt;&lt;Cite&gt;&lt;Author&gt;Van Hout&lt;/Author&gt;&lt;Year&gt;2012&lt;/Year&gt;&lt;RecNum&gt;69&lt;/RecNum&gt;&lt;DisplayText&gt;(67)&lt;/DisplayText&gt;&lt;record&gt;&lt;rec-number&gt;69&lt;/rec-number&gt;&lt;foreign-keys&gt;&lt;key app="EN" db-id="9s5z5ped05vxdnede99vfsxhtzavzdzs2d5r" timestamp="1615942982"&gt;69&lt;/key&gt;&lt;/foreign-keys&gt;&lt;ref-type name="Journal Article"&gt;17&lt;/ref-type&gt;&lt;contributors&gt;&lt;authors&gt;&lt;author&gt;Van Hout, Ben&lt;/author&gt;&lt;author&gt;Janssen, MF&lt;/author&gt;&lt;author&gt;Feng, You-Shan&lt;/author&gt;&lt;author&gt;Kohlmann, Thomas&lt;/author&gt;&lt;author&gt;Busschbach, Jan&lt;/author&gt;&lt;author&gt;Golicki, Dominik&lt;/author&gt;&lt;author&gt;Lloyd, Andrew&lt;/author&gt;&lt;author&gt;Scalone, Luciana&lt;/author&gt;&lt;author&gt;Kind, Paul&lt;/author&gt;&lt;author&gt;Pickard, A Simon&lt;/author&gt;&lt;/authors&gt;&lt;/contributors&gt;&lt;titles&gt;&lt;title&gt;Interim scoring for the EQ-5D-5L: mapping the EQ-5D-5L to EQ-5D-3L value sets&lt;/title&gt;&lt;secondary-title&gt;Value in health&lt;/secondary-title&gt;&lt;/titles&gt;&lt;periodical&gt;&lt;full-title&gt;Value in Health&lt;/full-title&gt;&lt;/periodical&gt;&lt;pages&gt;708-715&lt;/pages&gt;&lt;volume&gt;15&lt;/volume&gt;&lt;number&gt;5&lt;/number&gt;&lt;dates&gt;&lt;year&gt;2012&lt;/year&gt;&lt;/dates&gt;&lt;isbn&gt;1098-3015&lt;/isbn&gt;&lt;urls&gt;&lt;/urls&gt;&lt;/record&gt;&lt;/Cite&gt;&lt;/EndNote&gt;</w:instrText>
      </w:r>
      <w:r w:rsidR="00D53955" w:rsidRPr="00480188">
        <w:fldChar w:fldCharType="separate"/>
      </w:r>
      <w:r w:rsidR="00EB6EA4" w:rsidRPr="00480188">
        <w:rPr>
          <w:noProof/>
        </w:rPr>
        <w:t>(</w:t>
      </w:r>
      <w:hyperlink w:anchor="_ENREF_67" w:tooltip="Van Hout, 2012 #69" w:history="1">
        <w:r w:rsidR="00EB6EA4" w:rsidRPr="00480188">
          <w:rPr>
            <w:noProof/>
          </w:rPr>
          <w:t>67</w:t>
        </w:r>
      </w:hyperlink>
      <w:r w:rsidR="00EB6EA4" w:rsidRPr="00480188">
        <w:rPr>
          <w:noProof/>
        </w:rPr>
        <w:t>)</w:t>
      </w:r>
      <w:r w:rsidR="00D53955" w:rsidRPr="00480188">
        <w:fldChar w:fldCharType="end"/>
      </w:r>
      <w:r w:rsidRPr="00480188">
        <w:t xml:space="preserve"> – see Section C.4.</w:t>
      </w:r>
    </w:p>
    <w:p w14:paraId="5A3C3E65" w14:textId="6ECE7CD7" w:rsidR="00F466F2" w:rsidRPr="00480188" w:rsidRDefault="00F466F2" w:rsidP="00480188">
      <w:pPr>
        <w:pStyle w:val="CommentText"/>
      </w:pPr>
      <w:r w:rsidRPr="00480188">
        <w:lastRenderedPageBreak/>
        <w:t>** based on unique ATC code</w:t>
      </w:r>
    </w:p>
    <w:p w14:paraId="407B735E" w14:textId="479421E8" w:rsidR="007D1CE9" w:rsidRPr="00480188" w:rsidRDefault="007D1CE9" w:rsidP="00480188">
      <w:pPr>
        <w:pStyle w:val="CommentText"/>
      </w:pPr>
      <w:r w:rsidRPr="00480188">
        <w:t>The sample size for each arm or sub-group is indicated in the table</w:t>
      </w:r>
      <w:r w:rsidR="00F466F2" w:rsidRPr="00480188">
        <w:t xml:space="preserve"> header</w:t>
      </w:r>
      <w:r w:rsidRPr="00480188">
        <w:t xml:space="preserve">. However, sample size for BMI outcome is a n = 51, b n = 5 and for Daily ACFI supplement is </w:t>
      </w:r>
      <w:proofErr w:type="spellStart"/>
      <w:r w:rsidRPr="00480188">
        <w:t>cn</w:t>
      </w:r>
      <w:proofErr w:type="spellEnd"/>
      <w:r w:rsidRPr="00480188">
        <w:t xml:space="preserve">=116, </w:t>
      </w:r>
      <w:proofErr w:type="spellStart"/>
      <w:r w:rsidRPr="00480188">
        <w:t>dn</w:t>
      </w:r>
      <w:proofErr w:type="spellEnd"/>
      <w:r w:rsidRPr="00480188">
        <w:t>=7</w:t>
      </w:r>
      <w:r w:rsidR="00D607ED" w:rsidRPr="00480188">
        <w:t>6</w:t>
      </w:r>
      <w:r w:rsidRPr="00480188">
        <w:t xml:space="preserve">, </w:t>
      </w:r>
      <w:proofErr w:type="spellStart"/>
      <w:r w:rsidRPr="00480188">
        <w:t>en</w:t>
      </w:r>
      <w:proofErr w:type="spellEnd"/>
      <w:r w:rsidRPr="00480188">
        <w:t xml:space="preserve">=123, </w:t>
      </w:r>
      <w:proofErr w:type="spellStart"/>
      <w:r w:rsidRPr="00480188">
        <w:t>fn</w:t>
      </w:r>
      <w:proofErr w:type="spellEnd"/>
      <w:r w:rsidRPr="00480188">
        <w:t>=</w:t>
      </w:r>
      <w:r w:rsidR="00904884" w:rsidRPr="00480188">
        <w:t>82</w:t>
      </w:r>
      <w:r w:rsidRPr="00480188">
        <w:t>.</w:t>
      </w:r>
    </w:p>
    <w:p w14:paraId="2EE92B75" w14:textId="535C4EBC" w:rsidR="00D53955" w:rsidRDefault="00D53955" w:rsidP="007501B9">
      <w:r w:rsidRPr="00D53955">
        <w:t>Some differences in baseline EQ-5D derived utility were noted with respect to the sub-groups; where the intervention group cost data sub-group reported slightly higher average utility than the overall intervention arm and the control cost data subgroup had slightly lower average utility than the overall control arm</w:t>
      </w:r>
      <w:r w:rsidR="007501B9">
        <w:t xml:space="preserve">. </w:t>
      </w:r>
      <w:r w:rsidRPr="00D53955">
        <w:t>Also, a difference in baseline utilities between the arms was noted</w:t>
      </w:r>
      <w:r w:rsidR="007501B9">
        <w:t xml:space="preserve">. </w:t>
      </w:r>
      <w:r w:rsidRPr="00D53955">
        <w:t xml:space="preserve">With respect to the economic analysis, if a trial-based cost-utility analysis was conducted an adjustment for the difference in baseline utilities would be necessary; </w:t>
      </w:r>
      <w:proofErr w:type="gramStart"/>
      <w:r w:rsidRPr="00D53955">
        <w:t>however</w:t>
      </w:r>
      <w:proofErr w:type="gramEnd"/>
      <w:r w:rsidRPr="00D53955">
        <w:t xml:space="preserve"> on the basis of the primary outcome results a cost-utility analysis will not be conducted</w:t>
      </w:r>
      <w:r w:rsidR="007501B9">
        <w:t xml:space="preserve">. </w:t>
      </w:r>
      <w:proofErr w:type="gramStart"/>
      <w:r w:rsidRPr="00D53955">
        <w:t>Overall</w:t>
      </w:r>
      <w:proofErr w:type="gramEnd"/>
      <w:r w:rsidRPr="00D53955">
        <w:t xml:space="preserve"> the slight differences in baseline characteristics between the groups run in opposite directions (favourable utility and M</w:t>
      </w:r>
      <w:r w:rsidR="00D36143">
        <w:t>o</w:t>
      </w:r>
      <w:r w:rsidRPr="00D53955">
        <w:t>CA scores in the intervention group, but less favourable frailty scores) and do not raise significant concern of bias or applicability for the economic evaluation.</w:t>
      </w:r>
    </w:p>
    <w:p w14:paraId="6D04402A" w14:textId="313BCCE7" w:rsidR="002646F0" w:rsidRPr="00F42B1D" w:rsidRDefault="002646F0" w:rsidP="00903BC5">
      <w:pPr>
        <w:pStyle w:val="Heading2-SectionC"/>
      </w:pPr>
      <w:bookmarkStart w:id="206" w:name="_Toc117758262"/>
      <w:r w:rsidRPr="00F42B1D">
        <w:t>Extrapolation translation issues</w:t>
      </w:r>
      <w:bookmarkEnd w:id="204"/>
      <w:bookmarkEnd w:id="206"/>
    </w:p>
    <w:p w14:paraId="014C32C8" w14:textId="13456163" w:rsidR="00D53955" w:rsidRDefault="00D53955" w:rsidP="007501B9">
      <w:r w:rsidRPr="00D53955">
        <w:t>The economic evaluation is a trial-based analysis</w:t>
      </w:r>
      <w:r w:rsidR="004E774B">
        <w:t>.</w:t>
      </w:r>
      <w:r w:rsidRPr="00D53955">
        <w:t xml:space="preserve"> </w:t>
      </w:r>
      <w:r w:rsidR="004E774B">
        <w:t>I</w:t>
      </w:r>
      <w:r w:rsidRPr="00D53955">
        <w:t>t is derived entirely on data observed within the trial period (approximately one year)</w:t>
      </w:r>
      <w:r w:rsidR="007501B9">
        <w:t xml:space="preserve">. </w:t>
      </w:r>
      <w:r w:rsidR="004E774B">
        <w:t>T</w:t>
      </w:r>
      <w:r w:rsidRPr="00D53955">
        <w:t>here are no extrapolations included in the economic analysis.</w:t>
      </w:r>
      <w:bookmarkStart w:id="207" w:name="_Toc426968186"/>
    </w:p>
    <w:p w14:paraId="458EF104" w14:textId="7429C3DF" w:rsidR="002646F0" w:rsidRPr="00F42B1D" w:rsidRDefault="002646F0" w:rsidP="00903BC5">
      <w:pPr>
        <w:pStyle w:val="Heading2-SectionC"/>
      </w:pPr>
      <w:bookmarkStart w:id="208" w:name="_Toc117758263"/>
      <w:r w:rsidRPr="00F42B1D">
        <w:t>Transformation issues</w:t>
      </w:r>
      <w:bookmarkEnd w:id="207"/>
      <w:bookmarkEnd w:id="208"/>
    </w:p>
    <w:p w14:paraId="63E4E6CF" w14:textId="77777777" w:rsidR="00683514" w:rsidRDefault="00D53955" w:rsidP="007501B9">
      <w:r w:rsidRPr="00D53955">
        <w:t xml:space="preserve">No </w:t>
      </w:r>
      <w:r w:rsidR="00E00032">
        <w:t xml:space="preserve">economic </w:t>
      </w:r>
      <w:r w:rsidRPr="00D53955">
        <w:t>outcome</w:t>
      </w:r>
      <w:r w:rsidR="00683514">
        <w:t xml:space="preserve"> transformations are required</w:t>
      </w:r>
    </w:p>
    <w:p w14:paraId="11A7EB61" w14:textId="3B459969" w:rsidR="00502D29" w:rsidRDefault="00683514" w:rsidP="007501B9">
      <w:r>
        <w:t>T</w:t>
      </w:r>
      <w:r w:rsidR="00D53955" w:rsidRPr="00D53955">
        <w:t xml:space="preserve">he study did not identify a difference in the primary clinical outcome, nor the pre-specified secondary outcomes of economic interest (adverse medicine events or quality of life to inform quality-adjusted life years), </w:t>
      </w:r>
      <w:r w:rsidRPr="00683514">
        <w:t>therefore the primary economic analysis is a cost analysis.</w:t>
      </w:r>
    </w:p>
    <w:p w14:paraId="69386497" w14:textId="41581EB9" w:rsidR="00683514" w:rsidRDefault="00683514" w:rsidP="007501B9">
      <w:proofErr w:type="gramStart"/>
      <w:r>
        <w:t>However</w:t>
      </w:r>
      <w:proofErr w:type="gramEnd"/>
      <w:r>
        <w:t xml:space="preserve"> in Section B8 a clinical claim of superiority is made, based on the statistically significant observed difference in MoCA scores that showed reduced cognitive decline in the intervention arm</w:t>
      </w:r>
      <w:r w:rsidR="007501B9">
        <w:t xml:space="preserve">. </w:t>
      </w:r>
      <w:r>
        <w:t xml:space="preserve">As cost-effectiveness analysis can only be justified with patient relevant outcomes the </w:t>
      </w:r>
      <w:r w:rsidRPr="00E15B01">
        <w:rPr>
          <w:i/>
        </w:rPr>
        <w:t>post hoc</w:t>
      </w:r>
      <w:r>
        <w:t xml:space="preserve"> analysis presented </w:t>
      </w:r>
      <w:r w:rsidRPr="00C6535E">
        <w:t>in Table B6-</w:t>
      </w:r>
      <w:r w:rsidR="00C6535E" w:rsidRPr="00C6535E">
        <w:t>10</w:t>
      </w:r>
      <w:r w:rsidRPr="00C6535E">
        <w:t xml:space="preserve"> is the most</w:t>
      </w:r>
      <w:r>
        <w:t xml:space="preserve"> relevant analysis of effect on cognitive function for economic analysis purposes</w:t>
      </w:r>
      <w:r w:rsidR="007501B9">
        <w:t xml:space="preserve">. </w:t>
      </w:r>
      <w:r>
        <w:t>This analysis identified that in the intervention arm an additional 12% of residents avoid clinically significant cognitive decline in 12 months</w:t>
      </w:r>
      <w:r w:rsidR="007501B9">
        <w:t xml:space="preserve">. </w:t>
      </w:r>
      <w:r>
        <w:t>This estimated outcome difference is used as the basis of an explorato</w:t>
      </w:r>
      <w:r w:rsidR="00C6535E">
        <w:t>ry cost-effectiveness analysis.</w:t>
      </w:r>
    </w:p>
    <w:p w14:paraId="7169DFDD" w14:textId="77777777" w:rsidR="0030142A" w:rsidRDefault="0030142A" w:rsidP="007501B9">
      <w:pPr>
        <w:rPr>
          <w:rFonts w:asciiTheme="majorHAnsi" w:eastAsiaTheme="majorEastAsia" w:hAnsiTheme="majorHAnsi" w:cstheme="majorBidi"/>
          <w:color w:val="262626" w:themeColor="text1" w:themeTint="D9"/>
          <w:sz w:val="32"/>
          <w:szCs w:val="32"/>
        </w:rPr>
      </w:pPr>
      <w:bookmarkStart w:id="209" w:name="_Toc379118086"/>
      <w:bookmarkStart w:id="210" w:name="_Toc381796473"/>
      <w:r>
        <w:br w:type="page"/>
      </w:r>
    </w:p>
    <w:p w14:paraId="072BBF9E" w14:textId="1024DE1E" w:rsidR="00AB68D3" w:rsidRPr="00F42B1D" w:rsidRDefault="0077418B" w:rsidP="00391CFD">
      <w:pPr>
        <w:pStyle w:val="Heading1"/>
      </w:pPr>
      <w:bookmarkStart w:id="211" w:name="_Toc117758264"/>
      <w:r w:rsidRPr="00F42B1D">
        <w:lastRenderedPageBreak/>
        <w:t>Section D</w:t>
      </w:r>
      <w:r w:rsidRPr="00F42B1D">
        <w:tab/>
        <w:t>Ec</w:t>
      </w:r>
      <w:r w:rsidR="00AB68D3" w:rsidRPr="00F42B1D">
        <w:t xml:space="preserve">onomic </w:t>
      </w:r>
      <w:r w:rsidRPr="00F42B1D">
        <w:t>Evaluation</w:t>
      </w:r>
      <w:bookmarkEnd w:id="209"/>
      <w:bookmarkEnd w:id="210"/>
      <w:bookmarkEnd w:id="211"/>
    </w:p>
    <w:p w14:paraId="3462CFCA" w14:textId="6630FF0A" w:rsidR="005A5EC8" w:rsidRPr="00F42B1D" w:rsidRDefault="005A5EC8" w:rsidP="00903BC5">
      <w:pPr>
        <w:pStyle w:val="Heading2-SectionD"/>
      </w:pPr>
      <w:bookmarkStart w:id="212" w:name="_Toc381796475"/>
      <w:bookmarkStart w:id="213" w:name="_Toc117758265"/>
      <w:r w:rsidRPr="00F42B1D">
        <w:t>Overview</w:t>
      </w:r>
      <w:bookmarkEnd w:id="212"/>
      <w:bookmarkEnd w:id="213"/>
    </w:p>
    <w:p w14:paraId="17454515" w14:textId="242062B6" w:rsidR="00D53955" w:rsidRPr="00CC5A20" w:rsidRDefault="00D53955" w:rsidP="007501B9">
      <w:r w:rsidRPr="00D53955">
        <w:t xml:space="preserve">The clinical evaluation suggested that relative to standard care the pharmacist intervention has </w:t>
      </w:r>
      <w:r w:rsidRPr="00CC5A20">
        <w:t xml:space="preserve">superior safety and superior effectiveness in terms of preventing cognition decline based on the evidence profile given in Table </w:t>
      </w:r>
      <w:r w:rsidR="00CC5A20" w:rsidRPr="00CC5A20">
        <w:t>D-1</w:t>
      </w:r>
      <w:r w:rsidRPr="00CC5A20">
        <w:t>.</w:t>
      </w:r>
    </w:p>
    <w:p w14:paraId="5777EF20" w14:textId="64EBB361" w:rsidR="00D53955" w:rsidRPr="009929BE" w:rsidRDefault="00D53955" w:rsidP="007501B9">
      <w:r w:rsidRPr="00CC5A20">
        <w:t xml:space="preserve">Table </w:t>
      </w:r>
      <w:r w:rsidR="00CC5A20" w:rsidRPr="00CC5A20">
        <w:t>D-1</w:t>
      </w:r>
      <w:r w:rsidRPr="00CC5A20">
        <w:t xml:space="preserve"> sets out the framework that was used to classify the clinical evidence in Section B so that a decision could be</w:t>
      </w:r>
      <w:r>
        <w:t xml:space="preserve"> made about the type of economic analysis to undertake (if any) in this Section.</w:t>
      </w:r>
    </w:p>
    <w:p w14:paraId="68DA9C4F" w14:textId="3E71E1D5" w:rsidR="00683514" w:rsidRDefault="00683514" w:rsidP="007501B9">
      <w:r w:rsidRPr="007B5637">
        <w:t xml:space="preserve">The economic analysis plan </w:t>
      </w:r>
      <w:r>
        <w:t>pre-specified that a trial-based cost-comparison and a cost-effectiveness analysis identifying incremental cost per adverse event avoided would be conducted</w:t>
      </w:r>
      <w:r w:rsidRPr="005238B8">
        <w:t xml:space="preserve"> if </w:t>
      </w:r>
      <w:r>
        <w:t xml:space="preserve">the primary study outcome or </w:t>
      </w:r>
      <w:r w:rsidR="007D161B">
        <w:t>change in adverse events</w:t>
      </w:r>
      <w:r>
        <w:t xml:space="preserve"> wa</w:t>
      </w:r>
      <w:r w:rsidRPr="005238B8">
        <w:t xml:space="preserve">s </w:t>
      </w:r>
      <w:r>
        <w:t>identified</w:t>
      </w:r>
      <w:r w:rsidR="007501B9">
        <w:t xml:space="preserve">. </w:t>
      </w:r>
      <w:r>
        <w:t>However, t</w:t>
      </w:r>
      <w:r w:rsidRPr="005238B8">
        <w:t xml:space="preserve">he </w:t>
      </w:r>
      <w:r>
        <w:t>study did not produce a significant result with respect to frailty or adverse events; therefore</w:t>
      </w:r>
      <w:r w:rsidR="007D161B">
        <w:t>,</w:t>
      </w:r>
      <w:r>
        <w:t xml:space="preserve"> the primary trial-based analysis is a cost analysis.</w:t>
      </w:r>
    </w:p>
    <w:p w14:paraId="25AB8287" w14:textId="77777777" w:rsidR="00683514" w:rsidRDefault="00683514" w:rsidP="007501B9">
      <w:r>
        <w:t>The finding of clinical superiority with respect to cognition decline has been used for a further exploratory cost-effectiveness a</w:t>
      </w:r>
      <w:r w:rsidRPr="005238B8">
        <w:t>nalys</w:t>
      </w:r>
      <w:r>
        <w:t xml:space="preserve">is identifying the incremental cost per resident who avoids a significant cognitive decline (over a </w:t>
      </w:r>
      <w:proofErr w:type="gramStart"/>
      <w:r>
        <w:t>12 month</w:t>
      </w:r>
      <w:proofErr w:type="gramEnd"/>
      <w:r>
        <w:t xml:space="preserve"> time horizon).</w:t>
      </w:r>
    </w:p>
    <w:tbl>
      <w:tblPr>
        <w:tblStyle w:val="ListTable3"/>
        <w:tblW w:w="4872" w:type="pct"/>
        <w:tblLayout w:type="fixed"/>
        <w:tblLook w:val="01E0" w:firstRow="1" w:lastRow="1" w:firstColumn="1" w:lastColumn="1" w:noHBand="0" w:noVBand="0"/>
        <w:tblCaption w:val="Classification of the comparative effectiveness and safety of the proposed therapeutic medical service compared with its main comparator and guide to the suitable type of economic evaluation"/>
        <w:tblDescription w:val="The table presents a matrix of comparative safety (inferior, unccertain, non-inferior, superior) against comparative effectiveness (inferior, uncertain, non-inferior, superior)."/>
      </w:tblPr>
      <w:tblGrid>
        <w:gridCol w:w="1298"/>
        <w:gridCol w:w="2410"/>
        <w:gridCol w:w="1842"/>
        <w:gridCol w:w="1843"/>
        <w:gridCol w:w="1392"/>
      </w:tblGrid>
      <w:tr w:rsidR="00D53955" w:rsidRPr="00480188" w14:paraId="44DE64FF" w14:textId="77777777" w:rsidTr="00480188">
        <w:trPr>
          <w:cnfStyle w:val="100000000000" w:firstRow="1" w:lastRow="0" w:firstColumn="0" w:lastColumn="0" w:oddVBand="0" w:evenVBand="0" w:oddHBand="0" w:evenHBand="0" w:firstRowFirstColumn="0" w:firstRowLastColumn="0" w:lastRowFirstColumn="0" w:lastRowLastColumn="0"/>
          <w:trHeight w:val="135"/>
          <w:tblHeader/>
        </w:trPr>
        <w:tc>
          <w:tcPr>
            <w:cnfStyle w:val="001000000100" w:firstRow="0" w:lastRow="0" w:firstColumn="1" w:lastColumn="0" w:oddVBand="0" w:evenVBand="0" w:oddHBand="0" w:evenHBand="0" w:firstRowFirstColumn="1" w:firstRowLastColumn="0" w:lastRowFirstColumn="0" w:lastRowLastColumn="0"/>
            <w:tcW w:w="1298" w:type="dxa"/>
          </w:tcPr>
          <w:p w14:paraId="1F9E0F96" w14:textId="77777777" w:rsidR="00D53955" w:rsidRPr="00480188" w:rsidRDefault="00D53955" w:rsidP="00480188">
            <w:pPr>
              <w:pStyle w:val="TableHeader"/>
              <w:rPr>
                <w:rFonts w:ascii="Arial Narrow" w:hAnsi="Arial Narrow"/>
                <w:sz w:val="20"/>
                <w:szCs w:val="20"/>
              </w:rPr>
            </w:pPr>
            <w:bookmarkStart w:id="214" w:name="Title_17"/>
            <w:bookmarkStart w:id="215" w:name="Title_16" w:colFirst="0" w:colLast="0"/>
            <w:bookmarkEnd w:id="214"/>
          </w:p>
        </w:tc>
        <w:tc>
          <w:tcPr>
            <w:cnfStyle w:val="000010000000" w:firstRow="0" w:lastRow="0" w:firstColumn="0" w:lastColumn="0" w:oddVBand="1" w:evenVBand="0" w:oddHBand="0" w:evenHBand="0" w:firstRowFirstColumn="0" w:firstRowLastColumn="0" w:lastRowFirstColumn="0" w:lastRowLastColumn="0"/>
            <w:tcW w:w="2410" w:type="dxa"/>
          </w:tcPr>
          <w:p w14:paraId="0DC8A637" w14:textId="1C489090" w:rsidR="00D53955" w:rsidRPr="00480188" w:rsidRDefault="007B5637" w:rsidP="00480188">
            <w:pPr>
              <w:pStyle w:val="TableHeader"/>
              <w:rPr>
                <w:rFonts w:ascii="Arial Narrow" w:hAnsi="Arial Narrow"/>
                <w:sz w:val="20"/>
                <w:szCs w:val="20"/>
              </w:rPr>
            </w:pPr>
            <w:r w:rsidRPr="00480188">
              <w:rPr>
                <w:rFonts w:ascii="Arial Narrow" w:hAnsi="Arial Narrow"/>
                <w:sz w:val="20"/>
                <w:szCs w:val="20"/>
              </w:rPr>
              <w:t>Comparative effectiveness -</w:t>
            </w:r>
            <w:r w:rsidR="00D53955" w:rsidRPr="00480188">
              <w:rPr>
                <w:rFonts w:ascii="Arial Narrow" w:hAnsi="Arial Narrow"/>
                <w:sz w:val="20"/>
                <w:szCs w:val="20"/>
              </w:rPr>
              <w:t>Inferior</w:t>
            </w:r>
          </w:p>
        </w:tc>
        <w:tc>
          <w:tcPr>
            <w:tcW w:w="1842" w:type="dxa"/>
          </w:tcPr>
          <w:p w14:paraId="659D52B6" w14:textId="01B75657" w:rsidR="00D53955" w:rsidRPr="00480188" w:rsidRDefault="007B5637" w:rsidP="00480188">
            <w:pPr>
              <w:pStyle w:val="TableHeade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480188">
              <w:rPr>
                <w:rFonts w:ascii="Arial Narrow" w:hAnsi="Arial Narrow"/>
                <w:sz w:val="20"/>
                <w:szCs w:val="20"/>
              </w:rPr>
              <w:t xml:space="preserve">Comparative effectiveness - </w:t>
            </w:r>
            <w:proofErr w:type="spellStart"/>
            <w:r w:rsidR="00D53955" w:rsidRPr="00480188">
              <w:rPr>
                <w:rFonts w:ascii="Arial Narrow" w:hAnsi="Arial Narrow"/>
                <w:sz w:val="20"/>
                <w:szCs w:val="20"/>
              </w:rPr>
              <w:t>Uncertain</w:t>
            </w:r>
            <w:r w:rsidR="00D53955" w:rsidRPr="00480188">
              <w:rPr>
                <w:rFonts w:ascii="Arial Narrow" w:hAnsi="Arial Narrow"/>
                <w:sz w:val="20"/>
                <w:szCs w:val="20"/>
                <w:vertAlign w:val="superscript"/>
              </w:rPr>
              <w:t>a</w:t>
            </w:r>
            <w:proofErr w:type="spellEnd"/>
          </w:p>
        </w:tc>
        <w:tc>
          <w:tcPr>
            <w:cnfStyle w:val="000010000000" w:firstRow="0" w:lastRow="0" w:firstColumn="0" w:lastColumn="0" w:oddVBand="1" w:evenVBand="0" w:oddHBand="0" w:evenHBand="0" w:firstRowFirstColumn="0" w:firstRowLastColumn="0" w:lastRowFirstColumn="0" w:lastRowLastColumn="0"/>
            <w:tcW w:w="1843" w:type="dxa"/>
          </w:tcPr>
          <w:p w14:paraId="7CA2480E" w14:textId="491DA642" w:rsidR="007B5637" w:rsidRPr="00480188" w:rsidRDefault="007B5637" w:rsidP="00480188">
            <w:pPr>
              <w:pStyle w:val="TableHeader"/>
              <w:rPr>
                <w:rFonts w:ascii="Arial Narrow" w:hAnsi="Arial Narrow"/>
                <w:sz w:val="20"/>
                <w:szCs w:val="20"/>
              </w:rPr>
            </w:pPr>
            <w:r w:rsidRPr="00480188">
              <w:rPr>
                <w:rFonts w:ascii="Arial Narrow" w:hAnsi="Arial Narrow"/>
                <w:sz w:val="20"/>
                <w:szCs w:val="20"/>
              </w:rPr>
              <w:t xml:space="preserve">Comparative effectiveness – </w:t>
            </w:r>
          </w:p>
          <w:p w14:paraId="5F7AFBF0" w14:textId="019695A6" w:rsidR="00D53955" w:rsidRPr="00480188" w:rsidRDefault="00D53955" w:rsidP="00480188">
            <w:pPr>
              <w:pStyle w:val="TableHeader"/>
              <w:rPr>
                <w:rFonts w:ascii="Arial Narrow" w:hAnsi="Arial Narrow"/>
                <w:sz w:val="20"/>
                <w:szCs w:val="20"/>
              </w:rPr>
            </w:pPr>
            <w:r w:rsidRPr="00480188">
              <w:rPr>
                <w:rFonts w:ascii="Arial Narrow" w:hAnsi="Arial Narrow"/>
                <w:sz w:val="20"/>
                <w:szCs w:val="20"/>
              </w:rPr>
              <w:t>Non-</w:t>
            </w:r>
            <w:r w:rsidR="007B5637" w:rsidRPr="00480188">
              <w:rPr>
                <w:rFonts w:ascii="Arial Narrow" w:hAnsi="Arial Narrow"/>
                <w:sz w:val="20"/>
                <w:szCs w:val="20"/>
              </w:rPr>
              <w:t>inferior</w:t>
            </w:r>
          </w:p>
        </w:tc>
        <w:tc>
          <w:tcPr>
            <w:cnfStyle w:val="000100001000" w:firstRow="0" w:lastRow="0" w:firstColumn="0" w:lastColumn="1" w:oddVBand="0" w:evenVBand="0" w:oddHBand="0" w:evenHBand="0" w:firstRowFirstColumn="0" w:firstRowLastColumn="1" w:lastRowFirstColumn="0" w:lastRowLastColumn="0"/>
            <w:tcW w:w="1392" w:type="dxa"/>
          </w:tcPr>
          <w:p w14:paraId="0C200EA4" w14:textId="047D9FF0" w:rsidR="00D53955" w:rsidRPr="00480188" w:rsidRDefault="007B5637" w:rsidP="00480188">
            <w:pPr>
              <w:pStyle w:val="TableHeader"/>
              <w:rPr>
                <w:rFonts w:ascii="Arial Narrow" w:hAnsi="Arial Narrow"/>
                <w:sz w:val="20"/>
                <w:szCs w:val="20"/>
              </w:rPr>
            </w:pPr>
            <w:r w:rsidRPr="00480188">
              <w:rPr>
                <w:rFonts w:ascii="Arial Narrow" w:hAnsi="Arial Narrow"/>
                <w:sz w:val="20"/>
                <w:szCs w:val="20"/>
              </w:rPr>
              <w:t xml:space="preserve">Comparative effectiveness - </w:t>
            </w:r>
            <w:r w:rsidR="00D53955" w:rsidRPr="00480188">
              <w:rPr>
                <w:rFonts w:ascii="Arial Narrow" w:hAnsi="Arial Narrow"/>
                <w:sz w:val="20"/>
                <w:szCs w:val="20"/>
              </w:rPr>
              <w:t>Superior</w:t>
            </w:r>
          </w:p>
        </w:tc>
      </w:tr>
      <w:bookmarkEnd w:id="215"/>
      <w:tr w:rsidR="00D53955" w:rsidRPr="00480188" w14:paraId="648FE2C4" w14:textId="77777777" w:rsidTr="00480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8" w:type="dxa"/>
          </w:tcPr>
          <w:p w14:paraId="22D5660D" w14:textId="3A64A854" w:rsidR="00D53955" w:rsidRPr="00480188" w:rsidRDefault="007B5637" w:rsidP="00480188">
            <w:pPr>
              <w:pStyle w:val="Tabletext1"/>
              <w:rPr>
                <w:rFonts w:ascii="Arial Narrow" w:hAnsi="Arial Narrow"/>
                <w:szCs w:val="20"/>
              </w:rPr>
            </w:pPr>
            <w:r w:rsidRPr="00480188">
              <w:rPr>
                <w:rFonts w:ascii="Arial Narrow" w:hAnsi="Arial Narrow"/>
                <w:szCs w:val="20"/>
              </w:rPr>
              <w:t xml:space="preserve">Comparative safety - </w:t>
            </w:r>
            <w:r w:rsidR="00D53955" w:rsidRPr="00480188">
              <w:rPr>
                <w:rFonts w:ascii="Arial Narrow" w:hAnsi="Arial Narrow"/>
                <w:szCs w:val="20"/>
              </w:rPr>
              <w:t>Inferior</w:t>
            </w:r>
          </w:p>
        </w:tc>
        <w:tc>
          <w:tcPr>
            <w:cnfStyle w:val="000010000000" w:firstRow="0" w:lastRow="0" w:firstColumn="0" w:lastColumn="0" w:oddVBand="1" w:evenVBand="0" w:oddHBand="0" w:evenHBand="0" w:firstRowFirstColumn="0" w:firstRowLastColumn="0" w:lastRowFirstColumn="0" w:lastRowLastColumn="0"/>
            <w:tcW w:w="2410" w:type="dxa"/>
          </w:tcPr>
          <w:p w14:paraId="6FB8CB46" w14:textId="77777777" w:rsidR="00D53955" w:rsidRPr="00480188" w:rsidRDefault="00D53955" w:rsidP="00480188">
            <w:pPr>
              <w:pStyle w:val="Tabletext1"/>
              <w:rPr>
                <w:rFonts w:ascii="Arial Narrow" w:hAnsi="Arial Narrow"/>
                <w:szCs w:val="20"/>
              </w:rPr>
            </w:pPr>
            <w:r w:rsidRPr="00480188">
              <w:rPr>
                <w:rFonts w:ascii="Arial Narrow" w:hAnsi="Arial Narrow"/>
                <w:szCs w:val="20"/>
              </w:rPr>
              <w:t>Health forgone: need other supportive factors</w:t>
            </w:r>
          </w:p>
        </w:tc>
        <w:tc>
          <w:tcPr>
            <w:tcW w:w="1842" w:type="dxa"/>
          </w:tcPr>
          <w:p w14:paraId="1F5B325F" w14:textId="77777777" w:rsidR="00D53955" w:rsidRPr="00480188" w:rsidRDefault="00D53955" w:rsidP="00480188">
            <w:pPr>
              <w:pStyle w:val="Tabletext1"/>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480188">
              <w:rPr>
                <w:rFonts w:ascii="Arial Narrow" w:hAnsi="Arial Narrow"/>
                <w:szCs w:val="20"/>
              </w:rPr>
              <w:t>Health forgone possible: need other supportive factors</w:t>
            </w:r>
          </w:p>
        </w:tc>
        <w:tc>
          <w:tcPr>
            <w:cnfStyle w:val="000010000000" w:firstRow="0" w:lastRow="0" w:firstColumn="0" w:lastColumn="0" w:oddVBand="1" w:evenVBand="0" w:oddHBand="0" w:evenHBand="0" w:firstRowFirstColumn="0" w:firstRowLastColumn="0" w:lastRowFirstColumn="0" w:lastRowLastColumn="0"/>
            <w:tcW w:w="1843" w:type="dxa"/>
          </w:tcPr>
          <w:p w14:paraId="08A81665" w14:textId="77777777" w:rsidR="00D53955" w:rsidRPr="00480188" w:rsidRDefault="00D53955" w:rsidP="00480188">
            <w:pPr>
              <w:pStyle w:val="Tabletext1"/>
              <w:rPr>
                <w:rFonts w:ascii="Arial Narrow" w:hAnsi="Arial Narrow"/>
                <w:szCs w:val="20"/>
              </w:rPr>
            </w:pPr>
            <w:r w:rsidRPr="00480188">
              <w:rPr>
                <w:rFonts w:ascii="Arial Narrow" w:hAnsi="Arial Narrow"/>
                <w:szCs w:val="20"/>
              </w:rPr>
              <w:t>Health forgone: need other supportive factors</w:t>
            </w:r>
          </w:p>
        </w:tc>
        <w:tc>
          <w:tcPr>
            <w:cnfStyle w:val="000100000000" w:firstRow="0" w:lastRow="0" w:firstColumn="0" w:lastColumn="1" w:oddVBand="0" w:evenVBand="0" w:oddHBand="0" w:evenHBand="0" w:firstRowFirstColumn="0" w:firstRowLastColumn="0" w:lastRowFirstColumn="0" w:lastRowLastColumn="0"/>
            <w:tcW w:w="1392" w:type="dxa"/>
          </w:tcPr>
          <w:p w14:paraId="336FD6CA" w14:textId="77777777" w:rsidR="00D53955" w:rsidRPr="00480188" w:rsidRDefault="00D53955" w:rsidP="00480188">
            <w:pPr>
              <w:pStyle w:val="Tabletext1"/>
              <w:rPr>
                <w:rFonts w:ascii="Arial Narrow" w:hAnsi="Arial Narrow"/>
                <w:b w:val="0"/>
                <w:bCs w:val="0"/>
                <w:szCs w:val="20"/>
              </w:rPr>
            </w:pPr>
            <w:r w:rsidRPr="00480188">
              <w:rPr>
                <w:rFonts w:ascii="Arial Narrow" w:hAnsi="Arial Narrow"/>
                <w:b w:val="0"/>
                <w:bCs w:val="0"/>
                <w:szCs w:val="20"/>
              </w:rPr>
              <w:t>? Likely CUA</w:t>
            </w:r>
          </w:p>
        </w:tc>
      </w:tr>
      <w:tr w:rsidR="00D53955" w:rsidRPr="00480188" w14:paraId="5386CE72" w14:textId="77777777" w:rsidTr="00480188">
        <w:tc>
          <w:tcPr>
            <w:cnfStyle w:val="001000000000" w:firstRow="0" w:lastRow="0" w:firstColumn="1" w:lastColumn="0" w:oddVBand="0" w:evenVBand="0" w:oddHBand="0" w:evenHBand="0" w:firstRowFirstColumn="0" w:firstRowLastColumn="0" w:lastRowFirstColumn="0" w:lastRowLastColumn="0"/>
            <w:tcW w:w="1298" w:type="dxa"/>
          </w:tcPr>
          <w:p w14:paraId="7EFB5BCE" w14:textId="347C0A13" w:rsidR="00D53955" w:rsidRPr="00480188" w:rsidRDefault="007B5637" w:rsidP="00480188">
            <w:pPr>
              <w:pStyle w:val="Tabletext1"/>
              <w:rPr>
                <w:rFonts w:ascii="Arial Narrow" w:hAnsi="Arial Narrow"/>
                <w:szCs w:val="20"/>
              </w:rPr>
            </w:pPr>
            <w:r w:rsidRPr="00480188">
              <w:rPr>
                <w:rFonts w:ascii="Arial Narrow" w:hAnsi="Arial Narrow"/>
                <w:szCs w:val="20"/>
              </w:rPr>
              <w:t>Comparative safety -</w:t>
            </w:r>
            <w:proofErr w:type="spellStart"/>
            <w:r w:rsidR="00D53955" w:rsidRPr="00480188">
              <w:rPr>
                <w:rFonts w:ascii="Arial Narrow" w:hAnsi="Arial Narrow"/>
                <w:szCs w:val="20"/>
              </w:rPr>
              <w:t>Uncertaina</w:t>
            </w:r>
            <w:proofErr w:type="spellEnd"/>
          </w:p>
        </w:tc>
        <w:tc>
          <w:tcPr>
            <w:cnfStyle w:val="000010000000" w:firstRow="0" w:lastRow="0" w:firstColumn="0" w:lastColumn="0" w:oddVBand="1" w:evenVBand="0" w:oddHBand="0" w:evenHBand="0" w:firstRowFirstColumn="0" w:firstRowLastColumn="0" w:lastRowFirstColumn="0" w:lastRowLastColumn="0"/>
            <w:tcW w:w="2410" w:type="dxa"/>
          </w:tcPr>
          <w:p w14:paraId="0BFDEF8A" w14:textId="77777777" w:rsidR="00D53955" w:rsidRPr="00480188" w:rsidRDefault="00D53955" w:rsidP="00480188">
            <w:pPr>
              <w:pStyle w:val="Tabletext1"/>
              <w:rPr>
                <w:rFonts w:ascii="Arial Narrow" w:hAnsi="Arial Narrow"/>
                <w:szCs w:val="20"/>
              </w:rPr>
            </w:pPr>
            <w:r w:rsidRPr="00480188">
              <w:rPr>
                <w:rFonts w:ascii="Arial Narrow" w:hAnsi="Arial Narrow"/>
                <w:szCs w:val="20"/>
              </w:rPr>
              <w:t>Health forgone possible: need other supportive factors</w:t>
            </w:r>
          </w:p>
        </w:tc>
        <w:tc>
          <w:tcPr>
            <w:tcW w:w="1842" w:type="dxa"/>
          </w:tcPr>
          <w:p w14:paraId="38625BA5" w14:textId="244E1A4D" w:rsidR="00683514" w:rsidRPr="00480188" w:rsidRDefault="00D53955" w:rsidP="00480188">
            <w:pPr>
              <w:pStyle w:val="Tabletext1"/>
              <w:cnfStyle w:val="000000000000" w:firstRow="0" w:lastRow="0" w:firstColumn="0" w:lastColumn="0" w:oddVBand="0" w:evenVBand="0" w:oddHBand="0" w:evenHBand="0" w:firstRowFirstColumn="0" w:firstRowLastColumn="0" w:lastRowFirstColumn="0" w:lastRowLastColumn="0"/>
              <w:rPr>
                <w:rFonts w:ascii="Arial Narrow" w:hAnsi="Arial Narrow"/>
                <w:b/>
                <w:bCs/>
                <w:szCs w:val="20"/>
              </w:rPr>
            </w:pPr>
            <w:r w:rsidRPr="00480188">
              <w:rPr>
                <w:rFonts w:ascii="Arial Narrow" w:hAnsi="Arial Narrow"/>
                <w:b/>
                <w:bCs/>
                <w:szCs w:val="20"/>
              </w:rPr>
              <w:t>?</w:t>
            </w:r>
            <w:r w:rsidR="00683514" w:rsidRPr="00480188">
              <w:rPr>
                <w:rFonts w:ascii="Arial Narrow" w:hAnsi="Arial Narrow"/>
                <w:b/>
                <w:bCs/>
                <w:szCs w:val="20"/>
              </w:rPr>
              <w:t xml:space="preserve"> </w:t>
            </w:r>
          </w:p>
          <w:p w14:paraId="27DB44CB" w14:textId="30628B7B" w:rsidR="00D53955" w:rsidRPr="00480188" w:rsidRDefault="00683514" w:rsidP="00480188">
            <w:pPr>
              <w:pStyle w:val="Tabletext1"/>
              <w:cnfStyle w:val="000000000000" w:firstRow="0" w:lastRow="0" w:firstColumn="0" w:lastColumn="0" w:oddVBand="0" w:evenVBand="0" w:oddHBand="0" w:evenHBand="0" w:firstRowFirstColumn="0" w:firstRowLastColumn="0" w:lastRowFirstColumn="0" w:lastRowLastColumn="0"/>
              <w:rPr>
                <w:rFonts w:ascii="Arial Narrow" w:hAnsi="Arial Narrow"/>
                <w:b/>
                <w:bCs/>
                <w:szCs w:val="20"/>
              </w:rPr>
            </w:pPr>
            <w:r w:rsidRPr="00480188">
              <w:rPr>
                <w:rFonts w:ascii="Arial Narrow" w:hAnsi="Arial Narrow"/>
                <w:b/>
                <w:bCs/>
                <w:szCs w:val="20"/>
              </w:rPr>
              <w:t>1. Trial-based cost analysis (base case)</w:t>
            </w:r>
          </w:p>
        </w:tc>
        <w:tc>
          <w:tcPr>
            <w:cnfStyle w:val="000010000000" w:firstRow="0" w:lastRow="0" w:firstColumn="0" w:lastColumn="0" w:oddVBand="1" w:evenVBand="0" w:oddHBand="0" w:evenHBand="0" w:firstRowFirstColumn="0" w:firstRowLastColumn="0" w:lastRowFirstColumn="0" w:lastRowLastColumn="0"/>
            <w:tcW w:w="1843" w:type="dxa"/>
          </w:tcPr>
          <w:p w14:paraId="21EAFA69" w14:textId="77777777" w:rsidR="00D53955" w:rsidRPr="00480188" w:rsidRDefault="00D53955" w:rsidP="00480188">
            <w:pPr>
              <w:pStyle w:val="Tabletext1"/>
              <w:rPr>
                <w:rFonts w:ascii="Arial Narrow" w:hAnsi="Arial Narrow"/>
                <w:szCs w:val="20"/>
              </w:rPr>
            </w:pPr>
            <w:r w:rsidRPr="00480188">
              <w:rPr>
                <w:rFonts w:ascii="Arial Narrow" w:hAnsi="Arial Narrow"/>
                <w:szCs w:val="20"/>
              </w:rPr>
              <w:t>?</w:t>
            </w:r>
          </w:p>
        </w:tc>
        <w:tc>
          <w:tcPr>
            <w:cnfStyle w:val="000100000000" w:firstRow="0" w:lastRow="0" w:firstColumn="0" w:lastColumn="1" w:oddVBand="0" w:evenVBand="0" w:oddHBand="0" w:evenHBand="0" w:firstRowFirstColumn="0" w:firstRowLastColumn="0" w:lastRowFirstColumn="0" w:lastRowLastColumn="0"/>
            <w:tcW w:w="1392" w:type="dxa"/>
          </w:tcPr>
          <w:p w14:paraId="4E955FBE" w14:textId="77777777" w:rsidR="00D53955" w:rsidRPr="00480188" w:rsidRDefault="00D53955" w:rsidP="00480188">
            <w:pPr>
              <w:pStyle w:val="Tabletext1"/>
              <w:rPr>
                <w:rFonts w:ascii="Arial Narrow" w:hAnsi="Arial Narrow"/>
                <w:b w:val="0"/>
                <w:bCs w:val="0"/>
                <w:szCs w:val="20"/>
              </w:rPr>
            </w:pPr>
            <w:r w:rsidRPr="00480188">
              <w:rPr>
                <w:rFonts w:ascii="Arial Narrow" w:hAnsi="Arial Narrow"/>
                <w:b w:val="0"/>
                <w:bCs w:val="0"/>
                <w:szCs w:val="20"/>
              </w:rPr>
              <w:t>? Likely CEA/CUA</w:t>
            </w:r>
          </w:p>
        </w:tc>
      </w:tr>
      <w:tr w:rsidR="00D53955" w:rsidRPr="00480188" w14:paraId="0724CBF2" w14:textId="77777777" w:rsidTr="00480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8" w:type="dxa"/>
          </w:tcPr>
          <w:p w14:paraId="75AABDC2" w14:textId="74B9CE25" w:rsidR="00D53955" w:rsidRPr="00480188" w:rsidRDefault="007B5637" w:rsidP="00480188">
            <w:pPr>
              <w:pStyle w:val="Tabletext1"/>
              <w:rPr>
                <w:rFonts w:ascii="Arial Narrow" w:hAnsi="Arial Narrow"/>
                <w:szCs w:val="20"/>
              </w:rPr>
            </w:pPr>
            <w:r w:rsidRPr="00480188">
              <w:rPr>
                <w:rFonts w:ascii="Arial Narrow" w:hAnsi="Arial Narrow"/>
                <w:szCs w:val="20"/>
              </w:rPr>
              <w:t xml:space="preserve">Comparative safety - </w:t>
            </w:r>
            <w:proofErr w:type="gramStart"/>
            <w:r w:rsidR="00D53955" w:rsidRPr="00480188">
              <w:rPr>
                <w:rFonts w:ascii="Arial Narrow" w:hAnsi="Arial Narrow"/>
                <w:szCs w:val="20"/>
              </w:rPr>
              <w:t>Non-</w:t>
            </w:r>
            <w:r w:rsidRPr="00480188">
              <w:rPr>
                <w:rFonts w:ascii="Arial Narrow" w:hAnsi="Arial Narrow"/>
                <w:szCs w:val="20"/>
              </w:rPr>
              <w:t>inferior</w:t>
            </w:r>
            <w:proofErr w:type="gramEnd"/>
          </w:p>
        </w:tc>
        <w:tc>
          <w:tcPr>
            <w:cnfStyle w:val="000010000000" w:firstRow="0" w:lastRow="0" w:firstColumn="0" w:lastColumn="0" w:oddVBand="1" w:evenVBand="0" w:oddHBand="0" w:evenHBand="0" w:firstRowFirstColumn="0" w:firstRowLastColumn="0" w:lastRowFirstColumn="0" w:lastRowLastColumn="0"/>
            <w:tcW w:w="2410" w:type="dxa"/>
          </w:tcPr>
          <w:p w14:paraId="323EAD38" w14:textId="77777777" w:rsidR="00D53955" w:rsidRPr="00480188" w:rsidRDefault="00D53955" w:rsidP="00480188">
            <w:pPr>
              <w:pStyle w:val="Tabletext1"/>
              <w:rPr>
                <w:rFonts w:ascii="Arial Narrow" w:hAnsi="Arial Narrow"/>
                <w:szCs w:val="20"/>
              </w:rPr>
            </w:pPr>
            <w:r w:rsidRPr="00480188">
              <w:rPr>
                <w:rFonts w:ascii="Arial Narrow" w:hAnsi="Arial Narrow"/>
                <w:szCs w:val="20"/>
              </w:rPr>
              <w:t>Health forgone: need other supportive factors</w:t>
            </w:r>
          </w:p>
        </w:tc>
        <w:tc>
          <w:tcPr>
            <w:tcW w:w="1842" w:type="dxa"/>
          </w:tcPr>
          <w:p w14:paraId="29880CFF" w14:textId="77777777" w:rsidR="00D53955" w:rsidRPr="00480188" w:rsidRDefault="00D53955" w:rsidP="00480188">
            <w:pPr>
              <w:pStyle w:val="Tabletext1"/>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480188">
              <w:rPr>
                <w:rFonts w:ascii="Arial Narrow" w:hAnsi="Arial Narrow"/>
                <w:szCs w:val="20"/>
              </w:rPr>
              <w:t>?</w:t>
            </w:r>
          </w:p>
        </w:tc>
        <w:tc>
          <w:tcPr>
            <w:cnfStyle w:val="000010000000" w:firstRow="0" w:lastRow="0" w:firstColumn="0" w:lastColumn="0" w:oddVBand="1" w:evenVBand="0" w:oddHBand="0" w:evenHBand="0" w:firstRowFirstColumn="0" w:firstRowLastColumn="0" w:lastRowFirstColumn="0" w:lastRowLastColumn="0"/>
            <w:tcW w:w="1843" w:type="dxa"/>
          </w:tcPr>
          <w:p w14:paraId="63674955" w14:textId="77777777" w:rsidR="00D53955" w:rsidRPr="00480188" w:rsidRDefault="00D53955" w:rsidP="00480188">
            <w:pPr>
              <w:pStyle w:val="Tabletext1"/>
              <w:rPr>
                <w:rFonts w:ascii="Arial Narrow" w:hAnsi="Arial Narrow"/>
                <w:szCs w:val="20"/>
              </w:rPr>
            </w:pPr>
            <w:r w:rsidRPr="00480188">
              <w:rPr>
                <w:rFonts w:ascii="Arial Narrow" w:hAnsi="Arial Narrow"/>
                <w:szCs w:val="20"/>
              </w:rPr>
              <w:t>CMA</w:t>
            </w:r>
          </w:p>
        </w:tc>
        <w:tc>
          <w:tcPr>
            <w:cnfStyle w:val="000100000000" w:firstRow="0" w:lastRow="0" w:firstColumn="0" w:lastColumn="1" w:oddVBand="0" w:evenVBand="0" w:oddHBand="0" w:evenHBand="0" w:firstRowFirstColumn="0" w:firstRowLastColumn="0" w:lastRowFirstColumn="0" w:lastRowLastColumn="0"/>
            <w:tcW w:w="1392" w:type="dxa"/>
          </w:tcPr>
          <w:p w14:paraId="0C7532A6" w14:textId="77777777" w:rsidR="00D53955" w:rsidRPr="00480188" w:rsidRDefault="00D53955" w:rsidP="00480188">
            <w:pPr>
              <w:pStyle w:val="Tabletext1"/>
              <w:rPr>
                <w:rFonts w:ascii="Arial Narrow" w:hAnsi="Arial Narrow"/>
                <w:b w:val="0"/>
                <w:bCs w:val="0"/>
                <w:szCs w:val="20"/>
              </w:rPr>
            </w:pPr>
            <w:r w:rsidRPr="00480188">
              <w:rPr>
                <w:rFonts w:ascii="Arial Narrow" w:hAnsi="Arial Narrow"/>
                <w:b w:val="0"/>
                <w:bCs w:val="0"/>
                <w:szCs w:val="20"/>
              </w:rPr>
              <w:t>CEA/CUA</w:t>
            </w:r>
          </w:p>
        </w:tc>
      </w:tr>
      <w:tr w:rsidR="00D53955" w:rsidRPr="00480188" w14:paraId="7E1C57DB" w14:textId="77777777" w:rsidTr="00480188">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298" w:type="dxa"/>
          </w:tcPr>
          <w:p w14:paraId="29B0BAE3" w14:textId="2875BDE0" w:rsidR="00D53955" w:rsidRPr="00480188" w:rsidRDefault="007B5637" w:rsidP="00480188">
            <w:pPr>
              <w:pStyle w:val="Tabletext1"/>
              <w:rPr>
                <w:rFonts w:ascii="Arial Narrow" w:hAnsi="Arial Narrow"/>
                <w:szCs w:val="20"/>
              </w:rPr>
            </w:pPr>
            <w:r w:rsidRPr="00480188">
              <w:rPr>
                <w:rFonts w:ascii="Arial Narrow" w:hAnsi="Arial Narrow"/>
                <w:szCs w:val="20"/>
              </w:rPr>
              <w:t xml:space="preserve">Comparative safety - </w:t>
            </w:r>
            <w:r w:rsidR="00D53955" w:rsidRPr="00480188">
              <w:rPr>
                <w:rFonts w:ascii="Arial Narrow" w:hAnsi="Arial Narrow"/>
                <w:szCs w:val="20"/>
              </w:rPr>
              <w:t>Superior</w:t>
            </w:r>
          </w:p>
        </w:tc>
        <w:tc>
          <w:tcPr>
            <w:cnfStyle w:val="000010000000" w:firstRow="0" w:lastRow="0" w:firstColumn="0" w:lastColumn="0" w:oddVBand="1" w:evenVBand="0" w:oddHBand="0" w:evenHBand="0" w:firstRowFirstColumn="0" w:firstRowLastColumn="0" w:lastRowFirstColumn="0" w:lastRowLastColumn="0"/>
            <w:tcW w:w="2410" w:type="dxa"/>
          </w:tcPr>
          <w:p w14:paraId="7BFE643D" w14:textId="77777777" w:rsidR="00D53955" w:rsidRPr="00480188" w:rsidRDefault="00D53955" w:rsidP="00480188">
            <w:pPr>
              <w:pStyle w:val="Tabletext1"/>
              <w:rPr>
                <w:rFonts w:ascii="Arial Narrow" w:hAnsi="Arial Narrow"/>
                <w:b w:val="0"/>
                <w:bCs w:val="0"/>
                <w:szCs w:val="20"/>
              </w:rPr>
            </w:pPr>
            <w:r w:rsidRPr="00480188">
              <w:rPr>
                <w:rFonts w:ascii="Arial Narrow" w:hAnsi="Arial Narrow"/>
                <w:b w:val="0"/>
                <w:bCs w:val="0"/>
                <w:szCs w:val="20"/>
              </w:rPr>
              <w:t>? Likely CUA</w:t>
            </w:r>
          </w:p>
        </w:tc>
        <w:tc>
          <w:tcPr>
            <w:tcW w:w="1842" w:type="dxa"/>
          </w:tcPr>
          <w:p w14:paraId="695866D4" w14:textId="77777777" w:rsidR="00D53955" w:rsidRPr="00480188" w:rsidRDefault="00D53955" w:rsidP="00480188">
            <w:pPr>
              <w:pStyle w:val="Tabletext1"/>
              <w:cnfStyle w:val="010000000000" w:firstRow="0" w:lastRow="1" w:firstColumn="0" w:lastColumn="0" w:oddVBand="0" w:evenVBand="0" w:oddHBand="0" w:evenHBand="0" w:firstRowFirstColumn="0" w:firstRowLastColumn="0" w:lastRowFirstColumn="0" w:lastRowLastColumn="0"/>
              <w:rPr>
                <w:rFonts w:ascii="Arial Narrow" w:hAnsi="Arial Narrow"/>
                <w:b w:val="0"/>
                <w:bCs w:val="0"/>
                <w:szCs w:val="20"/>
              </w:rPr>
            </w:pPr>
            <w:r w:rsidRPr="00480188">
              <w:rPr>
                <w:rFonts w:ascii="Arial Narrow" w:hAnsi="Arial Narrow"/>
                <w:b w:val="0"/>
                <w:bCs w:val="0"/>
                <w:szCs w:val="20"/>
              </w:rPr>
              <w:t>? Likely CEA/CUA</w:t>
            </w:r>
          </w:p>
        </w:tc>
        <w:tc>
          <w:tcPr>
            <w:cnfStyle w:val="000010000000" w:firstRow="0" w:lastRow="0" w:firstColumn="0" w:lastColumn="0" w:oddVBand="1" w:evenVBand="0" w:oddHBand="0" w:evenHBand="0" w:firstRowFirstColumn="0" w:firstRowLastColumn="0" w:lastRowFirstColumn="0" w:lastRowLastColumn="0"/>
            <w:tcW w:w="1843" w:type="dxa"/>
          </w:tcPr>
          <w:p w14:paraId="7F6DB7CA" w14:textId="77777777" w:rsidR="00D53955" w:rsidRPr="00480188" w:rsidRDefault="00D53955" w:rsidP="00480188">
            <w:pPr>
              <w:pStyle w:val="Tabletext1"/>
              <w:rPr>
                <w:rFonts w:ascii="Arial Narrow" w:hAnsi="Arial Narrow"/>
                <w:b w:val="0"/>
                <w:bCs w:val="0"/>
                <w:szCs w:val="20"/>
              </w:rPr>
            </w:pPr>
            <w:r w:rsidRPr="00480188">
              <w:rPr>
                <w:rFonts w:ascii="Arial Narrow" w:hAnsi="Arial Narrow"/>
                <w:b w:val="0"/>
                <w:bCs w:val="0"/>
                <w:szCs w:val="20"/>
              </w:rPr>
              <w:t>CEA/CUA</w:t>
            </w:r>
          </w:p>
        </w:tc>
        <w:tc>
          <w:tcPr>
            <w:cnfStyle w:val="000100000010" w:firstRow="0" w:lastRow="0" w:firstColumn="0" w:lastColumn="1" w:oddVBand="0" w:evenVBand="0" w:oddHBand="0" w:evenHBand="0" w:firstRowFirstColumn="0" w:firstRowLastColumn="0" w:lastRowFirstColumn="0" w:lastRowLastColumn="1"/>
            <w:tcW w:w="1392" w:type="dxa"/>
          </w:tcPr>
          <w:p w14:paraId="7570EE45" w14:textId="77777777" w:rsidR="00D53955" w:rsidRPr="00480188" w:rsidRDefault="00D53955" w:rsidP="00480188">
            <w:pPr>
              <w:pStyle w:val="Tabletext1"/>
              <w:rPr>
                <w:rFonts w:ascii="Arial Narrow" w:hAnsi="Arial Narrow"/>
                <w:b w:val="0"/>
                <w:bCs w:val="0"/>
                <w:szCs w:val="20"/>
              </w:rPr>
            </w:pPr>
            <w:r w:rsidRPr="00480188">
              <w:rPr>
                <w:rFonts w:ascii="Arial Narrow" w:hAnsi="Arial Narrow"/>
                <w:b w:val="0"/>
                <w:bCs w:val="0"/>
                <w:szCs w:val="20"/>
              </w:rPr>
              <w:t>CEA/CUA</w:t>
            </w:r>
          </w:p>
          <w:p w14:paraId="2F30CC5A" w14:textId="04DEAE77" w:rsidR="00683514" w:rsidRPr="00480188" w:rsidRDefault="00683514" w:rsidP="00480188">
            <w:pPr>
              <w:pStyle w:val="Tabletext1"/>
              <w:rPr>
                <w:rFonts w:ascii="Arial Narrow" w:hAnsi="Arial Narrow"/>
                <w:szCs w:val="20"/>
              </w:rPr>
            </w:pPr>
            <w:r w:rsidRPr="00480188">
              <w:rPr>
                <w:rFonts w:ascii="Arial Narrow" w:hAnsi="Arial Narrow"/>
                <w:szCs w:val="20"/>
              </w:rPr>
              <w:t>2. Exploratory CE analysis</w:t>
            </w:r>
          </w:p>
        </w:tc>
      </w:tr>
    </w:tbl>
    <w:p w14:paraId="0263019A" w14:textId="298EC554" w:rsidR="007B5637" w:rsidRDefault="007B5637" w:rsidP="00897C5B">
      <w:pPr>
        <w:pStyle w:val="Caption"/>
      </w:pPr>
      <w:r w:rsidRPr="00CC5A20">
        <w:t xml:space="preserve">Table </w:t>
      </w:r>
      <w:r w:rsidR="00CC5A20" w:rsidRPr="00CC5A20">
        <w:t>D-</w:t>
      </w:r>
      <w:r w:rsidR="00C6535E">
        <w:t>1</w:t>
      </w:r>
      <w:r>
        <w:t xml:space="preserve">. </w:t>
      </w:r>
      <w:r>
        <w:tab/>
        <w:t xml:space="preserve">Classification of the </w:t>
      </w:r>
      <w:r w:rsidRPr="002E2A40">
        <w:t>comparative effectiveness and safety</w:t>
      </w:r>
      <w:r w:rsidRPr="00982928">
        <w:t xml:space="preserve"> </w:t>
      </w:r>
      <w:r>
        <w:t>of the proposed therapeutic medical service compared with its main comparator and guide to the suitable type of economic evaluation</w:t>
      </w:r>
    </w:p>
    <w:p w14:paraId="2063717C" w14:textId="5F45588D" w:rsidR="00D53955" w:rsidRPr="00480188" w:rsidRDefault="00D53955" w:rsidP="00480188">
      <w:pPr>
        <w:pStyle w:val="CommentText"/>
      </w:pPr>
      <w:r w:rsidRPr="00480188">
        <w:t>CEA=cost-effectiveness analysis; CMA=cost-minimisation analysis; CUA=cost-utility analysis</w:t>
      </w:r>
    </w:p>
    <w:p w14:paraId="22055E84" w14:textId="77777777" w:rsidR="00D53955" w:rsidRPr="00480188" w:rsidRDefault="00D53955" w:rsidP="00480188">
      <w:pPr>
        <w:pStyle w:val="CommentText"/>
      </w:pPr>
      <w:r w:rsidRPr="00480188">
        <w:t xml:space="preserve">? = reflect uncertainties and any identified health trade-offs in the economic evaluation, as a minimum in a cost-consequences analysis </w:t>
      </w:r>
    </w:p>
    <w:p w14:paraId="4307B7D5" w14:textId="77777777" w:rsidR="00D53955" w:rsidRPr="00480188" w:rsidRDefault="00D53955" w:rsidP="00480188">
      <w:pPr>
        <w:pStyle w:val="CommentText"/>
      </w:pPr>
      <w:r w:rsidRPr="00480188">
        <w:lastRenderedPageBreak/>
        <w:t>a ‘Uncertainty’ covers concepts such as inadequate minimisation of important sources of bias, lack of statistical significance in an underpowered trial, detecting clinically unimportant therapeutic differences, inconsistent results across trials, and trade-offs within the comparative effectiveness and/or the comparative safety considerations</w:t>
      </w:r>
    </w:p>
    <w:p w14:paraId="1A2443F8" w14:textId="58B2272A" w:rsidR="00D53955" w:rsidRPr="00480188" w:rsidRDefault="00D53955" w:rsidP="00480188">
      <w:pPr>
        <w:pStyle w:val="CommentText"/>
      </w:pPr>
      <w:r w:rsidRPr="00480188">
        <w:t>b </w:t>
      </w:r>
      <w:proofErr w:type="gramStart"/>
      <w:r w:rsidRPr="00480188">
        <w:t>An</w:t>
      </w:r>
      <w:proofErr w:type="gramEnd"/>
      <w:r w:rsidRPr="00480188">
        <w:t xml:space="preserve"> adequate assessment of ‘non-inferiority’ is the preferred basis for demonstrating equivalence</w:t>
      </w:r>
    </w:p>
    <w:p w14:paraId="3DE198AF" w14:textId="53B23394" w:rsidR="00941F81" w:rsidRDefault="005A5EC8" w:rsidP="00903BC5">
      <w:pPr>
        <w:pStyle w:val="Heading2-SectionD"/>
      </w:pPr>
      <w:bookmarkStart w:id="216" w:name="_Toc381796477"/>
      <w:bookmarkStart w:id="217" w:name="_Toc117758266"/>
      <w:r w:rsidRPr="00F42B1D">
        <w:t>Populations and settings</w:t>
      </w:r>
      <w:bookmarkEnd w:id="216"/>
      <w:bookmarkEnd w:id="217"/>
    </w:p>
    <w:p w14:paraId="2B34DAD9" w14:textId="7C78E7DF" w:rsidR="007B5637" w:rsidRPr="00CC5A20" w:rsidRDefault="007B5637" w:rsidP="007501B9">
      <w:r>
        <w:t>The population for the trial-based economic analysis is based directly on the study population for whom economic data were available</w:t>
      </w:r>
      <w:r w:rsidR="007501B9">
        <w:t xml:space="preserve">. </w:t>
      </w:r>
      <w:r>
        <w:t xml:space="preserve">It represents </w:t>
      </w:r>
      <w:r w:rsidR="007D161B">
        <w:t xml:space="preserve">aged care </w:t>
      </w:r>
      <w:r>
        <w:t>residents in Australia who are at high risk of adverse medication events (as identified by them taking 4 or more medicines or taking at least one medicine with anticholinergic or sedative medicine) but have not yet suffered extensive decline</w:t>
      </w:r>
      <w:r w:rsidR="007501B9">
        <w:t xml:space="preserve">. </w:t>
      </w:r>
      <w:r w:rsidRPr="00CC5A20">
        <w:t xml:space="preserve">These residents have a </w:t>
      </w:r>
      <w:r w:rsidR="008921EC" w:rsidRPr="00CC5A20">
        <w:t>cognition score</w:t>
      </w:r>
      <w:r w:rsidRPr="00CC5A20">
        <w:t xml:space="preserve"> </w:t>
      </w:r>
      <w:r w:rsidR="008921EC" w:rsidRPr="00CC5A20">
        <w:t>(</w:t>
      </w:r>
      <w:r w:rsidRPr="00CC5A20">
        <w:t>MoCA</w:t>
      </w:r>
      <w:r w:rsidR="008921EC" w:rsidRPr="00CC5A20">
        <w:t xml:space="preserve">) </w:t>
      </w:r>
      <w:r w:rsidRPr="00CC5A20">
        <w:t>of 18 or higher</w:t>
      </w:r>
      <w:r w:rsidR="00155108">
        <w:t xml:space="preserve"> (corresponding to no or mild cognitive impairment)</w:t>
      </w:r>
      <w:r w:rsidRPr="00CC5A20">
        <w:t xml:space="preserve"> and a frailty index less than 0.4, as det</w:t>
      </w:r>
      <w:r w:rsidR="00155108">
        <w:t>ailed in Section A.3 and B.4.2.</w:t>
      </w:r>
    </w:p>
    <w:p w14:paraId="25BC9338" w14:textId="6AE6E194" w:rsidR="007B5637" w:rsidRDefault="007B5637" w:rsidP="007501B9">
      <w:r w:rsidRPr="00CC5A20">
        <w:t>A summary of the characteristics of the study participants is presented in Section B.4</w:t>
      </w:r>
      <w:r w:rsidR="007501B9">
        <w:t xml:space="preserve">. </w:t>
      </w:r>
      <w:r>
        <w:t>In Section C.2 the characteristics of the study sub-group for whom external administrative costing data was available is assessed alongside the broader study population</w:t>
      </w:r>
      <w:r w:rsidR="007501B9">
        <w:t xml:space="preserve">. </w:t>
      </w:r>
      <w:r>
        <w:t xml:space="preserve">The population with costing data is identified to be representative of the broader study population. </w:t>
      </w:r>
    </w:p>
    <w:p w14:paraId="7671A934" w14:textId="214C63B4" w:rsidR="007B5637" w:rsidRPr="007B5637" w:rsidRDefault="007B5637" w:rsidP="007501B9">
      <w:r>
        <w:t xml:space="preserve">Like the primary study, the setting of the trial-based cost analysis is in the Australian </w:t>
      </w:r>
      <w:r w:rsidR="007D161B">
        <w:t xml:space="preserve">aged care </w:t>
      </w:r>
      <w:r>
        <w:t>setting and the perspective of the analysis is the Australian Healthcare system.</w:t>
      </w:r>
    </w:p>
    <w:p w14:paraId="4E70AA96" w14:textId="3DC3FB4C" w:rsidR="005A5EC8" w:rsidRDefault="005A5EC8" w:rsidP="00903BC5">
      <w:pPr>
        <w:pStyle w:val="Heading2-SectionD"/>
      </w:pPr>
      <w:bookmarkStart w:id="218" w:name="_Toc381796478"/>
      <w:bookmarkStart w:id="219" w:name="_Toc117758267"/>
      <w:r w:rsidRPr="00F42B1D">
        <w:t>Structure and rationale of the economic evaluation</w:t>
      </w:r>
      <w:bookmarkEnd w:id="218"/>
      <w:bookmarkEnd w:id="219"/>
    </w:p>
    <w:p w14:paraId="398B79D5" w14:textId="066873F9" w:rsidR="008921EC" w:rsidRDefault="008921EC" w:rsidP="007501B9">
      <w:r>
        <w:t xml:space="preserve">A summary of the key characteristics of the economic evaluation is given </w:t>
      </w:r>
      <w:r w:rsidRPr="00CC5A20">
        <w:t xml:space="preserve">in Table </w:t>
      </w:r>
      <w:r w:rsidR="00CC5A20" w:rsidRPr="00CC5A20">
        <w:t>D-2</w:t>
      </w:r>
      <w:r w:rsidRPr="00CC5A20">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Summary of the key characteristics of the economic evaluation"/>
        <w:tblDescription w:val="This table describes the key constructs of the economic evaluation that is provided in the assessment report."/>
      </w:tblPr>
      <w:tblGrid>
        <w:gridCol w:w="3114"/>
        <w:gridCol w:w="5902"/>
      </w:tblGrid>
      <w:tr w:rsidR="008921EC" w:rsidRPr="00183E4D" w14:paraId="2C05B918" w14:textId="77777777" w:rsidTr="00075773">
        <w:trPr>
          <w:trHeight w:val="20"/>
        </w:trPr>
        <w:tc>
          <w:tcPr>
            <w:tcW w:w="172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CDBB6B" w14:textId="77777777" w:rsidR="008921EC" w:rsidRPr="00183E4D" w:rsidRDefault="008921EC" w:rsidP="005F4C4F">
            <w:pPr>
              <w:pStyle w:val="Tabletext1"/>
              <w:rPr>
                <w:b/>
              </w:rPr>
            </w:pPr>
            <w:bookmarkStart w:id="220" w:name="RowTitle_17" w:colFirst="0" w:colLast="0"/>
            <w:r w:rsidRPr="00183E4D">
              <w:rPr>
                <w:b/>
              </w:rPr>
              <w:t>Perspective</w:t>
            </w:r>
            <w:bookmarkStart w:id="221" w:name="RowTitle_20"/>
            <w:bookmarkEnd w:id="221"/>
          </w:p>
        </w:tc>
        <w:tc>
          <w:tcPr>
            <w:tcW w:w="3273" w:type="pct"/>
            <w:tcBorders>
              <w:top w:val="single" w:sz="4" w:space="0" w:color="auto"/>
              <w:left w:val="single" w:sz="4" w:space="0" w:color="auto"/>
              <w:bottom w:val="single" w:sz="4" w:space="0" w:color="auto"/>
              <w:right w:val="single" w:sz="4" w:space="0" w:color="auto"/>
            </w:tcBorders>
          </w:tcPr>
          <w:p w14:paraId="0D9BC5F3" w14:textId="3B617E54" w:rsidR="008921EC" w:rsidRPr="004C0965" w:rsidRDefault="008921EC" w:rsidP="005F4C4F">
            <w:pPr>
              <w:pStyle w:val="Tabletext1"/>
            </w:pPr>
            <w:r w:rsidRPr="004C0965">
              <w:t xml:space="preserve">Australian </w:t>
            </w:r>
            <w:r w:rsidR="007D161B" w:rsidRPr="004C0965">
              <w:t xml:space="preserve">healthcare </w:t>
            </w:r>
            <w:r w:rsidRPr="004C0965">
              <w:t xml:space="preserve">system, including </w:t>
            </w:r>
            <w:r w:rsidR="007D161B" w:rsidRPr="004C0965">
              <w:t xml:space="preserve">aged care </w:t>
            </w:r>
            <w:r w:rsidRPr="004C0965">
              <w:t>funding</w:t>
            </w:r>
          </w:p>
        </w:tc>
      </w:tr>
      <w:tr w:rsidR="008921EC" w:rsidRPr="00183E4D" w14:paraId="7F06A96C" w14:textId="77777777" w:rsidTr="00075773">
        <w:trPr>
          <w:trHeight w:val="20"/>
        </w:trPr>
        <w:tc>
          <w:tcPr>
            <w:tcW w:w="172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29AA1EF" w14:textId="77777777" w:rsidR="008921EC" w:rsidRPr="00183E4D" w:rsidRDefault="008921EC" w:rsidP="005F4C4F">
            <w:pPr>
              <w:pStyle w:val="Tabletext1"/>
              <w:rPr>
                <w:b/>
              </w:rPr>
            </w:pPr>
            <w:r w:rsidRPr="00183E4D">
              <w:rPr>
                <w:b/>
              </w:rPr>
              <w:t>Comparator</w:t>
            </w:r>
          </w:p>
        </w:tc>
        <w:tc>
          <w:tcPr>
            <w:tcW w:w="3273" w:type="pct"/>
            <w:tcBorders>
              <w:top w:val="single" w:sz="4" w:space="0" w:color="auto"/>
              <w:left w:val="single" w:sz="4" w:space="0" w:color="auto"/>
              <w:bottom w:val="single" w:sz="4" w:space="0" w:color="auto"/>
              <w:right w:val="single" w:sz="4" w:space="0" w:color="auto"/>
            </w:tcBorders>
          </w:tcPr>
          <w:p w14:paraId="31435452" w14:textId="77777777" w:rsidR="008921EC" w:rsidRPr="004C0965" w:rsidRDefault="008921EC" w:rsidP="005F4C4F">
            <w:pPr>
              <w:pStyle w:val="Tabletext1"/>
            </w:pPr>
            <w:r w:rsidRPr="004C0965">
              <w:t>Usual practice (no additional pharmacist intervention)</w:t>
            </w:r>
          </w:p>
        </w:tc>
      </w:tr>
      <w:tr w:rsidR="008921EC" w:rsidRPr="00183E4D" w14:paraId="09248E5B" w14:textId="77777777" w:rsidTr="00075773">
        <w:trPr>
          <w:trHeight w:val="20"/>
        </w:trPr>
        <w:tc>
          <w:tcPr>
            <w:tcW w:w="172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9E9A0F" w14:textId="77777777" w:rsidR="008921EC" w:rsidRPr="00183E4D" w:rsidRDefault="008921EC" w:rsidP="005F4C4F">
            <w:pPr>
              <w:pStyle w:val="Tabletext1"/>
              <w:rPr>
                <w:b/>
              </w:rPr>
            </w:pPr>
            <w:r w:rsidRPr="00183E4D">
              <w:rPr>
                <w:b/>
              </w:rPr>
              <w:t>Type of economic evaluation</w:t>
            </w:r>
          </w:p>
        </w:tc>
        <w:tc>
          <w:tcPr>
            <w:tcW w:w="3273" w:type="pct"/>
            <w:tcBorders>
              <w:top w:val="single" w:sz="4" w:space="0" w:color="auto"/>
              <w:left w:val="single" w:sz="4" w:space="0" w:color="auto"/>
              <w:bottom w:val="single" w:sz="4" w:space="0" w:color="auto"/>
              <w:right w:val="single" w:sz="4" w:space="0" w:color="auto"/>
            </w:tcBorders>
          </w:tcPr>
          <w:p w14:paraId="7D36DCF8" w14:textId="77777777" w:rsidR="00683514" w:rsidRDefault="00683514" w:rsidP="00683514">
            <w:pPr>
              <w:pStyle w:val="Tabletext1"/>
            </w:pPr>
            <w:r>
              <w:t xml:space="preserve">Base case: </w:t>
            </w:r>
            <w:r w:rsidRPr="004C0965">
              <w:t>cost-</w:t>
            </w:r>
            <w:r>
              <w:t>analysis</w:t>
            </w:r>
          </w:p>
          <w:p w14:paraId="0888F4D0" w14:textId="3CC8043D" w:rsidR="008921EC" w:rsidRPr="004C0965" w:rsidRDefault="00683514" w:rsidP="00683514">
            <w:pPr>
              <w:pStyle w:val="Tabletext1"/>
            </w:pPr>
            <w:r>
              <w:t>Exploratory analysis: cost-effectiveness analysis</w:t>
            </w:r>
          </w:p>
        </w:tc>
      </w:tr>
      <w:tr w:rsidR="008921EC" w:rsidRPr="00183E4D" w14:paraId="7584E969" w14:textId="77777777" w:rsidTr="00075773">
        <w:trPr>
          <w:trHeight w:val="20"/>
        </w:trPr>
        <w:tc>
          <w:tcPr>
            <w:tcW w:w="172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75F4C6" w14:textId="77777777" w:rsidR="008921EC" w:rsidRPr="00183E4D" w:rsidRDefault="008921EC" w:rsidP="005F4C4F">
            <w:pPr>
              <w:pStyle w:val="Tabletext1"/>
              <w:rPr>
                <w:b/>
              </w:rPr>
            </w:pPr>
            <w:r w:rsidRPr="00183E4D">
              <w:rPr>
                <w:b/>
              </w:rPr>
              <w:t>Sources of evidence</w:t>
            </w:r>
          </w:p>
        </w:tc>
        <w:tc>
          <w:tcPr>
            <w:tcW w:w="3273" w:type="pct"/>
            <w:tcBorders>
              <w:top w:val="single" w:sz="4" w:space="0" w:color="auto"/>
              <w:left w:val="single" w:sz="4" w:space="0" w:color="auto"/>
              <w:bottom w:val="single" w:sz="4" w:space="0" w:color="auto"/>
              <w:right w:val="single" w:sz="4" w:space="0" w:color="auto"/>
            </w:tcBorders>
          </w:tcPr>
          <w:p w14:paraId="7A3C4736" w14:textId="1CC4D54B" w:rsidR="008921EC" w:rsidRPr="004C0965" w:rsidRDefault="008921EC" w:rsidP="005F4C4F">
            <w:pPr>
              <w:pStyle w:val="Tabletext1"/>
            </w:pPr>
            <w:proofErr w:type="spellStart"/>
            <w:r w:rsidRPr="004C0965">
              <w:t>ReMInDAR</w:t>
            </w:r>
            <w:proofErr w:type="spellEnd"/>
            <w:r w:rsidRPr="004C0965">
              <w:t xml:space="preserve"> clinical trial</w:t>
            </w:r>
          </w:p>
        </w:tc>
      </w:tr>
      <w:tr w:rsidR="008921EC" w:rsidRPr="00183E4D" w14:paraId="4E94954E" w14:textId="77777777" w:rsidTr="00075773">
        <w:trPr>
          <w:trHeight w:val="20"/>
        </w:trPr>
        <w:tc>
          <w:tcPr>
            <w:tcW w:w="172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6FB58A9" w14:textId="77777777" w:rsidR="008921EC" w:rsidRPr="00183E4D" w:rsidRDefault="008921EC" w:rsidP="005F4C4F">
            <w:pPr>
              <w:pStyle w:val="Tabletext1"/>
              <w:rPr>
                <w:b/>
              </w:rPr>
            </w:pPr>
            <w:r w:rsidRPr="00183E4D">
              <w:rPr>
                <w:b/>
              </w:rPr>
              <w:t>Time horizon</w:t>
            </w:r>
          </w:p>
        </w:tc>
        <w:tc>
          <w:tcPr>
            <w:tcW w:w="3273" w:type="pct"/>
            <w:tcBorders>
              <w:top w:val="single" w:sz="4" w:space="0" w:color="auto"/>
              <w:left w:val="single" w:sz="4" w:space="0" w:color="auto"/>
              <w:bottom w:val="single" w:sz="4" w:space="0" w:color="auto"/>
              <w:right w:val="single" w:sz="4" w:space="0" w:color="auto"/>
            </w:tcBorders>
            <w:hideMark/>
          </w:tcPr>
          <w:p w14:paraId="7384F414" w14:textId="77777777" w:rsidR="008921EC" w:rsidRPr="004C0965" w:rsidRDefault="008921EC" w:rsidP="005F4C4F">
            <w:pPr>
              <w:pStyle w:val="Tabletext1"/>
            </w:pPr>
            <w:r w:rsidRPr="004C0965">
              <w:t>1 year (consistent with clinical study follow-up)</w:t>
            </w:r>
          </w:p>
        </w:tc>
      </w:tr>
      <w:tr w:rsidR="008921EC" w:rsidRPr="00183E4D" w14:paraId="47E7CA67" w14:textId="77777777" w:rsidTr="00075773">
        <w:trPr>
          <w:trHeight w:val="20"/>
        </w:trPr>
        <w:tc>
          <w:tcPr>
            <w:tcW w:w="172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530BCDC" w14:textId="7FC7982C" w:rsidR="008921EC" w:rsidRPr="00183E4D" w:rsidRDefault="008921EC" w:rsidP="005F4C4F">
            <w:pPr>
              <w:pStyle w:val="Tabletext1"/>
              <w:rPr>
                <w:b/>
              </w:rPr>
            </w:pPr>
            <w:r w:rsidRPr="00183E4D">
              <w:rPr>
                <w:b/>
              </w:rPr>
              <w:t>Outcomes</w:t>
            </w:r>
            <w:r>
              <w:rPr>
                <w:b/>
              </w:rPr>
              <w:t xml:space="preserve"> (</w:t>
            </w:r>
            <w:r w:rsidR="00683514">
              <w:rPr>
                <w:b/>
              </w:rPr>
              <w:t xml:space="preserve">base case </w:t>
            </w:r>
            <w:r>
              <w:rPr>
                <w:b/>
              </w:rPr>
              <w:t>cost outcome only)</w:t>
            </w:r>
          </w:p>
        </w:tc>
        <w:tc>
          <w:tcPr>
            <w:tcW w:w="3273" w:type="pct"/>
            <w:tcBorders>
              <w:top w:val="single" w:sz="4" w:space="0" w:color="auto"/>
              <w:left w:val="single" w:sz="4" w:space="0" w:color="auto"/>
              <w:bottom w:val="single" w:sz="4" w:space="0" w:color="auto"/>
              <w:right w:val="single" w:sz="4" w:space="0" w:color="auto"/>
            </w:tcBorders>
          </w:tcPr>
          <w:p w14:paraId="64CA94E7" w14:textId="77777777" w:rsidR="008921EC" w:rsidRDefault="008921EC" w:rsidP="005F4C4F">
            <w:pPr>
              <w:pStyle w:val="Tabletext1"/>
            </w:pPr>
            <w:r>
              <w:t>C</w:t>
            </w:r>
            <w:r w:rsidRPr="003506F2">
              <w:t>hange in total health resource expenditure (net costs/ savings</w:t>
            </w:r>
            <w:r>
              <w:t>)</w:t>
            </w:r>
            <w:r w:rsidRPr="003506F2">
              <w:t xml:space="preserve"> per resident, associated with the pharmacist intervention</w:t>
            </w:r>
            <w:r>
              <w:t>.</w:t>
            </w:r>
          </w:p>
          <w:p w14:paraId="29CA1080" w14:textId="69252FE9" w:rsidR="00683514" w:rsidRPr="004C0965" w:rsidRDefault="00683514" w:rsidP="005F4C4F">
            <w:pPr>
              <w:pStyle w:val="Tabletext1"/>
            </w:pPr>
            <w:r w:rsidRPr="00683514">
              <w:t>Exploratory analysis: residents avoiding clinically significant cognitive decline</w:t>
            </w:r>
          </w:p>
        </w:tc>
      </w:tr>
      <w:tr w:rsidR="008921EC" w:rsidRPr="00183E4D" w14:paraId="5CFB2795" w14:textId="77777777" w:rsidTr="00075773">
        <w:trPr>
          <w:trHeight w:val="20"/>
        </w:trPr>
        <w:tc>
          <w:tcPr>
            <w:tcW w:w="172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24CAB56" w14:textId="77777777" w:rsidR="008921EC" w:rsidRPr="00183E4D" w:rsidRDefault="008921EC" w:rsidP="005F4C4F">
            <w:pPr>
              <w:pStyle w:val="Tabletext1"/>
              <w:rPr>
                <w:b/>
              </w:rPr>
            </w:pPr>
            <w:r w:rsidRPr="00183E4D">
              <w:rPr>
                <w:b/>
              </w:rPr>
              <w:t>Methods used to generate results</w:t>
            </w:r>
          </w:p>
        </w:tc>
        <w:tc>
          <w:tcPr>
            <w:tcW w:w="3273" w:type="pct"/>
            <w:tcBorders>
              <w:top w:val="single" w:sz="4" w:space="0" w:color="auto"/>
              <w:left w:val="single" w:sz="4" w:space="0" w:color="auto"/>
              <w:bottom w:val="single" w:sz="4" w:space="0" w:color="auto"/>
              <w:right w:val="single" w:sz="4" w:space="0" w:color="auto"/>
            </w:tcBorders>
          </w:tcPr>
          <w:p w14:paraId="7255B484" w14:textId="499A7203" w:rsidR="008921EC" w:rsidRPr="004C0965" w:rsidRDefault="007D161B" w:rsidP="007D161B">
            <w:pPr>
              <w:pStyle w:val="Tabletext1"/>
            </w:pPr>
            <w:r w:rsidRPr="004C0965">
              <w:t>Trial</w:t>
            </w:r>
            <w:r w:rsidR="008921EC" w:rsidRPr="004C0965">
              <w:t xml:space="preserve">-based analysis – data collected directly within study combined with Commonwealth and state health department administrative data </w:t>
            </w:r>
          </w:p>
        </w:tc>
      </w:tr>
      <w:tr w:rsidR="008921EC" w:rsidRPr="00183E4D" w14:paraId="39EA0FCB" w14:textId="77777777" w:rsidTr="00075773">
        <w:trPr>
          <w:trHeight w:val="20"/>
        </w:trPr>
        <w:tc>
          <w:tcPr>
            <w:tcW w:w="172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A2A743E" w14:textId="77777777" w:rsidR="008921EC" w:rsidRPr="00183E4D" w:rsidRDefault="008921EC" w:rsidP="00480188">
            <w:pPr>
              <w:pStyle w:val="Tabletext1"/>
              <w:keepNext/>
              <w:rPr>
                <w:b/>
              </w:rPr>
            </w:pPr>
            <w:r w:rsidRPr="00183E4D">
              <w:rPr>
                <w:b/>
              </w:rPr>
              <w:lastRenderedPageBreak/>
              <w:t>Discount rate</w:t>
            </w:r>
          </w:p>
        </w:tc>
        <w:tc>
          <w:tcPr>
            <w:tcW w:w="3273" w:type="pct"/>
            <w:tcBorders>
              <w:top w:val="single" w:sz="4" w:space="0" w:color="auto"/>
              <w:left w:val="single" w:sz="4" w:space="0" w:color="auto"/>
              <w:bottom w:val="single" w:sz="4" w:space="0" w:color="auto"/>
              <w:right w:val="single" w:sz="4" w:space="0" w:color="auto"/>
            </w:tcBorders>
          </w:tcPr>
          <w:p w14:paraId="39BA44B1" w14:textId="77777777" w:rsidR="008921EC" w:rsidRPr="004C0965" w:rsidRDefault="008921EC" w:rsidP="00480188">
            <w:pPr>
              <w:pStyle w:val="Tabletext1"/>
              <w:keepNext/>
            </w:pPr>
            <w:r w:rsidRPr="004C0965">
              <w:t>Not relevant (1 year time horizon)</w:t>
            </w:r>
          </w:p>
        </w:tc>
      </w:tr>
      <w:tr w:rsidR="008921EC" w:rsidRPr="00183E4D" w14:paraId="61DD948B" w14:textId="77777777" w:rsidTr="00075773">
        <w:trPr>
          <w:trHeight w:val="20"/>
        </w:trPr>
        <w:tc>
          <w:tcPr>
            <w:tcW w:w="172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36CC240" w14:textId="77777777" w:rsidR="008921EC" w:rsidRPr="00183E4D" w:rsidRDefault="008921EC" w:rsidP="005F4C4F">
            <w:pPr>
              <w:pStyle w:val="Tabletext1"/>
              <w:rPr>
                <w:b/>
              </w:rPr>
            </w:pPr>
            <w:r w:rsidRPr="00183E4D">
              <w:rPr>
                <w:b/>
              </w:rPr>
              <w:t>Software packages used</w:t>
            </w:r>
          </w:p>
        </w:tc>
        <w:tc>
          <w:tcPr>
            <w:tcW w:w="3273" w:type="pct"/>
            <w:tcBorders>
              <w:top w:val="single" w:sz="4" w:space="0" w:color="auto"/>
              <w:left w:val="single" w:sz="4" w:space="0" w:color="auto"/>
              <w:bottom w:val="single" w:sz="4" w:space="0" w:color="auto"/>
              <w:right w:val="single" w:sz="4" w:space="0" w:color="auto"/>
            </w:tcBorders>
          </w:tcPr>
          <w:p w14:paraId="5E64F37B" w14:textId="77777777" w:rsidR="008921EC" w:rsidRPr="004C0965" w:rsidRDefault="008921EC" w:rsidP="005F4C4F">
            <w:pPr>
              <w:pStyle w:val="Tabletext1"/>
            </w:pPr>
            <w:r w:rsidRPr="004C0965">
              <w:t>Excel</w:t>
            </w:r>
          </w:p>
        </w:tc>
      </w:tr>
    </w:tbl>
    <w:bookmarkEnd w:id="220"/>
    <w:p w14:paraId="0C9870B1" w14:textId="5C861B5D" w:rsidR="008921EC" w:rsidRPr="00183E4D" w:rsidRDefault="008921EC" w:rsidP="00897C5B">
      <w:pPr>
        <w:pStyle w:val="Caption"/>
      </w:pPr>
      <w:r w:rsidRPr="00CC5A20">
        <w:t xml:space="preserve">Table </w:t>
      </w:r>
      <w:r w:rsidR="00CC5A20" w:rsidRPr="00CC5A20">
        <w:t>D-</w:t>
      </w:r>
      <w:r w:rsidR="00155108">
        <w:t>2</w:t>
      </w:r>
      <w:r w:rsidR="008A7B2A">
        <w:tab/>
      </w:r>
      <w:r>
        <w:t xml:space="preserve"> </w:t>
      </w:r>
      <w:r w:rsidRPr="008921EC">
        <w:t>Summary of the economic evaluation</w:t>
      </w:r>
    </w:p>
    <w:p w14:paraId="4F27E1C2" w14:textId="2916BE76" w:rsidR="008921EC" w:rsidRPr="008921EC" w:rsidRDefault="008921EC" w:rsidP="00897C5B">
      <w:pPr>
        <w:pStyle w:val="Heading3"/>
      </w:pPr>
      <w:bookmarkStart w:id="222" w:name="_Toc395200799"/>
      <w:bookmarkStart w:id="223" w:name="_Toc445464048"/>
      <w:bookmarkStart w:id="224" w:name="_Toc117758268"/>
      <w:r w:rsidRPr="008921EC">
        <w:t>D.3.1</w:t>
      </w:r>
      <w:r w:rsidR="00FF37D6">
        <w:tab/>
      </w:r>
      <w:r w:rsidRPr="008921EC">
        <w:t>Literature review</w:t>
      </w:r>
      <w:bookmarkEnd w:id="222"/>
      <w:bookmarkEnd w:id="223"/>
      <w:bookmarkEnd w:id="224"/>
    </w:p>
    <w:p w14:paraId="32B7BECB" w14:textId="7548C0D1" w:rsidR="007D161B" w:rsidRDefault="008921EC" w:rsidP="007501B9">
      <w:r w:rsidRPr="00964DA5">
        <w:t xml:space="preserve">A literature search was conducted to identify studies published </w:t>
      </w:r>
      <w:proofErr w:type="gramStart"/>
      <w:r w:rsidRPr="00964DA5">
        <w:t>that analysed costs</w:t>
      </w:r>
      <w:proofErr w:type="gramEnd"/>
      <w:r w:rsidRPr="00964DA5">
        <w:t xml:space="preserve"> comparing pharmacist-led medication reviews with usual care in the setting of residential aged care facilities</w:t>
      </w:r>
      <w:r w:rsidR="007501B9">
        <w:t xml:space="preserve">. </w:t>
      </w:r>
      <w:r w:rsidRPr="00964DA5">
        <w:t>The search found seven studies, of which one was a cost-utility analysis, and the remainder were cost analyses</w:t>
      </w:r>
      <w:r w:rsidR="007501B9">
        <w:t xml:space="preserve">. </w:t>
      </w:r>
      <w:r w:rsidRPr="00964DA5">
        <w:t>All studies limited the costs considered</w:t>
      </w:r>
      <w:r w:rsidR="007D161B">
        <w:t xml:space="preserve"> to</w:t>
      </w:r>
      <w:r w:rsidRPr="00964DA5">
        <w:t xml:space="preserve"> pharmaceuticals and the pharmacist service, n</w:t>
      </w:r>
      <w:r w:rsidRPr="008921EC">
        <w:rPr>
          <w:rFonts w:cstheme="minorHAnsi"/>
          <w:shd w:val="clear" w:color="auto" w:fill="FFFFFF"/>
        </w:rPr>
        <w:t>one included comprehensive costs of the patient care</w:t>
      </w:r>
      <w:r w:rsidR="007501B9">
        <w:rPr>
          <w:rFonts w:cstheme="minorHAnsi"/>
          <w:shd w:val="clear" w:color="auto" w:fill="FFFFFF"/>
        </w:rPr>
        <w:t xml:space="preserve">. </w:t>
      </w:r>
      <w:r w:rsidRPr="008921EC">
        <w:rPr>
          <w:rFonts w:cstheme="minorHAnsi"/>
          <w:shd w:val="clear" w:color="auto" w:fill="FFFFFF"/>
        </w:rPr>
        <w:t xml:space="preserve">All studies, except the cost-utility </w:t>
      </w:r>
      <w:r w:rsidR="005F4C4F">
        <w:rPr>
          <w:rFonts w:cstheme="minorHAnsi"/>
          <w:shd w:val="clear" w:color="auto" w:fill="FFFFFF"/>
        </w:rPr>
        <w:t xml:space="preserve">analysis </w:t>
      </w:r>
      <w:r w:rsidR="005F4C4F">
        <w:rPr>
          <w:rFonts w:cstheme="minorHAnsi"/>
          <w:shd w:val="clear" w:color="auto" w:fill="FFFFFF"/>
        </w:rPr>
        <w:fldChar w:fldCharType="begin"/>
      </w:r>
      <w:r w:rsidR="00EB6EA4">
        <w:rPr>
          <w:rFonts w:cstheme="minorHAnsi"/>
          <w:shd w:val="clear" w:color="auto" w:fill="FFFFFF"/>
        </w:rPr>
        <w:instrText xml:space="preserve"> ADDIN EN.CITE &lt;EndNote&gt;&lt;Cite&gt;&lt;Author&gt;Jódar</w:instrText>
      </w:r>
      <w:r w:rsidR="00EB6EA4">
        <w:rPr>
          <w:rFonts w:ascii="Cambria Math" w:hAnsi="Cambria Math" w:cs="Cambria Math"/>
          <w:shd w:val="clear" w:color="auto" w:fill="FFFFFF"/>
        </w:rPr>
        <w:instrText>‐</w:instrText>
      </w:r>
      <w:r w:rsidR="00EB6EA4">
        <w:rPr>
          <w:rFonts w:cstheme="minorHAnsi"/>
          <w:shd w:val="clear" w:color="auto" w:fill="FFFFFF"/>
        </w:rPr>
        <w:instrText>S</w:instrText>
      </w:r>
      <w:r w:rsidR="00EB6EA4">
        <w:rPr>
          <w:rFonts w:cs="Arial"/>
          <w:shd w:val="clear" w:color="auto" w:fill="FFFFFF"/>
        </w:rPr>
        <w:instrText>á</w:instrText>
      </w:r>
      <w:r w:rsidR="00EB6EA4">
        <w:rPr>
          <w:rFonts w:cstheme="minorHAnsi"/>
          <w:shd w:val="clear" w:color="auto" w:fill="FFFFFF"/>
        </w:rPr>
        <w:instrText>nchez&lt;/Author&gt;&lt;Year&gt;2014&lt;/Year&gt;&lt;RecNum&gt;70&lt;/RecNum&gt;&lt;DisplayText&gt;(86)&lt;/DisplayText&gt;&lt;record&gt;&lt;rec-number&gt;70&lt;/rec-number&gt;&lt;foreign-keys&gt;&lt;key app="EN" db-id="9s5z5ped05vxdnede99vfsxhtzavzdzs2d5r" timestamp="1615945322"&gt;70&lt;/key&gt;&lt;/foreign-keys&gt;&lt;ref-type name="Journal Article"&gt;17&lt;/ref-type&gt;&lt;contributors&gt;&lt;authors&gt;&lt;author&gt;Jódar</w:instrText>
      </w:r>
      <w:r w:rsidR="00EB6EA4">
        <w:rPr>
          <w:rFonts w:ascii="Cambria Math" w:hAnsi="Cambria Math" w:cs="Cambria Math"/>
          <w:shd w:val="clear" w:color="auto" w:fill="FFFFFF"/>
        </w:rPr>
        <w:instrText>‐</w:instrText>
      </w:r>
      <w:r w:rsidR="00EB6EA4">
        <w:rPr>
          <w:rFonts w:cstheme="minorHAnsi"/>
          <w:shd w:val="clear" w:color="auto" w:fill="FFFFFF"/>
        </w:rPr>
        <w:instrText>S</w:instrText>
      </w:r>
      <w:r w:rsidR="00EB6EA4">
        <w:rPr>
          <w:rFonts w:cs="Arial"/>
          <w:shd w:val="clear" w:color="auto" w:fill="FFFFFF"/>
        </w:rPr>
        <w:instrText>á</w:instrText>
      </w:r>
      <w:r w:rsidR="00EB6EA4">
        <w:rPr>
          <w:rFonts w:cstheme="minorHAnsi"/>
          <w:shd w:val="clear" w:color="auto" w:fill="FFFFFF"/>
        </w:rPr>
        <w:instrText>nchez, Francisco&lt;/author&gt;&lt;author&gt;Mart</w:instrText>
      </w:r>
      <w:r w:rsidR="00EB6EA4">
        <w:rPr>
          <w:rFonts w:cs="Arial"/>
          <w:shd w:val="clear" w:color="auto" w:fill="FFFFFF"/>
        </w:rPr>
        <w:instrText>í</w:instrText>
      </w:r>
      <w:r w:rsidR="00EB6EA4">
        <w:rPr>
          <w:rFonts w:cstheme="minorHAnsi"/>
          <w:shd w:val="clear" w:color="auto" w:fill="FFFFFF"/>
        </w:rPr>
        <w:instrText>n, Jos</w:instrText>
      </w:r>
      <w:r w:rsidR="00EB6EA4">
        <w:rPr>
          <w:rFonts w:cs="Arial"/>
          <w:shd w:val="clear" w:color="auto" w:fill="FFFFFF"/>
        </w:rPr>
        <w:instrText>é</w:instrText>
      </w:r>
      <w:r w:rsidR="00EB6EA4">
        <w:rPr>
          <w:rFonts w:cstheme="minorHAnsi"/>
          <w:shd w:val="clear" w:color="auto" w:fill="FFFFFF"/>
        </w:rPr>
        <w:instrText xml:space="preserve"> J&lt;/author&gt;&lt;author&gt;L</w:instrText>
      </w:r>
      <w:r w:rsidR="00EB6EA4">
        <w:rPr>
          <w:rFonts w:cs="Arial"/>
          <w:shd w:val="clear" w:color="auto" w:fill="FFFFFF"/>
        </w:rPr>
        <w:instrText>ó</w:instrText>
      </w:r>
      <w:r w:rsidR="00EB6EA4">
        <w:rPr>
          <w:rFonts w:cstheme="minorHAnsi"/>
          <w:shd w:val="clear" w:color="auto" w:fill="FFFFFF"/>
        </w:rPr>
        <w:instrText>pez del Amo, M Puerto&lt;/author&gt;&lt;author&gt;Garc</w:instrText>
      </w:r>
      <w:r w:rsidR="00EB6EA4">
        <w:rPr>
          <w:rFonts w:cs="Arial"/>
          <w:shd w:val="clear" w:color="auto" w:fill="FFFFFF"/>
        </w:rPr>
        <w:instrText>í</w:instrText>
      </w:r>
      <w:r w:rsidR="00EB6EA4">
        <w:rPr>
          <w:rFonts w:cstheme="minorHAnsi"/>
          <w:shd w:val="clear" w:color="auto" w:fill="FFFFFF"/>
        </w:rPr>
        <w:instrText>a, Leticia&lt;/author&gt;&lt;author&gt;Araújo</w:instrText>
      </w:r>
      <w:r w:rsidR="00EB6EA4">
        <w:rPr>
          <w:rFonts w:ascii="Cambria Math" w:hAnsi="Cambria Math" w:cs="Cambria Math"/>
          <w:shd w:val="clear" w:color="auto" w:fill="FFFFFF"/>
        </w:rPr>
        <w:instrText>‐</w:instrText>
      </w:r>
      <w:r w:rsidR="00EB6EA4">
        <w:rPr>
          <w:rFonts w:cstheme="minorHAnsi"/>
          <w:shd w:val="clear" w:color="auto" w:fill="FFFFFF"/>
        </w:rPr>
        <w:instrText>Santos, Jos</w:instrText>
      </w:r>
      <w:r w:rsidR="00EB6EA4">
        <w:rPr>
          <w:rFonts w:cs="Arial"/>
          <w:shd w:val="clear" w:color="auto" w:fill="FFFFFF"/>
        </w:rPr>
        <w:instrText>é</w:instrText>
      </w:r>
      <w:r w:rsidR="00EB6EA4">
        <w:rPr>
          <w:rFonts w:cstheme="minorHAnsi"/>
          <w:shd w:val="clear" w:color="auto" w:fill="FFFFFF"/>
        </w:rPr>
        <w:instrText xml:space="preserve"> M&lt;/author&gt;&lt;author&gt;Epstein, David&lt;/author&gt;&lt;/authors&gt;&lt;/contributors&gt;&lt;titles&gt;&lt;title&gt;Cost</w:instrText>
      </w:r>
      <w:r w:rsidR="00EB6EA4">
        <w:rPr>
          <w:rFonts w:cs="Arial"/>
          <w:shd w:val="clear" w:color="auto" w:fill="FFFFFF"/>
        </w:rPr>
        <w:instrText>–</w:instrText>
      </w:r>
      <w:r w:rsidR="00EB6EA4">
        <w:rPr>
          <w:rFonts w:cstheme="minorHAnsi"/>
          <w:shd w:val="clear" w:color="auto" w:fill="FFFFFF"/>
        </w:rPr>
        <w:instrText>Utility Analysis of a Pharmacotherapy Follow</w:instrText>
      </w:r>
      <w:r w:rsidR="00EB6EA4">
        <w:rPr>
          <w:rFonts w:ascii="Cambria Math" w:hAnsi="Cambria Math" w:cs="Cambria Math"/>
          <w:shd w:val="clear" w:color="auto" w:fill="FFFFFF"/>
        </w:rPr>
        <w:instrText>‐</w:instrText>
      </w:r>
      <w:r w:rsidR="00EB6EA4">
        <w:rPr>
          <w:rFonts w:cstheme="minorHAnsi"/>
          <w:shd w:val="clear" w:color="auto" w:fill="FFFFFF"/>
        </w:rPr>
        <w:instrText>Up for Elderly Nursing Home Residents in Spain&lt;/title&gt;&lt;secondary-title&gt;Journal of the American Geriatrics Society&lt;/secondary-title&gt;&lt;/titles&gt;&lt;periodical&gt;&lt;full-title&gt;Journal of the American Geriatrics Society&lt;/full-title&gt;&lt;/periodical&gt;&lt;pages&gt;1272-1280&lt;/pages&gt;&lt;volume&gt;62&lt;/volume&gt;&lt;number&gt;7&lt;/number&gt;&lt;dates&gt;&lt;year&gt;2014&lt;/year&gt;&lt;/dates&gt;&lt;isbn&gt;0002-8614&lt;/isbn&gt;&lt;urls&gt;&lt;/urls&gt;&lt;/record&gt;&lt;/Cite&gt;&lt;/EndNote&gt;</w:instrText>
      </w:r>
      <w:r w:rsidR="005F4C4F">
        <w:rPr>
          <w:rFonts w:cstheme="minorHAnsi"/>
          <w:shd w:val="clear" w:color="auto" w:fill="FFFFFF"/>
        </w:rPr>
        <w:fldChar w:fldCharType="separate"/>
      </w:r>
      <w:r w:rsidR="00EB6EA4">
        <w:rPr>
          <w:rFonts w:cstheme="minorHAnsi"/>
          <w:noProof/>
          <w:shd w:val="clear" w:color="auto" w:fill="FFFFFF"/>
        </w:rPr>
        <w:t>(</w:t>
      </w:r>
      <w:hyperlink w:anchor="_ENREF_86" w:tooltip="Jódar‐Sánchez, 2014 #70" w:history="1">
        <w:r w:rsidR="00EB6EA4">
          <w:rPr>
            <w:rFonts w:cstheme="minorHAnsi"/>
            <w:noProof/>
            <w:shd w:val="clear" w:color="auto" w:fill="FFFFFF"/>
          </w:rPr>
          <w:t>86</w:t>
        </w:r>
      </w:hyperlink>
      <w:r w:rsidR="00EB6EA4">
        <w:rPr>
          <w:rFonts w:cstheme="minorHAnsi"/>
          <w:noProof/>
          <w:shd w:val="clear" w:color="auto" w:fill="FFFFFF"/>
        </w:rPr>
        <w:t>)</w:t>
      </w:r>
      <w:r w:rsidR="005F4C4F">
        <w:rPr>
          <w:rFonts w:cstheme="minorHAnsi"/>
          <w:shd w:val="clear" w:color="auto" w:fill="FFFFFF"/>
        </w:rPr>
        <w:fldChar w:fldCharType="end"/>
      </w:r>
      <w:r w:rsidR="005F4C4F">
        <w:rPr>
          <w:rFonts w:cstheme="minorHAnsi"/>
          <w:shd w:val="clear" w:color="auto" w:fill="FFFFFF"/>
        </w:rPr>
        <w:t xml:space="preserve"> </w:t>
      </w:r>
      <w:r w:rsidRPr="008921EC">
        <w:rPr>
          <w:rFonts w:cstheme="minorHAnsi"/>
        </w:rPr>
        <w:t>reported cost savings as a result of pharmacist-led medication reviews.</w:t>
      </w:r>
      <w:r w:rsidR="007D161B">
        <w:rPr>
          <w:rFonts w:cstheme="minorHAnsi"/>
        </w:rPr>
        <w:t xml:space="preserve"> </w:t>
      </w:r>
      <w:r w:rsidRPr="00964DA5">
        <w:t xml:space="preserve">A summary of the existing economic literature is presented </w:t>
      </w:r>
      <w:r w:rsidR="007D161B">
        <w:t xml:space="preserve">in </w:t>
      </w:r>
      <w:r w:rsidR="005F4C4F" w:rsidRPr="00CC5A20">
        <w:t xml:space="preserve">Table </w:t>
      </w:r>
      <w:r w:rsidR="00CC5A20" w:rsidRPr="00CC5A20">
        <w:t>D-3</w:t>
      </w:r>
      <w:r w:rsidR="005F4C4F" w:rsidRPr="00CC5A20">
        <w:t>.</w:t>
      </w:r>
      <w:r w:rsidR="008542AB" w:rsidRPr="00CC5A20">
        <w:fldChar w:fldCharType="begin">
          <w:fldData xml:space="preserve">PEVuZE5vdGU+PENpdGU+PEF1dGhvcj5aZXJtYW5za3k8L0F1dGhvcj48WWVhcj4yMDA2PC9ZZWFy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=
</w:fldData>
        </w:fldChar>
      </w:r>
      <w:r w:rsidR="00EB6EA4">
        <w:instrText xml:space="preserve"> ADDIN EN.CITE </w:instrText>
      </w:r>
      <w:r w:rsidR="00EB6EA4">
        <w:fldChar w:fldCharType="begin">
          <w:fldData xml:space="preserve">PEVuZE5vdGU+PENpdGU+PEF1dGhvcj5aZXJtYW5za3k8L0F1dGhvcj48WWVhcj4yMDA2PC9ZZWFy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=
</w:fldData>
        </w:fldChar>
      </w:r>
      <w:r w:rsidR="00EB6EA4">
        <w:instrText xml:space="preserve"> ADDIN EN.CITE.DATA </w:instrText>
      </w:r>
      <w:r w:rsidR="00EB6EA4">
        <w:fldChar w:fldCharType="end"/>
      </w:r>
      <w:r w:rsidR="008542AB" w:rsidRPr="00CC5A20">
        <w:fldChar w:fldCharType="separate"/>
      </w:r>
      <w:r w:rsidR="00EB6EA4">
        <w:rPr>
          <w:noProof/>
        </w:rPr>
        <w:t>(</w:t>
      </w:r>
      <w:hyperlink w:anchor="_ENREF_86" w:tooltip="Jódar‐Sánchez, 2014 #70" w:history="1">
        <w:r w:rsidR="00EB6EA4">
          <w:rPr>
            <w:noProof/>
          </w:rPr>
          <w:t>86-92</w:t>
        </w:r>
      </w:hyperlink>
      <w:r w:rsidR="00EB6EA4">
        <w:rPr>
          <w:noProof/>
        </w:rPr>
        <w:t>)</w:t>
      </w:r>
      <w:r w:rsidR="008542AB" w:rsidRPr="00CC5A20">
        <w:fldChar w:fldCharType="end"/>
      </w:r>
      <w:r w:rsidR="007D161B">
        <w:t>.</w:t>
      </w:r>
    </w:p>
    <w:p w14:paraId="0100CF1C" w14:textId="06A57AD6" w:rsidR="007D161B" w:rsidRDefault="007D161B" w:rsidP="007501B9">
      <w:r w:rsidRPr="00964DA5">
        <w:t xml:space="preserve">Only one study, Roberts </w:t>
      </w:r>
      <w:r w:rsidRPr="00296AB9">
        <w:rPr>
          <w:i/>
        </w:rPr>
        <w:t>et al</w:t>
      </w:r>
      <w:r w:rsidRPr="00964DA5">
        <w:t>. (2001)</w:t>
      </w:r>
      <w:r>
        <w:t xml:space="preserve"> </w:t>
      </w:r>
      <w:r>
        <w:fldChar w:fldCharType="begin"/>
      </w:r>
      <w:r w:rsidR="00C86345">
        <w:instrText xml:space="preserve"> ADDIN EN.CITE &lt;EndNote&gt;&lt;Cite&gt;&lt;Author&gt;Roberts&lt;/Author&gt;&lt;Year&gt;2001&lt;/Year&gt;&lt;RecNum&gt;75&lt;/RecNum&gt;&lt;DisplayText&gt;(90)&lt;/DisplayText&gt;&lt;record&gt;&lt;rec-number&gt;75&lt;/rec-number&gt;&lt;foreign-keys&gt;&lt;key app="EN" db-id="9s5z5ped05vxdnede99vfsxhtzavzdzs2d5r" timestamp="1615946161"&gt;75&lt;/key&gt;&lt;/foreign-keys&gt;&lt;ref-type name="Journal Article"&gt;17&lt;/ref-type&gt;&lt;contributors&gt;&lt;authors&gt;&lt;author&gt;Roberts, Michael S&lt;/author&gt;&lt;author&gt;Stokes, Julie A&lt;/author&gt;&lt;author&gt;King, Michelle A&lt;/author&gt;&lt;author&gt;Lynne, Teresa A&lt;/author&gt;&lt;author&gt;Purdie, David M&lt;/author&gt;&lt;author&gt;Glasziou, Paul P&lt;/author&gt;&lt;author&gt;Wilson, D Andrew J&lt;/author&gt;&lt;author&gt;McCarthy, Sean T&lt;/author&gt;&lt;author&gt;Brooks, Geoffrey E&lt;/author&gt;&lt;author&gt;De Looze, Ferdinandus J&lt;/author&gt;&lt;/authors&gt;&lt;/contributors&gt;&lt;titles&gt;&lt;title&gt;Outcomes of a randomized controlled trial of a clinical pharmacy intervention in 52 nursing homes&lt;/title&gt;&lt;secondary-title&gt;British journal of clinical pharmacology&lt;/secondary-title&gt;&lt;/titles&gt;&lt;periodical&gt;&lt;full-title&gt;British journal of clinical pharmacology&lt;/full-title&gt;&lt;/periodical&gt;&lt;pages&gt;257-265&lt;/pages&gt;&lt;volume&gt;51&lt;/volume&gt;&lt;number&gt;3&lt;/number&gt;&lt;dates&gt;&lt;year&gt;2001&lt;/year&gt;&lt;/dates&gt;&lt;isbn&gt;0306-5251&lt;/isbn&gt;&lt;urls&gt;&lt;/urls&gt;&lt;/record&gt;&lt;/Cite&gt;&lt;/EndNote&gt;</w:instrText>
      </w:r>
      <w:r>
        <w:fldChar w:fldCharType="separate"/>
      </w:r>
      <w:r w:rsidR="00C86345">
        <w:rPr>
          <w:noProof/>
        </w:rPr>
        <w:t>(</w:t>
      </w:r>
      <w:hyperlink w:anchor="_ENREF_90" w:tooltip="Roberts, 2001 #75" w:history="1">
        <w:r w:rsidR="00EB6EA4">
          <w:rPr>
            <w:noProof/>
          </w:rPr>
          <w:t>90</w:t>
        </w:r>
      </w:hyperlink>
      <w:r w:rsidR="00C86345">
        <w:rPr>
          <w:noProof/>
        </w:rPr>
        <w:t>)</w:t>
      </w:r>
      <w:r>
        <w:fldChar w:fldCharType="end"/>
      </w:r>
      <w:r w:rsidRPr="00964DA5">
        <w:t xml:space="preserve">, </w:t>
      </w:r>
      <w:r>
        <w:t>i</w:t>
      </w:r>
      <w:r w:rsidRPr="00964DA5">
        <w:t>s Australian, and this is relatively historic</w:t>
      </w:r>
      <w:r w:rsidR="007501B9">
        <w:t xml:space="preserve">. </w:t>
      </w:r>
      <w:r w:rsidRPr="00964DA5">
        <w:t>This study evaluated a year</w:t>
      </w:r>
      <w:r>
        <w:t>-</w:t>
      </w:r>
      <w:r w:rsidRPr="00964DA5">
        <w:t>long clinical pharmacy program in nursing homes involving development of professional relationships, nurse education on medication issues, and individualized medication reviews</w:t>
      </w:r>
      <w:r w:rsidR="007501B9">
        <w:t xml:space="preserve">. </w:t>
      </w:r>
      <w:r w:rsidRPr="00964DA5">
        <w:t>It found medication use in the intervention group was reduced by 14.8% relative to the controls, which at that time translated to a saving of $64 on annual prescription costs per resident.</w:t>
      </w:r>
    </w:p>
    <w:p w14:paraId="487A2444" w14:textId="23846F3F" w:rsidR="007D161B" w:rsidRDefault="007D161B" w:rsidP="007501B9">
      <w:r>
        <w:t xml:space="preserve">The available evidence appears limited in that the perspective of costs was limited to pharmaceuticals, the Australian data is not current and the pharmacist intervention was not as targeted and defined as the proposed intervention, nevertheless the results of the Roberts et al., </w:t>
      </w:r>
      <w:r>
        <w:fldChar w:fldCharType="begin"/>
      </w:r>
      <w:r w:rsidR="00C86345">
        <w:instrText xml:space="preserve"> ADDIN EN.CITE &lt;EndNote&gt;&lt;Cite&gt;&lt;Author&gt;Roberts&lt;/Author&gt;&lt;Year&gt;2001&lt;/Year&gt;&lt;RecNum&gt;75&lt;/RecNum&gt;&lt;DisplayText&gt;(90)&lt;/DisplayText&gt;&lt;record&gt;&lt;rec-number&gt;75&lt;/rec-number&gt;&lt;foreign-keys&gt;&lt;key app="EN" db-id="9s5z5ped05vxdnede99vfsxhtzavzdzs2d5r" timestamp="1615946161"&gt;75&lt;/key&gt;&lt;/foreign-keys&gt;&lt;ref-type name="Journal Article"&gt;17&lt;/ref-type&gt;&lt;contributors&gt;&lt;authors&gt;&lt;author&gt;Roberts, Michael S&lt;/author&gt;&lt;author&gt;Stokes, Julie A&lt;/author&gt;&lt;author&gt;King, Michelle A&lt;/author&gt;&lt;author&gt;Lynne, Teresa A&lt;/author&gt;&lt;author&gt;Purdie, David M&lt;/author&gt;&lt;author&gt;Glasziou, Paul P&lt;/author&gt;&lt;author&gt;Wilson, D Andrew J&lt;/author&gt;&lt;author&gt;McCarthy, Sean T&lt;/author&gt;&lt;author&gt;Brooks, Geoffrey E&lt;/author&gt;&lt;author&gt;De Looze, Ferdinandus J&lt;/author&gt;&lt;/authors&gt;&lt;/contributors&gt;&lt;titles&gt;&lt;title&gt;Outcomes of a randomized controlled trial of a clinical pharmacy intervention in 52 nursing homes&lt;/title&gt;&lt;secondary-title&gt;British journal of clinical pharmacology&lt;/secondary-title&gt;&lt;/titles&gt;&lt;periodical&gt;&lt;full-title&gt;British journal of clinical pharmacology&lt;/full-title&gt;&lt;/periodical&gt;&lt;pages&gt;257-265&lt;/pages&gt;&lt;volume&gt;51&lt;/volume&gt;&lt;number&gt;3&lt;/number&gt;&lt;dates&gt;&lt;year&gt;2001&lt;/year&gt;&lt;/dates&gt;&lt;isbn&gt;0306-5251&lt;/isbn&gt;&lt;urls&gt;&lt;/urls&gt;&lt;/record&gt;&lt;/Cite&gt;&lt;/EndNote&gt;</w:instrText>
      </w:r>
      <w:r>
        <w:fldChar w:fldCharType="separate"/>
      </w:r>
      <w:r w:rsidR="00C86345">
        <w:rPr>
          <w:noProof/>
        </w:rPr>
        <w:t>(</w:t>
      </w:r>
      <w:hyperlink w:anchor="_ENREF_90" w:tooltip="Roberts, 2001 #75" w:history="1">
        <w:r w:rsidR="00EB6EA4">
          <w:rPr>
            <w:noProof/>
          </w:rPr>
          <w:t>90</w:t>
        </w:r>
      </w:hyperlink>
      <w:r w:rsidR="00C86345">
        <w:rPr>
          <w:noProof/>
        </w:rPr>
        <w:t>)</w:t>
      </w:r>
      <w:r>
        <w:fldChar w:fldCharType="end"/>
      </w:r>
      <w:r>
        <w:t xml:space="preserve"> study will be considered in the light of the pre-existing literature.</w:t>
      </w:r>
      <w:r>
        <w:br w:type="page"/>
      </w:r>
    </w:p>
    <w:tbl>
      <w:tblPr>
        <w:tblStyle w:val="ListTable3"/>
        <w:tblW w:w="0" w:type="auto"/>
        <w:tblLook w:val="04A0" w:firstRow="1" w:lastRow="0" w:firstColumn="1" w:lastColumn="0" w:noHBand="0" w:noVBand="1"/>
        <w:tblCaption w:val="A summary of the existing economic literature "/>
        <w:tblDescription w:val="A summary of the existing economic literature (study details, duration, medication review type and results)."/>
      </w:tblPr>
      <w:tblGrid>
        <w:gridCol w:w="1578"/>
        <w:gridCol w:w="1622"/>
        <w:gridCol w:w="1298"/>
        <w:gridCol w:w="2269"/>
        <w:gridCol w:w="2249"/>
      </w:tblGrid>
      <w:tr w:rsidR="008921EC" w:rsidRPr="00480188" w14:paraId="3A5B0BD9" w14:textId="77777777" w:rsidTr="0048018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auto"/>
          </w:tcPr>
          <w:p w14:paraId="4E1F36AE" w14:textId="77777777" w:rsidR="008921EC" w:rsidRPr="00480188" w:rsidRDefault="008921EC" w:rsidP="00480188">
            <w:pPr>
              <w:pStyle w:val="TableHeader"/>
              <w:rPr>
                <w:b/>
                <w:bCs w:val="0"/>
              </w:rPr>
            </w:pPr>
            <w:bookmarkStart w:id="225" w:name="ColumnTitle_18"/>
            <w:r w:rsidRPr="00480188">
              <w:rPr>
                <w:b/>
                <w:bCs w:val="0"/>
              </w:rPr>
              <w:lastRenderedPageBreak/>
              <w:t>Study, Location</w:t>
            </w:r>
          </w:p>
        </w:tc>
        <w:tc>
          <w:tcPr>
            <w:tcW w:w="0" w:type="auto"/>
          </w:tcPr>
          <w:p w14:paraId="1E818F40" w14:textId="77777777" w:rsidR="008921EC" w:rsidRPr="00480188" w:rsidRDefault="008921EC" w:rsidP="00480188">
            <w:pPr>
              <w:pStyle w:val="TableHeader"/>
              <w:cnfStyle w:val="100000000000" w:firstRow="1" w:lastRow="0" w:firstColumn="0" w:lastColumn="0" w:oddVBand="0" w:evenVBand="0" w:oddHBand="0" w:evenHBand="0" w:firstRowFirstColumn="0" w:firstRowLastColumn="0" w:lastRowFirstColumn="0" w:lastRowLastColumn="0"/>
              <w:rPr>
                <w:b/>
                <w:bCs w:val="0"/>
              </w:rPr>
            </w:pPr>
            <w:r w:rsidRPr="00480188">
              <w:rPr>
                <w:b/>
                <w:bCs w:val="0"/>
              </w:rPr>
              <w:t>Study Details</w:t>
            </w:r>
          </w:p>
        </w:tc>
        <w:tc>
          <w:tcPr>
            <w:tcW w:w="0" w:type="auto"/>
          </w:tcPr>
          <w:p w14:paraId="6B613C26" w14:textId="77777777" w:rsidR="008921EC" w:rsidRPr="00480188" w:rsidRDefault="008921EC" w:rsidP="00480188">
            <w:pPr>
              <w:pStyle w:val="TableHeader"/>
              <w:cnfStyle w:val="100000000000" w:firstRow="1" w:lastRow="0" w:firstColumn="0" w:lastColumn="0" w:oddVBand="0" w:evenVBand="0" w:oddHBand="0" w:evenHBand="0" w:firstRowFirstColumn="0" w:firstRowLastColumn="0" w:lastRowFirstColumn="0" w:lastRowLastColumn="0"/>
              <w:rPr>
                <w:b/>
                <w:bCs w:val="0"/>
              </w:rPr>
            </w:pPr>
            <w:r w:rsidRPr="00480188">
              <w:rPr>
                <w:b/>
                <w:bCs w:val="0"/>
              </w:rPr>
              <w:t>Duration (months)</w:t>
            </w:r>
          </w:p>
        </w:tc>
        <w:tc>
          <w:tcPr>
            <w:tcW w:w="0" w:type="auto"/>
          </w:tcPr>
          <w:p w14:paraId="0C4D7CF6" w14:textId="77777777" w:rsidR="008921EC" w:rsidRPr="00480188" w:rsidRDefault="008921EC" w:rsidP="00480188">
            <w:pPr>
              <w:pStyle w:val="TableHeader"/>
              <w:cnfStyle w:val="100000000000" w:firstRow="1" w:lastRow="0" w:firstColumn="0" w:lastColumn="0" w:oddVBand="0" w:evenVBand="0" w:oddHBand="0" w:evenHBand="0" w:firstRowFirstColumn="0" w:firstRowLastColumn="0" w:lastRowFirstColumn="0" w:lastRowLastColumn="0"/>
              <w:rPr>
                <w:b/>
                <w:bCs w:val="0"/>
              </w:rPr>
            </w:pPr>
            <w:r w:rsidRPr="00480188">
              <w:rPr>
                <w:b/>
                <w:bCs w:val="0"/>
              </w:rPr>
              <w:t>Medication review type</w:t>
            </w:r>
          </w:p>
        </w:tc>
        <w:tc>
          <w:tcPr>
            <w:tcW w:w="0" w:type="auto"/>
          </w:tcPr>
          <w:p w14:paraId="13BFA649" w14:textId="77777777" w:rsidR="008921EC" w:rsidRPr="00480188" w:rsidRDefault="008921EC" w:rsidP="00480188">
            <w:pPr>
              <w:pStyle w:val="TableHeader"/>
              <w:cnfStyle w:val="100000000000" w:firstRow="1" w:lastRow="0" w:firstColumn="0" w:lastColumn="0" w:oddVBand="0" w:evenVBand="0" w:oddHBand="0" w:evenHBand="0" w:firstRowFirstColumn="0" w:firstRowLastColumn="0" w:lastRowFirstColumn="0" w:lastRowLastColumn="0"/>
              <w:rPr>
                <w:b/>
                <w:bCs w:val="0"/>
              </w:rPr>
            </w:pPr>
            <w:r w:rsidRPr="00480188">
              <w:rPr>
                <w:b/>
                <w:bCs w:val="0"/>
              </w:rPr>
              <w:t>Results</w:t>
            </w:r>
          </w:p>
        </w:tc>
      </w:tr>
      <w:bookmarkEnd w:id="225"/>
      <w:tr w:rsidR="008921EC" w:rsidRPr="00964DA5" w14:paraId="58597528" w14:textId="77777777" w:rsidTr="00480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E248B1" w14:textId="77777777" w:rsidR="008921EC" w:rsidRPr="00CA7A0B" w:rsidRDefault="008921EC" w:rsidP="00480188">
            <w:pPr>
              <w:pStyle w:val="Tabletext1"/>
            </w:pPr>
            <w:proofErr w:type="spellStart"/>
            <w:r w:rsidRPr="00CA7A0B">
              <w:t>Zermansky</w:t>
            </w:r>
            <w:proofErr w:type="spellEnd"/>
            <w:r w:rsidRPr="00CA7A0B">
              <w:t xml:space="preserve"> </w:t>
            </w:r>
            <w:r w:rsidRPr="00CA7A0B">
              <w:rPr>
                <w:i/>
              </w:rPr>
              <w:t>et al</w:t>
            </w:r>
            <w:r w:rsidRPr="00CA7A0B">
              <w:t xml:space="preserve">. (2006) </w:t>
            </w:r>
          </w:p>
          <w:p w14:paraId="710B855D" w14:textId="77777777" w:rsidR="008921EC" w:rsidRPr="00CA7A0B" w:rsidRDefault="008921EC" w:rsidP="00480188">
            <w:pPr>
              <w:pStyle w:val="Tabletext1"/>
            </w:pPr>
            <w:r w:rsidRPr="00CA7A0B">
              <w:t xml:space="preserve">   UK</w:t>
            </w:r>
          </w:p>
        </w:tc>
        <w:tc>
          <w:tcPr>
            <w:tcW w:w="0" w:type="auto"/>
          </w:tcPr>
          <w:p w14:paraId="62084389" w14:textId="77777777" w:rsidR="008921EC" w:rsidRPr="00CA7A0B" w:rsidRDefault="008921EC" w:rsidP="00480188">
            <w:pPr>
              <w:pStyle w:val="Tabletext1"/>
              <w:cnfStyle w:val="000000100000" w:firstRow="0" w:lastRow="0" w:firstColumn="0" w:lastColumn="0" w:oddVBand="0" w:evenVBand="0" w:oddHBand="1" w:evenHBand="0" w:firstRowFirstColumn="0" w:firstRowLastColumn="0" w:lastRowFirstColumn="0" w:lastRowLastColumn="0"/>
            </w:pPr>
            <w:r w:rsidRPr="00CA7A0B">
              <w:t>Design: RCT</w:t>
            </w:r>
          </w:p>
          <w:p w14:paraId="7213B742" w14:textId="77777777" w:rsidR="008921EC" w:rsidRPr="00CA7A0B" w:rsidRDefault="008921EC" w:rsidP="00480188">
            <w:pPr>
              <w:pStyle w:val="Tabletext1"/>
              <w:cnfStyle w:val="000000100000" w:firstRow="0" w:lastRow="0" w:firstColumn="0" w:lastColumn="0" w:oddVBand="0" w:evenVBand="0" w:oddHBand="1" w:evenHBand="0" w:firstRowFirstColumn="0" w:firstRowLastColumn="0" w:lastRowFirstColumn="0" w:lastRowLastColumn="0"/>
            </w:pPr>
            <w:r w:rsidRPr="00CA7A0B">
              <w:t>No. of residents: 661</w:t>
            </w:r>
          </w:p>
          <w:p w14:paraId="796A4CAB" w14:textId="77777777" w:rsidR="008921EC" w:rsidRPr="00CA7A0B" w:rsidRDefault="008921EC" w:rsidP="00480188">
            <w:pPr>
              <w:pStyle w:val="Tabletext1"/>
              <w:cnfStyle w:val="000000100000" w:firstRow="0" w:lastRow="0" w:firstColumn="0" w:lastColumn="0" w:oddVBand="0" w:evenVBand="0" w:oddHBand="1" w:evenHBand="0" w:firstRowFirstColumn="0" w:firstRowLastColumn="0" w:lastRowFirstColumn="0" w:lastRowLastColumn="0"/>
            </w:pPr>
            <w:r w:rsidRPr="00CA7A0B">
              <w:t>No. of homes: 65</w:t>
            </w:r>
          </w:p>
        </w:tc>
        <w:tc>
          <w:tcPr>
            <w:tcW w:w="0" w:type="auto"/>
          </w:tcPr>
          <w:p w14:paraId="7E0C3953" w14:textId="77777777" w:rsidR="008921EC" w:rsidRPr="00CA7A0B" w:rsidRDefault="008921EC" w:rsidP="00480188">
            <w:pPr>
              <w:pStyle w:val="Tabletext1"/>
              <w:cnfStyle w:val="000000100000" w:firstRow="0" w:lastRow="0" w:firstColumn="0" w:lastColumn="0" w:oddVBand="0" w:evenVBand="0" w:oddHBand="1" w:evenHBand="0" w:firstRowFirstColumn="0" w:firstRowLastColumn="0" w:lastRowFirstColumn="0" w:lastRowLastColumn="0"/>
            </w:pPr>
            <w:r w:rsidRPr="00CA7A0B">
              <w:t>6</w:t>
            </w:r>
          </w:p>
        </w:tc>
        <w:tc>
          <w:tcPr>
            <w:tcW w:w="0" w:type="auto"/>
          </w:tcPr>
          <w:p w14:paraId="36001313" w14:textId="77777777" w:rsidR="008921EC" w:rsidRPr="00CA7A0B" w:rsidRDefault="008921EC" w:rsidP="00480188">
            <w:pPr>
              <w:pStyle w:val="Tabletext1"/>
              <w:cnfStyle w:val="000000100000" w:firstRow="0" w:lastRow="0" w:firstColumn="0" w:lastColumn="0" w:oddVBand="0" w:evenVBand="0" w:oddHBand="1" w:evenHBand="0" w:firstRowFirstColumn="0" w:firstRowLastColumn="0" w:lastRowFirstColumn="0" w:lastRowLastColumn="0"/>
            </w:pPr>
            <w:r w:rsidRPr="00CA7A0B">
              <w:t>Clinical medication review by pharmacist</w:t>
            </w:r>
          </w:p>
        </w:tc>
        <w:tc>
          <w:tcPr>
            <w:tcW w:w="0" w:type="auto"/>
          </w:tcPr>
          <w:p w14:paraId="3BE8855D" w14:textId="77777777" w:rsidR="008921EC" w:rsidRPr="00CA7A0B" w:rsidRDefault="008921EC" w:rsidP="00480188">
            <w:pPr>
              <w:pStyle w:val="Tabletext1"/>
              <w:cnfStyle w:val="000000100000" w:firstRow="0" w:lastRow="0" w:firstColumn="0" w:lastColumn="0" w:oddVBand="0" w:evenVBand="0" w:oddHBand="1" w:evenHBand="0" w:firstRowFirstColumn="0" w:firstRowLastColumn="0" w:lastRowFirstColumn="0" w:lastRowLastColumn="0"/>
            </w:pPr>
            <w:r w:rsidRPr="00CA7A0B">
              <w:t>Cost of drugs per patient per 28 days:</w:t>
            </w:r>
          </w:p>
          <w:p w14:paraId="625102DF" w14:textId="655BF7A6" w:rsidR="008921EC" w:rsidRPr="00CA7A0B" w:rsidRDefault="008921EC" w:rsidP="00480188">
            <w:pPr>
              <w:pStyle w:val="Tabletext1"/>
              <w:cnfStyle w:val="000000100000" w:firstRow="0" w:lastRow="0" w:firstColumn="0" w:lastColumn="0" w:oddVBand="0" w:evenVBand="0" w:oddHBand="1" w:evenHBand="0" w:firstRowFirstColumn="0" w:firstRowLastColumn="0" w:lastRowFirstColumn="0" w:lastRowLastColumn="0"/>
            </w:pPr>
            <w:r w:rsidRPr="00CA7A0B">
              <w:t xml:space="preserve">Intervention: </w:t>
            </w:r>
            <w:r w:rsidR="00CA7A0B" w:rsidRPr="00DE5F66">
              <w:t>£</w:t>
            </w:r>
            <w:r w:rsidRPr="00CA7A0B">
              <w:t xml:space="preserve">42.24 </w:t>
            </w:r>
          </w:p>
          <w:p w14:paraId="58E806CB" w14:textId="77777777" w:rsidR="008921EC" w:rsidRPr="00CA7A0B" w:rsidRDefault="008921EC" w:rsidP="00480188">
            <w:pPr>
              <w:pStyle w:val="Tabletext1"/>
              <w:cnfStyle w:val="000000100000" w:firstRow="0" w:lastRow="0" w:firstColumn="0" w:lastColumn="0" w:oddVBand="0" w:evenVBand="0" w:oddHBand="1" w:evenHBand="0" w:firstRowFirstColumn="0" w:firstRowLastColumn="0" w:lastRowFirstColumn="0" w:lastRowLastColumn="0"/>
            </w:pPr>
            <w:r w:rsidRPr="00CA7A0B">
              <w:t>Control: £42.94</w:t>
            </w:r>
          </w:p>
        </w:tc>
      </w:tr>
      <w:tr w:rsidR="008921EC" w:rsidRPr="00964DA5" w14:paraId="0D05AE37" w14:textId="77777777" w:rsidTr="00480188">
        <w:tc>
          <w:tcPr>
            <w:cnfStyle w:val="001000000000" w:firstRow="0" w:lastRow="0" w:firstColumn="1" w:lastColumn="0" w:oddVBand="0" w:evenVBand="0" w:oddHBand="0" w:evenHBand="0" w:firstRowFirstColumn="0" w:firstRowLastColumn="0" w:lastRowFirstColumn="0" w:lastRowLastColumn="0"/>
            <w:tcW w:w="0" w:type="auto"/>
          </w:tcPr>
          <w:p w14:paraId="7AF07072" w14:textId="77777777" w:rsidR="008921EC" w:rsidRPr="00CA7A0B" w:rsidRDefault="008921EC" w:rsidP="00480188">
            <w:pPr>
              <w:pStyle w:val="Tabletext1"/>
            </w:pPr>
            <w:proofErr w:type="spellStart"/>
            <w:r w:rsidRPr="00CA7A0B">
              <w:t>Jodar</w:t>
            </w:r>
            <w:proofErr w:type="spellEnd"/>
            <w:r w:rsidRPr="00CA7A0B">
              <w:t>-Sanchez</w:t>
            </w:r>
            <w:r w:rsidRPr="00CA7A0B">
              <w:rPr>
                <w:i/>
              </w:rPr>
              <w:t xml:space="preserve"> et al</w:t>
            </w:r>
            <w:r w:rsidRPr="00CA7A0B">
              <w:t>. (2014)</w:t>
            </w:r>
          </w:p>
          <w:p w14:paraId="7516BB59" w14:textId="77777777" w:rsidR="008921EC" w:rsidRPr="00CA7A0B" w:rsidRDefault="008921EC" w:rsidP="00480188">
            <w:pPr>
              <w:pStyle w:val="Tabletext1"/>
            </w:pPr>
            <w:r w:rsidRPr="00CA7A0B">
              <w:t xml:space="preserve">   Spain</w:t>
            </w:r>
          </w:p>
        </w:tc>
        <w:tc>
          <w:tcPr>
            <w:tcW w:w="0" w:type="auto"/>
          </w:tcPr>
          <w:p w14:paraId="041E41F1" w14:textId="77777777" w:rsidR="008921EC" w:rsidRPr="00CA7A0B" w:rsidRDefault="008921EC" w:rsidP="00480188">
            <w:pPr>
              <w:pStyle w:val="Tabletext1"/>
              <w:cnfStyle w:val="000000000000" w:firstRow="0" w:lastRow="0" w:firstColumn="0" w:lastColumn="0" w:oddVBand="0" w:evenVBand="0" w:oddHBand="0" w:evenHBand="0" w:firstRowFirstColumn="0" w:firstRowLastColumn="0" w:lastRowFirstColumn="0" w:lastRowLastColumn="0"/>
            </w:pPr>
            <w:r w:rsidRPr="00CA7A0B">
              <w:t>Design: Prospective</w:t>
            </w:r>
          </w:p>
          <w:p w14:paraId="17D470BA" w14:textId="77777777" w:rsidR="008921EC" w:rsidRPr="00CA7A0B" w:rsidRDefault="008921EC" w:rsidP="00480188">
            <w:pPr>
              <w:pStyle w:val="Tabletext1"/>
              <w:cnfStyle w:val="000000000000" w:firstRow="0" w:lastRow="0" w:firstColumn="0" w:lastColumn="0" w:oddVBand="0" w:evenVBand="0" w:oddHBand="0" w:evenHBand="0" w:firstRowFirstColumn="0" w:firstRowLastColumn="0" w:lastRowFirstColumn="0" w:lastRowLastColumn="0"/>
            </w:pPr>
            <w:r w:rsidRPr="00CA7A0B">
              <w:t>No. of residents: 332</w:t>
            </w:r>
          </w:p>
          <w:p w14:paraId="4BF54F8F" w14:textId="77777777" w:rsidR="008921EC" w:rsidRPr="00CA7A0B" w:rsidRDefault="008921EC" w:rsidP="00480188">
            <w:pPr>
              <w:pStyle w:val="Tabletext1"/>
              <w:cnfStyle w:val="000000000000" w:firstRow="0" w:lastRow="0" w:firstColumn="0" w:lastColumn="0" w:oddVBand="0" w:evenVBand="0" w:oddHBand="0" w:evenHBand="0" w:firstRowFirstColumn="0" w:firstRowLastColumn="0" w:lastRowFirstColumn="0" w:lastRowLastColumn="0"/>
            </w:pPr>
            <w:r w:rsidRPr="00CA7A0B">
              <w:t>No. of homes: 15</w:t>
            </w:r>
          </w:p>
        </w:tc>
        <w:tc>
          <w:tcPr>
            <w:tcW w:w="0" w:type="auto"/>
          </w:tcPr>
          <w:p w14:paraId="1CF9FF70" w14:textId="77777777" w:rsidR="008921EC" w:rsidRPr="00CA7A0B" w:rsidRDefault="008921EC" w:rsidP="00480188">
            <w:pPr>
              <w:pStyle w:val="Tabletext1"/>
              <w:cnfStyle w:val="000000000000" w:firstRow="0" w:lastRow="0" w:firstColumn="0" w:lastColumn="0" w:oddVBand="0" w:evenVBand="0" w:oddHBand="0" w:evenHBand="0" w:firstRowFirstColumn="0" w:firstRowLastColumn="0" w:lastRowFirstColumn="0" w:lastRowLastColumn="0"/>
            </w:pPr>
            <w:r w:rsidRPr="00CA7A0B">
              <w:t>12</w:t>
            </w:r>
          </w:p>
        </w:tc>
        <w:tc>
          <w:tcPr>
            <w:tcW w:w="0" w:type="auto"/>
          </w:tcPr>
          <w:p w14:paraId="3DC92109" w14:textId="77777777" w:rsidR="008921EC" w:rsidRPr="00CA7A0B" w:rsidRDefault="008921EC" w:rsidP="00480188">
            <w:pPr>
              <w:pStyle w:val="Tabletext1"/>
              <w:cnfStyle w:val="000000000000" w:firstRow="0" w:lastRow="0" w:firstColumn="0" w:lastColumn="0" w:oddVBand="0" w:evenVBand="0" w:oddHBand="0" w:evenHBand="0" w:firstRowFirstColumn="0" w:firstRowLastColumn="0" w:lastRowFirstColumn="0" w:lastRowLastColumn="0"/>
            </w:pPr>
            <w:r w:rsidRPr="00CA7A0B">
              <w:t>pharmacotherapy follow-up</w:t>
            </w:r>
          </w:p>
        </w:tc>
        <w:tc>
          <w:tcPr>
            <w:tcW w:w="0" w:type="auto"/>
          </w:tcPr>
          <w:p w14:paraId="68053CB2" w14:textId="77777777" w:rsidR="008921EC" w:rsidRPr="00CA7A0B" w:rsidRDefault="008921EC" w:rsidP="00480188">
            <w:pPr>
              <w:pStyle w:val="Tabletext1"/>
              <w:cnfStyle w:val="000000000000" w:firstRow="0" w:lastRow="0" w:firstColumn="0" w:lastColumn="0" w:oddVBand="0" w:evenVBand="0" w:oddHBand="0" w:evenHBand="0" w:firstRowFirstColumn="0" w:firstRowLastColumn="0" w:lastRowFirstColumn="0" w:lastRowLastColumn="0"/>
            </w:pPr>
            <w:r w:rsidRPr="00CA7A0B">
              <w:t>ICER:  1</w:t>
            </w:r>
            <w:r w:rsidRPr="00CA7A0B">
              <w:rPr>
                <w:vertAlign w:val="superscript"/>
              </w:rPr>
              <w:t>st</w:t>
            </w:r>
            <w:r w:rsidRPr="00CA7A0B">
              <w:t xml:space="preserve"> Scenario: usual care dominated</w:t>
            </w:r>
          </w:p>
          <w:p w14:paraId="2BF65E1E" w14:textId="77777777" w:rsidR="008921EC" w:rsidRPr="00CA7A0B" w:rsidRDefault="008921EC" w:rsidP="00480188">
            <w:pPr>
              <w:pStyle w:val="Tabletext1"/>
              <w:cnfStyle w:val="000000000000" w:firstRow="0" w:lastRow="0" w:firstColumn="0" w:lastColumn="0" w:oddVBand="0" w:evenVBand="0" w:oddHBand="0" w:evenHBand="0" w:firstRowFirstColumn="0" w:firstRowLastColumn="0" w:lastRowFirstColumn="0" w:lastRowLastColumn="0"/>
            </w:pPr>
            <w:r w:rsidRPr="00CA7A0B">
              <w:t>2</w:t>
            </w:r>
            <w:r w:rsidRPr="00CA7A0B">
              <w:rPr>
                <w:vertAlign w:val="superscript"/>
              </w:rPr>
              <w:t>nd</w:t>
            </w:r>
            <w:r w:rsidRPr="00CA7A0B">
              <w:t xml:space="preserve"> Scenario:</w:t>
            </w:r>
            <w:r w:rsidRPr="00CA7A0B">
              <w:rPr>
                <w:rFonts w:cs="Calibri"/>
              </w:rPr>
              <w:t xml:space="preserve"> </w:t>
            </w:r>
            <w:r w:rsidRPr="00CA7A0B">
              <w:t>€3,899/QALY</w:t>
            </w:r>
          </w:p>
          <w:p w14:paraId="25857C7E" w14:textId="77777777" w:rsidR="008921EC" w:rsidRPr="00CA7A0B" w:rsidRDefault="008921EC" w:rsidP="00480188">
            <w:pPr>
              <w:pStyle w:val="Tabletext1"/>
              <w:cnfStyle w:val="000000000000" w:firstRow="0" w:lastRow="0" w:firstColumn="0" w:lastColumn="0" w:oddVBand="0" w:evenVBand="0" w:oddHBand="0" w:evenHBand="0" w:firstRowFirstColumn="0" w:firstRowLastColumn="0" w:lastRowFirstColumn="0" w:lastRowLastColumn="0"/>
            </w:pPr>
            <w:r w:rsidRPr="00CA7A0B">
              <w:t>3rd Scenario: €6,574/QALY</w:t>
            </w:r>
          </w:p>
        </w:tc>
      </w:tr>
      <w:tr w:rsidR="008921EC" w:rsidRPr="00964DA5" w14:paraId="3AE81F0B" w14:textId="77777777" w:rsidTr="00480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F92F8D" w14:textId="77777777" w:rsidR="008921EC" w:rsidRPr="00CA7A0B" w:rsidRDefault="008921EC" w:rsidP="00480188">
            <w:pPr>
              <w:pStyle w:val="Tabletext1"/>
            </w:pPr>
            <w:r w:rsidRPr="00CA7A0B">
              <w:t xml:space="preserve">Chia </w:t>
            </w:r>
            <w:r w:rsidRPr="00CA7A0B">
              <w:rPr>
                <w:i/>
              </w:rPr>
              <w:t>et al</w:t>
            </w:r>
            <w:r w:rsidRPr="00CA7A0B">
              <w:t>. (2015)</w:t>
            </w:r>
          </w:p>
          <w:p w14:paraId="4BA1F735" w14:textId="77777777" w:rsidR="008921EC" w:rsidRPr="00CA7A0B" w:rsidRDefault="008921EC" w:rsidP="00480188">
            <w:pPr>
              <w:pStyle w:val="Tabletext1"/>
            </w:pPr>
            <w:r w:rsidRPr="00CA7A0B">
              <w:t xml:space="preserve">   Singapore</w:t>
            </w:r>
          </w:p>
        </w:tc>
        <w:tc>
          <w:tcPr>
            <w:tcW w:w="0" w:type="auto"/>
          </w:tcPr>
          <w:p w14:paraId="1F9594EE" w14:textId="77777777" w:rsidR="008921EC" w:rsidRPr="00CA7A0B" w:rsidRDefault="008921EC" w:rsidP="00480188">
            <w:pPr>
              <w:pStyle w:val="Tabletext1"/>
              <w:cnfStyle w:val="000000100000" w:firstRow="0" w:lastRow="0" w:firstColumn="0" w:lastColumn="0" w:oddVBand="0" w:evenVBand="0" w:oddHBand="1" w:evenHBand="0" w:firstRowFirstColumn="0" w:firstRowLastColumn="0" w:lastRowFirstColumn="0" w:lastRowLastColumn="0"/>
            </w:pPr>
            <w:r w:rsidRPr="00CA7A0B">
              <w:t>Design: Retrospective</w:t>
            </w:r>
          </w:p>
          <w:p w14:paraId="487F3EC9" w14:textId="77777777" w:rsidR="008921EC" w:rsidRPr="00CA7A0B" w:rsidRDefault="008921EC" w:rsidP="00480188">
            <w:pPr>
              <w:pStyle w:val="Tabletext1"/>
              <w:cnfStyle w:val="000000100000" w:firstRow="0" w:lastRow="0" w:firstColumn="0" w:lastColumn="0" w:oddVBand="0" w:evenVBand="0" w:oddHBand="1" w:evenHBand="0" w:firstRowFirstColumn="0" w:firstRowLastColumn="0" w:lastRowFirstColumn="0" w:lastRowLastColumn="0"/>
            </w:pPr>
            <w:r w:rsidRPr="00CA7A0B">
              <w:t>No. of residents: 480</w:t>
            </w:r>
          </w:p>
          <w:p w14:paraId="54987411" w14:textId="77777777" w:rsidR="008921EC" w:rsidRPr="00CA7A0B" w:rsidRDefault="008921EC" w:rsidP="00480188">
            <w:pPr>
              <w:pStyle w:val="Tabletext1"/>
              <w:cnfStyle w:val="000000100000" w:firstRow="0" w:lastRow="0" w:firstColumn="0" w:lastColumn="0" w:oddVBand="0" w:evenVBand="0" w:oddHBand="1" w:evenHBand="0" w:firstRowFirstColumn="0" w:firstRowLastColumn="0" w:lastRowFirstColumn="0" w:lastRowLastColumn="0"/>
            </w:pPr>
            <w:r w:rsidRPr="00CA7A0B">
              <w:t>No. of homes: 3</w:t>
            </w:r>
          </w:p>
        </w:tc>
        <w:tc>
          <w:tcPr>
            <w:tcW w:w="0" w:type="auto"/>
          </w:tcPr>
          <w:p w14:paraId="77A9A237" w14:textId="77777777" w:rsidR="008921EC" w:rsidRPr="00CA7A0B" w:rsidRDefault="008921EC" w:rsidP="00480188">
            <w:pPr>
              <w:pStyle w:val="Tabletext1"/>
              <w:cnfStyle w:val="000000100000" w:firstRow="0" w:lastRow="0" w:firstColumn="0" w:lastColumn="0" w:oddVBand="0" w:evenVBand="0" w:oddHBand="1" w:evenHBand="0" w:firstRowFirstColumn="0" w:firstRowLastColumn="0" w:lastRowFirstColumn="0" w:lastRowLastColumn="0"/>
            </w:pPr>
            <w:r w:rsidRPr="00CA7A0B">
              <w:t>6</w:t>
            </w:r>
          </w:p>
        </w:tc>
        <w:tc>
          <w:tcPr>
            <w:tcW w:w="0" w:type="auto"/>
          </w:tcPr>
          <w:p w14:paraId="41C1035A" w14:textId="77777777" w:rsidR="008921EC" w:rsidRPr="00CA7A0B" w:rsidRDefault="008921EC" w:rsidP="00480188">
            <w:pPr>
              <w:pStyle w:val="Tabletext1"/>
              <w:cnfStyle w:val="000000100000" w:firstRow="0" w:lastRow="0" w:firstColumn="0" w:lastColumn="0" w:oddVBand="0" w:evenVBand="0" w:oddHBand="1" w:evenHBand="0" w:firstRowFirstColumn="0" w:firstRowLastColumn="0" w:lastRowFirstColumn="0" w:lastRowLastColumn="0"/>
            </w:pPr>
            <w:r w:rsidRPr="00CA7A0B">
              <w:t>Clinical medication review by pharmacist</w:t>
            </w:r>
          </w:p>
        </w:tc>
        <w:tc>
          <w:tcPr>
            <w:tcW w:w="0" w:type="auto"/>
          </w:tcPr>
          <w:p w14:paraId="24AA78C7" w14:textId="77777777" w:rsidR="008921EC" w:rsidRPr="00CA7A0B" w:rsidRDefault="008921EC" w:rsidP="00480188">
            <w:pPr>
              <w:pStyle w:val="Tabletext1"/>
              <w:cnfStyle w:val="000000100000" w:firstRow="0" w:lastRow="0" w:firstColumn="0" w:lastColumn="0" w:oddVBand="0" w:evenVBand="0" w:oddHBand="1" w:evenHBand="0" w:firstRowFirstColumn="0" w:firstRowLastColumn="0" w:lastRowFirstColumn="0" w:lastRowLastColumn="0"/>
            </w:pPr>
            <w:r w:rsidRPr="00CA7A0B">
              <w:t>Total cost savings: Pre: SGD 388.30 Post: SGD 876.69</w:t>
            </w:r>
          </w:p>
        </w:tc>
      </w:tr>
      <w:tr w:rsidR="008921EC" w:rsidRPr="00964DA5" w14:paraId="131AEA43" w14:textId="77777777" w:rsidTr="00480188">
        <w:tc>
          <w:tcPr>
            <w:cnfStyle w:val="001000000000" w:firstRow="0" w:lastRow="0" w:firstColumn="1" w:lastColumn="0" w:oddVBand="0" w:evenVBand="0" w:oddHBand="0" w:evenHBand="0" w:firstRowFirstColumn="0" w:firstRowLastColumn="0" w:lastRowFirstColumn="0" w:lastRowLastColumn="0"/>
            <w:tcW w:w="0" w:type="auto"/>
          </w:tcPr>
          <w:p w14:paraId="75FBBE09" w14:textId="77777777" w:rsidR="008921EC" w:rsidRPr="00CA7A0B" w:rsidRDefault="008921EC" w:rsidP="00480188">
            <w:pPr>
              <w:pStyle w:val="Tabletext1"/>
            </w:pPr>
            <w:proofErr w:type="spellStart"/>
            <w:r w:rsidRPr="00CA7A0B">
              <w:t>Brulhart</w:t>
            </w:r>
            <w:proofErr w:type="spellEnd"/>
            <w:r w:rsidRPr="00CA7A0B">
              <w:t xml:space="preserve"> </w:t>
            </w:r>
            <w:r w:rsidRPr="00CA7A0B">
              <w:rPr>
                <w:i/>
              </w:rPr>
              <w:t>et al</w:t>
            </w:r>
            <w:r w:rsidRPr="00CA7A0B">
              <w:t>. (2011)</w:t>
            </w:r>
          </w:p>
          <w:p w14:paraId="55B665B1" w14:textId="77777777" w:rsidR="008921EC" w:rsidRPr="00CA7A0B" w:rsidRDefault="008921EC" w:rsidP="00480188">
            <w:pPr>
              <w:pStyle w:val="Tabletext1"/>
            </w:pPr>
            <w:r w:rsidRPr="00CA7A0B">
              <w:t xml:space="preserve">   Switzerland</w:t>
            </w:r>
          </w:p>
        </w:tc>
        <w:tc>
          <w:tcPr>
            <w:tcW w:w="0" w:type="auto"/>
          </w:tcPr>
          <w:p w14:paraId="51680C0B" w14:textId="77777777" w:rsidR="008921EC" w:rsidRPr="00CA7A0B" w:rsidRDefault="008921EC" w:rsidP="00480188">
            <w:pPr>
              <w:pStyle w:val="Tabletext1"/>
              <w:cnfStyle w:val="000000000000" w:firstRow="0" w:lastRow="0" w:firstColumn="0" w:lastColumn="0" w:oddVBand="0" w:evenVBand="0" w:oddHBand="0" w:evenHBand="0" w:firstRowFirstColumn="0" w:firstRowLastColumn="0" w:lastRowFirstColumn="0" w:lastRowLastColumn="0"/>
            </w:pPr>
            <w:r w:rsidRPr="00CA7A0B">
              <w:t>Design: Retrospective costs</w:t>
            </w:r>
          </w:p>
          <w:p w14:paraId="1FA2EC8C" w14:textId="77777777" w:rsidR="008921EC" w:rsidRPr="00CA7A0B" w:rsidRDefault="008921EC" w:rsidP="00480188">
            <w:pPr>
              <w:pStyle w:val="Tabletext1"/>
              <w:cnfStyle w:val="000000000000" w:firstRow="0" w:lastRow="0" w:firstColumn="0" w:lastColumn="0" w:oddVBand="0" w:evenVBand="0" w:oddHBand="0" w:evenHBand="0" w:firstRowFirstColumn="0" w:firstRowLastColumn="0" w:lastRowFirstColumn="0" w:lastRowLastColumn="0"/>
            </w:pPr>
            <w:r w:rsidRPr="00CA7A0B">
              <w:t>No. of residents: 329</w:t>
            </w:r>
          </w:p>
          <w:p w14:paraId="48597593" w14:textId="77777777" w:rsidR="008921EC" w:rsidRPr="00CA7A0B" w:rsidRDefault="008921EC" w:rsidP="00480188">
            <w:pPr>
              <w:pStyle w:val="Tabletext1"/>
              <w:cnfStyle w:val="000000000000" w:firstRow="0" w:lastRow="0" w:firstColumn="0" w:lastColumn="0" w:oddVBand="0" w:evenVBand="0" w:oddHBand="0" w:evenHBand="0" w:firstRowFirstColumn="0" w:firstRowLastColumn="0" w:lastRowFirstColumn="0" w:lastRowLastColumn="0"/>
            </w:pPr>
            <w:r w:rsidRPr="00CA7A0B">
              <w:t>No. of homes: 10</w:t>
            </w:r>
          </w:p>
        </w:tc>
        <w:tc>
          <w:tcPr>
            <w:tcW w:w="0" w:type="auto"/>
          </w:tcPr>
          <w:p w14:paraId="2B006384" w14:textId="77777777" w:rsidR="008921EC" w:rsidRPr="00CA7A0B" w:rsidRDefault="008921EC" w:rsidP="00480188">
            <w:pPr>
              <w:pStyle w:val="Tabletext1"/>
              <w:cnfStyle w:val="000000000000" w:firstRow="0" w:lastRow="0" w:firstColumn="0" w:lastColumn="0" w:oddVBand="0" w:evenVBand="0" w:oddHBand="0" w:evenHBand="0" w:firstRowFirstColumn="0" w:firstRowLastColumn="0" w:lastRowFirstColumn="0" w:lastRowLastColumn="0"/>
            </w:pPr>
            <w:r w:rsidRPr="00CA7A0B">
              <w:t>36</w:t>
            </w:r>
          </w:p>
        </w:tc>
        <w:tc>
          <w:tcPr>
            <w:tcW w:w="0" w:type="auto"/>
          </w:tcPr>
          <w:p w14:paraId="48F693FF" w14:textId="77777777" w:rsidR="008921EC" w:rsidRPr="00CA7A0B" w:rsidRDefault="008921EC" w:rsidP="00480188">
            <w:pPr>
              <w:pStyle w:val="Tabletext1"/>
              <w:cnfStyle w:val="000000000000" w:firstRow="0" w:lastRow="0" w:firstColumn="0" w:lastColumn="0" w:oddVBand="0" w:evenVBand="0" w:oddHBand="0" w:evenHBand="0" w:firstRowFirstColumn="0" w:firstRowLastColumn="0" w:lastRowFirstColumn="0" w:lastRowLastColumn="0"/>
            </w:pPr>
            <w:r w:rsidRPr="00CA7A0B">
              <w:t>Prescription review by pharmacist</w:t>
            </w:r>
          </w:p>
        </w:tc>
        <w:tc>
          <w:tcPr>
            <w:tcW w:w="0" w:type="auto"/>
          </w:tcPr>
          <w:p w14:paraId="36987DB2" w14:textId="77777777" w:rsidR="008921EC" w:rsidRPr="00CA7A0B" w:rsidRDefault="008921EC" w:rsidP="00480188">
            <w:pPr>
              <w:pStyle w:val="Tabletext1"/>
              <w:cnfStyle w:val="000000000000" w:firstRow="0" w:lastRow="0" w:firstColumn="0" w:lastColumn="0" w:oddVBand="0" w:evenVBand="0" w:oddHBand="0" w:evenHBand="0" w:firstRowFirstColumn="0" w:firstRowLastColumn="0" w:lastRowFirstColumn="0" w:lastRowLastColumn="0"/>
            </w:pPr>
            <w:r w:rsidRPr="00CA7A0B">
              <w:t>Intervention: annual decrement of drug costs: 14.6% Control: 0.1% decrement</w:t>
            </w:r>
          </w:p>
        </w:tc>
      </w:tr>
      <w:tr w:rsidR="008921EC" w:rsidRPr="00964DA5" w14:paraId="56B0B520" w14:textId="77777777" w:rsidTr="00480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99C297" w14:textId="77777777" w:rsidR="008921EC" w:rsidRPr="00CA7A0B" w:rsidRDefault="008921EC" w:rsidP="00480188">
            <w:pPr>
              <w:pStyle w:val="Tabletext1"/>
            </w:pPr>
            <w:r w:rsidRPr="00CA7A0B">
              <w:t>Christensen et al. (2004)</w:t>
            </w:r>
          </w:p>
          <w:p w14:paraId="47CAE1D0" w14:textId="77777777" w:rsidR="008921EC" w:rsidRPr="00CA7A0B" w:rsidRDefault="008921EC" w:rsidP="00480188">
            <w:pPr>
              <w:pStyle w:val="Tabletext1"/>
            </w:pPr>
            <w:r w:rsidRPr="00CA7A0B">
              <w:t xml:space="preserve">   USA</w:t>
            </w:r>
          </w:p>
        </w:tc>
        <w:tc>
          <w:tcPr>
            <w:tcW w:w="0" w:type="auto"/>
          </w:tcPr>
          <w:p w14:paraId="4D45C2ED" w14:textId="77777777" w:rsidR="008921EC" w:rsidRPr="00CA7A0B" w:rsidRDefault="008921EC" w:rsidP="00480188">
            <w:pPr>
              <w:pStyle w:val="Tabletext1"/>
              <w:cnfStyle w:val="000000100000" w:firstRow="0" w:lastRow="0" w:firstColumn="0" w:lastColumn="0" w:oddVBand="0" w:evenVBand="0" w:oddHBand="1" w:evenHBand="0" w:firstRowFirstColumn="0" w:firstRowLastColumn="0" w:lastRowFirstColumn="0" w:lastRowLastColumn="0"/>
            </w:pPr>
            <w:r w:rsidRPr="00CA7A0B">
              <w:t>Design: pre-post review</w:t>
            </w:r>
          </w:p>
          <w:p w14:paraId="0853DA30" w14:textId="77777777" w:rsidR="008921EC" w:rsidRPr="00CA7A0B" w:rsidRDefault="008921EC" w:rsidP="00480188">
            <w:pPr>
              <w:pStyle w:val="Tabletext1"/>
              <w:cnfStyle w:val="000000100000" w:firstRow="0" w:lastRow="0" w:firstColumn="0" w:lastColumn="0" w:oddVBand="0" w:evenVBand="0" w:oddHBand="1" w:evenHBand="0" w:firstRowFirstColumn="0" w:firstRowLastColumn="0" w:lastRowFirstColumn="0" w:lastRowLastColumn="0"/>
            </w:pPr>
            <w:r w:rsidRPr="00CA7A0B">
              <w:t>No. of residents: 9,208</w:t>
            </w:r>
          </w:p>
          <w:p w14:paraId="13E61FFC" w14:textId="77777777" w:rsidR="008921EC" w:rsidRPr="00CA7A0B" w:rsidRDefault="008921EC" w:rsidP="00480188">
            <w:pPr>
              <w:pStyle w:val="Tabletext1"/>
              <w:cnfStyle w:val="000000100000" w:firstRow="0" w:lastRow="0" w:firstColumn="0" w:lastColumn="0" w:oddVBand="0" w:evenVBand="0" w:oddHBand="1" w:evenHBand="0" w:firstRowFirstColumn="0" w:firstRowLastColumn="0" w:lastRowFirstColumn="0" w:lastRowLastColumn="0"/>
            </w:pPr>
            <w:r w:rsidRPr="00CA7A0B">
              <w:t>No. of homes: 253</w:t>
            </w:r>
          </w:p>
        </w:tc>
        <w:tc>
          <w:tcPr>
            <w:tcW w:w="0" w:type="auto"/>
          </w:tcPr>
          <w:p w14:paraId="7E65B107" w14:textId="77777777" w:rsidR="008921EC" w:rsidRPr="00CA7A0B" w:rsidRDefault="008921EC" w:rsidP="00480188">
            <w:pPr>
              <w:pStyle w:val="Tabletext1"/>
              <w:cnfStyle w:val="000000100000" w:firstRow="0" w:lastRow="0" w:firstColumn="0" w:lastColumn="0" w:oddVBand="0" w:evenVBand="0" w:oddHBand="1" w:evenHBand="0" w:firstRowFirstColumn="0" w:firstRowLastColumn="0" w:lastRowFirstColumn="0" w:lastRowLastColumn="0"/>
            </w:pPr>
            <w:r w:rsidRPr="00CA7A0B">
              <w:t>3</w:t>
            </w:r>
          </w:p>
        </w:tc>
        <w:tc>
          <w:tcPr>
            <w:tcW w:w="0" w:type="auto"/>
          </w:tcPr>
          <w:p w14:paraId="1E45595F" w14:textId="77777777" w:rsidR="008921EC" w:rsidRPr="00CA7A0B" w:rsidRDefault="008921EC" w:rsidP="00480188">
            <w:pPr>
              <w:pStyle w:val="Tabletext1"/>
              <w:cnfStyle w:val="000000100000" w:firstRow="0" w:lastRow="0" w:firstColumn="0" w:lastColumn="0" w:oddVBand="0" w:evenVBand="0" w:oddHBand="1" w:evenHBand="0" w:firstRowFirstColumn="0" w:firstRowLastColumn="0" w:lastRowFirstColumn="0" w:lastRowLastColumn="0"/>
            </w:pPr>
            <w:r w:rsidRPr="00CA7A0B">
              <w:t>Prescription review by pharmacist</w:t>
            </w:r>
          </w:p>
        </w:tc>
        <w:tc>
          <w:tcPr>
            <w:tcW w:w="0" w:type="auto"/>
          </w:tcPr>
          <w:p w14:paraId="658266DA" w14:textId="77777777" w:rsidR="008921EC" w:rsidRPr="00CA7A0B" w:rsidRDefault="008921EC" w:rsidP="00480188">
            <w:pPr>
              <w:pStyle w:val="Tabletext1"/>
              <w:cnfStyle w:val="000000100000" w:firstRow="0" w:lastRow="0" w:firstColumn="0" w:lastColumn="0" w:oddVBand="0" w:evenVBand="0" w:oddHBand="1" w:evenHBand="0" w:firstRowFirstColumn="0" w:firstRowLastColumn="0" w:lastRowFirstColumn="0" w:lastRowLastColumn="0"/>
            </w:pPr>
            <w:r w:rsidRPr="00CA7A0B">
              <w:t>Mean drug cost savings: $30.33 per patient per month</w:t>
            </w:r>
          </w:p>
        </w:tc>
      </w:tr>
      <w:tr w:rsidR="008921EC" w:rsidRPr="00964DA5" w14:paraId="3F02A311" w14:textId="77777777" w:rsidTr="00480188">
        <w:tc>
          <w:tcPr>
            <w:cnfStyle w:val="001000000000" w:firstRow="0" w:lastRow="0" w:firstColumn="1" w:lastColumn="0" w:oddVBand="0" w:evenVBand="0" w:oddHBand="0" w:evenHBand="0" w:firstRowFirstColumn="0" w:firstRowLastColumn="0" w:lastRowFirstColumn="0" w:lastRowLastColumn="0"/>
            <w:tcW w:w="0" w:type="auto"/>
          </w:tcPr>
          <w:p w14:paraId="54217719" w14:textId="77777777" w:rsidR="008921EC" w:rsidRPr="00CA7A0B" w:rsidRDefault="008921EC" w:rsidP="00480188">
            <w:pPr>
              <w:pStyle w:val="Tabletext1"/>
            </w:pPr>
            <w:r w:rsidRPr="00CA7A0B">
              <w:t xml:space="preserve">Furniss </w:t>
            </w:r>
            <w:r w:rsidRPr="00296AB9">
              <w:rPr>
                <w:i/>
              </w:rPr>
              <w:t>et al</w:t>
            </w:r>
            <w:r w:rsidRPr="00CA7A0B">
              <w:t>. (2000)</w:t>
            </w:r>
          </w:p>
          <w:p w14:paraId="22E2D832" w14:textId="77777777" w:rsidR="008921EC" w:rsidRPr="00CA7A0B" w:rsidRDefault="008921EC" w:rsidP="00480188">
            <w:pPr>
              <w:pStyle w:val="Tabletext1"/>
            </w:pPr>
            <w:r w:rsidRPr="00CA7A0B">
              <w:t xml:space="preserve">   UK</w:t>
            </w:r>
          </w:p>
        </w:tc>
        <w:tc>
          <w:tcPr>
            <w:tcW w:w="0" w:type="auto"/>
          </w:tcPr>
          <w:p w14:paraId="738CAF08" w14:textId="77777777" w:rsidR="008921EC" w:rsidRPr="00CA7A0B" w:rsidRDefault="008921EC" w:rsidP="00480188">
            <w:pPr>
              <w:pStyle w:val="Tabletext1"/>
              <w:cnfStyle w:val="000000000000" w:firstRow="0" w:lastRow="0" w:firstColumn="0" w:lastColumn="0" w:oddVBand="0" w:evenVBand="0" w:oddHBand="0" w:evenHBand="0" w:firstRowFirstColumn="0" w:firstRowLastColumn="0" w:lastRowFirstColumn="0" w:lastRowLastColumn="0"/>
            </w:pPr>
            <w:r w:rsidRPr="00CA7A0B">
              <w:t>Design: Prospective Trial</w:t>
            </w:r>
          </w:p>
          <w:p w14:paraId="7723C0EF" w14:textId="77777777" w:rsidR="008921EC" w:rsidRPr="00CA7A0B" w:rsidRDefault="008921EC" w:rsidP="00480188">
            <w:pPr>
              <w:pStyle w:val="Tabletext1"/>
              <w:cnfStyle w:val="000000000000" w:firstRow="0" w:lastRow="0" w:firstColumn="0" w:lastColumn="0" w:oddVBand="0" w:evenVBand="0" w:oddHBand="0" w:evenHBand="0" w:firstRowFirstColumn="0" w:firstRowLastColumn="0" w:lastRowFirstColumn="0" w:lastRowLastColumn="0"/>
            </w:pPr>
            <w:r w:rsidRPr="00CA7A0B">
              <w:t>No. of residents: 330</w:t>
            </w:r>
          </w:p>
          <w:p w14:paraId="31AD9AEB" w14:textId="77777777" w:rsidR="008921EC" w:rsidRPr="00CA7A0B" w:rsidRDefault="008921EC" w:rsidP="00480188">
            <w:pPr>
              <w:pStyle w:val="Tabletext1"/>
              <w:cnfStyle w:val="000000000000" w:firstRow="0" w:lastRow="0" w:firstColumn="0" w:lastColumn="0" w:oddVBand="0" w:evenVBand="0" w:oddHBand="0" w:evenHBand="0" w:firstRowFirstColumn="0" w:firstRowLastColumn="0" w:lastRowFirstColumn="0" w:lastRowLastColumn="0"/>
            </w:pPr>
            <w:r w:rsidRPr="00CA7A0B">
              <w:t>No. of homes: 14</w:t>
            </w:r>
          </w:p>
        </w:tc>
        <w:tc>
          <w:tcPr>
            <w:tcW w:w="0" w:type="auto"/>
          </w:tcPr>
          <w:p w14:paraId="6C1CFA37" w14:textId="77777777" w:rsidR="008921EC" w:rsidRPr="00CA7A0B" w:rsidRDefault="008921EC" w:rsidP="00480188">
            <w:pPr>
              <w:pStyle w:val="Tabletext1"/>
              <w:cnfStyle w:val="000000000000" w:firstRow="0" w:lastRow="0" w:firstColumn="0" w:lastColumn="0" w:oddVBand="0" w:evenVBand="0" w:oddHBand="0" w:evenHBand="0" w:firstRowFirstColumn="0" w:firstRowLastColumn="0" w:lastRowFirstColumn="0" w:lastRowLastColumn="0"/>
            </w:pPr>
            <w:r w:rsidRPr="00CA7A0B">
              <w:t>8</w:t>
            </w:r>
          </w:p>
        </w:tc>
        <w:tc>
          <w:tcPr>
            <w:tcW w:w="0" w:type="auto"/>
          </w:tcPr>
          <w:p w14:paraId="2EB80FCF" w14:textId="77777777" w:rsidR="008921EC" w:rsidRPr="00CA7A0B" w:rsidRDefault="008921EC" w:rsidP="00480188">
            <w:pPr>
              <w:pStyle w:val="Tabletext1"/>
              <w:cnfStyle w:val="000000000000" w:firstRow="0" w:lastRow="0" w:firstColumn="0" w:lastColumn="0" w:oddVBand="0" w:evenVBand="0" w:oddHBand="0" w:evenHBand="0" w:firstRowFirstColumn="0" w:firstRowLastColumn="0" w:lastRowFirstColumn="0" w:lastRowLastColumn="0"/>
            </w:pPr>
            <w:r w:rsidRPr="00CA7A0B">
              <w:t>Clinical medication review</w:t>
            </w:r>
          </w:p>
        </w:tc>
        <w:tc>
          <w:tcPr>
            <w:tcW w:w="0" w:type="auto"/>
          </w:tcPr>
          <w:p w14:paraId="66434D8A" w14:textId="77777777" w:rsidR="008921EC" w:rsidRPr="00CA7A0B" w:rsidRDefault="008921EC" w:rsidP="00480188">
            <w:pPr>
              <w:pStyle w:val="Tabletext1"/>
              <w:cnfStyle w:val="000000000000" w:firstRow="0" w:lastRow="0" w:firstColumn="0" w:lastColumn="0" w:oddVBand="0" w:evenVBand="0" w:oddHBand="0" w:evenHBand="0" w:firstRowFirstColumn="0" w:firstRowLastColumn="0" w:lastRowFirstColumn="0" w:lastRowLastColumn="0"/>
            </w:pPr>
            <w:r w:rsidRPr="00CA7A0B">
              <w:t>Average total costs per resident: Intervention: £314.89 Control: £492.98</w:t>
            </w:r>
          </w:p>
        </w:tc>
      </w:tr>
      <w:tr w:rsidR="008921EC" w:rsidRPr="00964DA5" w14:paraId="61069291" w14:textId="77777777" w:rsidTr="00480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3368749" w14:textId="77777777" w:rsidR="008921EC" w:rsidRPr="00CA7A0B" w:rsidRDefault="008921EC" w:rsidP="00480188">
            <w:pPr>
              <w:pStyle w:val="Tabletext1"/>
            </w:pPr>
            <w:r w:rsidRPr="00CA7A0B">
              <w:t xml:space="preserve">Roberts </w:t>
            </w:r>
            <w:r w:rsidRPr="00296AB9">
              <w:rPr>
                <w:i/>
              </w:rPr>
              <w:t>et al</w:t>
            </w:r>
            <w:r w:rsidRPr="00CA7A0B">
              <w:t>. (2001)</w:t>
            </w:r>
          </w:p>
          <w:p w14:paraId="3DF0D9A1" w14:textId="77777777" w:rsidR="008921EC" w:rsidRPr="00CA7A0B" w:rsidRDefault="008921EC" w:rsidP="00480188">
            <w:pPr>
              <w:pStyle w:val="Tabletext1"/>
            </w:pPr>
            <w:r w:rsidRPr="00CA7A0B">
              <w:t xml:space="preserve">   Australia</w:t>
            </w:r>
          </w:p>
        </w:tc>
        <w:tc>
          <w:tcPr>
            <w:tcW w:w="0" w:type="auto"/>
          </w:tcPr>
          <w:p w14:paraId="5BD9D4B9" w14:textId="77777777" w:rsidR="008921EC" w:rsidRPr="00CA7A0B" w:rsidRDefault="008921EC" w:rsidP="00480188">
            <w:pPr>
              <w:pStyle w:val="Tabletext1"/>
              <w:cnfStyle w:val="000000100000" w:firstRow="0" w:lastRow="0" w:firstColumn="0" w:lastColumn="0" w:oddVBand="0" w:evenVBand="0" w:oddHBand="1" w:evenHBand="0" w:firstRowFirstColumn="0" w:firstRowLastColumn="0" w:lastRowFirstColumn="0" w:lastRowLastColumn="0"/>
            </w:pPr>
            <w:r w:rsidRPr="00CA7A0B">
              <w:t>Design: Clustered RCT</w:t>
            </w:r>
          </w:p>
          <w:p w14:paraId="4EC291E0" w14:textId="77777777" w:rsidR="008921EC" w:rsidRPr="00CA7A0B" w:rsidRDefault="008921EC" w:rsidP="00480188">
            <w:pPr>
              <w:pStyle w:val="Tabletext1"/>
              <w:cnfStyle w:val="000000100000" w:firstRow="0" w:lastRow="0" w:firstColumn="0" w:lastColumn="0" w:oddVBand="0" w:evenVBand="0" w:oddHBand="1" w:evenHBand="0" w:firstRowFirstColumn="0" w:firstRowLastColumn="0" w:lastRowFirstColumn="0" w:lastRowLastColumn="0"/>
            </w:pPr>
            <w:r w:rsidRPr="00CA7A0B">
              <w:t>No. of residents: 3,230</w:t>
            </w:r>
          </w:p>
          <w:p w14:paraId="196321F5" w14:textId="77777777" w:rsidR="008921EC" w:rsidRPr="00CA7A0B" w:rsidRDefault="008921EC" w:rsidP="00480188">
            <w:pPr>
              <w:pStyle w:val="Tabletext1"/>
              <w:cnfStyle w:val="000000100000" w:firstRow="0" w:lastRow="0" w:firstColumn="0" w:lastColumn="0" w:oddVBand="0" w:evenVBand="0" w:oddHBand="1" w:evenHBand="0" w:firstRowFirstColumn="0" w:firstRowLastColumn="0" w:lastRowFirstColumn="0" w:lastRowLastColumn="0"/>
            </w:pPr>
            <w:r w:rsidRPr="00CA7A0B">
              <w:t>No. of homes:52</w:t>
            </w:r>
          </w:p>
        </w:tc>
        <w:tc>
          <w:tcPr>
            <w:tcW w:w="0" w:type="auto"/>
          </w:tcPr>
          <w:p w14:paraId="0B1A76D8" w14:textId="77777777" w:rsidR="008921EC" w:rsidRPr="00CA7A0B" w:rsidRDefault="008921EC" w:rsidP="00480188">
            <w:pPr>
              <w:pStyle w:val="Tabletext1"/>
              <w:cnfStyle w:val="000000100000" w:firstRow="0" w:lastRow="0" w:firstColumn="0" w:lastColumn="0" w:oddVBand="0" w:evenVBand="0" w:oddHBand="1" w:evenHBand="0" w:firstRowFirstColumn="0" w:firstRowLastColumn="0" w:lastRowFirstColumn="0" w:lastRowLastColumn="0"/>
            </w:pPr>
            <w:r w:rsidRPr="00CA7A0B">
              <w:t>12</w:t>
            </w:r>
          </w:p>
        </w:tc>
        <w:tc>
          <w:tcPr>
            <w:tcW w:w="0" w:type="auto"/>
          </w:tcPr>
          <w:p w14:paraId="114DF0D9" w14:textId="77777777" w:rsidR="008921EC" w:rsidRPr="00CA7A0B" w:rsidRDefault="008921EC" w:rsidP="00480188">
            <w:pPr>
              <w:pStyle w:val="Tabletext1"/>
              <w:cnfStyle w:val="000000100000" w:firstRow="0" w:lastRow="0" w:firstColumn="0" w:lastColumn="0" w:oddVBand="0" w:evenVBand="0" w:oddHBand="1" w:evenHBand="0" w:firstRowFirstColumn="0" w:firstRowLastColumn="0" w:lastRowFirstColumn="0" w:lastRowLastColumn="0"/>
            </w:pPr>
            <w:r w:rsidRPr="00CA7A0B">
              <w:t>Clinical review by multidisciplinary team with pharmacist</w:t>
            </w:r>
          </w:p>
        </w:tc>
        <w:tc>
          <w:tcPr>
            <w:tcW w:w="0" w:type="auto"/>
          </w:tcPr>
          <w:p w14:paraId="761D6708" w14:textId="77777777" w:rsidR="008921EC" w:rsidRPr="00CA7A0B" w:rsidRDefault="008921EC" w:rsidP="00480188">
            <w:pPr>
              <w:pStyle w:val="Tabletext1"/>
              <w:cnfStyle w:val="000000100000" w:firstRow="0" w:lastRow="0" w:firstColumn="0" w:lastColumn="0" w:oddVBand="0" w:evenVBand="0" w:oddHBand="1" w:evenHBand="0" w:firstRowFirstColumn="0" w:firstRowLastColumn="0" w:lastRowFirstColumn="0" w:lastRowLastColumn="0"/>
            </w:pPr>
            <w:r w:rsidRPr="00CA7A0B">
              <w:t>Annual prescription saving of AUD 64 per resident</w:t>
            </w:r>
          </w:p>
        </w:tc>
      </w:tr>
    </w:tbl>
    <w:p w14:paraId="5431BDD5" w14:textId="692B0BFE" w:rsidR="008921EC" w:rsidRPr="00964DA5" w:rsidRDefault="005F4C4F" w:rsidP="00897C5B">
      <w:pPr>
        <w:pStyle w:val="Caption"/>
      </w:pPr>
      <w:r w:rsidRPr="00CC5A20">
        <w:t>Table</w:t>
      </w:r>
      <w:r w:rsidR="00155108">
        <w:t xml:space="preserve"> </w:t>
      </w:r>
      <w:r w:rsidR="00CC5A20">
        <w:t>D-3</w:t>
      </w:r>
      <w:r w:rsidRPr="005F4C4F">
        <w:t xml:space="preserve"> Published literature comparing the costs of pharmacist-led medication reviews with usual care among older adults in aged care facilities.</w:t>
      </w:r>
    </w:p>
    <w:p w14:paraId="786368EE" w14:textId="472CD101" w:rsidR="008921EC" w:rsidRPr="00013791" w:rsidRDefault="00454A03" w:rsidP="00897C5B">
      <w:pPr>
        <w:pStyle w:val="Heading3"/>
      </w:pPr>
      <w:bookmarkStart w:id="226" w:name="_Toc395200800"/>
      <w:bookmarkStart w:id="227" w:name="_Toc445464049"/>
      <w:bookmarkStart w:id="228" w:name="_Toc117758269"/>
      <w:r>
        <w:lastRenderedPageBreak/>
        <w:t>D.3.2.</w:t>
      </w:r>
      <w:r w:rsidR="00FF37D6">
        <w:tab/>
      </w:r>
      <w:r w:rsidR="008921EC">
        <w:t>Structure of the economic evaluation</w:t>
      </w:r>
      <w:bookmarkEnd w:id="226"/>
      <w:bookmarkEnd w:id="227"/>
      <w:r w:rsidR="008921EC">
        <w:t xml:space="preserve"> (Cost Analysis)</w:t>
      </w:r>
      <w:bookmarkEnd w:id="228"/>
    </w:p>
    <w:p w14:paraId="18BD7CDB" w14:textId="179013BC" w:rsidR="008921EC" w:rsidRDefault="008921EC" w:rsidP="007501B9">
      <w:r>
        <w:t>The primary economic analysis</w:t>
      </w:r>
      <w:r w:rsidR="007D161B">
        <w:t xml:space="preserve"> for</w:t>
      </w:r>
      <w:r>
        <w:t xml:space="preserve"> this trial-based cost comparison is from the perspective of the Australian healthcare system (public and private funded healthcare costs)</w:t>
      </w:r>
      <w:r w:rsidR="007501B9">
        <w:t xml:space="preserve">. </w:t>
      </w:r>
      <w:r>
        <w:t xml:space="preserve">The primary economic outcome will </w:t>
      </w:r>
      <w:proofErr w:type="gramStart"/>
      <w:r>
        <w:t>be;</w:t>
      </w:r>
      <w:proofErr w:type="gramEnd"/>
      <w:r>
        <w:t xml:space="preserve"> total average healthcare costs per patient per day based on data collected in the clinical trial, adjusted for baseline differences in aged care subsidy rates</w:t>
      </w:r>
      <w:r w:rsidR="007501B9">
        <w:t xml:space="preserve">. </w:t>
      </w:r>
      <w:r>
        <w:t>Total costs per cohort arm and average costs per patient per cohort arm will be presented, however as differing numbers of residents died in each arm, and at differing times, the total number of resident-days being costed over the trial period differs between the arms</w:t>
      </w:r>
      <w:r w:rsidR="007501B9">
        <w:t xml:space="preserve">. </w:t>
      </w:r>
      <w:proofErr w:type="gramStart"/>
      <w:r>
        <w:t>Therefore</w:t>
      </w:r>
      <w:proofErr w:type="gramEnd"/>
      <w:r>
        <w:t xml:space="preserve"> the per arm cohort costs and average per patient costs should be interpreted with caution</w:t>
      </w:r>
      <w:r w:rsidR="007D161B">
        <w:t>;</w:t>
      </w:r>
      <w:r>
        <w:t xml:space="preserve"> as a calculation step; only the average per patient per day cost is meaningful in a comparative sense.</w:t>
      </w:r>
    </w:p>
    <w:p w14:paraId="386BA3EB" w14:textId="49F00FF0" w:rsidR="008921EC" w:rsidRDefault="008921EC" w:rsidP="007501B9">
      <w:r>
        <w:t xml:space="preserve">The health economic analysis is conducted using the ‘intention to treat’ principle </w:t>
      </w:r>
      <w:r w:rsidR="00454A03">
        <w:t xml:space="preserve">(ITT) </w:t>
      </w:r>
      <w:r>
        <w:t>(</w:t>
      </w:r>
      <w:proofErr w:type="gramStart"/>
      <w:r>
        <w:t>i.e.</w:t>
      </w:r>
      <w:proofErr w:type="gramEnd"/>
      <w:r>
        <w:t xml:space="preserve"> patients allocated to the intervention arm are analysed in this arm regardless of whether they received the intervention or not), but the analysis is not conducted with the full ITT population</w:t>
      </w:r>
      <w:r w:rsidR="007501B9">
        <w:t xml:space="preserve">. </w:t>
      </w:r>
      <w:r>
        <w:t xml:space="preserve">This was because additional participant consent steps were required to enable release of the external </w:t>
      </w:r>
      <w:r w:rsidR="005F4A1A">
        <w:t xml:space="preserve">Services Australia </w:t>
      </w:r>
      <w:r>
        <w:t>and hospital data records to the study investigators and not all participants completed these</w:t>
      </w:r>
      <w:r w:rsidR="007501B9">
        <w:t xml:space="preserve">. </w:t>
      </w:r>
      <w:r>
        <w:t>The representativeness of the patients with external economic data to the whole study is assessed in Section C.2.</w:t>
      </w:r>
    </w:p>
    <w:p w14:paraId="147C375B" w14:textId="0D4104BC" w:rsidR="008921EC" w:rsidRDefault="008921EC" w:rsidP="007501B9">
      <w:r>
        <w:t>Pharmaceutical Benefits Sche</w:t>
      </w:r>
      <w:r w:rsidR="00F462B9">
        <w:t>me</w:t>
      </w:r>
      <w:r>
        <w:t xml:space="preserve"> (PBS) and Medicare Benefits Schedule (MBS) administrative claims data, as well as administrative claims data for hospital admissions were linked to the clinical effectiveness data collection set and used to inform the economic evaluation.</w:t>
      </w:r>
    </w:p>
    <w:p w14:paraId="7C644E62" w14:textId="3486D068" w:rsidR="008921EC" w:rsidRPr="00C360B9" w:rsidRDefault="008921EC" w:rsidP="007501B9">
      <w:r w:rsidRPr="00C360B9">
        <w:t xml:space="preserve">The </w:t>
      </w:r>
      <w:r>
        <w:t xml:space="preserve">economic </w:t>
      </w:r>
      <w:r w:rsidRPr="00C360B9">
        <w:t>analysis is a simple trial-based cost analysis</w:t>
      </w:r>
      <w:r w:rsidR="007D161B">
        <w:t>.</w:t>
      </w:r>
      <w:r w:rsidRPr="00C360B9">
        <w:t xml:space="preserve"> </w:t>
      </w:r>
      <w:r>
        <w:t xml:space="preserve">Microsoft Excel was used to calculate </w:t>
      </w:r>
      <w:r w:rsidRPr="00C360B9">
        <w:t xml:space="preserve">average </w:t>
      </w:r>
      <w:r>
        <w:t xml:space="preserve">and aggregate </w:t>
      </w:r>
      <w:r w:rsidRPr="00C360B9">
        <w:t>cost estimates</w:t>
      </w:r>
      <w:r w:rsidR="007501B9">
        <w:t xml:space="preserve">. </w:t>
      </w:r>
      <w:r w:rsidRPr="00C360B9">
        <w:t>No modelling techniques or modelling software were used.</w:t>
      </w:r>
    </w:p>
    <w:p w14:paraId="26A160F6" w14:textId="7CCD0B40" w:rsidR="008921EC" w:rsidRDefault="008921EC" w:rsidP="007501B9">
      <w:r>
        <w:t>The following healthcare resources and their associated costs were identified as relevant to a health economic evaluation in this study setting</w:t>
      </w:r>
      <w:r w:rsidR="00454A03">
        <w:t>:</w:t>
      </w:r>
    </w:p>
    <w:p w14:paraId="6256EF5B" w14:textId="754AAE40" w:rsidR="000C006A" w:rsidRDefault="008921EC" w:rsidP="00D17045">
      <w:pPr>
        <w:pStyle w:val="ListBullet"/>
        <w:rPr>
          <w:noProof/>
        </w:rPr>
      </w:pPr>
      <w:r>
        <w:rPr>
          <w:noProof/>
        </w:rPr>
        <w:t>pharmacist reviews (the study intervention)</w:t>
      </w:r>
      <w:r w:rsidR="00454A03">
        <w:rPr>
          <w:noProof/>
        </w:rPr>
        <w:t>;</w:t>
      </w:r>
    </w:p>
    <w:p w14:paraId="5D7E6FE8" w14:textId="42C9A6CB" w:rsidR="008921EC" w:rsidRDefault="008921EC" w:rsidP="00D17045">
      <w:pPr>
        <w:pStyle w:val="ListBullet"/>
        <w:rPr>
          <w:noProof/>
        </w:rPr>
      </w:pPr>
      <w:r>
        <w:rPr>
          <w:noProof/>
        </w:rPr>
        <w:t>medical (</w:t>
      </w:r>
      <w:r w:rsidR="005F4A1A">
        <w:rPr>
          <w:noProof/>
        </w:rPr>
        <w:t>Services Australia</w:t>
      </w:r>
      <w:r>
        <w:rPr>
          <w:noProof/>
        </w:rPr>
        <w:t>) services and all items claimed via the MBS</w:t>
      </w:r>
      <w:r w:rsidR="00454A03">
        <w:rPr>
          <w:noProof/>
        </w:rPr>
        <w:t>;</w:t>
      </w:r>
    </w:p>
    <w:p w14:paraId="5697FC0F" w14:textId="731379F6" w:rsidR="008921EC" w:rsidRDefault="008921EC" w:rsidP="00D17045">
      <w:pPr>
        <w:pStyle w:val="ListBullet"/>
        <w:rPr>
          <w:noProof/>
        </w:rPr>
      </w:pPr>
      <w:r>
        <w:rPr>
          <w:noProof/>
        </w:rPr>
        <w:t>PBS medicines</w:t>
      </w:r>
      <w:r w:rsidR="00454A03">
        <w:rPr>
          <w:noProof/>
        </w:rPr>
        <w:t>;</w:t>
      </w:r>
    </w:p>
    <w:p w14:paraId="1FADB10E" w14:textId="5EE33F5B" w:rsidR="008921EC" w:rsidRDefault="008921EC" w:rsidP="00D17045">
      <w:pPr>
        <w:pStyle w:val="ListBullet"/>
        <w:rPr>
          <w:noProof/>
        </w:rPr>
      </w:pPr>
      <w:r>
        <w:rPr>
          <w:noProof/>
        </w:rPr>
        <w:t>hospital costs – both inpatient, outpatient and emergency department presentations</w:t>
      </w:r>
      <w:r w:rsidR="00454A03">
        <w:rPr>
          <w:noProof/>
        </w:rPr>
        <w:t>;</w:t>
      </w:r>
    </w:p>
    <w:p w14:paraId="656E2540" w14:textId="1766B445" w:rsidR="008921EC" w:rsidRDefault="00812C48" w:rsidP="00D17045">
      <w:pPr>
        <w:pStyle w:val="ListBullet"/>
        <w:rPr>
          <w:noProof/>
        </w:rPr>
      </w:pPr>
      <w:r>
        <w:rPr>
          <w:noProof/>
        </w:rPr>
        <w:t>aged care</w:t>
      </w:r>
      <w:r w:rsidR="008921EC">
        <w:rPr>
          <w:noProof/>
        </w:rPr>
        <w:t xml:space="preserve"> subsidies related to the level of care required (ACFI daily subsidy rates)</w:t>
      </w:r>
      <w:r w:rsidR="00454A03">
        <w:rPr>
          <w:noProof/>
        </w:rPr>
        <w:t>;</w:t>
      </w:r>
    </w:p>
    <w:p w14:paraId="4D97E6CF" w14:textId="7118C168" w:rsidR="008921EC" w:rsidRDefault="008921EC" w:rsidP="00D17045">
      <w:pPr>
        <w:pStyle w:val="ListBullet"/>
        <w:rPr>
          <w:noProof/>
        </w:rPr>
      </w:pPr>
      <w:r>
        <w:rPr>
          <w:noProof/>
        </w:rPr>
        <w:t>ambulance services</w:t>
      </w:r>
      <w:r w:rsidR="00454A03">
        <w:rPr>
          <w:noProof/>
        </w:rPr>
        <w:t>;</w:t>
      </w:r>
    </w:p>
    <w:p w14:paraId="577E75E1" w14:textId="36016EDB" w:rsidR="008921EC" w:rsidRDefault="008921EC" w:rsidP="00D17045">
      <w:pPr>
        <w:pStyle w:val="ListBullet"/>
        <w:rPr>
          <w:noProof/>
        </w:rPr>
      </w:pPr>
      <w:r>
        <w:rPr>
          <w:noProof/>
        </w:rPr>
        <w:t>additional allied healthcare services (not claimable through the MBS)</w:t>
      </w:r>
      <w:r w:rsidR="00454A03">
        <w:rPr>
          <w:noProof/>
        </w:rPr>
        <w:t>.</w:t>
      </w:r>
    </w:p>
    <w:p w14:paraId="297D1B0C" w14:textId="1F656A94" w:rsidR="008921EC" w:rsidRDefault="008921EC" w:rsidP="007501B9">
      <w:r>
        <w:lastRenderedPageBreak/>
        <w:t xml:space="preserve">For the intervention, </w:t>
      </w:r>
      <w:r w:rsidR="00D4473F">
        <w:t xml:space="preserve">pharmacist </w:t>
      </w:r>
      <w:r>
        <w:t xml:space="preserve">reviews were organised and reimbursed on a ‘sessional </w:t>
      </w:r>
      <w:proofErr w:type="spellStart"/>
      <w:r>
        <w:t>basis’</w:t>
      </w:r>
      <w:proofErr w:type="spellEnd"/>
      <w:r>
        <w:t xml:space="preserve"> (3-4 patients at a single Aged Care facility, reviewed over 3-4 hours)</w:t>
      </w:r>
      <w:r w:rsidR="007501B9">
        <w:t xml:space="preserve">. </w:t>
      </w:r>
      <w:proofErr w:type="gramStart"/>
      <w:r>
        <w:t>For the purpose of</w:t>
      </w:r>
      <w:proofErr w:type="gramEnd"/>
      <w:r>
        <w:t xml:space="preserve"> this conventional health economic evaluation</w:t>
      </w:r>
      <w:r w:rsidR="00D4473F">
        <w:t>,</w:t>
      </w:r>
      <w:r>
        <w:t xml:space="preserve"> the costs have been calculated on a ‘per patient’ basis, but if the proposed intervention were to be </w:t>
      </w:r>
      <w:proofErr w:type="spellStart"/>
      <w:r>
        <w:t>publically</w:t>
      </w:r>
      <w:proofErr w:type="spellEnd"/>
      <w:r>
        <w:t xml:space="preserve"> funded then the expected service delivery pattern and optimal funding structure would require further negotiation by stakeholders.</w:t>
      </w:r>
    </w:p>
    <w:p w14:paraId="3F835AD3" w14:textId="5055E2C0" w:rsidR="008921EC" w:rsidRDefault="008921EC" w:rsidP="007501B9">
      <w:r>
        <w:t>Medical services (funded through the MBS), PBS-funded medicines and public hospital costs are routine components in Australian health economic evaluations</w:t>
      </w:r>
      <w:r w:rsidR="007501B9">
        <w:t xml:space="preserve">. </w:t>
      </w:r>
      <w:r>
        <w:t xml:space="preserve">The costs associated with MBS, PBS and public hospital for residents in the study </w:t>
      </w:r>
      <w:r w:rsidR="00D4473F">
        <w:t>were</w:t>
      </w:r>
      <w:r>
        <w:t xml:space="preserve"> measured by matching residents to the external databases used for administrative claims purposes – </w:t>
      </w:r>
      <w:proofErr w:type="gramStart"/>
      <w:r>
        <w:t>i.e.</w:t>
      </w:r>
      <w:proofErr w:type="gramEnd"/>
      <w:r>
        <w:t xml:space="preserve"> the </w:t>
      </w:r>
      <w:r w:rsidR="007D621B">
        <w:t>Services Australia</w:t>
      </w:r>
      <w:r>
        <w:t xml:space="preserve"> databases (for MBS and PBS use) and the state government hospital costing records</w:t>
      </w:r>
      <w:r w:rsidR="007501B9">
        <w:t xml:space="preserve">. </w:t>
      </w:r>
      <w:r>
        <w:t xml:space="preserve">As per the healthcare </w:t>
      </w:r>
      <w:r w:rsidRPr="00BB74AC">
        <w:t>system</w:t>
      </w:r>
      <w:r>
        <w:t xml:space="preserve"> perspective</w:t>
      </w:r>
      <w:r w:rsidR="00D4473F">
        <w:t>,</w:t>
      </w:r>
      <w:r>
        <w:t xml:space="preserve"> government costs and patient co-payments are included in the base case analysis</w:t>
      </w:r>
      <w:r w:rsidR="007501B9">
        <w:t xml:space="preserve">. </w:t>
      </w:r>
      <w:r>
        <w:t>Over-the-counter medicines were not able to be reliably costed and included in the analysis.</w:t>
      </w:r>
    </w:p>
    <w:p w14:paraId="2D4024B9" w14:textId="542BEFC9" w:rsidR="008921EC" w:rsidRDefault="008921EC" w:rsidP="007501B9">
      <w:r>
        <w:t xml:space="preserve">When designing the trial, ambulance services were considered a relevant health resource given that in the residential </w:t>
      </w:r>
      <w:r w:rsidR="00812C48">
        <w:t>aged care</w:t>
      </w:r>
      <w:r>
        <w:t xml:space="preserve"> setting they are directly associated with the provision of off-site health </w:t>
      </w:r>
      <w:proofErr w:type="gramStart"/>
      <w:r>
        <w:t>services, and</w:t>
      </w:r>
      <w:proofErr w:type="gramEnd"/>
      <w:r>
        <w:t xml:space="preserve"> are essential and in routine use</w:t>
      </w:r>
      <w:r w:rsidR="007501B9">
        <w:t xml:space="preserve">. </w:t>
      </w:r>
      <w:r>
        <w:t xml:space="preserve">The study design was to use third-party administrative data on ambulance costs linked to study </w:t>
      </w:r>
      <w:proofErr w:type="gramStart"/>
      <w:r>
        <w:t xml:space="preserve">patients, </w:t>
      </w:r>
      <w:r w:rsidR="00D4473F">
        <w:t>if</w:t>
      </w:r>
      <w:proofErr w:type="gramEnd"/>
      <w:r w:rsidR="00155108">
        <w:t xml:space="preserve"> </w:t>
      </w:r>
      <w:r>
        <w:t>approval for this was received from all relevant bodies</w:t>
      </w:r>
      <w:r w:rsidR="007501B9">
        <w:t xml:space="preserve">. </w:t>
      </w:r>
      <w:proofErr w:type="gramStart"/>
      <w:r>
        <w:t>However</w:t>
      </w:r>
      <w:proofErr w:type="gramEnd"/>
      <w:r>
        <w:t xml:space="preserve"> at the conclusion of the study, when lodging the data request with the 3</w:t>
      </w:r>
      <w:r w:rsidRPr="00BB74AC">
        <w:t>rd</w:t>
      </w:r>
      <w:r>
        <w:t xml:space="preserve"> party, it was found that the necessary patient-linked costing data could not be provided in a timely manner, therefore ambulance costs are not included in the base case analysis</w:t>
      </w:r>
      <w:r w:rsidR="007501B9">
        <w:t xml:space="preserve">. </w:t>
      </w:r>
      <w:r>
        <w:t>The study data collection form did record ambulance use as apparent from clinical records a</w:t>
      </w:r>
      <w:r w:rsidR="00D4473F">
        <w:t>nd a scenario analysis using the</w:t>
      </w:r>
      <w:r>
        <w:t>s</w:t>
      </w:r>
      <w:r w:rsidR="00D4473F">
        <w:t>e</w:t>
      </w:r>
      <w:r>
        <w:t xml:space="preserve"> data is presented.</w:t>
      </w:r>
    </w:p>
    <w:p w14:paraId="076E5622" w14:textId="05BC7CFC" w:rsidR="00BB7E38" w:rsidRDefault="008921EC" w:rsidP="007501B9">
      <w:r>
        <w:t xml:space="preserve">Although not always included in health economic analysis from the Australian </w:t>
      </w:r>
      <w:r w:rsidR="00D4473F">
        <w:t xml:space="preserve">healthcare system </w:t>
      </w:r>
      <w:r>
        <w:t xml:space="preserve">perspective, it was considered that costs associated with non-MBS funded allied healthcare services are relevant to </w:t>
      </w:r>
      <w:r w:rsidR="0022741D">
        <w:t>consumers</w:t>
      </w:r>
      <w:r>
        <w:t xml:space="preserve"> and may be significant </w:t>
      </w:r>
      <w:proofErr w:type="gramStart"/>
      <w:r>
        <w:t>in the area of</w:t>
      </w:r>
      <w:proofErr w:type="gramEnd"/>
      <w:r>
        <w:t xml:space="preserve"> aged care</w:t>
      </w:r>
      <w:r w:rsidR="007501B9">
        <w:t xml:space="preserve">. </w:t>
      </w:r>
      <w:r>
        <w:t>Data on resident use of any allied health services was collected from participants’ residential care records, including specifically; acupuncture, chiropractic, dental (general/specialist), dietetics, exercise physiology, myotherapy, naturopathy, occupational therapy, optical, osteopathy, physiotherapy, podiatry, psychology, remedial massage, speech therapy and wound care</w:t>
      </w:r>
      <w:r w:rsidR="007501B9">
        <w:t xml:space="preserve">. </w:t>
      </w:r>
      <w:r w:rsidR="00BB7E38" w:rsidRPr="00BB7E38">
        <w:t>Health resource use associated with non-</w:t>
      </w:r>
      <w:proofErr w:type="spellStart"/>
      <w:r w:rsidR="00BB7E38" w:rsidRPr="00BB7E38">
        <w:t>publically</w:t>
      </w:r>
      <w:proofErr w:type="spellEnd"/>
      <w:r w:rsidR="00BB7E38" w:rsidRPr="00BB7E38">
        <w:t xml:space="preserve"> funded allied healthcare services from the trial is analysed and costed. This is not included in the base case but is included in a sensitivity analysis.</w:t>
      </w:r>
    </w:p>
    <w:p w14:paraId="3B691639" w14:textId="25E416DF" w:rsidR="008921EC" w:rsidRDefault="008921EC" w:rsidP="007501B9">
      <w:r>
        <w:t xml:space="preserve">Finally, the cost of aged </w:t>
      </w:r>
      <w:proofErr w:type="gramStart"/>
      <w:r>
        <w:t>care</w:t>
      </w:r>
      <w:r w:rsidR="00D4473F">
        <w:t>,</w:t>
      </w:r>
      <w:r>
        <w:t xml:space="preserve">  in</w:t>
      </w:r>
      <w:proofErr w:type="gramEnd"/>
      <w:r>
        <w:t xml:space="preserve"> particular </w:t>
      </w:r>
      <w:r w:rsidR="00BB74AC">
        <w:t>Commonwealth aged care funding instrument (</w:t>
      </w:r>
      <w:r>
        <w:t>ACFI</w:t>
      </w:r>
      <w:r w:rsidR="00BB74AC">
        <w:t>)</w:t>
      </w:r>
      <w:r>
        <w:t xml:space="preserve"> subsidies associated with increasing levels of care</w:t>
      </w:r>
      <w:r w:rsidR="00D4473F">
        <w:t>,</w:t>
      </w:r>
      <w:r>
        <w:t xml:space="preserve"> were identified as directly related </w:t>
      </w:r>
      <w:r>
        <w:lastRenderedPageBreak/>
        <w:t>to the broader purpose of the study</w:t>
      </w:r>
      <w:r w:rsidR="007501B9">
        <w:t xml:space="preserve">. </w:t>
      </w:r>
      <w:r>
        <w:t>ACFI subsidies are determined by residents’ care needs across the areas of</w:t>
      </w:r>
      <w:r w:rsidR="00BB74AC">
        <w:t>:</w:t>
      </w:r>
      <w:r>
        <w:t xml:space="preserve"> </w:t>
      </w:r>
    </w:p>
    <w:p w14:paraId="49866073" w14:textId="73391BC9" w:rsidR="008921EC" w:rsidRDefault="008921EC" w:rsidP="00D17045">
      <w:pPr>
        <w:pStyle w:val="ListNumber"/>
      </w:pPr>
      <w:r>
        <w:t>Activities of daily living (ADL</w:t>
      </w:r>
      <w:proofErr w:type="gramStart"/>
      <w:r>
        <w:t>)</w:t>
      </w:r>
      <w:r w:rsidR="00412D53">
        <w:t>;</w:t>
      </w:r>
      <w:proofErr w:type="gramEnd"/>
    </w:p>
    <w:p w14:paraId="432EEA27" w14:textId="4264B1E5" w:rsidR="008921EC" w:rsidRDefault="008921EC" w:rsidP="00D17045">
      <w:pPr>
        <w:pStyle w:val="ListNumber"/>
      </w:pPr>
      <w:r>
        <w:t>Behaviour (BEH</w:t>
      </w:r>
      <w:proofErr w:type="gramStart"/>
      <w:r>
        <w:t>)</w:t>
      </w:r>
      <w:r w:rsidR="00412D53">
        <w:t>;</w:t>
      </w:r>
      <w:proofErr w:type="gramEnd"/>
    </w:p>
    <w:p w14:paraId="79D9B3DB" w14:textId="5F212D8C" w:rsidR="008921EC" w:rsidRDefault="008921EC" w:rsidP="00D17045">
      <w:pPr>
        <w:pStyle w:val="ListNumber"/>
      </w:pPr>
      <w:r>
        <w:t>Complex Health Care (CHC)</w:t>
      </w:r>
      <w:r w:rsidR="00412D53">
        <w:t>.</w:t>
      </w:r>
    </w:p>
    <w:p w14:paraId="2FD5C2A9" w14:textId="7C346FCA" w:rsidR="008921EC" w:rsidRDefault="008921EC" w:rsidP="007501B9">
      <w:r>
        <w:t xml:space="preserve">Given that the clinical outcomes of interest relate to frailty and age-related deterioration (including cognition) the effectiveness of the intervention may directly </w:t>
      </w:r>
      <w:r w:rsidR="00D4473F">
        <w:t>affect</w:t>
      </w:r>
      <w:r>
        <w:t xml:space="preserve"> resident’s care needs based on their abilities to perform activities of daily living, their behaviou</w:t>
      </w:r>
      <w:r w:rsidR="00BB74AC">
        <w:t>r</w:t>
      </w:r>
      <w:r>
        <w:t xml:space="preserve"> and complex health requirements and therefore directly impac</w:t>
      </w:r>
      <w:r w:rsidR="00BB74AC">
        <w:t>t</w:t>
      </w:r>
      <w:r>
        <w:t xml:space="preserve"> aged care funding requirement</w:t>
      </w:r>
      <w:r w:rsidR="00BB74AC">
        <w:t>s</w:t>
      </w:r>
      <w:r>
        <w:t>.</w:t>
      </w:r>
    </w:p>
    <w:p w14:paraId="369988AA" w14:textId="1DF4755D" w:rsidR="008921EC" w:rsidRDefault="008921EC" w:rsidP="007501B9">
      <w:r>
        <w:t>The analysis determines the average per patient cost over the 12 months</w:t>
      </w:r>
      <w:r w:rsidR="007501B9">
        <w:t xml:space="preserve">. </w:t>
      </w:r>
      <w:r>
        <w:t>Only costs incurred within 12 months of follow-up are included. In the case of medicines, the analysis measures medicine costs rather than medicine consumption, therefore where a resident is using medicines that were purchased before commencing in the study, these are not included in the study costs</w:t>
      </w:r>
      <w:r w:rsidR="007501B9">
        <w:t xml:space="preserve">. </w:t>
      </w:r>
      <w:proofErr w:type="gramStart"/>
      <w:r>
        <w:t>Likewise</w:t>
      </w:r>
      <w:proofErr w:type="gramEnd"/>
      <w:r>
        <w:t xml:space="preserve"> medicines dispensed toward the end of the study period are included, even if not all consumed within the study period.</w:t>
      </w:r>
    </w:p>
    <w:p w14:paraId="228C7A16" w14:textId="332CE5AB" w:rsidR="008921EC" w:rsidRPr="008921EC" w:rsidRDefault="008921EC" w:rsidP="007501B9">
      <w:r>
        <w:t xml:space="preserve">Separate average costs </w:t>
      </w:r>
      <w:r w:rsidR="00D4473F">
        <w:t>were</w:t>
      </w:r>
      <w:r>
        <w:t xml:space="preserve"> calculated for type of health-related resource</w:t>
      </w:r>
      <w:r w:rsidR="007501B9">
        <w:t xml:space="preserve">. </w:t>
      </w:r>
      <w:r>
        <w:t xml:space="preserve">Total costs over the study cohort </w:t>
      </w:r>
      <w:r w:rsidR="00D4473F">
        <w:t>were</w:t>
      </w:r>
      <w:r>
        <w:t xml:space="preserve"> not able to be meaningfully combined since not all patients have data on all resource types.</w:t>
      </w:r>
    </w:p>
    <w:p w14:paraId="4B9E1CF3" w14:textId="3A90AAE2" w:rsidR="002B236B" w:rsidRDefault="002B236B" w:rsidP="00903BC5">
      <w:pPr>
        <w:pStyle w:val="Heading2-SectionD"/>
      </w:pPr>
      <w:bookmarkStart w:id="229" w:name="_Toc117758270"/>
      <w:r>
        <w:t>Inputs into the economic evaluation</w:t>
      </w:r>
      <w:bookmarkEnd w:id="229"/>
    </w:p>
    <w:p w14:paraId="3AF320BD" w14:textId="43E61A17" w:rsidR="00BB74AC" w:rsidRPr="00BB74AC" w:rsidRDefault="00BB74AC" w:rsidP="00897C5B">
      <w:pPr>
        <w:pStyle w:val="Heading3"/>
      </w:pPr>
      <w:bookmarkStart w:id="230" w:name="_Toc117758271"/>
      <w:r>
        <w:t>D.4.1</w:t>
      </w:r>
      <w:r w:rsidR="00FF37D6">
        <w:tab/>
      </w:r>
      <w:r w:rsidRPr="00BB74AC">
        <w:t>Resource use data and pricing</w:t>
      </w:r>
      <w:bookmarkEnd w:id="230"/>
    </w:p>
    <w:p w14:paraId="3B5810BC" w14:textId="58F75921" w:rsidR="00D4473F" w:rsidRDefault="00BB74AC" w:rsidP="007501B9">
      <w:r w:rsidRPr="00CE5658">
        <w:t xml:space="preserve">A summary of the unit price (and source) for the resources included in the cost analysis are </w:t>
      </w:r>
      <w:r w:rsidRPr="00CC5A20">
        <w:t xml:space="preserve">presented (Table </w:t>
      </w:r>
      <w:r w:rsidR="00CC5A20" w:rsidRPr="00CC5A20">
        <w:t>D-4</w:t>
      </w:r>
      <w:r w:rsidRPr="00CC5A20">
        <w:t>)</w:t>
      </w:r>
      <w:r w:rsidR="007501B9">
        <w:t xml:space="preserve">. </w:t>
      </w:r>
      <w:r w:rsidRPr="00CC5A20">
        <w:t>The</w:t>
      </w:r>
      <w:r w:rsidRPr="00CE5658">
        <w:t xml:space="preserve"> quality of the resource use and pricing data for each resource is discussed following.</w:t>
      </w:r>
    </w:p>
    <w:p w14:paraId="5926108C" w14:textId="77777777" w:rsidR="00D4473F" w:rsidRDefault="00D4473F" w:rsidP="007501B9">
      <w:r>
        <w:br w:type="page"/>
      </w:r>
    </w:p>
    <w:tbl>
      <w:tblPr>
        <w:tblStyle w:val="ListTable4"/>
        <w:tblW w:w="5000" w:type="pct"/>
        <w:tblLook w:val="04A0" w:firstRow="1" w:lastRow="0" w:firstColumn="1" w:lastColumn="0" w:noHBand="0" w:noVBand="1"/>
        <w:tblCaption w:val="A summary of the unit price (and source) for the resources included in the cost analysis."/>
        <w:tblDescription w:val="A summary of the unit price (and source) for the resources included in the cost analysis.   The quality of the resource use and pricing data for each resource is discussed following."/>
      </w:tblPr>
      <w:tblGrid>
        <w:gridCol w:w="2045"/>
        <w:gridCol w:w="1406"/>
        <w:gridCol w:w="5565"/>
      </w:tblGrid>
      <w:tr w:rsidR="00CE5658" w:rsidRPr="00D17045" w14:paraId="7262B961" w14:textId="77777777" w:rsidTr="00D170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pct"/>
          </w:tcPr>
          <w:p w14:paraId="3C86D8C2" w14:textId="77777777" w:rsidR="00BB74AC" w:rsidRPr="00D17045" w:rsidRDefault="00BB74AC" w:rsidP="00D17045">
            <w:pPr>
              <w:pStyle w:val="TableHeader"/>
              <w:rPr>
                <w:rFonts w:ascii="Arial Narrow" w:hAnsi="Arial Narrow"/>
                <w:b/>
                <w:bCs w:val="0"/>
                <w:sz w:val="20"/>
                <w:szCs w:val="20"/>
              </w:rPr>
            </w:pPr>
            <w:bookmarkStart w:id="231" w:name="Title_1943" w:colFirst="0" w:colLast="0"/>
            <w:r w:rsidRPr="00D17045">
              <w:rPr>
                <w:rFonts w:ascii="Arial Narrow" w:hAnsi="Arial Narrow"/>
                <w:b/>
                <w:bCs w:val="0"/>
                <w:sz w:val="20"/>
                <w:szCs w:val="20"/>
              </w:rPr>
              <w:lastRenderedPageBreak/>
              <w:t>Type of resource</w:t>
            </w:r>
          </w:p>
        </w:tc>
        <w:tc>
          <w:tcPr>
            <w:tcW w:w="780" w:type="pct"/>
          </w:tcPr>
          <w:p w14:paraId="1C3669DD" w14:textId="77777777" w:rsidR="00BB74AC" w:rsidRPr="00D17045" w:rsidRDefault="00BB74AC" w:rsidP="00D17045">
            <w:pPr>
              <w:pStyle w:val="TableHeader"/>
              <w:cnfStyle w:val="100000000000" w:firstRow="1" w:lastRow="0" w:firstColumn="0" w:lastColumn="0" w:oddVBand="0" w:evenVBand="0" w:oddHBand="0" w:evenHBand="0" w:firstRowFirstColumn="0" w:firstRowLastColumn="0" w:lastRowFirstColumn="0" w:lastRowLastColumn="0"/>
              <w:rPr>
                <w:rFonts w:ascii="Arial Narrow" w:hAnsi="Arial Narrow"/>
                <w:b/>
                <w:bCs w:val="0"/>
                <w:sz w:val="20"/>
                <w:szCs w:val="20"/>
              </w:rPr>
            </w:pPr>
            <w:r w:rsidRPr="00D17045">
              <w:rPr>
                <w:rFonts w:ascii="Arial Narrow" w:hAnsi="Arial Narrow"/>
                <w:b/>
                <w:bCs w:val="0"/>
                <w:sz w:val="20"/>
                <w:szCs w:val="20"/>
              </w:rPr>
              <w:t>Value</w:t>
            </w:r>
          </w:p>
        </w:tc>
        <w:tc>
          <w:tcPr>
            <w:tcW w:w="3086" w:type="pct"/>
          </w:tcPr>
          <w:p w14:paraId="6E87FF86" w14:textId="77777777" w:rsidR="00BB74AC" w:rsidRPr="00D17045" w:rsidRDefault="00BB74AC" w:rsidP="00D17045">
            <w:pPr>
              <w:pStyle w:val="TableHeader"/>
              <w:cnfStyle w:val="100000000000" w:firstRow="1" w:lastRow="0" w:firstColumn="0" w:lastColumn="0" w:oddVBand="0" w:evenVBand="0" w:oddHBand="0" w:evenHBand="0" w:firstRowFirstColumn="0" w:firstRowLastColumn="0" w:lastRowFirstColumn="0" w:lastRowLastColumn="0"/>
              <w:rPr>
                <w:rFonts w:ascii="Arial Narrow" w:hAnsi="Arial Narrow"/>
                <w:b/>
                <w:bCs w:val="0"/>
                <w:sz w:val="20"/>
                <w:szCs w:val="20"/>
              </w:rPr>
            </w:pPr>
            <w:r w:rsidRPr="00D17045">
              <w:rPr>
                <w:rFonts w:ascii="Arial Narrow" w:hAnsi="Arial Narrow"/>
                <w:b/>
                <w:bCs w:val="0"/>
                <w:sz w:val="20"/>
                <w:szCs w:val="20"/>
              </w:rPr>
              <w:t>Data Description / Source</w:t>
            </w:r>
          </w:p>
        </w:tc>
      </w:tr>
      <w:bookmarkEnd w:id="231"/>
      <w:tr w:rsidR="00BB74AC" w:rsidRPr="00D17045" w14:paraId="4E4BE9AE" w14:textId="77777777" w:rsidTr="00D170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pct"/>
          </w:tcPr>
          <w:p w14:paraId="506EA843" w14:textId="77777777" w:rsidR="00BB74AC" w:rsidRPr="00D17045" w:rsidRDefault="00BB74AC" w:rsidP="00D17045">
            <w:pPr>
              <w:pStyle w:val="Tabletext1"/>
              <w:rPr>
                <w:rFonts w:ascii="Arial Narrow" w:hAnsi="Arial Narrow"/>
                <w:szCs w:val="20"/>
              </w:rPr>
            </w:pPr>
            <w:r w:rsidRPr="00D17045">
              <w:rPr>
                <w:rFonts w:ascii="Arial Narrow" w:hAnsi="Arial Narrow"/>
                <w:szCs w:val="20"/>
              </w:rPr>
              <w:t>Pharmacist review</w:t>
            </w:r>
          </w:p>
        </w:tc>
        <w:tc>
          <w:tcPr>
            <w:tcW w:w="780" w:type="pct"/>
          </w:tcPr>
          <w:p w14:paraId="4039ED14" w14:textId="77777777" w:rsidR="00BB74AC" w:rsidRPr="00D17045" w:rsidRDefault="00BB74AC" w:rsidP="00D17045">
            <w:pPr>
              <w:pStyle w:val="Tabletext1"/>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D17045">
              <w:rPr>
                <w:rFonts w:ascii="Arial Narrow" w:hAnsi="Arial Narrow"/>
                <w:szCs w:val="20"/>
              </w:rPr>
              <w:t>Equivalent to $107.07 per person</w:t>
            </w:r>
          </w:p>
        </w:tc>
        <w:tc>
          <w:tcPr>
            <w:tcW w:w="3086" w:type="pct"/>
          </w:tcPr>
          <w:p w14:paraId="0948F0D6" w14:textId="4DC20A71" w:rsidR="00BB74AC" w:rsidRPr="00D17045" w:rsidRDefault="00BB74AC" w:rsidP="00D17045">
            <w:pPr>
              <w:pStyle w:val="Tabletext1"/>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D17045">
              <w:rPr>
                <w:rFonts w:ascii="Arial Narrow" w:hAnsi="Arial Narrow"/>
                <w:szCs w:val="20"/>
              </w:rPr>
              <w:t xml:space="preserve">Derived from professional sessional fees as provided to </w:t>
            </w:r>
            <w:r w:rsidR="00D4473F" w:rsidRPr="00D17045">
              <w:rPr>
                <w:rFonts w:ascii="Arial Narrow" w:hAnsi="Arial Narrow"/>
                <w:szCs w:val="20"/>
              </w:rPr>
              <w:t>c</w:t>
            </w:r>
            <w:r w:rsidRPr="00D17045">
              <w:rPr>
                <w:rFonts w:ascii="Arial Narrow" w:hAnsi="Arial Narrow"/>
                <w:szCs w:val="20"/>
              </w:rPr>
              <w:t>ommunity pharmacists in the trials. Described in detail below.</w:t>
            </w:r>
          </w:p>
        </w:tc>
      </w:tr>
      <w:tr w:rsidR="00BB74AC" w:rsidRPr="00D17045" w14:paraId="784EDA54" w14:textId="77777777" w:rsidTr="00D17045">
        <w:tc>
          <w:tcPr>
            <w:cnfStyle w:val="001000000000" w:firstRow="0" w:lastRow="0" w:firstColumn="1" w:lastColumn="0" w:oddVBand="0" w:evenVBand="0" w:oddHBand="0" w:evenHBand="0" w:firstRowFirstColumn="0" w:firstRowLastColumn="0" w:lastRowFirstColumn="0" w:lastRowLastColumn="0"/>
            <w:tcW w:w="1134" w:type="pct"/>
          </w:tcPr>
          <w:p w14:paraId="19EEBAAF" w14:textId="42E42C3E" w:rsidR="00BB74AC" w:rsidRPr="00D17045" w:rsidRDefault="00BB74AC" w:rsidP="00D17045">
            <w:pPr>
              <w:pStyle w:val="Tabletext1"/>
              <w:rPr>
                <w:rFonts w:ascii="Arial Narrow" w:hAnsi="Arial Narrow" w:cstheme="minorHAnsi"/>
                <w:b w:val="0"/>
                <w:szCs w:val="20"/>
              </w:rPr>
            </w:pPr>
            <w:r w:rsidRPr="00D17045">
              <w:rPr>
                <w:rFonts w:ascii="Arial Narrow" w:hAnsi="Arial Narrow"/>
                <w:szCs w:val="20"/>
              </w:rPr>
              <w:t>Pharmaceuticals (PBS)</w:t>
            </w:r>
          </w:p>
        </w:tc>
        <w:tc>
          <w:tcPr>
            <w:tcW w:w="780" w:type="pct"/>
          </w:tcPr>
          <w:p w14:paraId="767C8677" w14:textId="51C9DE51" w:rsidR="00BB74AC" w:rsidRPr="00D17045" w:rsidRDefault="00BB74AC" w:rsidP="00D17045">
            <w:pPr>
              <w:pStyle w:val="Tabletext1"/>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D17045">
              <w:rPr>
                <w:rFonts w:ascii="Arial Narrow" w:hAnsi="Arial Narrow"/>
                <w:szCs w:val="20"/>
              </w:rPr>
              <w:t xml:space="preserve">Direct cost ($) to PBS and patient contribution </w:t>
            </w:r>
          </w:p>
        </w:tc>
        <w:tc>
          <w:tcPr>
            <w:tcW w:w="3086" w:type="pct"/>
          </w:tcPr>
          <w:p w14:paraId="223F7A98" w14:textId="0A14AA20" w:rsidR="00BB74AC" w:rsidRPr="00D17045" w:rsidRDefault="00BB74AC" w:rsidP="00D17045">
            <w:pPr>
              <w:pStyle w:val="Tabletext1"/>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D17045">
              <w:rPr>
                <w:rFonts w:ascii="Arial Narrow" w:hAnsi="Arial Narrow"/>
                <w:szCs w:val="20"/>
              </w:rPr>
              <w:t>Expenditure value from patient-linked confidential PBS Information Report compiled b</w:t>
            </w:r>
            <w:r w:rsidR="005F4A1A" w:rsidRPr="00D17045">
              <w:rPr>
                <w:rFonts w:ascii="Arial Narrow" w:hAnsi="Arial Narrow"/>
                <w:szCs w:val="20"/>
              </w:rPr>
              <w:t>y Services Australia. P</w:t>
            </w:r>
            <w:r w:rsidRPr="00D17045">
              <w:rPr>
                <w:rFonts w:ascii="Arial Narrow" w:hAnsi="Arial Narrow"/>
                <w:szCs w:val="20"/>
              </w:rPr>
              <w:t xml:space="preserve">ricing and patient contributions Data provided by </w:t>
            </w:r>
            <w:r w:rsidR="005F4A1A" w:rsidRPr="00D17045">
              <w:rPr>
                <w:rFonts w:ascii="Arial Narrow" w:hAnsi="Arial Narrow"/>
                <w:szCs w:val="20"/>
              </w:rPr>
              <w:t xml:space="preserve">Services </w:t>
            </w:r>
            <w:proofErr w:type="gramStart"/>
            <w:r w:rsidR="005F4A1A" w:rsidRPr="00D17045">
              <w:rPr>
                <w:rFonts w:ascii="Arial Narrow" w:hAnsi="Arial Narrow"/>
                <w:szCs w:val="20"/>
              </w:rPr>
              <w:t>Australia</w:t>
            </w:r>
            <w:r w:rsidRPr="00D17045">
              <w:rPr>
                <w:rFonts w:ascii="Arial Narrow" w:hAnsi="Arial Narrow"/>
                <w:szCs w:val="20"/>
              </w:rPr>
              <w:t xml:space="preserve"> </w:t>
            </w:r>
            <w:r w:rsidR="00CE5658" w:rsidRPr="00D17045">
              <w:rPr>
                <w:rFonts w:ascii="Arial Narrow" w:hAnsi="Arial Narrow"/>
                <w:szCs w:val="20"/>
              </w:rPr>
              <w:t xml:space="preserve"> </w:t>
            </w:r>
            <w:r w:rsidR="005F4A1A" w:rsidRPr="00D17045">
              <w:rPr>
                <w:rFonts w:ascii="Arial Narrow" w:hAnsi="Arial Narrow"/>
                <w:szCs w:val="20"/>
              </w:rPr>
              <w:t>$</w:t>
            </w:r>
            <w:proofErr w:type="gramEnd"/>
            <w:r w:rsidR="005F4A1A" w:rsidRPr="00D17045">
              <w:rPr>
                <w:rFonts w:ascii="Arial Narrow" w:hAnsi="Arial Narrow"/>
                <w:szCs w:val="20"/>
              </w:rPr>
              <w:t xml:space="preserve"> value </w:t>
            </w:r>
            <w:r w:rsidRPr="00D17045">
              <w:rPr>
                <w:rFonts w:ascii="Arial Narrow" w:hAnsi="Arial Narrow"/>
                <w:szCs w:val="20"/>
              </w:rPr>
              <w:t>(PBS Schedule at time of dispensing)</w:t>
            </w:r>
          </w:p>
        </w:tc>
      </w:tr>
      <w:tr w:rsidR="00BB74AC" w:rsidRPr="00D17045" w14:paraId="629E272C" w14:textId="77777777" w:rsidTr="00D170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pct"/>
          </w:tcPr>
          <w:p w14:paraId="041AC2CD" w14:textId="77777777" w:rsidR="00BB74AC" w:rsidRPr="00D17045" w:rsidRDefault="00BB74AC" w:rsidP="00D17045">
            <w:pPr>
              <w:pStyle w:val="Tabletext1"/>
              <w:rPr>
                <w:rFonts w:ascii="Arial Narrow" w:hAnsi="Arial Narrow"/>
                <w:b w:val="0"/>
                <w:szCs w:val="20"/>
              </w:rPr>
            </w:pPr>
            <w:r w:rsidRPr="00D17045">
              <w:rPr>
                <w:rFonts w:ascii="Arial Narrow" w:hAnsi="Arial Narrow"/>
                <w:szCs w:val="20"/>
              </w:rPr>
              <w:t>Medical Services (MBS)</w:t>
            </w:r>
          </w:p>
        </w:tc>
        <w:tc>
          <w:tcPr>
            <w:tcW w:w="780" w:type="pct"/>
          </w:tcPr>
          <w:p w14:paraId="11AFF6BC" w14:textId="5D40C825" w:rsidR="00BB74AC" w:rsidRPr="00D17045" w:rsidRDefault="00BB74AC" w:rsidP="00D17045">
            <w:pPr>
              <w:pStyle w:val="Tabletext1"/>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D17045">
              <w:rPr>
                <w:rFonts w:ascii="Arial Narrow" w:hAnsi="Arial Narrow"/>
                <w:szCs w:val="20"/>
              </w:rPr>
              <w:t xml:space="preserve">Direct cost ($) to MBS and patient contributions </w:t>
            </w:r>
          </w:p>
        </w:tc>
        <w:tc>
          <w:tcPr>
            <w:tcW w:w="3086" w:type="pct"/>
          </w:tcPr>
          <w:p w14:paraId="26994FFB" w14:textId="392770D6" w:rsidR="00BB74AC" w:rsidRPr="00D17045" w:rsidRDefault="00BB74AC" w:rsidP="00D17045">
            <w:pPr>
              <w:pStyle w:val="Tabletext1"/>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D17045">
              <w:rPr>
                <w:rFonts w:ascii="Arial Narrow" w:hAnsi="Arial Narrow"/>
                <w:szCs w:val="20"/>
              </w:rPr>
              <w:t>Expenditure value from patient-linked confidential MBS Information Report compiled b</w:t>
            </w:r>
            <w:r w:rsidR="005F4A1A" w:rsidRPr="00D17045">
              <w:rPr>
                <w:rFonts w:ascii="Arial Narrow" w:hAnsi="Arial Narrow"/>
                <w:szCs w:val="20"/>
              </w:rPr>
              <w:t>y Services Australia. P</w:t>
            </w:r>
            <w:r w:rsidRPr="00D17045">
              <w:rPr>
                <w:rFonts w:ascii="Arial Narrow" w:hAnsi="Arial Narrow"/>
                <w:szCs w:val="20"/>
              </w:rPr>
              <w:t>ricing and patient contributions.</w:t>
            </w:r>
            <w:r w:rsidRPr="00D17045">
              <w:rPr>
                <w:rFonts w:ascii="Arial Narrow" w:hAnsi="Arial Narrow"/>
                <w:szCs w:val="20"/>
              </w:rPr>
              <w:br/>
              <w:t>(Item fees represent MBS Schedule at time of service)</w:t>
            </w:r>
          </w:p>
        </w:tc>
      </w:tr>
      <w:tr w:rsidR="00BB74AC" w:rsidRPr="00D17045" w14:paraId="27737CF7" w14:textId="77777777" w:rsidTr="00D17045">
        <w:tc>
          <w:tcPr>
            <w:cnfStyle w:val="001000000000" w:firstRow="0" w:lastRow="0" w:firstColumn="1" w:lastColumn="0" w:oddVBand="0" w:evenVBand="0" w:oddHBand="0" w:evenHBand="0" w:firstRowFirstColumn="0" w:firstRowLastColumn="0" w:lastRowFirstColumn="0" w:lastRowLastColumn="0"/>
            <w:tcW w:w="1134" w:type="pct"/>
          </w:tcPr>
          <w:p w14:paraId="6851BEC4" w14:textId="77777777" w:rsidR="00BB74AC" w:rsidRPr="00D17045" w:rsidRDefault="00BB74AC" w:rsidP="00D17045">
            <w:pPr>
              <w:pStyle w:val="Tabletext1"/>
              <w:rPr>
                <w:rFonts w:ascii="Arial Narrow" w:hAnsi="Arial Narrow"/>
                <w:b w:val="0"/>
                <w:szCs w:val="20"/>
              </w:rPr>
            </w:pPr>
            <w:r w:rsidRPr="00D17045">
              <w:rPr>
                <w:rFonts w:ascii="Arial Narrow" w:hAnsi="Arial Narrow"/>
                <w:szCs w:val="20"/>
              </w:rPr>
              <w:t>Hospitalisation - inpatient and emergency department costs (public hospitals)</w:t>
            </w:r>
          </w:p>
        </w:tc>
        <w:tc>
          <w:tcPr>
            <w:tcW w:w="780" w:type="pct"/>
          </w:tcPr>
          <w:p w14:paraId="231041BE" w14:textId="77777777" w:rsidR="00BB74AC" w:rsidRPr="00D17045" w:rsidRDefault="00BB74AC" w:rsidP="00D17045">
            <w:pPr>
              <w:pStyle w:val="Tabletext1"/>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D17045">
              <w:rPr>
                <w:rFonts w:ascii="Arial Narrow" w:hAnsi="Arial Narrow"/>
                <w:szCs w:val="20"/>
              </w:rPr>
              <w:t>$5,134 per NWAU</w:t>
            </w:r>
            <w:r w:rsidRPr="00D17045">
              <w:rPr>
                <w:rFonts w:ascii="Arial Narrow" w:hAnsi="Arial Narrow"/>
                <w:szCs w:val="20"/>
              </w:rPr>
              <w:br/>
              <w:t>(NEP 2020)</w:t>
            </w:r>
          </w:p>
        </w:tc>
        <w:tc>
          <w:tcPr>
            <w:tcW w:w="3086" w:type="pct"/>
          </w:tcPr>
          <w:p w14:paraId="41B6D603" w14:textId="7458A38B" w:rsidR="00BB74AC" w:rsidRPr="00D17045" w:rsidRDefault="00BB74AC" w:rsidP="00D17045">
            <w:pPr>
              <w:pStyle w:val="Tabletext1"/>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D17045">
              <w:rPr>
                <w:rFonts w:ascii="Arial Narrow" w:hAnsi="Arial Narrow"/>
                <w:szCs w:val="20"/>
              </w:rPr>
              <w:t>Hospitalisation data for South Australian residents was obtained through a data linkage request to SA Health and patient data from inpatient and emergency admissions databases provided</w:t>
            </w:r>
            <w:r w:rsidR="007501B9" w:rsidRPr="00D17045">
              <w:rPr>
                <w:rFonts w:ascii="Arial Narrow" w:hAnsi="Arial Narrow"/>
                <w:szCs w:val="20"/>
              </w:rPr>
              <w:t xml:space="preserve">. </w:t>
            </w:r>
            <w:r w:rsidRPr="00D17045">
              <w:rPr>
                <w:rFonts w:ascii="Arial Narrow" w:hAnsi="Arial Narrow"/>
                <w:szCs w:val="20"/>
              </w:rPr>
              <w:t>For Tasmanian residents, a summary patient record of hospital admissions and emergency presentations were provided on a</w:t>
            </w:r>
            <w:r w:rsidR="00CE5658" w:rsidRPr="00D17045">
              <w:rPr>
                <w:rFonts w:ascii="Arial Narrow" w:hAnsi="Arial Narrow"/>
                <w:szCs w:val="20"/>
              </w:rPr>
              <w:t xml:space="preserve"> </w:t>
            </w:r>
            <w:r w:rsidR="009B11A5" w:rsidRPr="00D17045">
              <w:rPr>
                <w:rFonts w:ascii="Arial Narrow" w:hAnsi="Arial Narrow"/>
                <w:szCs w:val="20"/>
              </w:rPr>
              <w:t>‘</w:t>
            </w:r>
            <w:r w:rsidRPr="00D17045">
              <w:rPr>
                <w:rFonts w:ascii="Arial Narrow" w:hAnsi="Arial Narrow"/>
                <w:szCs w:val="20"/>
              </w:rPr>
              <w:t>per resident</w:t>
            </w:r>
            <w:r w:rsidR="009B11A5" w:rsidRPr="00D17045">
              <w:rPr>
                <w:rFonts w:ascii="Arial Narrow" w:hAnsi="Arial Narrow"/>
                <w:szCs w:val="20"/>
              </w:rPr>
              <w:t>’</w:t>
            </w:r>
            <w:r w:rsidRPr="00D17045">
              <w:rPr>
                <w:rFonts w:ascii="Arial Narrow" w:hAnsi="Arial Narrow"/>
                <w:szCs w:val="20"/>
              </w:rPr>
              <w:t xml:space="preserve"> level. </w:t>
            </w:r>
          </w:p>
          <w:p w14:paraId="278B561E" w14:textId="60FECE44" w:rsidR="00BB74AC" w:rsidRPr="00D17045" w:rsidRDefault="00BB74AC" w:rsidP="00D17045">
            <w:pPr>
              <w:pStyle w:val="Tabletext1"/>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D17045">
              <w:rPr>
                <w:rFonts w:ascii="Arial Narrow" w:hAnsi="Arial Narrow"/>
                <w:szCs w:val="20"/>
              </w:rPr>
              <w:t xml:space="preserve">All resident hospital costs are calculated by multiplying all recorded </w:t>
            </w:r>
            <w:r w:rsidR="00AB4148" w:rsidRPr="00D17045">
              <w:rPr>
                <w:rFonts w:ascii="Arial Narrow" w:hAnsi="Arial Narrow"/>
                <w:szCs w:val="20"/>
              </w:rPr>
              <w:t>National Weighted Activity Unit (</w:t>
            </w:r>
            <w:r w:rsidRPr="00D17045">
              <w:rPr>
                <w:rFonts w:ascii="Arial Narrow" w:hAnsi="Arial Narrow"/>
                <w:szCs w:val="20"/>
              </w:rPr>
              <w:t>NWAUs</w:t>
            </w:r>
            <w:r w:rsidR="00AB4148" w:rsidRPr="00D17045">
              <w:rPr>
                <w:rFonts w:ascii="Arial Narrow" w:hAnsi="Arial Narrow"/>
                <w:szCs w:val="20"/>
              </w:rPr>
              <w:t>)</w:t>
            </w:r>
            <w:r w:rsidRPr="00D17045">
              <w:rPr>
                <w:rFonts w:ascii="Arial Narrow" w:hAnsi="Arial Narrow"/>
                <w:szCs w:val="20"/>
              </w:rPr>
              <w:t xml:space="preserve"> by the </w:t>
            </w:r>
            <w:r w:rsidR="00AB4148" w:rsidRPr="00D17045">
              <w:rPr>
                <w:rFonts w:ascii="Arial Narrow" w:hAnsi="Arial Narrow"/>
                <w:szCs w:val="20"/>
              </w:rPr>
              <w:t>National Efficient Price (</w:t>
            </w:r>
            <w:r w:rsidRPr="00D17045">
              <w:rPr>
                <w:rFonts w:ascii="Arial Narrow" w:hAnsi="Arial Narrow"/>
                <w:szCs w:val="20"/>
              </w:rPr>
              <w:t>NEP</w:t>
            </w:r>
            <w:proofErr w:type="gramStart"/>
            <w:r w:rsidR="00AB4148" w:rsidRPr="00D17045">
              <w:rPr>
                <w:rFonts w:ascii="Arial Narrow" w:hAnsi="Arial Narrow"/>
                <w:szCs w:val="20"/>
              </w:rPr>
              <w:t>)</w:t>
            </w:r>
            <w:r w:rsidRPr="00D17045">
              <w:rPr>
                <w:rFonts w:ascii="Arial Narrow" w:hAnsi="Arial Narrow"/>
                <w:szCs w:val="20"/>
              </w:rPr>
              <w:t>.The</w:t>
            </w:r>
            <w:proofErr w:type="gramEnd"/>
            <w:r w:rsidRPr="00D17045">
              <w:rPr>
                <w:rFonts w:ascii="Arial Narrow" w:hAnsi="Arial Narrow"/>
                <w:szCs w:val="20"/>
              </w:rPr>
              <w:t xml:space="preserve"> Independent Hospital Pricing Authority, National Efficient Price Determination 2019-20</w:t>
            </w:r>
            <w:r w:rsidR="00CE5658" w:rsidRPr="00D17045">
              <w:rPr>
                <w:rFonts w:ascii="Arial Narrow" w:hAnsi="Arial Narrow"/>
                <w:szCs w:val="20"/>
                <w:vertAlign w:val="superscript"/>
              </w:rPr>
              <w:t>1</w:t>
            </w:r>
            <w:r w:rsidRPr="00D17045">
              <w:rPr>
                <w:rFonts w:ascii="Arial Narrow" w:hAnsi="Arial Narrow"/>
                <w:szCs w:val="20"/>
              </w:rPr>
              <w:t xml:space="preserve">. </w:t>
            </w:r>
          </w:p>
        </w:tc>
      </w:tr>
      <w:tr w:rsidR="00BB74AC" w:rsidRPr="00D17045" w14:paraId="78E51B91" w14:textId="77777777" w:rsidTr="00D170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pct"/>
          </w:tcPr>
          <w:p w14:paraId="148DCED3" w14:textId="77777777" w:rsidR="00BB74AC" w:rsidRPr="00D17045" w:rsidRDefault="00BB74AC" w:rsidP="00D17045">
            <w:pPr>
              <w:pStyle w:val="Tabletext1"/>
              <w:rPr>
                <w:rFonts w:ascii="Arial Narrow" w:hAnsi="Arial Narrow"/>
                <w:b w:val="0"/>
                <w:szCs w:val="20"/>
              </w:rPr>
            </w:pPr>
            <w:r w:rsidRPr="00D17045">
              <w:rPr>
                <w:rFonts w:ascii="Arial Narrow" w:hAnsi="Arial Narrow"/>
                <w:szCs w:val="20"/>
              </w:rPr>
              <w:t>Public hospital outpatient costs</w:t>
            </w:r>
          </w:p>
        </w:tc>
        <w:tc>
          <w:tcPr>
            <w:tcW w:w="780" w:type="pct"/>
          </w:tcPr>
          <w:p w14:paraId="1F4425E2" w14:textId="71CD3AC8" w:rsidR="00BB74AC" w:rsidRPr="00D17045" w:rsidRDefault="00BB74AC" w:rsidP="00D17045">
            <w:pPr>
              <w:pStyle w:val="Tabletext1"/>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D17045">
              <w:rPr>
                <w:rFonts w:ascii="Arial Narrow" w:hAnsi="Arial Narrow"/>
                <w:szCs w:val="20"/>
              </w:rPr>
              <w:t xml:space="preserve">Based on assigned NWAU and NEP - varied by clinic type; see Appendix </w:t>
            </w:r>
            <w:r w:rsidR="00155108" w:rsidRPr="00D17045">
              <w:rPr>
                <w:rFonts w:ascii="Arial Narrow" w:hAnsi="Arial Narrow"/>
                <w:szCs w:val="20"/>
              </w:rPr>
              <w:t>F</w:t>
            </w:r>
          </w:p>
        </w:tc>
        <w:tc>
          <w:tcPr>
            <w:tcW w:w="3086" w:type="pct"/>
          </w:tcPr>
          <w:p w14:paraId="6E1D6629" w14:textId="0B7A2151" w:rsidR="00BB74AC" w:rsidRPr="00D17045" w:rsidRDefault="00BB74AC" w:rsidP="00D17045">
            <w:pPr>
              <w:pStyle w:val="Tabletext1"/>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D17045">
              <w:rPr>
                <w:rFonts w:ascii="Arial Narrow" w:hAnsi="Arial Narrow"/>
                <w:szCs w:val="20"/>
              </w:rPr>
              <w:t xml:space="preserve">Compiled hospital outpatient records were not available for South Australian residents from SA </w:t>
            </w:r>
            <w:proofErr w:type="gramStart"/>
            <w:r w:rsidRPr="00D17045">
              <w:rPr>
                <w:rFonts w:ascii="Arial Narrow" w:hAnsi="Arial Narrow"/>
                <w:szCs w:val="20"/>
              </w:rPr>
              <w:t>Health,</w:t>
            </w:r>
            <w:proofErr w:type="gramEnd"/>
            <w:r w:rsidRPr="00D17045">
              <w:rPr>
                <w:rFonts w:ascii="Arial Narrow" w:hAnsi="Arial Narrow"/>
                <w:szCs w:val="20"/>
              </w:rPr>
              <w:t xml:space="preserve"> however outpatient clinic visit records were reported in Tasmanian resident hospital files</w:t>
            </w:r>
            <w:r w:rsidR="007501B9" w:rsidRPr="00D17045">
              <w:rPr>
                <w:rFonts w:ascii="Arial Narrow" w:hAnsi="Arial Narrow"/>
                <w:szCs w:val="20"/>
              </w:rPr>
              <w:t xml:space="preserve">. </w:t>
            </w:r>
            <w:r w:rsidRPr="00D17045">
              <w:rPr>
                <w:rFonts w:ascii="Arial Narrow" w:hAnsi="Arial Narrow"/>
                <w:szCs w:val="20"/>
              </w:rPr>
              <w:t>This outpatient data was provided with a clinic description only (no NWAU or cost value)</w:t>
            </w:r>
            <w:r w:rsidR="007501B9" w:rsidRPr="00D17045">
              <w:rPr>
                <w:rFonts w:ascii="Arial Narrow" w:hAnsi="Arial Narrow"/>
                <w:szCs w:val="20"/>
              </w:rPr>
              <w:t xml:space="preserve">. </w:t>
            </w:r>
            <w:proofErr w:type="gramStart"/>
            <w:r w:rsidRPr="00D17045">
              <w:rPr>
                <w:rFonts w:ascii="Arial Narrow" w:hAnsi="Arial Narrow"/>
                <w:szCs w:val="20"/>
              </w:rPr>
              <w:t>Therefore</w:t>
            </w:r>
            <w:proofErr w:type="gramEnd"/>
            <w:r w:rsidRPr="00D17045">
              <w:rPr>
                <w:rFonts w:ascii="Arial Narrow" w:hAnsi="Arial Narrow"/>
                <w:szCs w:val="20"/>
              </w:rPr>
              <w:t xml:space="preserve"> a cost was calculated for each outpatient service, based on the described type of service (used to inform the clinic code) (assuming no adjustments for patient or hospital characteristics).</w:t>
            </w:r>
            <w:r w:rsidR="00D4473F" w:rsidRPr="00D17045">
              <w:rPr>
                <w:rFonts w:ascii="Arial Narrow" w:hAnsi="Arial Narrow"/>
                <w:szCs w:val="20"/>
              </w:rPr>
              <w:t xml:space="preserve"> </w:t>
            </w:r>
            <w:r w:rsidRPr="00D17045">
              <w:rPr>
                <w:rFonts w:ascii="Arial Narrow" w:hAnsi="Arial Narrow"/>
                <w:szCs w:val="20"/>
              </w:rPr>
              <w:t>“non-admitted_2019-20_nwau_calculator.xls”</w:t>
            </w:r>
            <w:r w:rsidR="00CE5658" w:rsidRPr="00D17045">
              <w:rPr>
                <w:rFonts w:ascii="Arial Narrow" w:hAnsi="Arial Narrow"/>
                <w:szCs w:val="20"/>
                <w:vertAlign w:val="superscript"/>
              </w:rPr>
              <w:t>2</w:t>
            </w:r>
          </w:p>
        </w:tc>
      </w:tr>
      <w:tr w:rsidR="00BB74AC" w:rsidRPr="00D17045" w14:paraId="22ECA557" w14:textId="77777777" w:rsidTr="00D17045">
        <w:tc>
          <w:tcPr>
            <w:cnfStyle w:val="001000000000" w:firstRow="0" w:lastRow="0" w:firstColumn="1" w:lastColumn="0" w:oddVBand="0" w:evenVBand="0" w:oddHBand="0" w:evenHBand="0" w:firstRowFirstColumn="0" w:firstRowLastColumn="0" w:lastRowFirstColumn="0" w:lastRowLastColumn="0"/>
            <w:tcW w:w="1134" w:type="pct"/>
          </w:tcPr>
          <w:p w14:paraId="085F8071" w14:textId="77777777" w:rsidR="00BB74AC" w:rsidRPr="00D17045" w:rsidRDefault="00BB74AC" w:rsidP="00D17045">
            <w:pPr>
              <w:pStyle w:val="Tabletext1"/>
              <w:rPr>
                <w:rFonts w:ascii="Arial Narrow" w:hAnsi="Arial Narrow"/>
                <w:b w:val="0"/>
                <w:szCs w:val="20"/>
              </w:rPr>
            </w:pPr>
            <w:r w:rsidRPr="00D17045">
              <w:rPr>
                <w:rFonts w:ascii="Arial Narrow" w:hAnsi="Arial Narrow"/>
                <w:szCs w:val="20"/>
              </w:rPr>
              <w:t>Aged Care Subsidies</w:t>
            </w:r>
          </w:p>
        </w:tc>
        <w:tc>
          <w:tcPr>
            <w:tcW w:w="780" w:type="pct"/>
          </w:tcPr>
          <w:p w14:paraId="52CF1EC7" w14:textId="77777777" w:rsidR="00BB74AC" w:rsidRPr="00D17045" w:rsidRDefault="00BB74AC" w:rsidP="00D17045">
            <w:pPr>
              <w:pStyle w:val="Tabletext1"/>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D17045">
              <w:rPr>
                <w:rFonts w:ascii="Arial Narrow" w:hAnsi="Arial Narrow"/>
                <w:szCs w:val="20"/>
              </w:rPr>
              <w:t>Variable – see below</w:t>
            </w:r>
          </w:p>
        </w:tc>
        <w:tc>
          <w:tcPr>
            <w:tcW w:w="3086" w:type="pct"/>
          </w:tcPr>
          <w:p w14:paraId="6EDCAD2E" w14:textId="155421E7" w:rsidR="00BB74AC" w:rsidRPr="00D17045" w:rsidRDefault="00BB74AC" w:rsidP="00D17045">
            <w:pPr>
              <w:pStyle w:val="Tabletext1"/>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D17045">
              <w:rPr>
                <w:rFonts w:ascii="Arial Narrow" w:hAnsi="Arial Narrow"/>
                <w:szCs w:val="20"/>
              </w:rPr>
              <w:t xml:space="preserve">Each patient had their ACFI care levels recorded at baseline, 6 </w:t>
            </w:r>
            <w:proofErr w:type="gramStart"/>
            <w:r w:rsidRPr="00D17045">
              <w:rPr>
                <w:rFonts w:ascii="Arial Narrow" w:hAnsi="Arial Narrow"/>
                <w:szCs w:val="20"/>
              </w:rPr>
              <w:t>months</w:t>
            </w:r>
            <w:proofErr w:type="gramEnd"/>
            <w:r w:rsidRPr="00D17045">
              <w:rPr>
                <w:rFonts w:ascii="Arial Narrow" w:hAnsi="Arial Narrow"/>
                <w:szCs w:val="20"/>
              </w:rPr>
              <w:t xml:space="preserve"> and 12 months. Total government residential care subsidies are calculated by multiplying the daily subsidy rate (for each care level) x number of days (that resident is classified at that care level). ACFI rates as per Schedule from 1 July 2019 are shown in </w:t>
            </w:r>
            <w:r w:rsidR="00CC5A20" w:rsidRPr="00D17045">
              <w:rPr>
                <w:rFonts w:ascii="Arial Narrow" w:hAnsi="Arial Narrow"/>
                <w:szCs w:val="20"/>
              </w:rPr>
              <w:t xml:space="preserve">Table D-5 </w:t>
            </w:r>
            <w:r w:rsidRPr="00D17045">
              <w:rPr>
                <w:rFonts w:ascii="Arial Narrow" w:hAnsi="Arial Narrow"/>
                <w:szCs w:val="20"/>
              </w:rPr>
              <w:t xml:space="preserve">below, </w:t>
            </w:r>
            <w:r w:rsidR="00CE5658" w:rsidRPr="00D17045">
              <w:rPr>
                <w:rFonts w:ascii="Arial Narrow" w:hAnsi="Arial Narrow"/>
                <w:szCs w:val="20"/>
              </w:rPr>
              <w:t xml:space="preserve">and </w:t>
            </w:r>
            <w:r w:rsidRPr="00D17045">
              <w:rPr>
                <w:rFonts w:ascii="Arial Narrow" w:hAnsi="Arial Narrow"/>
                <w:szCs w:val="20"/>
              </w:rPr>
              <w:t>published</w:t>
            </w:r>
            <w:r w:rsidR="00CE5658" w:rsidRPr="00D17045">
              <w:rPr>
                <w:rFonts w:ascii="Arial Narrow" w:hAnsi="Arial Narrow"/>
                <w:szCs w:val="20"/>
                <w:vertAlign w:val="superscript"/>
              </w:rPr>
              <w:t>3</w:t>
            </w:r>
          </w:p>
        </w:tc>
      </w:tr>
      <w:tr w:rsidR="00BB74AC" w:rsidRPr="00D17045" w14:paraId="5B9D64FE" w14:textId="77777777" w:rsidTr="00D170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pct"/>
          </w:tcPr>
          <w:p w14:paraId="6B8FB62C" w14:textId="77777777" w:rsidR="00BB74AC" w:rsidRPr="00D17045" w:rsidRDefault="00BB74AC" w:rsidP="00D17045">
            <w:pPr>
              <w:pStyle w:val="Tabletext1"/>
              <w:rPr>
                <w:rFonts w:ascii="Arial Narrow" w:hAnsi="Arial Narrow"/>
                <w:b w:val="0"/>
                <w:szCs w:val="20"/>
              </w:rPr>
            </w:pPr>
            <w:r w:rsidRPr="00D17045">
              <w:rPr>
                <w:rFonts w:ascii="Arial Narrow" w:hAnsi="Arial Narrow"/>
                <w:szCs w:val="20"/>
              </w:rPr>
              <w:t>Allied Health costs</w:t>
            </w:r>
          </w:p>
          <w:p w14:paraId="034C9F56" w14:textId="4E0C7413" w:rsidR="00BB74AC" w:rsidRPr="00D17045" w:rsidRDefault="00BB74AC" w:rsidP="00D17045">
            <w:pPr>
              <w:pStyle w:val="Tabletext1"/>
              <w:rPr>
                <w:rFonts w:ascii="Arial Narrow" w:hAnsi="Arial Narrow"/>
                <w:b w:val="0"/>
                <w:bCs w:val="0"/>
                <w:szCs w:val="20"/>
              </w:rPr>
            </w:pPr>
            <w:r w:rsidRPr="00D17045">
              <w:rPr>
                <w:rFonts w:ascii="Arial Narrow" w:hAnsi="Arial Narrow"/>
                <w:szCs w:val="20"/>
              </w:rPr>
              <w:t>MBS</w:t>
            </w:r>
          </w:p>
          <w:p w14:paraId="2C1AACD8" w14:textId="77777777" w:rsidR="00D17045" w:rsidRPr="00D17045" w:rsidRDefault="00D17045" w:rsidP="00D17045">
            <w:pPr>
              <w:pStyle w:val="Tabletext1"/>
              <w:rPr>
                <w:rFonts w:ascii="Arial Narrow" w:hAnsi="Arial Narrow"/>
                <w:b w:val="0"/>
                <w:bCs w:val="0"/>
                <w:szCs w:val="20"/>
              </w:rPr>
            </w:pPr>
          </w:p>
          <w:p w14:paraId="2D8968B4" w14:textId="4BE1AF9B" w:rsidR="00BB74AC" w:rsidRPr="00D17045" w:rsidRDefault="00BB74AC" w:rsidP="00D17045">
            <w:pPr>
              <w:pStyle w:val="Tabletext1"/>
              <w:rPr>
                <w:rFonts w:ascii="Arial Narrow" w:hAnsi="Arial Narrow"/>
                <w:szCs w:val="20"/>
              </w:rPr>
            </w:pPr>
            <w:r w:rsidRPr="00D17045">
              <w:rPr>
                <w:rFonts w:ascii="Arial Narrow" w:hAnsi="Arial Narrow"/>
                <w:szCs w:val="20"/>
              </w:rPr>
              <w:t>Non-MBS</w:t>
            </w:r>
          </w:p>
          <w:p w14:paraId="0B829FA8" w14:textId="77777777" w:rsidR="00BB74AC" w:rsidRPr="00D17045" w:rsidRDefault="00BB74AC" w:rsidP="00D17045">
            <w:pPr>
              <w:pStyle w:val="Tabletext1"/>
              <w:rPr>
                <w:rFonts w:ascii="Arial Narrow" w:hAnsi="Arial Narrow"/>
                <w:szCs w:val="20"/>
              </w:rPr>
            </w:pPr>
            <w:r w:rsidRPr="00D17045">
              <w:rPr>
                <w:rFonts w:ascii="Arial Narrow" w:hAnsi="Arial Narrow"/>
                <w:szCs w:val="20"/>
              </w:rPr>
              <w:t>Audiologist/hearing</w:t>
            </w:r>
          </w:p>
          <w:p w14:paraId="2D33A77B" w14:textId="77777777" w:rsidR="00BB74AC" w:rsidRPr="00D17045" w:rsidRDefault="00BB74AC" w:rsidP="00D17045">
            <w:pPr>
              <w:pStyle w:val="Tabletext1"/>
              <w:rPr>
                <w:rFonts w:ascii="Arial Narrow" w:hAnsi="Arial Narrow"/>
                <w:szCs w:val="20"/>
              </w:rPr>
            </w:pPr>
            <w:r w:rsidRPr="00D17045">
              <w:rPr>
                <w:rFonts w:ascii="Arial Narrow" w:hAnsi="Arial Narrow"/>
                <w:szCs w:val="20"/>
              </w:rPr>
              <w:t>Dental care</w:t>
            </w:r>
          </w:p>
          <w:p w14:paraId="31ACDD0C" w14:textId="77777777" w:rsidR="00BB74AC" w:rsidRPr="00D17045" w:rsidRDefault="00BB74AC" w:rsidP="00D17045">
            <w:pPr>
              <w:pStyle w:val="Tabletext1"/>
              <w:rPr>
                <w:rFonts w:ascii="Arial Narrow" w:hAnsi="Arial Narrow"/>
                <w:szCs w:val="20"/>
              </w:rPr>
            </w:pPr>
            <w:r w:rsidRPr="00D17045">
              <w:rPr>
                <w:rFonts w:ascii="Arial Narrow" w:hAnsi="Arial Narrow"/>
                <w:szCs w:val="20"/>
              </w:rPr>
              <w:t>Dietetics</w:t>
            </w:r>
          </w:p>
          <w:p w14:paraId="4FA8D426" w14:textId="77777777" w:rsidR="00BB74AC" w:rsidRPr="00D17045" w:rsidRDefault="00BB74AC" w:rsidP="00D17045">
            <w:pPr>
              <w:pStyle w:val="Tabletext1"/>
              <w:rPr>
                <w:rFonts w:ascii="Arial Narrow" w:hAnsi="Arial Narrow"/>
                <w:szCs w:val="20"/>
              </w:rPr>
            </w:pPr>
            <w:r w:rsidRPr="00D17045">
              <w:rPr>
                <w:rFonts w:ascii="Arial Narrow" w:hAnsi="Arial Narrow"/>
                <w:szCs w:val="20"/>
              </w:rPr>
              <w:t>Nurse practitioner</w:t>
            </w:r>
          </w:p>
          <w:p w14:paraId="1ADF97E3" w14:textId="77777777" w:rsidR="00BB74AC" w:rsidRPr="00D17045" w:rsidRDefault="00BB74AC" w:rsidP="00D17045">
            <w:pPr>
              <w:pStyle w:val="Tabletext1"/>
              <w:rPr>
                <w:rFonts w:ascii="Arial Narrow" w:hAnsi="Arial Narrow"/>
                <w:szCs w:val="20"/>
              </w:rPr>
            </w:pPr>
            <w:r w:rsidRPr="00D17045">
              <w:rPr>
                <w:rFonts w:ascii="Arial Narrow" w:hAnsi="Arial Narrow"/>
                <w:szCs w:val="20"/>
              </w:rPr>
              <w:t>Occupational Therapy</w:t>
            </w:r>
          </w:p>
          <w:p w14:paraId="0ED2B064" w14:textId="77777777" w:rsidR="00BB74AC" w:rsidRPr="00D17045" w:rsidRDefault="00BB74AC" w:rsidP="00D17045">
            <w:pPr>
              <w:pStyle w:val="Tabletext1"/>
              <w:rPr>
                <w:rFonts w:ascii="Arial Narrow" w:hAnsi="Arial Narrow"/>
                <w:szCs w:val="20"/>
              </w:rPr>
            </w:pPr>
            <w:r w:rsidRPr="00D17045">
              <w:rPr>
                <w:rFonts w:ascii="Arial Narrow" w:hAnsi="Arial Narrow"/>
                <w:szCs w:val="20"/>
              </w:rPr>
              <w:t>Physiotherapy</w:t>
            </w:r>
          </w:p>
          <w:p w14:paraId="43C5A666" w14:textId="77777777" w:rsidR="00BB74AC" w:rsidRPr="00D17045" w:rsidRDefault="00BB74AC" w:rsidP="00D17045">
            <w:pPr>
              <w:pStyle w:val="Tabletext1"/>
              <w:rPr>
                <w:rFonts w:ascii="Arial Narrow" w:hAnsi="Arial Narrow"/>
                <w:szCs w:val="20"/>
              </w:rPr>
            </w:pPr>
            <w:r w:rsidRPr="00D17045">
              <w:rPr>
                <w:rFonts w:ascii="Arial Narrow" w:hAnsi="Arial Narrow"/>
                <w:szCs w:val="20"/>
              </w:rPr>
              <w:t>Podiatry</w:t>
            </w:r>
          </w:p>
          <w:p w14:paraId="108D6821" w14:textId="77777777" w:rsidR="00BB74AC" w:rsidRPr="00D17045" w:rsidRDefault="00BB74AC" w:rsidP="00D17045">
            <w:pPr>
              <w:pStyle w:val="Tabletext1"/>
              <w:rPr>
                <w:rFonts w:ascii="Arial Narrow" w:hAnsi="Arial Narrow"/>
                <w:szCs w:val="20"/>
              </w:rPr>
            </w:pPr>
            <w:r w:rsidRPr="00D17045">
              <w:rPr>
                <w:rFonts w:ascii="Arial Narrow" w:hAnsi="Arial Narrow"/>
                <w:szCs w:val="20"/>
              </w:rPr>
              <w:t>Psychology</w:t>
            </w:r>
          </w:p>
          <w:p w14:paraId="1BE081FF" w14:textId="77777777" w:rsidR="00BB74AC" w:rsidRPr="00D17045" w:rsidRDefault="00BB74AC" w:rsidP="00D17045">
            <w:pPr>
              <w:pStyle w:val="Tabletext1"/>
              <w:rPr>
                <w:rFonts w:ascii="Arial Narrow" w:hAnsi="Arial Narrow"/>
                <w:szCs w:val="20"/>
              </w:rPr>
            </w:pPr>
            <w:r w:rsidRPr="00D17045">
              <w:rPr>
                <w:rFonts w:ascii="Arial Narrow" w:hAnsi="Arial Narrow"/>
                <w:szCs w:val="20"/>
              </w:rPr>
              <w:t>Remedial Massage</w:t>
            </w:r>
          </w:p>
          <w:p w14:paraId="0EE7DC78" w14:textId="77777777" w:rsidR="00BB74AC" w:rsidRPr="00D17045" w:rsidRDefault="00BB74AC" w:rsidP="00D17045">
            <w:pPr>
              <w:pStyle w:val="Tabletext1"/>
              <w:rPr>
                <w:rFonts w:ascii="Arial Narrow" w:hAnsi="Arial Narrow"/>
                <w:szCs w:val="20"/>
              </w:rPr>
            </w:pPr>
            <w:r w:rsidRPr="00D17045">
              <w:rPr>
                <w:rFonts w:ascii="Arial Narrow" w:hAnsi="Arial Narrow"/>
                <w:szCs w:val="20"/>
              </w:rPr>
              <w:t>Social Worker</w:t>
            </w:r>
          </w:p>
          <w:p w14:paraId="7001B059" w14:textId="77777777" w:rsidR="00BB74AC" w:rsidRPr="00D17045" w:rsidRDefault="00BB74AC" w:rsidP="00D17045">
            <w:pPr>
              <w:pStyle w:val="Tabletext1"/>
              <w:rPr>
                <w:rFonts w:ascii="Arial Narrow" w:hAnsi="Arial Narrow"/>
                <w:szCs w:val="20"/>
              </w:rPr>
            </w:pPr>
            <w:r w:rsidRPr="00D17045">
              <w:rPr>
                <w:rFonts w:ascii="Arial Narrow" w:hAnsi="Arial Narrow"/>
                <w:szCs w:val="20"/>
              </w:rPr>
              <w:t>Speech therapist</w:t>
            </w:r>
          </w:p>
        </w:tc>
        <w:tc>
          <w:tcPr>
            <w:tcW w:w="780" w:type="pct"/>
          </w:tcPr>
          <w:p w14:paraId="0BD72E7C" w14:textId="0EE7081E" w:rsidR="00BB74AC" w:rsidRPr="00D17045" w:rsidRDefault="00BB74AC" w:rsidP="00D17045">
            <w:pPr>
              <w:pStyle w:val="Tabletext1"/>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p>
          <w:p w14:paraId="231197D6" w14:textId="77777777" w:rsidR="00D17045" w:rsidRPr="00D17045" w:rsidRDefault="00BB74AC" w:rsidP="00D17045">
            <w:pPr>
              <w:pStyle w:val="Tabletext1"/>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D17045">
              <w:rPr>
                <w:rFonts w:ascii="Arial Narrow" w:hAnsi="Arial Narrow"/>
                <w:szCs w:val="20"/>
              </w:rPr>
              <w:t>(</w:t>
            </w:r>
            <w:proofErr w:type="gramStart"/>
            <w:r w:rsidRPr="00D17045">
              <w:rPr>
                <w:rFonts w:ascii="Arial Narrow" w:hAnsi="Arial Narrow"/>
                <w:szCs w:val="20"/>
              </w:rPr>
              <w:t>as</w:t>
            </w:r>
            <w:proofErr w:type="gramEnd"/>
            <w:r w:rsidRPr="00D17045">
              <w:rPr>
                <w:rFonts w:ascii="Arial Narrow" w:hAnsi="Arial Narrow"/>
                <w:szCs w:val="20"/>
              </w:rPr>
              <w:t xml:space="preserve"> per MBS)</w:t>
            </w:r>
          </w:p>
          <w:p w14:paraId="591F111B" w14:textId="231CCDD8" w:rsidR="00BB74AC" w:rsidRPr="00D17045" w:rsidRDefault="00BB74AC" w:rsidP="00D17045">
            <w:pPr>
              <w:pStyle w:val="Tabletext1"/>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D17045">
              <w:rPr>
                <w:rFonts w:ascii="Arial Narrow" w:hAnsi="Arial Narrow"/>
                <w:szCs w:val="20"/>
              </w:rPr>
              <w:t>Variable:</w:t>
            </w:r>
          </w:p>
          <w:p w14:paraId="17E00C48" w14:textId="77777777" w:rsidR="00BB74AC" w:rsidRPr="00D17045" w:rsidRDefault="00BB74AC" w:rsidP="00D17045">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D17045">
              <w:rPr>
                <w:rFonts w:ascii="Arial Narrow" w:hAnsi="Arial Narrow"/>
                <w:szCs w:val="20"/>
              </w:rPr>
              <w:t>$143.90</w:t>
            </w:r>
          </w:p>
          <w:p w14:paraId="0943E6F9" w14:textId="77777777" w:rsidR="00BB74AC" w:rsidRPr="00D17045" w:rsidRDefault="00BB74AC" w:rsidP="00D17045">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D17045">
              <w:rPr>
                <w:rFonts w:ascii="Arial Narrow" w:hAnsi="Arial Narrow"/>
                <w:szCs w:val="20"/>
              </w:rPr>
              <w:t>$53.50</w:t>
            </w:r>
          </w:p>
          <w:p w14:paraId="0D009682" w14:textId="77777777" w:rsidR="00BB74AC" w:rsidRPr="00D17045" w:rsidRDefault="00BB74AC" w:rsidP="00D17045">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D17045">
              <w:rPr>
                <w:rFonts w:ascii="Arial Narrow" w:hAnsi="Arial Narrow"/>
                <w:szCs w:val="20"/>
              </w:rPr>
              <w:t>$102.90</w:t>
            </w:r>
          </w:p>
          <w:p w14:paraId="6A9AA79B" w14:textId="77777777" w:rsidR="00BB74AC" w:rsidRPr="00D17045" w:rsidRDefault="00BB74AC" w:rsidP="00D17045">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D17045">
              <w:rPr>
                <w:rFonts w:ascii="Arial Narrow" w:hAnsi="Arial Narrow"/>
                <w:szCs w:val="20"/>
              </w:rPr>
              <w:t>$76.00</w:t>
            </w:r>
          </w:p>
          <w:p w14:paraId="4A1CCFDB" w14:textId="77777777" w:rsidR="00BB74AC" w:rsidRPr="00D17045" w:rsidRDefault="00BB74AC" w:rsidP="00D17045">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D17045">
              <w:rPr>
                <w:rFonts w:ascii="Arial Narrow" w:hAnsi="Arial Narrow"/>
                <w:szCs w:val="20"/>
              </w:rPr>
              <w:br/>
              <w:t>$129.22</w:t>
            </w:r>
          </w:p>
          <w:p w14:paraId="4E5EE9A3" w14:textId="77777777" w:rsidR="00BB74AC" w:rsidRPr="00D17045" w:rsidRDefault="00BB74AC" w:rsidP="00D17045">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D17045">
              <w:rPr>
                <w:rFonts w:ascii="Arial Narrow" w:hAnsi="Arial Narrow"/>
                <w:szCs w:val="20"/>
              </w:rPr>
              <w:t>$65.00</w:t>
            </w:r>
          </w:p>
          <w:p w14:paraId="2A35ED54" w14:textId="77777777" w:rsidR="00BB74AC" w:rsidRPr="00D17045" w:rsidRDefault="00BB74AC" w:rsidP="00D17045">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D17045">
              <w:rPr>
                <w:rFonts w:ascii="Arial Narrow" w:hAnsi="Arial Narrow"/>
                <w:szCs w:val="20"/>
              </w:rPr>
              <w:t>$71.40</w:t>
            </w:r>
          </w:p>
          <w:p w14:paraId="71DE848E" w14:textId="77777777" w:rsidR="00BB74AC" w:rsidRPr="00D17045" w:rsidRDefault="00BB74AC" w:rsidP="00D17045">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D17045">
              <w:rPr>
                <w:rFonts w:ascii="Arial Narrow" w:hAnsi="Arial Narrow"/>
                <w:szCs w:val="20"/>
              </w:rPr>
              <w:t>$112.40</w:t>
            </w:r>
          </w:p>
          <w:p w14:paraId="00904203" w14:textId="77777777" w:rsidR="00BB74AC" w:rsidRPr="00D17045" w:rsidRDefault="00BB74AC" w:rsidP="00D17045">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D17045">
              <w:rPr>
                <w:rFonts w:ascii="Arial Narrow" w:hAnsi="Arial Narrow"/>
                <w:szCs w:val="20"/>
              </w:rPr>
              <w:t>$110.00</w:t>
            </w:r>
          </w:p>
          <w:p w14:paraId="39411B79" w14:textId="77777777" w:rsidR="00BB74AC" w:rsidRPr="00D17045" w:rsidRDefault="00BB74AC" w:rsidP="00D17045">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D17045">
              <w:rPr>
                <w:rFonts w:ascii="Arial Narrow" w:hAnsi="Arial Narrow"/>
                <w:szCs w:val="20"/>
              </w:rPr>
              <w:t>$80.05</w:t>
            </w:r>
          </w:p>
          <w:p w14:paraId="11C7B525" w14:textId="77777777" w:rsidR="00BB74AC" w:rsidRPr="00D17045" w:rsidRDefault="00BB74AC" w:rsidP="00D17045">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D17045">
              <w:rPr>
                <w:rFonts w:ascii="Arial Narrow" w:hAnsi="Arial Narrow"/>
                <w:szCs w:val="20"/>
              </w:rPr>
              <w:t>$148.87</w:t>
            </w:r>
          </w:p>
        </w:tc>
        <w:tc>
          <w:tcPr>
            <w:tcW w:w="3086" w:type="pct"/>
          </w:tcPr>
          <w:p w14:paraId="357D169F" w14:textId="03753105" w:rsidR="00BB74AC" w:rsidRPr="00D17045" w:rsidRDefault="00BB74AC" w:rsidP="00D17045">
            <w:pPr>
              <w:pStyle w:val="Tabletext1"/>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p>
          <w:p w14:paraId="1AD9A4DC" w14:textId="77777777" w:rsidR="00BB74AC" w:rsidRPr="00D17045" w:rsidRDefault="00BB74AC" w:rsidP="00D17045">
            <w:pPr>
              <w:pStyle w:val="Tabletext1"/>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D17045">
              <w:rPr>
                <w:rFonts w:ascii="Arial Narrow" w:hAnsi="Arial Narrow"/>
                <w:szCs w:val="20"/>
              </w:rPr>
              <w:t>Study researchers recorded allied health services from the residents’ case notes.</w:t>
            </w:r>
          </w:p>
          <w:p w14:paraId="2A965042" w14:textId="77777777" w:rsidR="00BB74AC" w:rsidRPr="00D17045" w:rsidRDefault="00BB74AC" w:rsidP="00D17045">
            <w:pPr>
              <w:pStyle w:val="Tabletext1"/>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p>
          <w:p w14:paraId="6391C0A0" w14:textId="2B9AE75F" w:rsidR="00BB74AC" w:rsidRPr="00D17045" w:rsidRDefault="00BB74AC" w:rsidP="00D17045">
            <w:pPr>
              <w:pStyle w:val="Tabletext1"/>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D17045">
              <w:rPr>
                <w:rFonts w:ascii="Arial Narrow" w:hAnsi="Arial Narrow"/>
                <w:szCs w:val="20"/>
              </w:rPr>
              <w:t>MBS funded allied health services were removed from study-collated allied health dataset to remove duplicate costing as these services and costs would also be included in the MBS dataset.</w:t>
            </w:r>
          </w:p>
          <w:p w14:paraId="6997B35B" w14:textId="77777777" w:rsidR="00BB74AC" w:rsidRPr="00D17045" w:rsidRDefault="00BB74AC" w:rsidP="00D17045">
            <w:pPr>
              <w:pStyle w:val="Tabletext1"/>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p>
          <w:p w14:paraId="7BC8A636" w14:textId="3C294B1A" w:rsidR="00BB74AC" w:rsidRPr="00D17045" w:rsidRDefault="00BB74AC" w:rsidP="00D17045">
            <w:pPr>
              <w:pStyle w:val="Tabletext1"/>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D17045">
              <w:rPr>
                <w:rFonts w:ascii="Arial Narrow" w:hAnsi="Arial Narrow"/>
                <w:szCs w:val="20"/>
              </w:rPr>
              <w:t xml:space="preserve">Non-MBS funded allied health services were allocated costs (on a per service basis), obtained from advertised prices, sourced on-line from a variety of Australian providers; these are listed in Attachment </w:t>
            </w:r>
            <w:r w:rsidR="00370F33" w:rsidRPr="00D17045">
              <w:rPr>
                <w:rFonts w:ascii="Arial Narrow" w:hAnsi="Arial Narrow"/>
                <w:szCs w:val="20"/>
              </w:rPr>
              <w:t>H</w:t>
            </w:r>
            <w:r w:rsidRPr="00D17045">
              <w:rPr>
                <w:rFonts w:ascii="Arial Narrow" w:hAnsi="Arial Narrow"/>
                <w:szCs w:val="20"/>
              </w:rPr>
              <w:t>.</w:t>
            </w:r>
          </w:p>
        </w:tc>
      </w:tr>
    </w:tbl>
    <w:p w14:paraId="40385C62" w14:textId="696BC48C" w:rsidR="00BB74AC" w:rsidRDefault="00BB74AC" w:rsidP="00897C5B">
      <w:pPr>
        <w:pStyle w:val="Caption"/>
      </w:pPr>
      <w:bookmarkStart w:id="232" w:name="_Ref61532109"/>
      <w:r w:rsidRPr="00CC5A20">
        <w:t>Table</w:t>
      </w:r>
      <w:bookmarkEnd w:id="232"/>
      <w:r w:rsidR="00CC5A20">
        <w:t>D-4</w:t>
      </w:r>
      <w:r w:rsidR="00CC5A20">
        <w:tab/>
      </w:r>
      <w:r w:rsidRPr="00BB74AC">
        <w:t>Summary of the data collection and valuation sources used to estimate healthcare resource costs</w:t>
      </w:r>
    </w:p>
    <w:p w14:paraId="63ACEA51" w14:textId="4F895FA1" w:rsidR="00CC5A20" w:rsidRPr="00D17045" w:rsidRDefault="00CE5658" w:rsidP="00D17045">
      <w:pPr>
        <w:pStyle w:val="CommentText"/>
        <w:contextualSpacing/>
      </w:pPr>
      <w:r w:rsidRPr="00D17045">
        <w:lastRenderedPageBreak/>
        <w:t>1</w:t>
      </w:r>
      <w:r w:rsidR="00D17045">
        <w:t xml:space="preserve"> </w:t>
      </w:r>
      <w:hyperlink r:id="rId45" w:history="1">
        <w:r w:rsidR="00D17045" w:rsidRPr="00E4731D">
          <w:rPr>
            <w:rStyle w:val="Hyperlink"/>
          </w:rPr>
          <w:t>https://www.ihpa.gov.au/publications/national-efficient-price-determination-2019-20</w:t>
        </w:r>
      </w:hyperlink>
    </w:p>
    <w:p w14:paraId="6AEB25E4" w14:textId="548B3EE8" w:rsidR="00CE5658" w:rsidRPr="00D17045" w:rsidRDefault="00CE5658" w:rsidP="00D17045">
      <w:pPr>
        <w:pStyle w:val="CommentText"/>
        <w:contextualSpacing/>
      </w:pPr>
      <w:r w:rsidRPr="00D17045">
        <w:t>2</w:t>
      </w:r>
      <w:r w:rsidR="00D17045">
        <w:t xml:space="preserve"> </w:t>
      </w:r>
      <w:hyperlink r:id="rId46" w:history="1">
        <w:r w:rsidR="00D17045" w:rsidRPr="00E4731D">
          <w:rPr>
            <w:rStyle w:val="Hyperlink"/>
          </w:rPr>
          <w:t>https://www.ihpa.gov.au/publications/national-efficient-price-determination-2019-20</w:t>
        </w:r>
      </w:hyperlink>
      <w:r w:rsidRPr="00D17045">
        <w:t xml:space="preserve"> (accessed 12/01/21)</w:t>
      </w:r>
    </w:p>
    <w:p w14:paraId="3E1073FC" w14:textId="606DF526" w:rsidR="00CE5658" w:rsidRPr="00D17045" w:rsidRDefault="00CE5658" w:rsidP="00D17045">
      <w:pPr>
        <w:pStyle w:val="CommentText"/>
        <w:contextualSpacing/>
      </w:pPr>
      <w:r w:rsidRPr="00D17045">
        <w:t>3</w:t>
      </w:r>
      <w:r w:rsidR="00D17045">
        <w:t xml:space="preserve"> </w:t>
      </w:r>
      <w:hyperlink r:id="rId47" w:history="1">
        <w:r w:rsidR="00D17045" w:rsidRPr="00E4731D">
          <w:rPr>
            <w:rStyle w:val="Hyperlink"/>
          </w:rPr>
          <w:t>https://www.health.gov.au/resources/publications/schedule-of-subsidies-and-supplements-for-aged-care</w:t>
        </w:r>
      </w:hyperlink>
    </w:p>
    <w:p w14:paraId="60DC0FE2" w14:textId="1D5EAFFE" w:rsidR="00CE5658" w:rsidRPr="00370F33" w:rsidRDefault="00BB74AC" w:rsidP="00155108">
      <w:pPr>
        <w:pStyle w:val="Heading4"/>
        <w:spacing w:line="276" w:lineRule="auto"/>
      </w:pPr>
      <w:r w:rsidRPr="00370F33">
        <w:t>Pharmacist intervention costs</w:t>
      </w:r>
    </w:p>
    <w:p w14:paraId="379AD679" w14:textId="6C7AA38A" w:rsidR="00BB74AC" w:rsidRPr="00370F33" w:rsidRDefault="00BB74AC" w:rsidP="007501B9">
      <w:r w:rsidRPr="00370F33">
        <w:t>In the study the pharmacist intervention was provided on a ‘sessional’ basis where the pharmacist was renumerated ($300) for a block of time (3-4 hours), and in that time reviewed numerous residents</w:t>
      </w:r>
      <w:r w:rsidR="00370F33">
        <w:t xml:space="preserve"> and reported results</w:t>
      </w:r>
      <w:r w:rsidR="007501B9">
        <w:t xml:space="preserve">. </w:t>
      </w:r>
      <w:r w:rsidRPr="00370F33">
        <w:t>Initially while pharmacists were learning the process</w:t>
      </w:r>
      <w:r w:rsidR="00D4473F">
        <w:t>,</w:t>
      </w:r>
      <w:r w:rsidRPr="00370F33">
        <w:t xml:space="preserve"> fewer patients were reviewed per session, however in the last 6 months of the study, an average of 2.8 patients were reviewed per session and the average ‘pharmacist review’ cost per patient was $107.07</w:t>
      </w:r>
      <w:r w:rsidR="007501B9">
        <w:t xml:space="preserve">. </w:t>
      </w:r>
      <w:r w:rsidRPr="00370F33">
        <w:t>This per review cost is used to calculate the average expected annual cost per resident, assuming that reviews are conducted six times per year</w:t>
      </w:r>
      <w:r w:rsidR="007501B9">
        <w:t xml:space="preserve">. </w:t>
      </w:r>
      <w:r w:rsidRPr="00370F33">
        <w:t xml:space="preserve">If in practice review are conducted less frequently, or remuneration is provided on a sessional basis and more residents </w:t>
      </w:r>
      <w:proofErr w:type="gramStart"/>
      <w:r w:rsidRPr="00370F33">
        <w:t>are able to</w:t>
      </w:r>
      <w:proofErr w:type="gramEnd"/>
      <w:r w:rsidRPr="00370F33">
        <w:t xml:space="preserve"> be reviewed in a session then this cost estimate may overestimate the costs associated with the service.</w:t>
      </w:r>
    </w:p>
    <w:p w14:paraId="4A22AC15" w14:textId="77777777" w:rsidR="00BB74AC" w:rsidRPr="00370F33" w:rsidRDefault="00BB74AC" w:rsidP="00155108">
      <w:pPr>
        <w:pStyle w:val="Heading4"/>
        <w:spacing w:line="276" w:lineRule="auto"/>
      </w:pPr>
      <w:r w:rsidRPr="00370F33">
        <w:t>MBS and PBS costs</w:t>
      </w:r>
    </w:p>
    <w:p w14:paraId="2F309073" w14:textId="679059CD" w:rsidR="00BB74AC" w:rsidRPr="00370F33" w:rsidRDefault="00BB74AC" w:rsidP="007501B9">
      <w:r w:rsidRPr="00370F33">
        <w:t>MBS and PBS resource data w</w:t>
      </w:r>
      <w:r w:rsidR="00D4473F">
        <w:t>ere</w:t>
      </w:r>
      <w:r w:rsidRPr="00370F33">
        <w:t xml:space="preserve"> provided to the research group as individual patient costs; the dollar cost value of each item was pre-assigned, based on the actual service</w:t>
      </w:r>
      <w:r w:rsidR="00D4473F">
        <w:t xml:space="preserve">, </w:t>
      </w:r>
      <w:r w:rsidRPr="00370F33">
        <w:t>pharmaceutical fee</w:t>
      </w:r>
      <w:r w:rsidR="00D4473F">
        <w:t xml:space="preserve"> or </w:t>
      </w:r>
      <w:r w:rsidRPr="00370F33">
        <w:t>price at the time of supply (</w:t>
      </w:r>
      <w:proofErr w:type="gramStart"/>
      <w:r w:rsidRPr="00370F33">
        <w:t>i.e.</w:t>
      </w:r>
      <w:proofErr w:type="gramEnd"/>
      <w:r w:rsidRPr="00370F33">
        <w:t xml:space="preserve"> the MBS Schedule or PBS Schedule current at date of supply)</w:t>
      </w:r>
      <w:r w:rsidR="007501B9">
        <w:t xml:space="preserve">. </w:t>
      </w:r>
      <w:r w:rsidRPr="00370F33">
        <w:t>Of the 174 residents consenting to release of their MBS and PBS data, MBS data was available for 169, and PBS data was available for 164</w:t>
      </w:r>
      <w:r w:rsidR="007501B9">
        <w:t xml:space="preserve">. </w:t>
      </w:r>
      <w:r w:rsidR="00144A42">
        <w:t>Consenting r</w:t>
      </w:r>
      <w:r w:rsidRPr="00370F33">
        <w:t xml:space="preserve">esidents for whom no MBS or PBS data were identified were assumed to have </w:t>
      </w:r>
      <w:r w:rsidR="009B11A5" w:rsidRPr="00370F33">
        <w:t>alternative</w:t>
      </w:r>
      <w:r w:rsidRPr="00370F33">
        <w:t xml:space="preserve"> funding mechanisms for medical services and pharmaceuticals (e.g., Department of Veteran’s Affairs, private funding arrangements etc) and were excluded from the resident /exposure count for their respective arm</w:t>
      </w:r>
      <w:r w:rsidR="007501B9">
        <w:t xml:space="preserve">. </w:t>
      </w:r>
      <w:r w:rsidRPr="00370F33">
        <w:t xml:space="preserve">Overall, the MBS and PBS cost data </w:t>
      </w:r>
      <w:r w:rsidR="00D4473F">
        <w:t xml:space="preserve">are </w:t>
      </w:r>
      <w:r w:rsidRPr="00370F33">
        <w:t>considered highly reliable.</w:t>
      </w:r>
    </w:p>
    <w:p w14:paraId="7522580D" w14:textId="77777777" w:rsidR="00BB74AC" w:rsidRPr="00144A42" w:rsidRDefault="00BB74AC" w:rsidP="00155108">
      <w:pPr>
        <w:pStyle w:val="Heading4"/>
        <w:spacing w:line="276" w:lineRule="auto"/>
      </w:pPr>
      <w:r w:rsidRPr="00144A42">
        <w:t>Hospital costs</w:t>
      </w:r>
    </w:p>
    <w:p w14:paraId="4198E77A" w14:textId="6E05D8BD" w:rsidR="00BB74AC" w:rsidRPr="00144A42" w:rsidRDefault="00BB74AC" w:rsidP="007501B9">
      <w:r w:rsidRPr="00144A42">
        <w:t xml:space="preserve">Hospital data within the study follow-up period </w:t>
      </w:r>
      <w:r w:rsidR="00D4473F">
        <w:t>were</w:t>
      </w:r>
      <w:r w:rsidRPr="00144A42">
        <w:t xml:space="preserve"> available for residents with appropriate consents</w:t>
      </w:r>
      <w:r w:rsidR="007501B9">
        <w:t xml:space="preserve">. </w:t>
      </w:r>
      <w:r w:rsidRPr="00144A42">
        <w:t>This identified any inpatient admissions and emergency department visits to South Australian or Tasmanian public hospitals (depe</w:t>
      </w:r>
      <w:r w:rsidR="00144A42">
        <w:t>nd</w:t>
      </w:r>
      <w:r w:rsidRPr="00144A42">
        <w:t>ing on State of residence)</w:t>
      </w:r>
      <w:r w:rsidR="007501B9">
        <w:t xml:space="preserve">. </w:t>
      </w:r>
      <w:r w:rsidRPr="00144A42">
        <w:t>The hospital inpatient data reported estimated National Weighted Activity Units for each admission, and for the cost analysis these are priced using the National Efficient Price 2019-2020 ($5,134 per unit)</w:t>
      </w:r>
      <w:r w:rsidR="007501B9">
        <w:t xml:space="preserve">. </w:t>
      </w:r>
      <w:r w:rsidRPr="00144A42">
        <w:t xml:space="preserve">Total admissions are costed for each patient to enable an estimate of average </w:t>
      </w:r>
      <w:r w:rsidRPr="00144A42">
        <w:lastRenderedPageBreak/>
        <w:t>inpatient hospital costs over 12 months per patient</w:t>
      </w:r>
      <w:r w:rsidR="007501B9">
        <w:t xml:space="preserve">. </w:t>
      </w:r>
      <w:r w:rsidRPr="00144A42">
        <w:t>In South Australia, data linkage to centralised and processed SA Health inpatient</w:t>
      </w:r>
      <w:r w:rsidR="00D35762">
        <w:t xml:space="preserve"> and </w:t>
      </w:r>
      <w:r w:rsidRPr="00144A42">
        <w:t xml:space="preserve">emergency hospital data was achieved for 170 of 172 consented SA residents (out of a total of 198 SA residents); of which all hospital data records appeared complete and had assigned </w:t>
      </w:r>
      <w:r w:rsidR="00AB4148" w:rsidRPr="00AB4148">
        <w:t xml:space="preserve">National Weighted Activity Unit </w:t>
      </w:r>
      <w:r w:rsidR="00AB4148">
        <w:t>(</w:t>
      </w:r>
      <w:r w:rsidRPr="00144A42">
        <w:t>NWAU</w:t>
      </w:r>
      <w:r w:rsidR="00AB4148">
        <w:t>)</w:t>
      </w:r>
      <w:r w:rsidRPr="00144A42">
        <w:t xml:space="preserve"> estimates</w:t>
      </w:r>
      <w:r w:rsidR="007501B9">
        <w:t xml:space="preserve">. </w:t>
      </w:r>
      <w:proofErr w:type="gramStart"/>
      <w:r w:rsidRPr="00144A42">
        <w:t>Overall</w:t>
      </w:r>
      <w:proofErr w:type="gramEnd"/>
      <w:r w:rsidRPr="00144A42">
        <w:t xml:space="preserve"> the SA Health hospital cost data </w:t>
      </w:r>
      <w:r w:rsidR="00D35762">
        <w:t>are</w:t>
      </w:r>
      <w:r w:rsidRPr="00144A42">
        <w:t xml:space="preserve"> considered to be highly reliable</w:t>
      </w:r>
      <w:r w:rsidR="007501B9">
        <w:t xml:space="preserve">. </w:t>
      </w:r>
      <w:r w:rsidRPr="00144A42">
        <w:t xml:space="preserve">The Tasmanian hospital data </w:t>
      </w:r>
      <w:r w:rsidR="00D35762">
        <w:t>were</w:t>
      </w:r>
      <w:r w:rsidRPr="00144A42">
        <w:t xml:space="preserve"> collected on an individual record basis, rather than via data linkage with the state government administrative system</w:t>
      </w:r>
      <w:r w:rsidR="007501B9">
        <w:t xml:space="preserve">. </w:t>
      </w:r>
      <w:r w:rsidRPr="00144A42">
        <w:t>Summary admission</w:t>
      </w:r>
      <w:r w:rsidR="00D35762">
        <w:t xml:space="preserve"> or </w:t>
      </w:r>
      <w:r w:rsidRPr="00144A42">
        <w:t>presentation records were retrieved for 39 of the 49 Tas</w:t>
      </w:r>
      <w:r w:rsidR="00D35762">
        <w:t>manian</w:t>
      </w:r>
      <w:r w:rsidRPr="00144A42">
        <w:t xml:space="preserve"> residents</w:t>
      </w:r>
      <w:r w:rsidR="007501B9">
        <w:t xml:space="preserve">. </w:t>
      </w:r>
      <w:r w:rsidRPr="00144A42">
        <w:t>Of the 39 hospital records retrieved only 13 reported NWAU values within the study period, and numerous hospital entries were incomplete and had not been assigned NWAU values</w:t>
      </w:r>
      <w:r w:rsidR="007501B9">
        <w:t xml:space="preserve">. </w:t>
      </w:r>
      <w:r w:rsidRPr="00144A42">
        <w:t>Only inpatient and emergency department entries for which an NWAU was allocated were included in this cost analysis study data</w:t>
      </w:r>
      <w:r w:rsidR="007501B9">
        <w:t xml:space="preserve">. </w:t>
      </w:r>
      <w:r w:rsidRPr="00144A42">
        <w:t xml:space="preserve">Overall, the Tasmanian hospital data (as received for the study) did not appear to complete or reliable, therefore the base case cost analysis uses only the SA Health data to estimate average resident hospital costs, and a sensitivity analysis is presented where the Tasmanian data </w:t>
      </w:r>
      <w:r w:rsidR="00D35762">
        <w:t>are</w:t>
      </w:r>
      <w:r w:rsidRPr="00144A42">
        <w:t xml:space="preserve"> included to form the estimate.</w:t>
      </w:r>
    </w:p>
    <w:p w14:paraId="21F51DCC" w14:textId="31F0F392" w:rsidR="00BB74AC" w:rsidRPr="00AB4148" w:rsidRDefault="00BB74AC" w:rsidP="007501B9">
      <w:proofErr w:type="gramStart"/>
      <w:r w:rsidRPr="00144A42">
        <w:t>Outpatient</w:t>
      </w:r>
      <w:proofErr w:type="gramEnd"/>
      <w:r w:rsidRPr="00144A42">
        <w:t xml:space="preserve"> use data </w:t>
      </w:r>
      <w:r w:rsidR="00D35762">
        <w:t>were</w:t>
      </w:r>
      <w:r w:rsidRPr="00144A42">
        <w:t xml:space="preserve"> only available for Tasmanian aged care residents</w:t>
      </w:r>
      <w:r w:rsidR="007501B9">
        <w:t xml:space="preserve">. </w:t>
      </w:r>
      <w:r w:rsidRPr="00144A42">
        <w:t>No per patient data on outpatient clinic use</w:t>
      </w:r>
      <w:r w:rsidR="00D35762">
        <w:t xml:space="preserve"> or </w:t>
      </w:r>
      <w:r w:rsidRPr="00144A42">
        <w:t xml:space="preserve">costs </w:t>
      </w:r>
      <w:r w:rsidR="00D35762">
        <w:t>were</w:t>
      </w:r>
      <w:r w:rsidRPr="00144A42">
        <w:t xml:space="preserve"> available for South Australian study participants in time for inclusion in the cost analysis study</w:t>
      </w:r>
      <w:r w:rsidR="007501B9">
        <w:t xml:space="preserve">. </w:t>
      </w:r>
      <w:r w:rsidRPr="00144A42">
        <w:t>A limited record of hospital outpatient clinic visits was provided for the Tasmanian aged care residents</w:t>
      </w:r>
      <w:r w:rsidR="00D35762">
        <w:t>. F</w:t>
      </w:r>
      <w:r w:rsidRPr="00144A42">
        <w:t xml:space="preserve">or these patients during the economic analysis an </w:t>
      </w:r>
      <w:proofErr w:type="gramStart"/>
      <w:r w:rsidR="00144A42">
        <w:t>Out Patient</w:t>
      </w:r>
      <w:proofErr w:type="gramEnd"/>
      <w:r w:rsidR="00144A42">
        <w:t xml:space="preserve"> Department (</w:t>
      </w:r>
      <w:r w:rsidRPr="00144A42">
        <w:t>OPD</w:t>
      </w:r>
      <w:r w:rsidR="00144A42">
        <w:t>)</w:t>
      </w:r>
      <w:r w:rsidRPr="00144A42">
        <w:t xml:space="preserve"> clinic classification code was allocated based on the hospital case note summary description</w:t>
      </w:r>
      <w:r w:rsidR="007501B9">
        <w:t xml:space="preserve">. </w:t>
      </w:r>
      <w:r w:rsidRPr="00144A42">
        <w:t>The base NWAU for the OPD clinic code was then calculated using the “non-admitted_2019-20_nwau_calculator.xls”</w:t>
      </w:r>
      <w:r w:rsidRPr="00AB4148">
        <w:rPr>
          <w:vertAlign w:val="superscript"/>
        </w:rPr>
        <w:footnoteReference w:id="4"/>
      </w:r>
      <w:r w:rsidRPr="00AB4148">
        <w:t xml:space="preserve"> assuming no funding adjustment factors were applicable for any study participant (</w:t>
      </w:r>
      <w:proofErr w:type="gramStart"/>
      <w:r w:rsidRPr="00AB4148">
        <w:t>i.e.</w:t>
      </w:r>
      <w:proofErr w:type="gramEnd"/>
      <w:r w:rsidRPr="00AB4148">
        <w:t xml:space="preserve"> increased funding is allocated for various patient characteristics), which is likely to </w:t>
      </w:r>
      <w:r w:rsidR="00AB4148" w:rsidRPr="00AB4148">
        <w:t>underestimate</w:t>
      </w:r>
      <w:r w:rsidRPr="00AB4148">
        <w:t xml:space="preserve"> real outpatient costs</w:t>
      </w:r>
      <w:r w:rsidR="007501B9">
        <w:t xml:space="preserve">. </w:t>
      </w:r>
      <w:r w:rsidRPr="00AB4148">
        <w:t xml:space="preserve">A summary of the clinics and costs allocated to each </w:t>
      </w:r>
      <w:r w:rsidR="009B11A5" w:rsidRPr="00AB4148">
        <w:t>attendance</w:t>
      </w:r>
      <w:r w:rsidRPr="00AB4148">
        <w:t xml:space="preserve"> is provided </w:t>
      </w:r>
      <w:r w:rsidRPr="00CC5A20">
        <w:t xml:space="preserve">in Appendix </w:t>
      </w:r>
      <w:r w:rsidR="00155108">
        <w:t>F</w:t>
      </w:r>
      <w:r w:rsidR="007501B9">
        <w:t xml:space="preserve">. </w:t>
      </w:r>
      <w:r w:rsidRPr="00AB4148">
        <w:t xml:space="preserve">Given the small number of study </w:t>
      </w:r>
      <w:r w:rsidR="009B11A5" w:rsidRPr="00AB4148">
        <w:t>participants</w:t>
      </w:r>
      <w:r w:rsidRPr="00AB4148">
        <w:t xml:space="preserve"> for whom OPD data </w:t>
      </w:r>
      <w:r w:rsidR="00D35762">
        <w:t>were</w:t>
      </w:r>
      <w:r w:rsidRPr="00AB4148">
        <w:t xml:space="preserve"> available and the reliance on non-administrative manual coding, the average outpatient cost estimates are quite uncertain and therefore a sensitivity analysis is presented where this cost is excluded.</w:t>
      </w:r>
    </w:p>
    <w:p w14:paraId="5384D2DB" w14:textId="77777777" w:rsidR="00BB74AC" w:rsidRPr="00AB4148" w:rsidRDefault="00BB74AC" w:rsidP="00155108">
      <w:pPr>
        <w:pStyle w:val="Heading4"/>
        <w:spacing w:line="276" w:lineRule="auto"/>
      </w:pPr>
      <w:r w:rsidRPr="00AB4148">
        <w:lastRenderedPageBreak/>
        <w:t>Aged Care health-related government subsidies</w:t>
      </w:r>
    </w:p>
    <w:p w14:paraId="1337126B" w14:textId="1FE1332A" w:rsidR="00BB74AC" w:rsidRPr="00BB74AC" w:rsidRDefault="00BB74AC" w:rsidP="007501B9">
      <w:pPr>
        <w:rPr>
          <w:rFonts w:ascii="Calibri" w:hAnsi="Calibri" w:cs="Tahoma"/>
          <w:b/>
          <w:sz w:val="20"/>
        </w:rPr>
      </w:pPr>
      <w:r w:rsidRPr="00AB4148">
        <w:t xml:space="preserve">The government aged care daily subsidy is variable and based on the level of care a resident requires in each of the following </w:t>
      </w:r>
      <w:proofErr w:type="gramStart"/>
      <w:r w:rsidRPr="00AB4148">
        <w:t>areas;</w:t>
      </w:r>
      <w:proofErr w:type="gramEnd"/>
      <w:r w:rsidRPr="00AB4148">
        <w:t xml:space="preserve"> activities of daily living, behaviour</w:t>
      </w:r>
      <w:r w:rsidR="00D35762">
        <w:t xml:space="preserve"> </w:t>
      </w:r>
      <w:r w:rsidRPr="00AB4148">
        <w:t>and complex health care</w:t>
      </w:r>
      <w:r w:rsidR="00D35762">
        <w:t xml:space="preserve">. </w:t>
      </w:r>
      <w:r w:rsidRPr="00AB4148">
        <w:t xml:space="preserve">For each category a patient may require nil, low, </w:t>
      </w:r>
      <w:proofErr w:type="gramStart"/>
      <w:r w:rsidRPr="00AB4148">
        <w:t>medium</w:t>
      </w:r>
      <w:proofErr w:type="gramEnd"/>
      <w:r w:rsidRPr="00AB4148">
        <w:t xml:space="preserve"> or high levels of assistance, and the government subsidy increases accordingly</w:t>
      </w:r>
      <w:r w:rsidR="007501B9">
        <w:t xml:space="preserve">. </w:t>
      </w:r>
      <w:r w:rsidRPr="00AB4148">
        <w:t xml:space="preserve">The rates associated with each </w:t>
      </w:r>
      <w:r w:rsidR="00673191">
        <w:t xml:space="preserve">category </w:t>
      </w:r>
      <w:r w:rsidRPr="00AB4148">
        <w:t xml:space="preserve">area and level of care are shown </w:t>
      </w:r>
      <w:r w:rsidRPr="00CC5A20">
        <w:t xml:space="preserve">in Table </w:t>
      </w:r>
      <w:r w:rsidR="00CC5A20" w:rsidRPr="00CC5A20">
        <w:t>D-5</w:t>
      </w:r>
      <w:r w:rsidRPr="00CC5A20">
        <w:t>:</w:t>
      </w:r>
      <w:r w:rsidRPr="00AB4148">
        <w:t xml:space="preserve"> </w:t>
      </w:r>
    </w:p>
    <w:tbl>
      <w:tblPr>
        <w:tblStyle w:val="ListTable3"/>
        <w:tblW w:w="5000" w:type="pct"/>
        <w:tblLook w:val="01E0" w:firstRow="1" w:lastRow="1" w:firstColumn="1" w:lastColumn="1" w:noHBand="0" w:noVBand="0"/>
        <w:tblCaption w:val="Basic Subsidy Rates"/>
        <w:tblDescription w:val="This table provides information about the subsidy rate, depending on ACFI classification"/>
      </w:tblPr>
      <w:tblGrid>
        <w:gridCol w:w="1128"/>
        <w:gridCol w:w="2835"/>
        <w:gridCol w:w="2424"/>
        <w:gridCol w:w="2629"/>
      </w:tblGrid>
      <w:tr w:rsidR="00BB74AC" w:rsidRPr="00D17045" w14:paraId="3712EA54" w14:textId="77777777" w:rsidTr="00D17045">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100" w:firstRow="0" w:lastRow="0" w:firstColumn="1" w:lastColumn="0" w:oddVBand="0" w:evenVBand="0" w:oddHBand="0" w:evenHBand="0" w:firstRowFirstColumn="1" w:firstRowLastColumn="0" w:lastRowFirstColumn="0" w:lastRowLastColumn="0"/>
            <w:tcW w:w="626" w:type="pct"/>
            <w:hideMark/>
          </w:tcPr>
          <w:p w14:paraId="42CA5016" w14:textId="77777777" w:rsidR="00BB74AC" w:rsidRPr="00D17045" w:rsidRDefault="00BB74AC" w:rsidP="00D17045">
            <w:pPr>
              <w:pStyle w:val="TableHeader"/>
              <w:rPr>
                <w:b/>
                <w:bCs w:val="0"/>
              </w:rPr>
            </w:pPr>
            <w:bookmarkStart w:id="233" w:name="ColumnTitle_20"/>
            <w:r w:rsidRPr="00D17045">
              <w:rPr>
                <w:b/>
                <w:bCs w:val="0"/>
              </w:rPr>
              <w:t>Level</w:t>
            </w:r>
            <w:bookmarkStart w:id="234" w:name="ColumnTitle_21"/>
            <w:bookmarkEnd w:id="234"/>
          </w:p>
        </w:tc>
        <w:tc>
          <w:tcPr>
            <w:cnfStyle w:val="000010000000" w:firstRow="0" w:lastRow="0" w:firstColumn="0" w:lastColumn="0" w:oddVBand="1" w:evenVBand="0" w:oddHBand="0" w:evenHBand="0" w:firstRowFirstColumn="0" w:firstRowLastColumn="0" w:lastRowFirstColumn="0" w:lastRowLastColumn="0"/>
            <w:tcW w:w="1572" w:type="pct"/>
            <w:hideMark/>
          </w:tcPr>
          <w:p w14:paraId="666F4531" w14:textId="2F67DF98" w:rsidR="00BB74AC" w:rsidRPr="00D17045" w:rsidRDefault="00BB74AC" w:rsidP="00D17045">
            <w:pPr>
              <w:pStyle w:val="TableHeader"/>
              <w:rPr>
                <w:b/>
                <w:bCs w:val="0"/>
              </w:rPr>
            </w:pPr>
            <w:r w:rsidRPr="00D17045">
              <w:rPr>
                <w:b/>
                <w:bCs w:val="0"/>
              </w:rPr>
              <w:t xml:space="preserve">Activities of daily living </w:t>
            </w:r>
          </w:p>
        </w:tc>
        <w:tc>
          <w:tcPr>
            <w:tcW w:w="1344" w:type="pct"/>
            <w:hideMark/>
          </w:tcPr>
          <w:p w14:paraId="55BE438A" w14:textId="6AECA354" w:rsidR="00BB74AC" w:rsidRPr="00D17045" w:rsidRDefault="00BB74AC" w:rsidP="00D17045">
            <w:pPr>
              <w:pStyle w:val="TableHeader"/>
              <w:cnfStyle w:val="100000000000" w:firstRow="1" w:lastRow="0" w:firstColumn="0" w:lastColumn="0" w:oddVBand="0" w:evenVBand="0" w:oddHBand="0" w:evenHBand="0" w:firstRowFirstColumn="0" w:firstRowLastColumn="0" w:lastRowFirstColumn="0" w:lastRowLastColumn="0"/>
              <w:rPr>
                <w:b/>
                <w:bCs w:val="0"/>
              </w:rPr>
            </w:pPr>
            <w:proofErr w:type="spellStart"/>
            <w:r w:rsidRPr="00D17045">
              <w:rPr>
                <w:b/>
                <w:bCs w:val="0"/>
              </w:rPr>
              <w:t>Behaviour</w:t>
            </w:r>
            <w:proofErr w:type="spellEnd"/>
            <w:r w:rsidRPr="00D17045">
              <w:rPr>
                <w:b/>
                <w:bCs w:val="0"/>
              </w:rPr>
              <w:t xml:space="preserve"> </w:t>
            </w:r>
          </w:p>
        </w:tc>
        <w:tc>
          <w:tcPr>
            <w:cnfStyle w:val="000100001000" w:firstRow="0" w:lastRow="0" w:firstColumn="0" w:lastColumn="1" w:oddVBand="0" w:evenVBand="0" w:oddHBand="0" w:evenHBand="0" w:firstRowFirstColumn="0" w:firstRowLastColumn="1" w:lastRowFirstColumn="0" w:lastRowLastColumn="0"/>
            <w:tcW w:w="1458" w:type="pct"/>
            <w:hideMark/>
          </w:tcPr>
          <w:p w14:paraId="7F31DDB2" w14:textId="0813E146" w:rsidR="00BB74AC" w:rsidRPr="00D17045" w:rsidRDefault="00BB74AC" w:rsidP="00D17045">
            <w:pPr>
              <w:pStyle w:val="TableHeader"/>
              <w:rPr>
                <w:b/>
                <w:bCs w:val="0"/>
              </w:rPr>
            </w:pPr>
            <w:r w:rsidRPr="00D17045">
              <w:rPr>
                <w:b/>
                <w:bCs w:val="0"/>
              </w:rPr>
              <w:t xml:space="preserve">Complex Health Care </w:t>
            </w:r>
          </w:p>
        </w:tc>
      </w:tr>
      <w:bookmarkEnd w:id="233"/>
      <w:tr w:rsidR="00BB74AC" w:rsidRPr="00D56CC5" w14:paraId="3A79334E" w14:textId="77777777" w:rsidTr="00D1704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26" w:type="pct"/>
            <w:hideMark/>
          </w:tcPr>
          <w:p w14:paraId="6BB46B4F" w14:textId="77777777" w:rsidR="00BB74AC" w:rsidRPr="00D56CC5" w:rsidRDefault="00BB74AC" w:rsidP="00D17045">
            <w:pPr>
              <w:pStyle w:val="Tabletext1"/>
              <w:rPr>
                <w:b w:val="0"/>
                <w:bCs w:val="0"/>
              </w:rPr>
            </w:pPr>
            <w:r w:rsidRPr="00D56CC5">
              <w:rPr>
                <w:b w:val="0"/>
                <w:bCs w:val="0"/>
              </w:rPr>
              <w:t>Nil</w:t>
            </w:r>
          </w:p>
        </w:tc>
        <w:tc>
          <w:tcPr>
            <w:cnfStyle w:val="000010000000" w:firstRow="0" w:lastRow="0" w:firstColumn="0" w:lastColumn="0" w:oddVBand="1" w:evenVBand="0" w:oddHBand="0" w:evenHBand="0" w:firstRowFirstColumn="0" w:firstRowLastColumn="0" w:lastRowFirstColumn="0" w:lastRowLastColumn="0"/>
            <w:tcW w:w="1572" w:type="pct"/>
            <w:hideMark/>
          </w:tcPr>
          <w:p w14:paraId="0385AAE4" w14:textId="77777777" w:rsidR="00BB74AC" w:rsidRPr="00D56CC5" w:rsidRDefault="00BB74AC" w:rsidP="00D56CC5">
            <w:pPr>
              <w:pStyle w:val="Tabletext1"/>
              <w:jc w:val="right"/>
            </w:pPr>
            <w:r w:rsidRPr="00D56CC5">
              <w:t>$0.00</w:t>
            </w:r>
          </w:p>
        </w:tc>
        <w:tc>
          <w:tcPr>
            <w:tcW w:w="1344" w:type="pct"/>
            <w:hideMark/>
          </w:tcPr>
          <w:p w14:paraId="39F9A39A" w14:textId="77777777" w:rsidR="00BB74AC" w:rsidRPr="00D56CC5" w:rsidRDefault="00BB74AC" w:rsidP="00D56CC5">
            <w:pPr>
              <w:pStyle w:val="Tabletext1"/>
              <w:jc w:val="right"/>
              <w:cnfStyle w:val="000000100000" w:firstRow="0" w:lastRow="0" w:firstColumn="0" w:lastColumn="0" w:oddVBand="0" w:evenVBand="0" w:oddHBand="1" w:evenHBand="0" w:firstRowFirstColumn="0" w:firstRowLastColumn="0" w:lastRowFirstColumn="0" w:lastRowLastColumn="0"/>
            </w:pPr>
            <w:r w:rsidRPr="00D56CC5">
              <w:t>$0.00</w:t>
            </w:r>
          </w:p>
        </w:tc>
        <w:tc>
          <w:tcPr>
            <w:cnfStyle w:val="000100000000" w:firstRow="0" w:lastRow="0" w:firstColumn="0" w:lastColumn="1" w:oddVBand="0" w:evenVBand="0" w:oddHBand="0" w:evenHBand="0" w:firstRowFirstColumn="0" w:firstRowLastColumn="0" w:lastRowFirstColumn="0" w:lastRowLastColumn="0"/>
            <w:tcW w:w="1458" w:type="pct"/>
            <w:hideMark/>
          </w:tcPr>
          <w:p w14:paraId="39061C51" w14:textId="77777777" w:rsidR="00BB74AC" w:rsidRPr="00D56CC5" w:rsidRDefault="00BB74AC" w:rsidP="00D56CC5">
            <w:pPr>
              <w:pStyle w:val="Tabletext1"/>
              <w:jc w:val="right"/>
              <w:rPr>
                <w:b w:val="0"/>
                <w:bCs w:val="0"/>
              </w:rPr>
            </w:pPr>
            <w:r w:rsidRPr="00D56CC5">
              <w:rPr>
                <w:b w:val="0"/>
                <w:bCs w:val="0"/>
              </w:rPr>
              <w:t>$0.00</w:t>
            </w:r>
          </w:p>
        </w:tc>
      </w:tr>
      <w:tr w:rsidR="00BB74AC" w:rsidRPr="00D56CC5" w14:paraId="2F941E6C" w14:textId="77777777" w:rsidTr="00D17045">
        <w:trPr>
          <w:trHeight w:val="285"/>
        </w:trPr>
        <w:tc>
          <w:tcPr>
            <w:cnfStyle w:val="001000000000" w:firstRow="0" w:lastRow="0" w:firstColumn="1" w:lastColumn="0" w:oddVBand="0" w:evenVBand="0" w:oddHBand="0" w:evenHBand="0" w:firstRowFirstColumn="0" w:firstRowLastColumn="0" w:lastRowFirstColumn="0" w:lastRowLastColumn="0"/>
            <w:tcW w:w="626" w:type="pct"/>
            <w:hideMark/>
          </w:tcPr>
          <w:p w14:paraId="56B2160B" w14:textId="77777777" w:rsidR="00BB74AC" w:rsidRPr="00D56CC5" w:rsidRDefault="00BB74AC" w:rsidP="00D17045">
            <w:pPr>
              <w:pStyle w:val="Tabletext1"/>
              <w:rPr>
                <w:b w:val="0"/>
                <w:bCs w:val="0"/>
              </w:rPr>
            </w:pPr>
            <w:r w:rsidRPr="00D56CC5">
              <w:rPr>
                <w:b w:val="0"/>
                <w:bCs w:val="0"/>
              </w:rPr>
              <w:t>Low</w:t>
            </w:r>
          </w:p>
        </w:tc>
        <w:tc>
          <w:tcPr>
            <w:cnfStyle w:val="000010000000" w:firstRow="0" w:lastRow="0" w:firstColumn="0" w:lastColumn="0" w:oddVBand="1" w:evenVBand="0" w:oddHBand="0" w:evenHBand="0" w:firstRowFirstColumn="0" w:firstRowLastColumn="0" w:lastRowFirstColumn="0" w:lastRowLastColumn="0"/>
            <w:tcW w:w="1572" w:type="pct"/>
            <w:hideMark/>
          </w:tcPr>
          <w:p w14:paraId="0904949E" w14:textId="77777777" w:rsidR="00BB74AC" w:rsidRPr="00D56CC5" w:rsidRDefault="00BB74AC" w:rsidP="00D56CC5">
            <w:pPr>
              <w:pStyle w:val="Tabletext1"/>
              <w:jc w:val="right"/>
            </w:pPr>
            <w:r w:rsidRPr="00D56CC5">
              <w:t>$37.68</w:t>
            </w:r>
          </w:p>
        </w:tc>
        <w:tc>
          <w:tcPr>
            <w:tcW w:w="1344" w:type="pct"/>
            <w:hideMark/>
          </w:tcPr>
          <w:p w14:paraId="0FC6251A" w14:textId="77777777" w:rsidR="00BB74AC" w:rsidRPr="00D56CC5" w:rsidRDefault="00BB74AC" w:rsidP="00D56CC5">
            <w:pPr>
              <w:pStyle w:val="Tabletext1"/>
              <w:jc w:val="right"/>
              <w:cnfStyle w:val="000000000000" w:firstRow="0" w:lastRow="0" w:firstColumn="0" w:lastColumn="0" w:oddVBand="0" w:evenVBand="0" w:oddHBand="0" w:evenHBand="0" w:firstRowFirstColumn="0" w:firstRowLastColumn="0" w:lastRowFirstColumn="0" w:lastRowLastColumn="0"/>
            </w:pPr>
            <w:r w:rsidRPr="00D56CC5">
              <w:t>$8.61</w:t>
            </w:r>
          </w:p>
        </w:tc>
        <w:tc>
          <w:tcPr>
            <w:cnfStyle w:val="000100000000" w:firstRow="0" w:lastRow="0" w:firstColumn="0" w:lastColumn="1" w:oddVBand="0" w:evenVBand="0" w:oddHBand="0" w:evenHBand="0" w:firstRowFirstColumn="0" w:firstRowLastColumn="0" w:lastRowFirstColumn="0" w:lastRowLastColumn="0"/>
            <w:tcW w:w="1458" w:type="pct"/>
            <w:hideMark/>
          </w:tcPr>
          <w:p w14:paraId="3F8A16A9" w14:textId="77777777" w:rsidR="00BB74AC" w:rsidRPr="00D56CC5" w:rsidRDefault="00BB74AC" w:rsidP="00D56CC5">
            <w:pPr>
              <w:pStyle w:val="Tabletext1"/>
              <w:jc w:val="right"/>
              <w:rPr>
                <w:b w:val="0"/>
                <w:bCs w:val="0"/>
              </w:rPr>
            </w:pPr>
            <w:r w:rsidRPr="00D56CC5">
              <w:rPr>
                <w:b w:val="0"/>
                <w:bCs w:val="0"/>
              </w:rPr>
              <w:t>$16.71</w:t>
            </w:r>
          </w:p>
        </w:tc>
      </w:tr>
      <w:tr w:rsidR="00BB74AC" w:rsidRPr="00D56CC5" w14:paraId="7BC15A8C" w14:textId="77777777" w:rsidTr="00D56CC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26" w:type="pct"/>
            <w:hideMark/>
          </w:tcPr>
          <w:p w14:paraId="605FE495" w14:textId="77777777" w:rsidR="00BB74AC" w:rsidRPr="00D56CC5" w:rsidRDefault="00BB74AC" w:rsidP="00D17045">
            <w:pPr>
              <w:pStyle w:val="Tabletext1"/>
              <w:rPr>
                <w:b w:val="0"/>
                <w:bCs w:val="0"/>
              </w:rPr>
            </w:pPr>
            <w:r w:rsidRPr="00D56CC5">
              <w:rPr>
                <w:b w:val="0"/>
                <w:bCs w:val="0"/>
              </w:rPr>
              <w:t>Medium</w:t>
            </w:r>
          </w:p>
        </w:tc>
        <w:tc>
          <w:tcPr>
            <w:cnfStyle w:val="000010000000" w:firstRow="0" w:lastRow="0" w:firstColumn="0" w:lastColumn="0" w:oddVBand="1" w:evenVBand="0" w:oddHBand="0" w:evenHBand="0" w:firstRowFirstColumn="0" w:firstRowLastColumn="0" w:lastRowFirstColumn="0" w:lastRowLastColumn="0"/>
            <w:tcW w:w="1572" w:type="pct"/>
            <w:hideMark/>
          </w:tcPr>
          <w:p w14:paraId="59D10FAE" w14:textId="77777777" w:rsidR="00BB74AC" w:rsidRPr="00D56CC5" w:rsidRDefault="00BB74AC" w:rsidP="00D56CC5">
            <w:pPr>
              <w:pStyle w:val="Tabletext1"/>
              <w:jc w:val="right"/>
            </w:pPr>
            <w:r w:rsidRPr="00D56CC5">
              <w:t>$82.05</w:t>
            </w:r>
          </w:p>
        </w:tc>
        <w:tc>
          <w:tcPr>
            <w:tcW w:w="1344" w:type="pct"/>
            <w:hideMark/>
          </w:tcPr>
          <w:p w14:paraId="44536119" w14:textId="77777777" w:rsidR="00BB74AC" w:rsidRPr="00D56CC5" w:rsidRDefault="00BB74AC" w:rsidP="00D56CC5">
            <w:pPr>
              <w:pStyle w:val="Tabletext1"/>
              <w:jc w:val="right"/>
              <w:cnfStyle w:val="000000100000" w:firstRow="0" w:lastRow="0" w:firstColumn="0" w:lastColumn="0" w:oddVBand="0" w:evenVBand="0" w:oddHBand="1" w:evenHBand="0" w:firstRowFirstColumn="0" w:firstRowLastColumn="0" w:lastRowFirstColumn="0" w:lastRowLastColumn="0"/>
            </w:pPr>
            <w:r w:rsidRPr="00D56CC5">
              <w:t>$17.85</w:t>
            </w:r>
          </w:p>
        </w:tc>
        <w:tc>
          <w:tcPr>
            <w:cnfStyle w:val="000100000000" w:firstRow="0" w:lastRow="0" w:firstColumn="0" w:lastColumn="1" w:oddVBand="0" w:evenVBand="0" w:oddHBand="0" w:evenHBand="0" w:firstRowFirstColumn="0" w:firstRowLastColumn="0" w:lastRowFirstColumn="0" w:lastRowLastColumn="0"/>
            <w:tcW w:w="1458" w:type="pct"/>
            <w:hideMark/>
          </w:tcPr>
          <w:p w14:paraId="4DC0E295" w14:textId="77777777" w:rsidR="00BB74AC" w:rsidRPr="00D56CC5" w:rsidRDefault="00BB74AC" w:rsidP="00D56CC5">
            <w:pPr>
              <w:pStyle w:val="Tabletext1"/>
              <w:jc w:val="right"/>
              <w:rPr>
                <w:b w:val="0"/>
                <w:bCs w:val="0"/>
              </w:rPr>
            </w:pPr>
            <w:r w:rsidRPr="00D56CC5">
              <w:rPr>
                <w:b w:val="0"/>
                <w:bCs w:val="0"/>
              </w:rPr>
              <w:t>$47.61</w:t>
            </w:r>
          </w:p>
        </w:tc>
      </w:tr>
      <w:tr w:rsidR="00BB74AC" w:rsidRPr="00D56CC5" w14:paraId="6C5F26CD" w14:textId="77777777" w:rsidTr="00D56CC5">
        <w:trPr>
          <w:cnfStyle w:val="010000000000" w:firstRow="0" w:lastRow="1" w:firstColumn="0" w:lastColumn="0" w:oddVBand="0" w:evenVBand="0" w:oddHBand="0" w:evenHBand="0" w:firstRowFirstColumn="0" w:firstRowLastColumn="0" w:lastRowFirstColumn="0" w:lastRowLastColumn="0"/>
          <w:trHeight w:val="285"/>
        </w:trPr>
        <w:tc>
          <w:tcPr>
            <w:cnfStyle w:val="001000000001" w:firstRow="0" w:lastRow="0" w:firstColumn="1" w:lastColumn="0" w:oddVBand="0" w:evenVBand="0" w:oddHBand="0" w:evenHBand="0" w:firstRowFirstColumn="0" w:firstRowLastColumn="0" w:lastRowFirstColumn="1" w:lastRowLastColumn="0"/>
            <w:tcW w:w="626" w:type="pct"/>
            <w:tcBorders>
              <w:top w:val="single" w:sz="4" w:space="0" w:color="000000" w:themeColor="text1"/>
              <w:bottom w:val="single" w:sz="4" w:space="0" w:color="000000" w:themeColor="text1"/>
            </w:tcBorders>
            <w:hideMark/>
          </w:tcPr>
          <w:p w14:paraId="43BBA6B1" w14:textId="77777777" w:rsidR="00BB74AC" w:rsidRPr="00D56CC5" w:rsidRDefault="00BB74AC" w:rsidP="00D17045">
            <w:pPr>
              <w:pStyle w:val="Tabletext1"/>
              <w:rPr>
                <w:b w:val="0"/>
                <w:bCs w:val="0"/>
              </w:rPr>
            </w:pPr>
            <w:r w:rsidRPr="00D56CC5">
              <w:rPr>
                <w:b w:val="0"/>
                <w:bCs w:val="0"/>
              </w:rPr>
              <w:t>High</w:t>
            </w:r>
          </w:p>
        </w:tc>
        <w:tc>
          <w:tcPr>
            <w:cnfStyle w:val="000010000000" w:firstRow="0" w:lastRow="0" w:firstColumn="0" w:lastColumn="0" w:oddVBand="1" w:evenVBand="0" w:oddHBand="0" w:evenHBand="0" w:firstRowFirstColumn="0" w:firstRowLastColumn="0" w:lastRowFirstColumn="0" w:lastRowLastColumn="0"/>
            <w:tcW w:w="1572" w:type="pct"/>
            <w:tcBorders>
              <w:top w:val="single" w:sz="4" w:space="0" w:color="000000" w:themeColor="text1"/>
              <w:bottom w:val="single" w:sz="4" w:space="0" w:color="000000" w:themeColor="text1"/>
            </w:tcBorders>
            <w:hideMark/>
          </w:tcPr>
          <w:p w14:paraId="10F6BBA1" w14:textId="77777777" w:rsidR="00BB74AC" w:rsidRPr="00D56CC5" w:rsidRDefault="00BB74AC" w:rsidP="00D56CC5">
            <w:pPr>
              <w:pStyle w:val="Tabletext1"/>
              <w:jc w:val="right"/>
              <w:rPr>
                <w:b w:val="0"/>
                <w:bCs w:val="0"/>
              </w:rPr>
            </w:pPr>
            <w:r w:rsidRPr="00D56CC5">
              <w:rPr>
                <w:b w:val="0"/>
                <w:bCs w:val="0"/>
              </w:rPr>
              <w:t>$113.67</w:t>
            </w:r>
          </w:p>
        </w:tc>
        <w:tc>
          <w:tcPr>
            <w:tcW w:w="1344" w:type="pct"/>
            <w:tcBorders>
              <w:top w:val="single" w:sz="4" w:space="0" w:color="000000" w:themeColor="text1"/>
              <w:bottom w:val="single" w:sz="4" w:space="0" w:color="000000" w:themeColor="text1"/>
            </w:tcBorders>
            <w:hideMark/>
          </w:tcPr>
          <w:p w14:paraId="6488D578" w14:textId="77777777" w:rsidR="00BB74AC" w:rsidRPr="00D56CC5" w:rsidRDefault="00BB74AC" w:rsidP="00D56CC5">
            <w:pPr>
              <w:pStyle w:val="Tabletext1"/>
              <w:jc w:val="right"/>
              <w:cnfStyle w:val="010000000000" w:firstRow="0" w:lastRow="1" w:firstColumn="0" w:lastColumn="0" w:oddVBand="0" w:evenVBand="0" w:oddHBand="0" w:evenHBand="0" w:firstRowFirstColumn="0" w:firstRowLastColumn="0" w:lastRowFirstColumn="0" w:lastRowLastColumn="0"/>
              <w:rPr>
                <w:b w:val="0"/>
                <w:bCs w:val="0"/>
              </w:rPr>
            </w:pPr>
            <w:r w:rsidRPr="00D56CC5">
              <w:rPr>
                <w:b w:val="0"/>
                <w:bCs w:val="0"/>
              </w:rPr>
              <w:t>$37.21</w:t>
            </w:r>
          </w:p>
        </w:tc>
        <w:tc>
          <w:tcPr>
            <w:cnfStyle w:val="000100000010" w:firstRow="0" w:lastRow="0" w:firstColumn="0" w:lastColumn="1" w:oddVBand="0" w:evenVBand="0" w:oddHBand="0" w:evenHBand="0" w:firstRowFirstColumn="0" w:firstRowLastColumn="0" w:lastRowFirstColumn="0" w:lastRowLastColumn="1"/>
            <w:tcW w:w="1458" w:type="pct"/>
            <w:tcBorders>
              <w:top w:val="single" w:sz="4" w:space="0" w:color="000000" w:themeColor="text1"/>
              <w:bottom w:val="single" w:sz="4" w:space="0" w:color="000000" w:themeColor="text1"/>
            </w:tcBorders>
            <w:hideMark/>
          </w:tcPr>
          <w:p w14:paraId="70724F75" w14:textId="77777777" w:rsidR="00BB74AC" w:rsidRPr="00D56CC5" w:rsidRDefault="00BB74AC" w:rsidP="00D56CC5">
            <w:pPr>
              <w:pStyle w:val="Tabletext1"/>
              <w:jc w:val="right"/>
              <w:rPr>
                <w:b w:val="0"/>
                <w:bCs w:val="0"/>
              </w:rPr>
            </w:pPr>
            <w:r w:rsidRPr="00D56CC5">
              <w:rPr>
                <w:b w:val="0"/>
                <w:bCs w:val="0"/>
              </w:rPr>
              <w:t>$68.74</w:t>
            </w:r>
          </w:p>
        </w:tc>
      </w:tr>
    </w:tbl>
    <w:p w14:paraId="22B956D7" w14:textId="6816116F" w:rsidR="00144A42" w:rsidRPr="00BB74AC" w:rsidRDefault="00144A42" w:rsidP="00897C5B">
      <w:pPr>
        <w:pStyle w:val="Caption"/>
      </w:pPr>
      <w:r w:rsidRPr="00CC5A20">
        <w:t xml:space="preserve">Table </w:t>
      </w:r>
      <w:r w:rsidR="00CC5A20" w:rsidRPr="00CC5A20">
        <w:t>D-5</w:t>
      </w:r>
      <w:r w:rsidR="00AB4148" w:rsidRPr="00CC5A20">
        <w:t>:</w:t>
      </w:r>
      <w:r w:rsidR="00AB4148">
        <w:t xml:space="preserve"> </w:t>
      </w:r>
      <w:r w:rsidRPr="00BB74AC">
        <w:t>Residential Aged Care Subsidies and Supplements, basic daily ACFI subsidy rates</w:t>
      </w:r>
    </w:p>
    <w:p w14:paraId="19606483" w14:textId="77777777" w:rsidR="00BB74AC" w:rsidRPr="00CC5A20" w:rsidRDefault="00BB74AC" w:rsidP="00D56CC5">
      <w:pPr>
        <w:pStyle w:val="CommentText"/>
        <w:spacing w:line="240" w:lineRule="auto"/>
      </w:pPr>
      <w:r w:rsidRPr="00CC5A20">
        <w:t>ACFI = Aged Care Funding Instrument</w:t>
      </w:r>
    </w:p>
    <w:p w14:paraId="21FCA792" w14:textId="77777777" w:rsidR="00BB74AC" w:rsidRPr="00CC5A20" w:rsidRDefault="00BB74AC" w:rsidP="00D56CC5">
      <w:pPr>
        <w:pStyle w:val="CommentText"/>
        <w:spacing w:line="240" w:lineRule="auto"/>
        <w:rPr>
          <w:noProof/>
        </w:rPr>
      </w:pPr>
      <w:r w:rsidRPr="00CC5A20">
        <w:t>These rates are applicable from 1 July 2019 to 30 June 2020.</w:t>
      </w:r>
    </w:p>
    <w:p w14:paraId="74B5456E" w14:textId="74A9DFF5" w:rsidR="00BB74AC" w:rsidRPr="00673191" w:rsidRDefault="00BB74AC" w:rsidP="007501B9">
      <w:r w:rsidRPr="002F5F2C">
        <w:t xml:space="preserve">ACFI patient data (ACFI classifications and supplements and dates of reclassification) </w:t>
      </w:r>
      <w:r w:rsidR="00D35762">
        <w:t>were</w:t>
      </w:r>
      <w:r w:rsidRPr="002F5F2C">
        <w:t xml:space="preserve"> sought from </w:t>
      </w:r>
      <w:r w:rsidR="00D35762" w:rsidRPr="002F5F2C">
        <w:t xml:space="preserve">aged care </w:t>
      </w:r>
      <w:r w:rsidRPr="002F5F2C">
        <w:t xml:space="preserve">facility records at 6 monthly intervals (baseline, 6 </w:t>
      </w:r>
      <w:proofErr w:type="gramStart"/>
      <w:r w:rsidRPr="002F5F2C">
        <w:t>months</w:t>
      </w:r>
      <w:proofErr w:type="gramEnd"/>
      <w:r w:rsidRPr="002F5F2C">
        <w:t xml:space="preserve"> and 12 months) by the study research team</w:t>
      </w:r>
      <w:r w:rsidR="007501B9">
        <w:t xml:space="preserve">. </w:t>
      </w:r>
      <w:r w:rsidRPr="00673191">
        <w:t>It was noted, surprisingly, that there was significant incomplete data in patient care records and there were inconsistencies in the research data entered with respect to ACFI level assessments and assessment dates</w:t>
      </w:r>
      <w:r w:rsidR="007501B9">
        <w:t xml:space="preserve">. </w:t>
      </w:r>
      <w:r w:rsidRPr="00673191">
        <w:t>To resolve these issues with the data, the following approaches and assumptions regarding costing based on ACFI care levels were made:</w:t>
      </w:r>
    </w:p>
    <w:p w14:paraId="69359268" w14:textId="77777777" w:rsidR="00BB74AC" w:rsidRPr="00673191" w:rsidRDefault="00BB74AC" w:rsidP="007501B9">
      <w:r w:rsidRPr="00673191">
        <w:t xml:space="preserve">residents with blank or unknown levels at baseline were </w:t>
      </w:r>
      <w:proofErr w:type="gramStart"/>
      <w:r w:rsidRPr="00673191">
        <w:t>excluded;</w:t>
      </w:r>
      <w:proofErr w:type="gramEnd"/>
    </w:p>
    <w:p w14:paraId="473E8CF4" w14:textId="0217755D" w:rsidR="00BB74AC" w:rsidRPr="00673191" w:rsidRDefault="00BB74AC" w:rsidP="007501B9">
      <w:r w:rsidRPr="00673191">
        <w:t xml:space="preserve">where </w:t>
      </w:r>
      <w:proofErr w:type="gramStart"/>
      <w:r w:rsidRPr="00673191">
        <w:t>6 or 12 month</w:t>
      </w:r>
      <w:proofErr w:type="gramEnd"/>
      <w:r w:rsidRPr="00673191">
        <w:t xml:space="preserve"> data </w:t>
      </w:r>
      <w:r w:rsidR="00D35762">
        <w:t>were</w:t>
      </w:r>
      <w:r w:rsidRPr="00673191">
        <w:t xml:space="preserve"> missing, the ‘last observation carried forward’ was applied</w:t>
      </w:r>
      <w:r w:rsidR="00AB4148">
        <w:t>;</w:t>
      </w:r>
    </w:p>
    <w:p w14:paraId="45B23911" w14:textId="66976952" w:rsidR="00BB74AC" w:rsidRPr="00673191" w:rsidRDefault="00BB74AC" w:rsidP="007501B9">
      <w:r w:rsidRPr="00673191">
        <w:t xml:space="preserve">where revised subsidy levels were reported at the 6 month or </w:t>
      </w:r>
      <w:proofErr w:type="gramStart"/>
      <w:r w:rsidRPr="00673191">
        <w:t>12 month</w:t>
      </w:r>
      <w:proofErr w:type="gramEnd"/>
      <w:r w:rsidRPr="00673191">
        <w:t xml:space="preserve"> observation period, the change was assumed to occur at the central point of the observation period. (This assumption is unlikely to be correct in any individual resident’s case, but in the absence of reliable data on each resident’s re-assessment date, the approach was considered reasonable to apply across the cohort as a whole to estimate average costs, and it does </w:t>
      </w:r>
      <w:r w:rsidR="00D35762" w:rsidRPr="00673191">
        <w:t xml:space="preserve">not </w:t>
      </w:r>
      <w:r w:rsidRPr="00673191">
        <w:t>inherently favour one arm over the other.</w:t>
      </w:r>
      <w:proofErr w:type="gramStart"/>
      <w:r w:rsidRPr="00673191">
        <w:t>)</w:t>
      </w:r>
      <w:r w:rsidR="00AB4148">
        <w:t>;</w:t>
      </w:r>
      <w:proofErr w:type="gramEnd"/>
    </w:p>
    <w:p w14:paraId="61442581" w14:textId="73D8E537" w:rsidR="00BB74AC" w:rsidRPr="00673191" w:rsidRDefault="00D35762" w:rsidP="007501B9">
      <w:r>
        <w:t>s</w:t>
      </w:r>
      <w:r w:rsidR="00BB74AC" w:rsidRPr="00673191">
        <w:t xml:space="preserve">upplementary subsidies (oxygen, enteral feeding </w:t>
      </w:r>
      <w:r w:rsidR="008A7B2A" w:rsidRPr="00673191">
        <w:t>etc.</w:t>
      </w:r>
      <w:r w:rsidR="00BB74AC" w:rsidRPr="00673191">
        <w:t>) were excluded from the analysis due to incomplete and unreliable data.</w:t>
      </w:r>
    </w:p>
    <w:p w14:paraId="0E5FA806" w14:textId="768D30B7" w:rsidR="00BB74AC" w:rsidRPr="00673191" w:rsidRDefault="00BB74AC" w:rsidP="007501B9">
      <w:r w:rsidRPr="00673191">
        <w:t>Ideally</w:t>
      </w:r>
      <w:r w:rsidR="00D35762">
        <w:t>,</w:t>
      </w:r>
      <w:r w:rsidRPr="00673191">
        <w:t xml:space="preserve"> for the trial-based analysis to identify an effect on ACFI costs, each resident’s total ACFI costs would be estimated by multiplying the resident’s daily subsidy rate for the number of days that subsidy applied to them in the study period (and the subsidy would, on average, be the same across arms, until a treatment effect occurred)</w:t>
      </w:r>
      <w:r w:rsidR="007501B9">
        <w:t xml:space="preserve">. </w:t>
      </w:r>
      <w:r w:rsidRPr="00673191">
        <w:t xml:space="preserve">However, the baseline </w:t>
      </w:r>
      <w:r w:rsidRPr="00673191">
        <w:lastRenderedPageBreak/>
        <w:t>characteristics of the study arms are compared In Section C.</w:t>
      </w:r>
      <w:proofErr w:type="gramStart"/>
      <w:r w:rsidRPr="00673191">
        <w:t>2</w:t>
      </w:r>
      <w:proofErr w:type="gramEnd"/>
      <w:r w:rsidRPr="00673191">
        <w:t xml:space="preserve"> and it is apparent that the average ACFI subsidy per patient is different between the arms when entering the study; the intervention group commences the study with a daily subsidy rate of $145.47, whereas the average daily rate in the comparator arm is $154.85</w:t>
      </w:r>
      <w:r w:rsidR="007501B9">
        <w:t xml:space="preserve">. </w:t>
      </w:r>
      <w:r w:rsidRPr="00673191">
        <w:t>If not adjusted for this initial difference the total ACFI costs would be $3,426 greater in the control arm (for the study period (one year) without any intervention or intervention effect</w:t>
      </w:r>
      <w:r w:rsidR="007501B9">
        <w:t xml:space="preserve">. </w:t>
      </w:r>
      <w:r w:rsidRPr="00673191">
        <w:t>Therefore, an adjustment to equate baseline ACFI subsidy rates is required to remove this bias in the raw cost data.</w:t>
      </w:r>
    </w:p>
    <w:p w14:paraId="33A4BF11" w14:textId="05E52EF2" w:rsidR="00BB74AC" w:rsidRDefault="00BB74AC" w:rsidP="007501B9">
      <w:r w:rsidRPr="00CC5A20">
        <w:t>The actual and relative change in ACFI subsidies observed over the study are reported below</w:t>
      </w:r>
      <w:r w:rsidR="00673191" w:rsidRPr="00CC5A20">
        <w:t xml:space="preserve"> (</w:t>
      </w:r>
      <w:r w:rsidR="00CC5A20" w:rsidRPr="00CC5A20">
        <w:t>Table D-6</w:t>
      </w:r>
      <w:r w:rsidR="00673191" w:rsidRPr="00CC5A20">
        <w:t>)</w:t>
      </w:r>
      <w:r w:rsidRPr="00CC5A20">
        <w:t>, including</w:t>
      </w:r>
      <w:r w:rsidRPr="00673191">
        <w:t xml:space="preserve"> the disaggregated average subsidy components for each arm at each time point, and t</w:t>
      </w:r>
      <w:r w:rsidR="00683A3A">
        <w:t>he change relative to baseline.</w:t>
      </w:r>
    </w:p>
    <w:tbl>
      <w:tblPr>
        <w:tblStyle w:val="ListTable3"/>
        <w:tblW w:w="9067" w:type="dxa"/>
        <w:tblLayout w:type="fixed"/>
        <w:tblLook w:val="04A0" w:firstRow="1" w:lastRow="0" w:firstColumn="1" w:lastColumn="0" w:noHBand="0" w:noVBand="1"/>
        <w:tblCaption w:val="Daily health-related ACFI subsidy rates observed in each arm and adjusted for baseline difference"/>
        <w:tblDescription w:val="Daily health-related ACFI subsidy rates observed in each arm and adjusted for baseline difference"/>
      </w:tblPr>
      <w:tblGrid>
        <w:gridCol w:w="1129"/>
        <w:gridCol w:w="1276"/>
        <w:gridCol w:w="1276"/>
        <w:gridCol w:w="1276"/>
        <w:gridCol w:w="1275"/>
        <w:gridCol w:w="1418"/>
        <w:gridCol w:w="1417"/>
      </w:tblGrid>
      <w:tr w:rsidR="00F466F2" w:rsidRPr="00D56CC5" w14:paraId="4EA8E1E3" w14:textId="77777777" w:rsidTr="00D56CC5">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129" w:type="dxa"/>
            <w:noWrap/>
            <w:hideMark/>
          </w:tcPr>
          <w:p w14:paraId="1E1A4630" w14:textId="77777777" w:rsidR="00F466F2" w:rsidRPr="00D56CC5" w:rsidRDefault="00F466F2" w:rsidP="00D56CC5">
            <w:pPr>
              <w:pStyle w:val="TableHeader"/>
              <w:rPr>
                <w:rFonts w:ascii="Arial Narrow" w:hAnsi="Arial Narrow"/>
                <w:b/>
                <w:bCs w:val="0"/>
                <w:sz w:val="20"/>
                <w:szCs w:val="20"/>
              </w:rPr>
            </w:pPr>
            <w:bookmarkStart w:id="235" w:name="Title_25" w:colFirst="0" w:colLast="0"/>
            <w:r w:rsidRPr="00D56CC5">
              <w:rPr>
                <w:rFonts w:ascii="Arial Narrow" w:hAnsi="Arial Narrow"/>
                <w:b/>
                <w:bCs w:val="0"/>
                <w:sz w:val="20"/>
                <w:szCs w:val="20"/>
              </w:rPr>
              <w:t>Time and Measure</w:t>
            </w:r>
            <w:bookmarkStart w:id="236" w:name="Title_26"/>
            <w:bookmarkEnd w:id="236"/>
          </w:p>
        </w:tc>
        <w:tc>
          <w:tcPr>
            <w:tcW w:w="1276" w:type="dxa"/>
            <w:noWrap/>
            <w:hideMark/>
          </w:tcPr>
          <w:p w14:paraId="7103577B" w14:textId="77777777" w:rsidR="00F466F2" w:rsidRPr="00D56CC5" w:rsidRDefault="00F466F2" w:rsidP="00D56CC5">
            <w:pPr>
              <w:pStyle w:val="TableHeader"/>
              <w:cnfStyle w:val="100000000000" w:firstRow="1" w:lastRow="0" w:firstColumn="0" w:lastColumn="0" w:oddVBand="0" w:evenVBand="0" w:oddHBand="0" w:evenHBand="0" w:firstRowFirstColumn="0" w:firstRowLastColumn="0" w:lastRowFirstColumn="0" w:lastRowLastColumn="0"/>
              <w:rPr>
                <w:rFonts w:ascii="Arial Narrow" w:hAnsi="Arial Narrow"/>
                <w:b/>
                <w:bCs w:val="0"/>
                <w:sz w:val="20"/>
                <w:szCs w:val="20"/>
              </w:rPr>
            </w:pPr>
            <w:r w:rsidRPr="00D56CC5">
              <w:rPr>
                <w:rFonts w:ascii="Arial Narrow" w:hAnsi="Arial Narrow"/>
                <w:b/>
                <w:bCs w:val="0"/>
                <w:sz w:val="20"/>
                <w:szCs w:val="20"/>
              </w:rPr>
              <w:t>Pharmacist Intervention</w:t>
            </w:r>
          </w:p>
        </w:tc>
        <w:tc>
          <w:tcPr>
            <w:tcW w:w="1276" w:type="dxa"/>
            <w:noWrap/>
            <w:hideMark/>
          </w:tcPr>
          <w:p w14:paraId="284004CB" w14:textId="77777777" w:rsidR="00F466F2" w:rsidRPr="00D56CC5" w:rsidRDefault="00F466F2" w:rsidP="00D56CC5">
            <w:pPr>
              <w:pStyle w:val="TableHeader"/>
              <w:cnfStyle w:val="100000000000" w:firstRow="1" w:lastRow="0" w:firstColumn="0" w:lastColumn="0" w:oddVBand="0" w:evenVBand="0" w:oddHBand="0" w:evenHBand="0" w:firstRowFirstColumn="0" w:firstRowLastColumn="0" w:lastRowFirstColumn="0" w:lastRowLastColumn="0"/>
              <w:rPr>
                <w:rFonts w:ascii="Arial Narrow" w:hAnsi="Arial Narrow"/>
                <w:b/>
                <w:bCs w:val="0"/>
                <w:sz w:val="20"/>
                <w:szCs w:val="20"/>
              </w:rPr>
            </w:pPr>
            <w:r w:rsidRPr="00D56CC5">
              <w:rPr>
                <w:rFonts w:ascii="Arial Narrow" w:hAnsi="Arial Narrow"/>
                <w:b/>
                <w:bCs w:val="0"/>
                <w:sz w:val="20"/>
                <w:szCs w:val="20"/>
              </w:rPr>
              <w:t>Comparator</w:t>
            </w:r>
          </w:p>
        </w:tc>
        <w:tc>
          <w:tcPr>
            <w:tcW w:w="1276" w:type="dxa"/>
          </w:tcPr>
          <w:p w14:paraId="3B04A402" w14:textId="77777777" w:rsidR="00F466F2" w:rsidRPr="00D56CC5" w:rsidRDefault="00F466F2" w:rsidP="00D56CC5">
            <w:pPr>
              <w:pStyle w:val="TableHeader"/>
              <w:cnfStyle w:val="100000000000" w:firstRow="1" w:lastRow="0" w:firstColumn="0" w:lastColumn="0" w:oddVBand="0" w:evenVBand="0" w:oddHBand="0" w:evenHBand="0" w:firstRowFirstColumn="0" w:firstRowLastColumn="0" w:lastRowFirstColumn="0" w:lastRowLastColumn="0"/>
              <w:rPr>
                <w:rFonts w:ascii="Arial Narrow" w:hAnsi="Arial Narrow"/>
                <w:b/>
                <w:bCs w:val="0"/>
                <w:sz w:val="20"/>
                <w:szCs w:val="20"/>
              </w:rPr>
            </w:pPr>
            <w:r w:rsidRPr="00D56CC5">
              <w:rPr>
                <w:rFonts w:ascii="Arial Narrow" w:hAnsi="Arial Narrow"/>
                <w:b/>
                <w:bCs w:val="0"/>
                <w:sz w:val="20"/>
                <w:szCs w:val="20"/>
              </w:rPr>
              <w:t>Pharmacist Intervention</w:t>
            </w:r>
          </w:p>
        </w:tc>
        <w:tc>
          <w:tcPr>
            <w:tcW w:w="1275" w:type="dxa"/>
          </w:tcPr>
          <w:p w14:paraId="3C14A669" w14:textId="77777777" w:rsidR="00F466F2" w:rsidRPr="00D56CC5" w:rsidRDefault="00F466F2" w:rsidP="00D56CC5">
            <w:pPr>
              <w:pStyle w:val="TableHeader"/>
              <w:cnfStyle w:val="100000000000" w:firstRow="1" w:lastRow="0" w:firstColumn="0" w:lastColumn="0" w:oddVBand="0" w:evenVBand="0" w:oddHBand="0" w:evenHBand="0" w:firstRowFirstColumn="0" w:firstRowLastColumn="0" w:lastRowFirstColumn="0" w:lastRowLastColumn="0"/>
              <w:rPr>
                <w:rFonts w:ascii="Arial Narrow" w:hAnsi="Arial Narrow"/>
                <w:b/>
                <w:bCs w:val="0"/>
                <w:sz w:val="20"/>
                <w:szCs w:val="20"/>
              </w:rPr>
            </w:pPr>
            <w:r w:rsidRPr="00D56CC5">
              <w:rPr>
                <w:rFonts w:ascii="Arial Narrow" w:hAnsi="Arial Narrow"/>
                <w:b/>
                <w:bCs w:val="0"/>
                <w:sz w:val="20"/>
                <w:szCs w:val="20"/>
              </w:rPr>
              <w:t>Comparator</w:t>
            </w:r>
          </w:p>
        </w:tc>
        <w:tc>
          <w:tcPr>
            <w:tcW w:w="1418" w:type="dxa"/>
          </w:tcPr>
          <w:p w14:paraId="7F40E122" w14:textId="77777777" w:rsidR="00F466F2" w:rsidRPr="00D56CC5" w:rsidRDefault="00F466F2" w:rsidP="00D56CC5">
            <w:pPr>
              <w:pStyle w:val="TableHeader"/>
              <w:cnfStyle w:val="100000000000" w:firstRow="1" w:lastRow="0" w:firstColumn="0" w:lastColumn="0" w:oddVBand="0" w:evenVBand="0" w:oddHBand="0" w:evenHBand="0" w:firstRowFirstColumn="0" w:firstRowLastColumn="0" w:lastRowFirstColumn="0" w:lastRowLastColumn="0"/>
              <w:rPr>
                <w:rFonts w:ascii="Arial Narrow" w:hAnsi="Arial Narrow"/>
                <w:b/>
                <w:bCs w:val="0"/>
                <w:sz w:val="20"/>
                <w:szCs w:val="20"/>
              </w:rPr>
            </w:pPr>
            <w:r w:rsidRPr="00D56CC5">
              <w:rPr>
                <w:rFonts w:ascii="Arial Narrow" w:hAnsi="Arial Narrow"/>
                <w:b/>
                <w:bCs w:val="0"/>
                <w:sz w:val="20"/>
                <w:szCs w:val="20"/>
              </w:rPr>
              <w:t>Pharmacist Intervention</w:t>
            </w:r>
          </w:p>
        </w:tc>
        <w:tc>
          <w:tcPr>
            <w:tcW w:w="1417" w:type="dxa"/>
            <w:noWrap/>
          </w:tcPr>
          <w:p w14:paraId="7709D121" w14:textId="77777777" w:rsidR="00F466F2" w:rsidRPr="00D56CC5" w:rsidRDefault="00F466F2" w:rsidP="00D56CC5">
            <w:pPr>
              <w:pStyle w:val="TableHeader"/>
              <w:cnfStyle w:val="100000000000" w:firstRow="1" w:lastRow="0" w:firstColumn="0" w:lastColumn="0" w:oddVBand="0" w:evenVBand="0" w:oddHBand="0" w:evenHBand="0" w:firstRowFirstColumn="0" w:firstRowLastColumn="0" w:lastRowFirstColumn="0" w:lastRowLastColumn="0"/>
              <w:rPr>
                <w:rFonts w:ascii="Arial Narrow" w:hAnsi="Arial Narrow"/>
                <w:b/>
                <w:bCs w:val="0"/>
                <w:sz w:val="20"/>
                <w:szCs w:val="20"/>
              </w:rPr>
            </w:pPr>
            <w:r w:rsidRPr="00D56CC5">
              <w:rPr>
                <w:rFonts w:ascii="Arial Narrow" w:hAnsi="Arial Narrow"/>
                <w:b/>
                <w:bCs w:val="0"/>
                <w:sz w:val="20"/>
                <w:szCs w:val="20"/>
              </w:rPr>
              <w:t>Comparator</w:t>
            </w:r>
          </w:p>
        </w:tc>
      </w:tr>
      <w:bookmarkEnd w:id="235"/>
      <w:tr w:rsidR="00F466F2" w:rsidRPr="00D56CC5" w14:paraId="21B977E3" w14:textId="77777777" w:rsidTr="00D56CC5">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1129" w:type="dxa"/>
            <w:noWrap/>
            <w:hideMark/>
          </w:tcPr>
          <w:p w14:paraId="3FEEA7E4" w14:textId="77777777" w:rsidR="00F466F2" w:rsidRPr="00D56CC5" w:rsidRDefault="00F466F2" w:rsidP="00D56CC5">
            <w:pPr>
              <w:pStyle w:val="Tabletext1"/>
              <w:rPr>
                <w:rFonts w:ascii="Arial Narrow" w:hAnsi="Arial Narrow" w:cs="Calibri"/>
                <w:color w:val="000000"/>
                <w:szCs w:val="20"/>
              </w:rPr>
            </w:pPr>
            <w:r w:rsidRPr="00D56CC5">
              <w:rPr>
                <w:rFonts w:ascii="Arial Narrow" w:hAnsi="Arial Narrow"/>
                <w:szCs w:val="20"/>
              </w:rPr>
              <w:t>Baseline</w:t>
            </w:r>
            <w:r w:rsidRPr="00D56CC5" w:rsidDel="00C64939">
              <w:rPr>
                <w:rFonts w:ascii="Arial Narrow" w:hAnsi="Arial Narrow" w:cs="Calibri"/>
                <w:color w:val="000000"/>
                <w:szCs w:val="20"/>
              </w:rPr>
              <w:t xml:space="preserve"> </w:t>
            </w:r>
            <w:r w:rsidRPr="00D56CC5">
              <w:rPr>
                <w:rFonts w:ascii="Arial Narrow" w:hAnsi="Arial Narrow" w:cs="Calibri"/>
                <w:color w:val="000000"/>
                <w:szCs w:val="20"/>
              </w:rPr>
              <w:t>-ADL</w:t>
            </w:r>
          </w:p>
        </w:tc>
        <w:tc>
          <w:tcPr>
            <w:tcW w:w="1276" w:type="dxa"/>
            <w:noWrap/>
            <w:hideMark/>
          </w:tcPr>
          <w:p w14:paraId="41ABBB48" w14:textId="77777777" w:rsidR="00F466F2" w:rsidRPr="00D56CC5" w:rsidRDefault="00F466F2" w:rsidP="00D56CC5">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D56CC5">
              <w:rPr>
                <w:rFonts w:ascii="Arial Narrow" w:hAnsi="Arial Narrow"/>
                <w:szCs w:val="20"/>
              </w:rPr>
              <w:t>$76.844</w:t>
            </w:r>
          </w:p>
        </w:tc>
        <w:tc>
          <w:tcPr>
            <w:tcW w:w="1276" w:type="dxa"/>
            <w:noWrap/>
            <w:hideMark/>
          </w:tcPr>
          <w:p w14:paraId="743C90BF" w14:textId="77777777" w:rsidR="00F466F2" w:rsidRPr="00D56CC5" w:rsidRDefault="00F466F2" w:rsidP="00D56CC5">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D56CC5">
              <w:rPr>
                <w:rFonts w:ascii="Arial Narrow" w:hAnsi="Arial Narrow"/>
                <w:szCs w:val="20"/>
              </w:rPr>
              <w:t>$81.412</w:t>
            </w:r>
          </w:p>
        </w:tc>
        <w:tc>
          <w:tcPr>
            <w:tcW w:w="1276" w:type="dxa"/>
          </w:tcPr>
          <w:p w14:paraId="5289D630" w14:textId="77777777" w:rsidR="00F466F2" w:rsidRPr="00D56CC5" w:rsidRDefault="00F466F2" w:rsidP="00D56CC5">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0"/>
              </w:rPr>
            </w:pPr>
          </w:p>
        </w:tc>
        <w:tc>
          <w:tcPr>
            <w:tcW w:w="1275" w:type="dxa"/>
          </w:tcPr>
          <w:p w14:paraId="0CEAD15F" w14:textId="77777777" w:rsidR="00F466F2" w:rsidRPr="00D56CC5" w:rsidRDefault="00F466F2" w:rsidP="00D56CC5">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0"/>
              </w:rPr>
            </w:pPr>
          </w:p>
        </w:tc>
        <w:tc>
          <w:tcPr>
            <w:tcW w:w="1418" w:type="dxa"/>
          </w:tcPr>
          <w:p w14:paraId="276EEC80" w14:textId="77777777" w:rsidR="00F466F2" w:rsidRPr="00D56CC5" w:rsidRDefault="00F466F2" w:rsidP="00D56CC5">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D56CC5">
              <w:rPr>
                <w:rFonts w:ascii="Arial Narrow" w:hAnsi="Arial Narrow"/>
                <w:szCs w:val="20"/>
              </w:rPr>
              <w:t>Adjusted for baseline difference</w:t>
            </w:r>
          </w:p>
        </w:tc>
        <w:tc>
          <w:tcPr>
            <w:tcW w:w="1417" w:type="dxa"/>
            <w:noWrap/>
            <w:hideMark/>
          </w:tcPr>
          <w:p w14:paraId="6573ACCF" w14:textId="3A28E873" w:rsidR="00F466F2" w:rsidRPr="00D56CC5" w:rsidRDefault="00F466F2" w:rsidP="00D56CC5">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0"/>
              </w:rPr>
            </w:pPr>
          </w:p>
        </w:tc>
      </w:tr>
      <w:tr w:rsidR="00F466F2" w:rsidRPr="00D56CC5" w14:paraId="089D197F" w14:textId="77777777" w:rsidTr="00D56CC5">
        <w:trPr>
          <w:trHeight w:val="70"/>
        </w:trPr>
        <w:tc>
          <w:tcPr>
            <w:cnfStyle w:val="001000000000" w:firstRow="0" w:lastRow="0" w:firstColumn="1" w:lastColumn="0" w:oddVBand="0" w:evenVBand="0" w:oddHBand="0" w:evenHBand="0" w:firstRowFirstColumn="0" w:firstRowLastColumn="0" w:lastRowFirstColumn="0" w:lastRowLastColumn="0"/>
            <w:tcW w:w="1129" w:type="dxa"/>
            <w:noWrap/>
            <w:hideMark/>
          </w:tcPr>
          <w:p w14:paraId="63390E83" w14:textId="77777777" w:rsidR="00F466F2" w:rsidRPr="00D56CC5" w:rsidRDefault="00F466F2" w:rsidP="00D56CC5">
            <w:pPr>
              <w:pStyle w:val="Tabletext1"/>
              <w:rPr>
                <w:rFonts w:ascii="Arial Narrow" w:hAnsi="Arial Narrow" w:cs="Calibri"/>
                <w:color w:val="000000"/>
                <w:szCs w:val="20"/>
              </w:rPr>
            </w:pPr>
            <w:r w:rsidRPr="00D56CC5">
              <w:rPr>
                <w:rFonts w:ascii="Arial Narrow" w:hAnsi="Arial Narrow"/>
                <w:szCs w:val="20"/>
              </w:rPr>
              <w:t>Baseline -</w:t>
            </w:r>
            <w:r w:rsidRPr="00D56CC5">
              <w:rPr>
                <w:rFonts w:ascii="Arial Narrow" w:hAnsi="Arial Narrow" w:cs="Calibri"/>
                <w:color w:val="000000"/>
                <w:szCs w:val="20"/>
              </w:rPr>
              <w:t xml:space="preserve"> BHL</w:t>
            </w:r>
          </w:p>
        </w:tc>
        <w:tc>
          <w:tcPr>
            <w:tcW w:w="1276" w:type="dxa"/>
            <w:noWrap/>
            <w:hideMark/>
          </w:tcPr>
          <w:p w14:paraId="1EEEA9A2" w14:textId="77777777" w:rsidR="00F466F2" w:rsidRPr="00D56CC5" w:rsidRDefault="00F466F2" w:rsidP="00D56CC5">
            <w:pPr>
              <w:pStyle w:val="Tabletext1"/>
              <w:jc w:val="right"/>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D56CC5">
              <w:rPr>
                <w:rFonts w:ascii="Arial Narrow" w:hAnsi="Arial Narrow"/>
                <w:szCs w:val="20"/>
              </w:rPr>
              <w:t>$13.713</w:t>
            </w:r>
          </w:p>
        </w:tc>
        <w:tc>
          <w:tcPr>
            <w:tcW w:w="1276" w:type="dxa"/>
            <w:noWrap/>
            <w:hideMark/>
          </w:tcPr>
          <w:p w14:paraId="44EE70DC" w14:textId="77777777" w:rsidR="00F466F2" w:rsidRPr="00D56CC5" w:rsidRDefault="00F466F2" w:rsidP="00D56CC5">
            <w:pPr>
              <w:pStyle w:val="Tabletext1"/>
              <w:jc w:val="right"/>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D56CC5">
              <w:rPr>
                <w:rFonts w:ascii="Arial Narrow" w:hAnsi="Arial Narrow"/>
                <w:szCs w:val="20"/>
              </w:rPr>
              <w:t>$17.218</w:t>
            </w:r>
          </w:p>
        </w:tc>
        <w:tc>
          <w:tcPr>
            <w:tcW w:w="1276" w:type="dxa"/>
          </w:tcPr>
          <w:p w14:paraId="0A6C8CEE" w14:textId="77777777" w:rsidR="00F466F2" w:rsidRPr="00D56CC5" w:rsidRDefault="00F466F2" w:rsidP="00D56CC5">
            <w:pPr>
              <w:pStyle w:val="Tabletext1"/>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Cs w:val="20"/>
              </w:rPr>
            </w:pPr>
          </w:p>
        </w:tc>
        <w:tc>
          <w:tcPr>
            <w:tcW w:w="1275" w:type="dxa"/>
          </w:tcPr>
          <w:p w14:paraId="0167343F" w14:textId="77777777" w:rsidR="00F466F2" w:rsidRPr="00D56CC5" w:rsidRDefault="00F466F2" w:rsidP="00D56CC5">
            <w:pPr>
              <w:pStyle w:val="Tabletext1"/>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Cs w:val="20"/>
              </w:rPr>
            </w:pPr>
          </w:p>
        </w:tc>
        <w:tc>
          <w:tcPr>
            <w:tcW w:w="1418" w:type="dxa"/>
          </w:tcPr>
          <w:p w14:paraId="6F4C07AF" w14:textId="77777777" w:rsidR="00F466F2" w:rsidRPr="00D56CC5" w:rsidRDefault="00F466F2" w:rsidP="00D56CC5">
            <w:pPr>
              <w:pStyle w:val="Tabletext1"/>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Cs w:val="20"/>
              </w:rPr>
            </w:pPr>
          </w:p>
        </w:tc>
        <w:tc>
          <w:tcPr>
            <w:tcW w:w="1417" w:type="dxa"/>
            <w:noWrap/>
            <w:hideMark/>
          </w:tcPr>
          <w:p w14:paraId="52CFCA9F" w14:textId="77777777" w:rsidR="00F466F2" w:rsidRPr="00D56CC5" w:rsidRDefault="00F466F2" w:rsidP="00D56CC5">
            <w:pPr>
              <w:pStyle w:val="Tabletext1"/>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Cs w:val="20"/>
              </w:rPr>
            </w:pPr>
          </w:p>
        </w:tc>
      </w:tr>
      <w:tr w:rsidR="00F466F2" w:rsidRPr="00D56CC5" w14:paraId="71FEBBAE" w14:textId="77777777" w:rsidTr="00D56CC5">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129" w:type="dxa"/>
            <w:noWrap/>
            <w:hideMark/>
          </w:tcPr>
          <w:p w14:paraId="0DE7C78D" w14:textId="77777777" w:rsidR="00F466F2" w:rsidRPr="00D56CC5" w:rsidRDefault="00F466F2" w:rsidP="00D56CC5">
            <w:pPr>
              <w:pStyle w:val="Tabletext1"/>
              <w:rPr>
                <w:rFonts w:ascii="Arial Narrow" w:hAnsi="Arial Narrow" w:cs="Calibri"/>
                <w:color w:val="000000"/>
                <w:szCs w:val="20"/>
              </w:rPr>
            </w:pPr>
            <w:r w:rsidRPr="00D56CC5">
              <w:rPr>
                <w:rFonts w:ascii="Arial Narrow" w:hAnsi="Arial Narrow"/>
                <w:szCs w:val="20"/>
              </w:rPr>
              <w:t>Baseline</w:t>
            </w:r>
            <w:r w:rsidRPr="00D56CC5">
              <w:rPr>
                <w:rFonts w:ascii="Arial Narrow" w:hAnsi="Arial Narrow" w:cs="Calibri"/>
                <w:color w:val="000000"/>
                <w:szCs w:val="20"/>
              </w:rPr>
              <w:t xml:space="preserve"> -CHCL</w:t>
            </w:r>
          </w:p>
        </w:tc>
        <w:tc>
          <w:tcPr>
            <w:tcW w:w="1276" w:type="dxa"/>
            <w:noWrap/>
            <w:hideMark/>
          </w:tcPr>
          <w:p w14:paraId="0FDF185C" w14:textId="77777777" w:rsidR="00F466F2" w:rsidRPr="00D56CC5" w:rsidRDefault="00F466F2" w:rsidP="00D56CC5">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D56CC5">
              <w:rPr>
                <w:rFonts w:ascii="Arial Narrow" w:hAnsi="Arial Narrow"/>
                <w:szCs w:val="20"/>
              </w:rPr>
              <w:t>$54.908</w:t>
            </w:r>
          </w:p>
        </w:tc>
        <w:tc>
          <w:tcPr>
            <w:tcW w:w="1276" w:type="dxa"/>
            <w:noWrap/>
            <w:hideMark/>
          </w:tcPr>
          <w:p w14:paraId="7CB6345F" w14:textId="77777777" w:rsidR="00F466F2" w:rsidRPr="00D56CC5" w:rsidRDefault="00F466F2" w:rsidP="00D56CC5">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D56CC5">
              <w:rPr>
                <w:rFonts w:ascii="Arial Narrow" w:hAnsi="Arial Narrow"/>
                <w:szCs w:val="20"/>
              </w:rPr>
              <w:t>$56.221</w:t>
            </w:r>
          </w:p>
        </w:tc>
        <w:tc>
          <w:tcPr>
            <w:tcW w:w="1276" w:type="dxa"/>
          </w:tcPr>
          <w:p w14:paraId="75040E21" w14:textId="77777777" w:rsidR="00F466F2" w:rsidRPr="00D56CC5" w:rsidRDefault="00F466F2" w:rsidP="00D56CC5">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0"/>
              </w:rPr>
            </w:pPr>
          </w:p>
        </w:tc>
        <w:tc>
          <w:tcPr>
            <w:tcW w:w="1275" w:type="dxa"/>
          </w:tcPr>
          <w:p w14:paraId="379EFE4D" w14:textId="77777777" w:rsidR="00F466F2" w:rsidRPr="00D56CC5" w:rsidRDefault="00F466F2" w:rsidP="00D56CC5">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0"/>
              </w:rPr>
            </w:pPr>
          </w:p>
        </w:tc>
        <w:tc>
          <w:tcPr>
            <w:tcW w:w="1418" w:type="dxa"/>
          </w:tcPr>
          <w:p w14:paraId="698EA29E" w14:textId="77777777" w:rsidR="00F466F2" w:rsidRPr="00D56CC5" w:rsidRDefault="00F466F2" w:rsidP="00D56CC5">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0"/>
              </w:rPr>
            </w:pPr>
          </w:p>
        </w:tc>
        <w:tc>
          <w:tcPr>
            <w:tcW w:w="1417" w:type="dxa"/>
            <w:noWrap/>
            <w:hideMark/>
          </w:tcPr>
          <w:p w14:paraId="20016EA7" w14:textId="77777777" w:rsidR="00F466F2" w:rsidRPr="00D56CC5" w:rsidRDefault="00F466F2" w:rsidP="00D56CC5">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0"/>
              </w:rPr>
            </w:pPr>
          </w:p>
        </w:tc>
      </w:tr>
      <w:tr w:rsidR="00F466F2" w:rsidRPr="00D56CC5" w14:paraId="66E250C3" w14:textId="77777777" w:rsidTr="00D56CC5">
        <w:trPr>
          <w:trHeight w:val="70"/>
        </w:trPr>
        <w:tc>
          <w:tcPr>
            <w:cnfStyle w:val="001000000000" w:firstRow="0" w:lastRow="0" w:firstColumn="1" w:lastColumn="0" w:oddVBand="0" w:evenVBand="0" w:oddHBand="0" w:evenHBand="0" w:firstRowFirstColumn="0" w:firstRowLastColumn="0" w:lastRowFirstColumn="0" w:lastRowLastColumn="0"/>
            <w:tcW w:w="1129" w:type="dxa"/>
            <w:shd w:val="clear" w:color="auto" w:fill="E7E6E6" w:themeFill="background2"/>
            <w:noWrap/>
            <w:hideMark/>
          </w:tcPr>
          <w:p w14:paraId="5472F932" w14:textId="77777777" w:rsidR="00F466F2" w:rsidRPr="00D56CC5" w:rsidRDefault="00F466F2" w:rsidP="00D56CC5">
            <w:pPr>
              <w:pStyle w:val="Tabletext1"/>
              <w:rPr>
                <w:rFonts w:ascii="Arial Narrow" w:hAnsi="Arial Narrow" w:cs="Calibri"/>
                <w:color w:val="000000"/>
                <w:szCs w:val="20"/>
              </w:rPr>
            </w:pPr>
            <w:r w:rsidRPr="00D56CC5">
              <w:rPr>
                <w:rFonts w:ascii="Arial Narrow" w:hAnsi="Arial Narrow"/>
                <w:szCs w:val="20"/>
              </w:rPr>
              <w:t>Baseline</w:t>
            </w:r>
            <w:r w:rsidRPr="00D56CC5">
              <w:rPr>
                <w:rFonts w:ascii="Arial Narrow" w:hAnsi="Arial Narrow" w:cs="Calibri"/>
                <w:color w:val="000000"/>
                <w:szCs w:val="20"/>
              </w:rPr>
              <w:t xml:space="preserve"> Total</w:t>
            </w:r>
          </w:p>
        </w:tc>
        <w:tc>
          <w:tcPr>
            <w:tcW w:w="1276" w:type="dxa"/>
            <w:shd w:val="clear" w:color="auto" w:fill="E7E6E6" w:themeFill="background2"/>
            <w:noWrap/>
            <w:hideMark/>
          </w:tcPr>
          <w:p w14:paraId="59CEDE16" w14:textId="77777777" w:rsidR="00F466F2" w:rsidRPr="00D56CC5" w:rsidRDefault="00F466F2" w:rsidP="00D56CC5">
            <w:pPr>
              <w:pStyle w:val="Tabletext1"/>
              <w:jc w:val="right"/>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D56CC5">
              <w:rPr>
                <w:rFonts w:ascii="Arial Narrow" w:hAnsi="Arial Narrow"/>
                <w:szCs w:val="20"/>
              </w:rPr>
              <w:t>$145.466</w:t>
            </w:r>
          </w:p>
        </w:tc>
        <w:tc>
          <w:tcPr>
            <w:tcW w:w="1276" w:type="dxa"/>
            <w:shd w:val="clear" w:color="auto" w:fill="E7E6E6" w:themeFill="background2"/>
            <w:noWrap/>
            <w:hideMark/>
          </w:tcPr>
          <w:p w14:paraId="702AD38C" w14:textId="77777777" w:rsidR="00F466F2" w:rsidRPr="00D56CC5" w:rsidRDefault="00F466F2" w:rsidP="00D56CC5">
            <w:pPr>
              <w:pStyle w:val="Tabletext1"/>
              <w:jc w:val="right"/>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D56CC5">
              <w:rPr>
                <w:rFonts w:ascii="Arial Narrow" w:hAnsi="Arial Narrow"/>
                <w:szCs w:val="20"/>
              </w:rPr>
              <w:t>$154.851</w:t>
            </w:r>
          </w:p>
        </w:tc>
        <w:tc>
          <w:tcPr>
            <w:tcW w:w="1276" w:type="dxa"/>
            <w:shd w:val="clear" w:color="auto" w:fill="E7E6E6" w:themeFill="background2"/>
          </w:tcPr>
          <w:p w14:paraId="36028EBB" w14:textId="77777777" w:rsidR="00F466F2" w:rsidRPr="00D56CC5" w:rsidRDefault="00F466F2" w:rsidP="00D56CC5">
            <w:pPr>
              <w:pStyle w:val="Tabletext1"/>
              <w:jc w:val="right"/>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D56CC5">
              <w:rPr>
                <w:rFonts w:ascii="Arial Narrow" w:hAnsi="Arial Narrow"/>
                <w:szCs w:val="20"/>
              </w:rPr>
              <w:t>Weighted average:  $150.30</w:t>
            </w:r>
          </w:p>
        </w:tc>
        <w:tc>
          <w:tcPr>
            <w:tcW w:w="1275" w:type="dxa"/>
            <w:shd w:val="clear" w:color="auto" w:fill="E7E6E6" w:themeFill="background2"/>
          </w:tcPr>
          <w:p w14:paraId="1B2A72EE" w14:textId="77777777" w:rsidR="00F466F2" w:rsidRPr="00D56CC5" w:rsidRDefault="00F466F2" w:rsidP="00D56CC5">
            <w:pPr>
              <w:pStyle w:val="Tabletext1"/>
              <w:jc w:val="right"/>
              <w:cnfStyle w:val="000000000000" w:firstRow="0" w:lastRow="0" w:firstColumn="0" w:lastColumn="0" w:oddVBand="0" w:evenVBand="0" w:oddHBand="0" w:evenHBand="0" w:firstRowFirstColumn="0" w:firstRowLastColumn="0" w:lastRowFirstColumn="0" w:lastRowLastColumn="0"/>
              <w:rPr>
                <w:rFonts w:ascii="Arial Narrow" w:hAnsi="Arial Narrow"/>
                <w:color w:val="000000"/>
                <w:szCs w:val="20"/>
              </w:rPr>
            </w:pPr>
            <w:r w:rsidRPr="00D56CC5">
              <w:rPr>
                <w:rFonts w:ascii="Arial Narrow" w:hAnsi="Arial Narrow"/>
                <w:szCs w:val="20"/>
              </w:rPr>
              <w:t>Weighted average:  $150.30</w:t>
            </w:r>
          </w:p>
        </w:tc>
        <w:tc>
          <w:tcPr>
            <w:tcW w:w="1418" w:type="dxa"/>
            <w:shd w:val="clear" w:color="auto" w:fill="E7E6E6" w:themeFill="background2"/>
          </w:tcPr>
          <w:p w14:paraId="4687C384" w14:textId="77777777" w:rsidR="00F466F2" w:rsidRPr="00D56CC5" w:rsidRDefault="00F466F2" w:rsidP="00D56CC5">
            <w:pPr>
              <w:pStyle w:val="Tabletext1"/>
              <w:jc w:val="right"/>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D56CC5">
              <w:rPr>
                <w:rFonts w:ascii="Arial Narrow" w:hAnsi="Arial Narrow"/>
                <w:szCs w:val="20"/>
              </w:rPr>
              <w:t>$150.30</w:t>
            </w:r>
          </w:p>
        </w:tc>
        <w:tc>
          <w:tcPr>
            <w:tcW w:w="1417" w:type="dxa"/>
            <w:shd w:val="clear" w:color="auto" w:fill="E7E6E6" w:themeFill="background2"/>
          </w:tcPr>
          <w:p w14:paraId="61647B7D" w14:textId="77777777" w:rsidR="00F466F2" w:rsidRPr="00D56CC5" w:rsidRDefault="00F466F2" w:rsidP="00D56CC5">
            <w:pPr>
              <w:pStyle w:val="Tabletext1"/>
              <w:jc w:val="right"/>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D56CC5">
              <w:rPr>
                <w:rFonts w:ascii="Arial Narrow" w:hAnsi="Arial Narrow"/>
                <w:szCs w:val="20"/>
              </w:rPr>
              <w:t>$150.30</w:t>
            </w:r>
          </w:p>
        </w:tc>
      </w:tr>
      <w:tr w:rsidR="00F466F2" w:rsidRPr="00D56CC5" w14:paraId="6AC798E9" w14:textId="77777777" w:rsidTr="00D56C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noWrap/>
            <w:hideMark/>
          </w:tcPr>
          <w:p w14:paraId="13412754" w14:textId="77777777" w:rsidR="00F466F2" w:rsidRPr="00D56CC5" w:rsidRDefault="00F466F2" w:rsidP="00D56CC5">
            <w:pPr>
              <w:pStyle w:val="Tabletext1"/>
              <w:rPr>
                <w:rFonts w:ascii="Arial Narrow" w:hAnsi="Arial Narrow" w:cs="Calibri"/>
                <w:color w:val="000000"/>
                <w:szCs w:val="20"/>
              </w:rPr>
            </w:pPr>
            <w:r w:rsidRPr="00D56CC5">
              <w:rPr>
                <w:rFonts w:ascii="Arial Narrow" w:hAnsi="Arial Narrow"/>
                <w:szCs w:val="20"/>
              </w:rPr>
              <w:t>6 months</w:t>
            </w:r>
            <w:r w:rsidRPr="00D56CC5">
              <w:rPr>
                <w:rFonts w:ascii="Arial Narrow" w:hAnsi="Arial Narrow" w:cs="Calibri"/>
                <w:color w:val="000000"/>
                <w:szCs w:val="20"/>
              </w:rPr>
              <w:t xml:space="preserve"> - ADL</w:t>
            </w:r>
          </w:p>
        </w:tc>
        <w:tc>
          <w:tcPr>
            <w:tcW w:w="1276" w:type="dxa"/>
            <w:noWrap/>
            <w:hideMark/>
          </w:tcPr>
          <w:p w14:paraId="458E76DD" w14:textId="77777777" w:rsidR="00F466F2" w:rsidRPr="00D56CC5" w:rsidRDefault="00F466F2" w:rsidP="00D56CC5">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D56CC5">
              <w:rPr>
                <w:rFonts w:ascii="Arial Narrow" w:hAnsi="Arial Narrow"/>
                <w:szCs w:val="20"/>
              </w:rPr>
              <w:t>$77.117</w:t>
            </w:r>
          </w:p>
        </w:tc>
        <w:tc>
          <w:tcPr>
            <w:tcW w:w="1276" w:type="dxa"/>
            <w:noWrap/>
            <w:hideMark/>
          </w:tcPr>
          <w:p w14:paraId="0572E2B7" w14:textId="77777777" w:rsidR="00F466F2" w:rsidRPr="00D56CC5" w:rsidRDefault="00F466F2" w:rsidP="00D56CC5">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D56CC5">
              <w:rPr>
                <w:rFonts w:ascii="Arial Narrow" w:hAnsi="Arial Narrow"/>
                <w:szCs w:val="20"/>
              </w:rPr>
              <w:t>$82.747</w:t>
            </w:r>
          </w:p>
        </w:tc>
        <w:tc>
          <w:tcPr>
            <w:tcW w:w="1276" w:type="dxa"/>
          </w:tcPr>
          <w:p w14:paraId="23704592" w14:textId="77777777" w:rsidR="00F466F2" w:rsidRPr="00D56CC5" w:rsidRDefault="00F466F2" w:rsidP="00D56CC5">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D56CC5">
              <w:rPr>
                <w:rFonts w:ascii="Arial Narrow" w:hAnsi="Arial Narrow"/>
                <w:szCs w:val="20"/>
              </w:rPr>
              <w:t>Change Relative to Baseline</w:t>
            </w:r>
          </w:p>
        </w:tc>
        <w:tc>
          <w:tcPr>
            <w:tcW w:w="1275" w:type="dxa"/>
          </w:tcPr>
          <w:p w14:paraId="2529C9A2" w14:textId="6028B027" w:rsidR="00F466F2" w:rsidRPr="00D56CC5" w:rsidRDefault="00F466F2" w:rsidP="00D56CC5">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0"/>
              </w:rPr>
            </w:pPr>
          </w:p>
        </w:tc>
        <w:tc>
          <w:tcPr>
            <w:tcW w:w="1418" w:type="dxa"/>
          </w:tcPr>
          <w:p w14:paraId="4F290C4A" w14:textId="77777777" w:rsidR="00F466F2" w:rsidRPr="00D56CC5" w:rsidRDefault="00F466F2" w:rsidP="00D56CC5">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D56CC5">
              <w:rPr>
                <w:rFonts w:ascii="Arial Narrow" w:hAnsi="Arial Narrow"/>
                <w:szCs w:val="20"/>
              </w:rPr>
              <w:t>Applied to weighted average</w:t>
            </w:r>
          </w:p>
        </w:tc>
        <w:tc>
          <w:tcPr>
            <w:tcW w:w="1417" w:type="dxa"/>
            <w:noWrap/>
          </w:tcPr>
          <w:p w14:paraId="74C954D0" w14:textId="13FABCAF" w:rsidR="00F466F2" w:rsidRPr="00D56CC5" w:rsidRDefault="00F466F2" w:rsidP="00D56CC5">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i/>
                <w:color w:val="000000"/>
                <w:szCs w:val="20"/>
              </w:rPr>
            </w:pPr>
          </w:p>
        </w:tc>
      </w:tr>
      <w:tr w:rsidR="00F466F2" w:rsidRPr="00D56CC5" w14:paraId="7398005A" w14:textId="77777777" w:rsidTr="00D56CC5">
        <w:trPr>
          <w:trHeight w:val="70"/>
        </w:trPr>
        <w:tc>
          <w:tcPr>
            <w:cnfStyle w:val="001000000000" w:firstRow="0" w:lastRow="0" w:firstColumn="1" w:lastColumn="0" w:oddVBand="0" w:evenVBand="0" w:oddHBand="0" w:evenHBand="0" w:firstRowFirstColumn="0" w:firstRowLastColumn="0" w:lastRowFirstColumn="0" w:lastRowLastColumn="0"/>
            <w:tcW w:w="1129" w:type="dxa"/>
            <w:noWrap/>
            <w:hideMark/>
          </w:tcPr>
          <w:p w14:paraId="06420B79" w14:textId="77777777" w:rsidR="00F466F2" w:rsidRPr="00D56CC5" w:rsidRDefault="00F466F2" w:rsidP="00D56CC5">
            <w:pPr>
              <w:pStyle w:val="Tabletext1"/>
              <w:rPr>
                <w:rFonts w:ascii="Arial Narrow" w:hAnsi="Arial Narrow" w:cs="Calibri"/>
                <w:color w:val="000000"/>
                <w:szCs w:val="20"/>
              </w:rPr>
            </w:pPr>
            <w:r w:rsidRPr="00D56CC5">
              <w:rPr>
                <w:rFonts w:ascii="Arial Narrow" w:hAnsi="Arial Narrow"/>
                <w:szCs w:val="20"/>
              </w:rPr>
              <w:t>6 months</w:t>
            </w:r>
            <w:r w:rsidRPr="00D56CC5">
              <w:rPr>
                <w:rFonts w:ascii="Arial Narrow" w:hAnsi="Arial Narrow" w:cs="Calibri"/>
                <w:color w:val="000000"/>
                <w:szCs w:val="20"/>
              </w:rPr>
              <w:t xml:space="preserve"> - BHL</w:t>
            </w:r>
          </w:p>
        </w:tc>
        <w:tc>
          <w:tcPr>
            <w:tcW w:w="1276" w:type="dxa"/>
            <w:noWrap/>
            <w:hideMark/>
          </w:tcPr>
          <w:p w14:paraId="2EBED8EE" w14:textId="77777777" w:rsidR="00F466F2" w:rsidRPr="00D56CC5" w:rsidRDefault="00F466F2" w:rsidP="00D56CC5">
            <w:pPr>
              <w:pStyle w:val="Tabletext1"/>
              <w:jc w:val="right"/>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D56CC5">
              <w:rPr>
                <w:rFonts w:ascii="Arial Narrow" w:hAnsi="Arial Narrow"/>
                <w:szCs w:val="20"/>
              </w:rPr>
              <w:t>$13.700</w:t>
            </w:r>
          </w:p>
        </w:tc>
        <w:tc>
          <w:tcPr>
            <w:tcW w:w="1276" w:type="dxa"/>
            <w:noWrap/>
            <w:hideMark/>
          </w:tcPr>
          <w:p w14:paraId="6A94F03C" w14:textId="77777777" w:rsidR="00F466F2" w:rsidRPr="00D56CC5" w:rsidRDefault="00F466F2" w:rsidP="00D56CC5">
            <w:pPr>
              <w:pStyle w:val="Tabletext1"/>
              <w:jc w:val="right"/>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D56CC5">
              <w:rPr>
                <w:rFonts w:ascii="Arial Narrow" w:hAnsi="Arial Narrow"/>
                <w:szCs w:val="20"/>
              </w:rPr>
              <w:t>$17.361</w:t>
            </w:r>
          </w:p>
        </w:tc>
        <w:tc>
          <w:tcPr>
            <w:tcW w:w="1276" w:type="dxa"/>
          </w:tcPr>
          <w:p w14:paraId="6ED11C77" w14:textId="77777777" w:rsidR="00F466F2" w:rsidRPr="00D56CC5" w:rsidRDefault="00F466F2" w:rsidP="00D56CC5">
            <w:pPr>
              <w:pStyle w:val="Tabletext1"/>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Cs w:val="20"/>
              </w:rPr>
            </w:pPr>
          </w:p>
        </w:tc>
        <w:tc>
          <w:tcPr>
            <w:tcW w:w="1275" w:type="dxa"/>
          </w:tcPr>
          <w:p w14:paraId="673DE5EF" w14:textId="77777777" w:rsidR="00F466F2" w:rsidRPr="00D56CC5" w:rsidRDefault="00F466F2" w:rsidP="00D56CC5">
            <w:pPr>
              <w:pStyle w:val="Tabletext1"/>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Cs w:val="20"/>
              </w:rPr>
            </w:pPr>
          </w:p>
        </w:tc>
        <w:tc>
          <w:tcPr>
            <w:tcW w:w="1418" w:type="dxa"/>
          </w:tcPr>
          <w:p w14:paraId="4CAAE075" w14:textId="77777777" w:rsidR="00F466F2" w:rsidRPr="00D56CC5" w:rsidRDefault="00F466F2" w:rsidP="00D56CC5">
            <w:pPr>
              <w:pStyle w:val="Tabletext1"/>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i/>
                <w:color w:val="000000"/>
                <w:szCs w:val="20"/>
              </w:rPr>
            </w:pPr>
          </w:p>
        </w:tc>
        <w:tc>
          <w:tcPr>
            <w:tcW w:w="1417" w:type="dxa"/>
            <w:noWrap/>
          </w:tcPr>
          <w:p w14:paraId="5271D227" w14:textId="77777777" w:rsidR="00F466F2" w:rsidRPr="00D56CC5" w:rsidRDefault="00F466F2" w:rsidP="00D56CC5">
            <w:pPr>
              <w:pStyle w:val="Tabletext1"/>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i/>
                <w:color w:val="000000"/>
                <w:szCs w:val="20"/>
              </w:rPr>
            </w:pPr>
          </w:p>
        </w:tc>
      </w:tr>
      <w:tr w:rsidR="00F466F2" w:rsidRPr="00D56CC5" w14:paraId="3D0001F5" w14:textId="77777777" w:rsidTr="00D56CC5">
        <w:trPr>
          <w:cnfStyle w:val="000000100000" w:firstRow="0" w:lastRow="0" w:firstColumn="0" w:lastColumn="0" w:oddVBand="0" w:evenVBand="0" w:oddHBand="1" w:evenHBand="0"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1129" w:type="dxa"/>
            <w:noWrap/>
            <w:hideMark/>
          </w:tcPr>
          <w:p w14:paraId="295262E6" w14:textId="77777777" w:rsidR="00F466F2" w:rsidRPr="00D56CC5" w:rsidRDefault="00F466F2" w:rsidP="00D56CC5">
            <w:pPr>
              <w:pStyle w:val="Tabletext1"/>
              <w:rPr>
                <w:rFonts w:ascii="Arial Narrow" w:hAnsi="Arial Narrow" w:cs="Calibri"/>
                <w:color w:val="000000"/>
                <w:szCs w:val="20"/>
              </w:rPr>
            </w:pPr>
            <w:r w:rsidRPr="00D56CC5">
              <w:rPr>
                <w:rFonts w:ascii="Arial Narrow" w:hAnsi="Arial Narrow"/>
                <w:szCs w:val="20"/>
              </w:rPr>
              <w:t xml:space="preserve">6 months </w:t>
            </w:r>
            <w:proofErr w:type="gramStart"/>
            <w:r w:rsidRPr="00D56CC5">
              <w:rPr>
                <w:rFonts w:ascii="Arial Narrow" w:hAnsi="Arial Narrow"/>
                <w:szCs w:val="20"/>
              </w:rPr>
              <w:t>-</w:t>
            </w:r>
            <w:r w:rsidRPr="00D56CC5">
              <w:rPr>
                <w:rFonts w:ascii="Arial Narrow" w:hAnsi="Arial Narrow" w:cs="Calibri"/>
                <w:color w:val="000000"/>
                <w:szCs w:val="20"/>
              </w:rPr>
              <w:t xml:space="preserve">  CHCL</w:t>
            </w:r>
            <w:proofErr w:type="gramEnd"/>
          </w:p>
        </w:tc>
        <w:tc>
          <w:tcPr>
            <w:tcW w:w="1276" w:type="dxa"/>
            <w:noWrap/>
            <w:hideMark/>
          </w:tcPr>
          <w:p w14:paraId="58A8E21A" w14:textId="77777777" w:rsidR="00F466F2" w:rsidRPr="00D56CC5" w:rsidRDefault="00F466F2" w:rsidP="00D56CC5">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D56CC5">
              <w:rPr>
                <w:rFonts w:ascii="Arial Narrow" w:hAnsi="Arial Narrow"/>
                <w:szCs w:val="20"/>
              </w:rPr>
              <w:t>$56.109</w:t>
            </w:r>
          </w:p>
        </w:tc>
        <w:tc>
          <w:tcPr>
            <w:tcW w:w="1276" w:type="dxa"/>
            <w:noWrap/>
            <w:hideMark/>
          </w:tcPr>
          <w:p w14:paraId="61F6E366" w14:textId="77777777" w:rsidR="00F466F2" w:rsidRPr="00D56CC5" w:rsidRDefault="00F466F2" w:rsidP="00D56CC5">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D56CC5">
              <w:rPr>
                <w:rFonts w:ascii="Arial Narrow" w:hAnsi="Arial Narrow"/>
                <w:szCs w:val="20"/>
              </w:rPr>
              <w:t>$56.987</w:t>
            </w:r>
          </w:p>
        </w:tc>
        <w:tc>
          <w:tcPr>
            <w:tcW w:w="1276" w:type="dxa"/>
          </w:tcPr>
          <w:p w14:paraId="577EA5BB" w14:textId="77777777" w:rsidR="00F466F2" w:rsidRPr="00D56CC5" w:rsidRDefault="00F466F2" w:rsidP="00D56CC5">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0"/>
              </w:rPr>
            </w:pPr>
          </w:p>
        </w:tc>
        <w:tc>
          <w:tcPr>
            <w:tcW w:w="1275" w:type="dxa"/>
          </w:tcPr>
          <w:p w14:paraId="30A8E36E" w14:textId="77777777" w:rsidR="00F466F2" w:rsidRPr="00D56CC5" w:rsidRDefault="00F466F2" w:rsidP="00D56CC5">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0"/>
              </w:rPr>
            </w:pPr>
          </w:p>
        </w:tc>
        <w:tc>
          <w:tcPr>
            <w:tcW w:w="1418" w:type="dxa"/>
          </w:tcPr>
          <w:p w14:paraId="5A29CD66" w14:textId="77777777" w:rsidR="00F466F2" w:rsidRPr="00D56CC5" w:rsidRDefault="00F466F2" w:rsidP="00D56CC5">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i/>
                <w:color w:val="000000"/>
                <w:szCs w:val="20"/>
              </w:rPr>
            </w:pPr>
          </w:p>
        </w:tc>
        <w:tc>
          <w:tcPr>
            <w:tcW w:w="1417" w:type="dxa"/>
            <w:noWrap/>
          </w:tcPr>
          <w:p w14:paraId="10B9A51D" w14:textId="77777777" w:rsidR="00F466F2" w:rsidRPr="00D56CC5" w:rsidRDefault="00F466F2" w:rsidP="00D56CC5">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i/>
                <w:color w:val="000000"/>
                <w:szCs w:val="20"/>
              </w:rPr>
            </w:pPr>
          </w:p>
        </w:tc>
      </w:tr>
      <w:tr w:rsidR="00F466F2" w:rsidRPr="00D56CC5" w14:paraId="70C358B4" w14:textId="77777777" w:rsidTr="00D56CC5">
        <w:trPr>
          <w:trHeight w:val="300"/>
        </w:trPr>
        <w:tc>
          <w:tcPr>
            <w:cnfStyle w:val="001000000000" w:firstRow="0" w:lastRow="0" w:firstColumn="1" w:lastColumn="0" w:oddVBand="0" w:evenVBand="0" w:oddHBand="0" w:evenHBand="0" w:firstRowFirstColumn="0" w:firstRowLastColumn="0" w:lastRowFirstColumn="0" w:lastRowLastColumn="0"/>
            <w:tcW w:w="1129" w:type="dxa"/>
            <w:shd w:val="clear" w:color="auto" w:fill="E7E6E6" w:themeFill="background2"/>
            <w:noWrap/>
            <w:hideMark/>
          </w:tcPr>
          <w:p w14:paraId="4457E53A" w14:textId="77777777" w:rsidR="00F466F2" w:rsidRPr="00D56CC5" w:rsidRDefault="00F466F2" w:rsidP="00D56CC5">
            <w:pPr>
              <w:pStyle w:val="Tabletext1"/>
              <w:rPr>
                <w:rFonts w:ascii="Arial Narrow" w:hAnsi="Arial Narrow" w:cs="Calibri"/>
                <w:color w:val="000000"/>
                <w:szCs w:val="20"/>
              </w:rPr>
            </w:pPr>
            <w:r w:rsidRPr="00D56CC5">
              <w:rPr>
                <w:rFonts w:ascii="Arial Narrow" w:hAnsi="Arial Narrow"/>
                <w:szCs w:val="20"/>
              </w:rPr>
              <w:t xml:space="preserve">6 </w:t>
            </w:r>
            <w:proofErr w:type="gramStart"/>
            <w:r w:rsidRPr="00D56CC5">
              <w:rPr>
                <w:rFonts w:ascii="Arial Narrow" w:hAnsi="Arial Narrow"/>
                <w:szCs w:val="20"/>
              </w:rPr>
              <w:t>months</w:t>
            </w:r>
            <w:r w:rsidRPr="00D56CC5">
              <w:rPr>
                <w:rFonts w:ascii="Arial Narrow" w:hAnsi="Arial Narrow" w:cs="Calibri"/>
                <w:color w:val="000000"/>
                <w:szCs w:val="20"/>
              </w:rPr>
              <w:t xml:space="preserve">  -</w:t>
            </w:r>
            <w:proofErr w:type="gramEnd"/>
            <w:r w:rsidRPr="00D56CC5">
              <w:rPr>
                <w:rFonts w:ascii="Arial Narrow" w:hAnsi="Arial Narrow" w:cs="Calibri"/>
                <w:color w:val="000000"/>
                <w:szCs w:val="20"/>
              </w:rPr>
              <w:t>Total</w:t>
            </w:r>
          </w:p>
        </w:tc>
        <w:tc>
          <w:tcPr>
            <w:tcW w:w="1276" w:type="dxa"/>
            <w:shd w:val="clear" w:color="auto" w:fill="E7E6E6" w:themeFill="background2"/>
            <w:noWrap/>
            <w:hideMark/>
          </w:tcPr>
          <w:p w14:paraId="7B01B803" w14:textId="77777777" w:rsidR="00F466F2" w:rsidRPr="00D56CC5" w:rsidRDefault="00F466F2" w:rsidP="00D56CC5">
            <w:pPr>
              <w:pStyle w:val="Tabletext1"/>
              <w:jc w:val="right"/>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D56CC5">
              <w:rPr>
                <w:rFonts w:ascii="Arial Narrow" w:hAnsi="Arial Narrow"/>
                <w:szCs w:val="20"/>
              </w:rPr>
              <w:t>$146.927</w:t>
            </w:r>
          </w:p>
        </w:tc>
        <w:tc>
          <w:tcPr>
            <w:tcW w:w="1276" w:type="dxa"/>
            <w:shd w:val="clear" w:color="auto" w:fill="E7E6E6" w:themeFill="background2"/>
            <w:noWrap/>
            <w:hideMark/>
          </w:tcPr>
          <w:p w14:paraId="0BFD320B" w14:textId="77777777" w:rsidR="00F466F2" w:rsidRPr="00D56CC5" w:rsidRDefault="00F466F2" w:rsidP="00D56CC5">
            <w:pPr>
              <w:pStyle w:val="Tabletext1"/>
              <w:jc w:val="right"/>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D56CC5">
              <w:rPr>
                <w:rFonts w:ascii="Arial Narrow" w:hAnsi="Arial Narrow"/>
                <w:szCs w:val="20"/>
              </w:rPr>
              <w:t>$157.095</w:t>
            </w:r>
          </w:p>
        </w:tc>
        <w:tc>
          <w:tcPr>
            <w:tcW w:w="1276" w:type="dxa"/>
            <w:shd w:val="clear" w:color="auto" w:fill="E7E6E6" w:themeFill="background2"/>
          </w:tcPr>
          <w:p w14:paraId="0B7599A7" w14:textId="77777777" w:rsidR="00F466F2" w:rsidRPr="00D56CC5" w:rsidRDefault="00F466F2" w:rsidP="00D56CC5">
            <w:pPr>
              <w:pStyle w:val="Tabletext1"/>
              <w:jc w:val="right"/>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D56CC5">
              <w:rPr>
                <w:rFonts w:ascii="Arial Narrow" w:hAnsi="Arial Narrow"/>
                <w:szCs w:val="20"/>
              </w:rPr>
              <w:t>1.010</w:t>
            </w:r>
          </w:p>
        </w:tc>
        <w:tc>
          <w:tcPr>
            <w:tcW w:w="1275" w:type="dxa"/>
            <w:shd w:val="clear" w:color="auto" w:fill="E7E6E6" w:themeFill="background2"/>
          </w:tcPr>
          <w:p w14:paraId="39946459" w14:textId="77777777" w:rsidR="00F466F2" w:rsidRPr="00D56CC5" w:rsidRDefault="00F466F2" w:rsidP="00D56CC5">
            <w:pPr>
              <w:pStyle w:val="Tabletext1"/>
              <w:jc w:val="right"/>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D56CC5">
              <w:rPr>
                <w:rFonts w:ascii="Arial Narrow" w:hAnsi="Arial Narrow"/>
                <w:szCs w:val="20"/>
              </w:rPr>
              <w:t>1.014</w:t>
            </w:r>
          </w:p>
        </w:tc>
        <w:tc>
          <w:tcPr>
            <w:tcW w:w="1418" w:type="dxa"/>
            <w:shd w:val="clear" w:color="auto" w:fill="E7E6E6" w:themeFill="background2"/>
          </w:tcPr>
          <w:p w14:paraId="0CDA8B84" w14:textId="77777777" w:rsidR="00F466F2" w:rsidRPr="00D56CC5" w:rsidRDefault="00F466F2" w:rsidP="00D56CC5">
            <w:pPr>
              <w:pStyle w:val="Tabletext1"/>
              <w:jc w:val="right"/>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D56CC5">
              <w:rPr>
                <w:rFonts w:ascii="Arial Narrow" w:hAnsi="Arial Narrow"/>
                <w:szCs w:val="20"/>
              </w:rPr>
              <w:t>$151.81</w:t>
            </w:r>
          </w:p>
        </w:tc>
        <w:tc>
          <w:tcPr>
            <w:tcW w:w="1417" w:type="dxa"/>
            <w:shd w:val="clear" w:color="auto" w:fill="E7E6E6" w:themeFill="background2"/>
            <w:noWrap/>
          </w:tcPr>
          <w:p w14:paraId="372710FC" w14:textId="77777777" w:rsidR="00F466F2" w:rsidRPr="00D56CC5" w:rsidRDefault="00F466F2" w:rsidP="00D56CC5">
            <w:pPr>
              <w:pStyle w:val="Tabletext1"/>
              <w:jc w:val="right"/>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D56CC5">
              <w:rPr>
                <w:rFonts w:ascii="Arial Narrow" w:hAnsi="Arial Narrow"/>
                <w:szCs w:val="20"/>
              </w:rPr>
              <w:t>$152.47</w:t>
            </w:r>
          </w:p>
        </w:tc>
      </w:tr>
      <w:tr w:rsidR="00F466F2" w:rsidRPr="00D56CC5" w14:paraId="76F727FE" w14:textId="77777777" w:rsidTr="00D56CC5">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129" w:type="dxa"/>
            <w:noWrap/>
            <w:hideMark/>
          </w:tcPr>
          <w:p w14:paraId="112EE455" w14:textId="77777777" w:rsidR="00F466F2" w:rsidRPr="00D56CC5" w:rsidRDefault="00F466F2" w:rsidP="00D56CC5">
            <w:pPr>
              <w:pStyle w:val="Tabletext1"/>
              <w:rPr>
                <w:rFonts w:ascii="Arial Narrow" w:hAnsi="Arial Narrow"/>
                <w:szCs w:val="20"/>
              </w:rPr>
            </w:pPr>
            <w:r w:rsidRPr="00D56CC5">
              <w:rPr>
                <w:rFonts w:ascii="Arial Narrow" w:hAnsi="Arial Narrow"/>
                <w:szCs w:val="20"/>
              </w:rPr>
              <w:t>12 months -   ADL</w:t>
            </w:r>
          </w:p>
        </w:tc>
        <w:tc>
          <w:tcPr>
            <w:tcW w:w="1276" w:type="dxa"/>
            <w:noWrap/>
            <w:hideMark/>
          </w:tcPr>
          <w:p w14:paraId="4EFA5CEE" w14:textId="77777777" w:rsidR="00F466F2" w:rsidRPr="00D56CC5" w:rsidRDefault="00F466F2" w:rsidP="00D56CC5">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D56CC5">
              <w:rPr>
                <w:rFonts w:ascii="Arial Narrow" w:hAnsi="Arial Narrow"/>
                <w:szCs w:val="20"/>
              </w:rPr>
              <w:t>$81.659</w:t>
            </w:r>
          </w:p>
        </w:tc>
        <w:tc>
          <w:tcPr>
            <w:tcW w:w="1276" w:type="dxa"/>
            <w:noWrap/>
            <w:hideMark/>
          </w:tcPr>
          <w:p w14:paraId="75CBFE4F" w14:textId="77777777" w:rsidR="00F466F2" w:rsidRPr="00D56CC5" w:rsidRDefault="00F466F2" w:rsidP="00D56CC5">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D56CC5">
              <w:rPr>
                <w:rFonts w:ascii="Arial Narrow" w:hAnsi="Arial Narrow"/>
                <w:szCs w:val="20"/>
              </w:rPr>
              <w:t>$86.321</w:t>
            </w:r>
          </w:p>
        </w:tc>
        <w:tc>
          <w:tcPr>
            <w:tcW w:w="1276" w:type="dxa"/>
          </w:tcPr>
          <w:p w14:paraId="2DE81376" w14:textId="77777777" w:rsidR="00F466F2" w:rsidRPr="00D56CC5" w:rsidRDefault="00F466F2" w:rsidP="00D56CC5">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D56CC5">
              <w:rPr>
                <w:rFonts w:ascii="Arial Narrow" w:hAnsi="Arial Narrow"/>
                <w:szCs w:val="20"/>
              </w:rPr>
              <w:t>Change Relative to Baseline</w:t>
            </w:r>
          </w:p>
        </w:tc>
        <w:tc>
          <w:tcPr>
            <w:tcW w:w="1275" w:type="dxa"/>
          </w:tcPr>
          <w:p w14:paraId="3B3F6BF6" w14:textId="15254A5D" w:rsidR="00F466F2" w:rsidRPr="00D56CC5" w:rsidRDefault="00F466F2" w:rsidP="00D56CC5">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0"/>
              </w:rPr>
            </w:pPr>
          </w:p>
        </w:tc>
        <w:tc>
          <w:tcPr>
            <w:tcW w:w="1418" w:type="dxa"/>
          </w:tcPr>
          <w:p w14:paraId="0B1D8AE5" w14:textId="77777777" w:rsidR="00F466F2" w:rsidRPr="00D56CC5" w:rsidRDefault="00F466F2" w:rsidP="00D56CC5">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D56CC5">
              <w:rPr>
                <w:rFonts w:ascii="Arial Narrow" w:hAnsi="Arial Narrow"/>
                <w:szCs w:val="20"/>
              </w:rPr>
              <w:t>Applied to weighted average</w:t>
            </w:r>
          </w:p>
        </w:tc>
        <w:tc>
          <w:tcPr>
            <w:tcW w:w="1417" w:type="dxa"/>
            <w:noWrap/>
          </w:tcPr>
          <w:p w14:paraId="07663475" w14:textId="52A27B85" w:rsidR="00F466F2" w:rsidRPr="00D56CC5" w:rsidRDefault="00F466F2" w:rsidP="00D56CC5">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i/>
                <w:color w:val="000000"/>
                <w:szCs w:val="20"/>
              </w:rPr>
            </w:pPr>
          </w:p>
        </w:tc>
      </w:tr>
      <w:tr w:rsidR="00F466F2" w:rsidRPr="00D56CC5" w14:paraId="106F0317" w14:textId="77777777" w:rsidTr="00D56CC5">
        <w:trPr>
          <w:trHeight w:val="70"/>
        </w:trPr>
        <w:tc>
          <w:tcPr>
            <w:cnfStyle w:val="001000000000" w:firstRow="0" w:lastRow="0" w:firstColumn="1" w:lastColumn="0" w:oddVBand="0" w:evenVBand="0" w:oddHBand="0" w:evenHBand="0" w:firstRowFirstColumn="0" w:firstRowLastColumn="0" w:lastRowFirstColumn="0" w:lastRowLastColumn="0"/>
            <w:tcW w:w="1129" w:type="dxa"/>
            <w:noWrap/>
            <w:hideMark/>
          </w:tcPr>
          <w:p w14:paraId="02C64406" w14:textId="77777777" w:rsidR="00F466F2" w:rsidRPr="00D56CC5" w:rsidRDefault="00F466F2" w:rsidP="00D56CC5">
            <w:pPr>
              <w:pStyle w:val="Tabletext1"/>
              <w:rPr>
                <w:rFonts w:ascii="Arial Narrow" w:hAnsi="Arial Narrow"/>
                <w:szCs w:val="20"/>
              </w:rPr>
            </w:pPr>
            <w:r w:rsidRPr="00D56CC5">
              <w:rPr>
                <w:rFonts w:ascii="Arial Narrow" w:hAnsi="Arial Narrow"/>
                <w:szCs w:val="20"/>
              </w:rPr>
              <w:t>12 months - BHL</w:t>
            </w:r>
          </w:p>
        </w:tc>
        <w:tc>
          <w:tcPr>
            <w:tcW w:w="1276" w:type="dxa"/>
            <w:noWrap/>
            <w:hideMark/>
          </w:tcPr>
          <w:p w14:paraId="0B2C3A54" w14:textId="77777777" w:rsidR="00F466F2" w:rsidRPr="00D56CC5" w:rsidRDefault="00F466F2" w:rsidP="00D56CC5">
            <w:pPr>
              <w:pStyle w:val="Tabletext1"/>
              <w:jc w:val="right"/>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D56CC5">
              <w:rPr>
                <w:rFonts w:ascii="Arial Narrow" w:hAnsi="Arial Narrow"/>
                <w:szCs w:val="20"/>
              </w:rPr>
              <w:t>$14.957</w:t>
            </w:r>
          </w:p>
        </w:tc>
        <w:tc>
          <w:tcPr>
            <w:tcW w:w="1276" w:type="dxa"/>
            <w:noWrap/>
            <w:hideMark/>
          </w:tcPr>
          <w:p w14:paraId="3AC65912" w14:textId="77777777" w:rsidR="00F466F2" w:rsidRPr="00D56CC5" w:rsidRDefault="00F466F2" w:rsidP="00D56CC5">
            <w:pPr>
              <w:pStyle w:val="Tabletext1"/>
              <w:jc w:val="right"/>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D56CC5">
              <w:rPr>
                <w:rFonts w:ascii="Arial Narrow" w:hAnsi="Arial Narrow"/>
                <w:szCs w:val="20"/>
              </w:rPr>
              <w:t>$17.713</w:t>
            </w:r>
          </w:p>
        </w:tc>
        <w:tc>
          <w:tcPr>
            <w:tcW w:w="1276" w:type="dxa"/>
          </w:tcPr>
          <w:p w14:paraId="6653ECFB" w14:textId="77777777" w:rsidR="00F466F2" w:rsidRPr="00D56CC5" w:rsidRDefault="00F466F2" w:rsidP="00D56CC5">
            <w:pPr>
              <w:pStyle w:val="Tabletext1"/>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Cs w:val="20"/>
              </w:rPr>
            </w:pPr>
          </w:p>
        </w:tc>
        <w:tc>
          <w:tcPr>
            <w:tcW w:w="1275" w:type="dxa"/>
          </w:tcPr>
          <w:p w14:paraId="3CB747DA" w14:textId="77777777" w:rsidR="00F466F2" w:rsidRPr="00D56CC5" w:rsidRDefault="00F466F2" w:rsidP="00D56CC5">
            <w:pPr>
              <w:pStyle w:val="Tabletext1"/>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Cs w:val="20"/>
              </w:rPr>
            </w:pPr>
          </w:p>
        </w:tc>
        <w:tc>
          <w:tcPr>
            <w:tcW w:w="1418" w:type="dxa"/>
          </w:tcPr>
          <w:p w14:paraId="5E4C5AE6" w14:textId="77777777" w:rsidR="00F466F2" w:rsidRPr="00D56CC5" w:rsidRDefault="00F466F2" w:rsidP="00D56CC5">
            <w:pPr>
              <w:pStyle w:val="Tabletext1"/>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i/>
                <w:color w:val="000000"/>
                <w:szCs w:val="20"/>
              </w:rPr>
            </w:pPr>
          </w:p>
        </w:tc>
        <w:tc>
          <w:tcPr>
            <w:tcW w:w="1417" w:type="dxa"/>
            <w:noWrap/>
          </w:tcPr>
          <w:p w14:paraId="32480831" w14:textId="77777777" w:rsidR="00F466F2" w:rsidRPr="00D56CC5" w:rsidRDefault="00F466F2" w:rsidP="00D56CC5">
            <w:pPr>
              <w:pStyle w:val="Tabletext1"/>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i/>
                <w:color w:val="000000"/>
                <w:szCs w:val="20"/>
              </w:rPr>
            </w:pPr>
          </w:p>
        </w:tc>
      </w:tr>
      <w:tr w:rsidR="00F466F2" w:rsidRPr="00D56CC5" w14:paraId="28F6EACA" w14:textId="77777777" w:rsidTr="00D56CC5">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129" w:type="dxa"/>
            <w:noWrap/>
            <w:hideMark/>
          </w:tcPr>
          <w:p w14:paraId="0DD6412E" w14:textId="77777777" w:rsidR="00F466F2" w:rsidRPr="00D56CC5" w:rsidRDefault="00F466F2" w:rsidP="00D56CC5">
            <w:pPr>
              <w:pStyle w:val="Tabletext1"/>
              <w:rPr>
                <w:rFonts w:ascii="Arial Narrow" w:hAnsi="Arial Narrow"/>
                <w:szCs w:val="20"/>
              </w:rPr>
            </w:pPr>
            <w:r w:rsidRPr="00D56CC5">
              <w:rPr>
                <w:rFonts w:ascii="Arial Narrow" w:hAnsi="Arial Narrow"/>
                <w:szCs w:val="20"/>
              </w:rPr>
              <w:t>12 months - CHCL</w:t>
            </w:r>
          </w:p>
        </w:tc>
        <w:tc>
          <w:tcPr>
            <w:tcW w:w="1276" w:type="dxa"/>
            <w:noWrap/>
            <w:hideMark/>
          </w:tcPr>
          <w:p w14:paraId="6F8F418C" w14:textId="77777777" w:rsidR="00F466F2" w:rsidRPr="00D56CC5" w:rsidRDefault="00F466F2" w:rsidP="00D56CC5">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D56CC5">
              <w:rPr>
                <w:rFonts w:ascii="Arial Narrow" w:hAnsi="Arial Narrow"/>
                <w:szCs w:val="20"/>
              </w:rPr>
              <w:t>$58.287</w:t>
            </w:r>
          </w:p>
        </w:tc>
        <w:tc>
          <w:tcPr>
            <w:tcW w:w="1276" w:type="dxa"/>
            <w:noWrap/>
            <w:hideMark/>
          </w:tcPr>
          <w:p w14:paraId="65D28EC5" w14:textId="77777777" w:rsidR="00F466F2" w:rsidRPr="00D56CC5" w:rsidRDefault="00F466F2" w:rsidP="00D56CC5">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D56CC5">
              <w:rPr>
                <w:rFonts w:ascii="Arial Narrow" w:hAnsi="Arial Narrow"/>
                <w:szCs w:val="20"/>
              </w:rPr>
              <w:t>$58.690</w:t>
            </w:r>
          </w:p>
        </w:tc>
        <w:tc>
          <w:tcPr>
            <w:tcW w:w="1276" w:type="dxa"/>
          </w:tcPr>
          <w:p w14:paraId="59BBFF98" w14:textId="77777777" w:rsidR="00F466F2" w:rsidRPr="00D56CC5" w:rsidRDefault="00F466F2" w:rsidP="00D56CC5">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0"/>
              </w:rPr>
            </w:pPr>
          </w:p>
        </w:tc>
        <w:tc>
          <w:tcPr>
            <w:tcW w:w="1275" w:type="dxa"/>
          </w:tcPr>
          <w:p w14:paraId="1C4956DE" w14:textId="77777777" w:rsidR="00F466F2" w:rsidRPr="00D56CC5" w:rsidRDefault="00F466F2" w:rsidP="00D56CC5">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0"/>
              </w:rPr>
            </w:pPr>
          </w:p>
        </w:tc>
        <w:tc>
          <w:tcPr>
            <w:tcW w:w="1418" w:type="dxa"/>
          </w:tcPr>
          <w:p w14:paraId="449644A9" w14:textId="77777777" w:rsidR="00F466F2" w:rsidRPr="00D56CC5" w:rsidRDefault="00F466F2" w:rsidP="00D56CC5">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i/>
                <w:color w:val="000000"/>
                <w:szCs w:val="20"/>
              </w:rPr>
            </w:pPr>
          </w:p>
        </w:tc>
        <w:tc>
          <w:tcPr>
            <w:tcW w:w="1417" w:type="dxa"/>
            <w:noWrap/>
          </w:tcPr>
          <w:p w14:paraId="53D4E235" w14:textId="77777777" w:rsidR="00F466F2" w:rsidRPr="00D56CC5" w:rsidRDefault="00F466F2" w:rsidP="00D56CC5">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i/>
                <w:color w:val="000000"/>
                <w:szCs w:val="20"/>
              </w:rPr>
            </w:pPr>
          </w:p>
        </w:tc>
      </w:tr>
      <w:tr w:rsidR="00F466F2" w:rsidRPr="00D56CC5" w14:paraId="4ED5A16E" w14:textId="77777777" w:rsidTr="00D56CC5">
        <w:trPr>
          <w:trHeight w:val="70"/>
        </w:trPr>
        <w:tc>
          <w:tcPr>
            <w:cnfStyle w:val="001000000000" w:firstRow="0" w:lastRow="0" w:firstColumn="1" w:lastColumn="0" w:oddVBand="0" w:evenVBand="0" w:oddHBand="0" w:evenHBand="0" w:firstRowFirstColumn="0" w:firstRowLastColumn="0" w:lastRowFirstColumn="0" w:lastRowLastColumn="0"/>
            <w:tcW w:w="1129" w:type="dxa"/>
            <w:shd w:val="clear" w:color="auto" w:fill="E7E6E6" w:themeFill="background2"/>
            <w:noWrap/>
            <w:hideMark/>
          </w:tcPr>
          <w:p w14:paraId="239A1190" w14:textId="77777777" w:rsidR="00F466F2" w:rsidRPr="00D56CC5" w:rsidRDefault="00F466F2" w:rsidP="00D56CC5">
            <w:pPr>
              <w:pStyle w:val="Tabletext1"/>
              <w:rPr>
                <w:rFonts w:ascii="Arial Narrow" w:hAnsi="Arial Narrow"/>
                <w:szCs w:val="20"/>
              </w:rPr>
            </w:pPr>
            <w:r w:rsidRPr="00D56CC5">
              <w:rPr>
                <w:rFonts w:ascii="Arial Narrow" w:hAnsi="Arial Narrow"/>
                <w:szCs w:val="20"/>
              </w:rPr>
              <w:t>12 months -Total</w:t>
            </w:r>
          </w:p>
        </w:tc>
        <w:tc>
          <w:tcPr>
            <w:tcW w:w="1276" w:type="dxa"/>
            <w:shd w:val="clear" w:color="auto" w:fill="E7E6E6" w:themeFill="background2"/>
            <w:noWrap/>
            <w:hideMark/>
          </w:tcPr>
          <w:p w14:paraId="68A09468" w14:textId="77777777" w:rsidR="00F466F2" w:rsidRPr="00D56CC5" w:rsidRDefault="00F466F2" w:rsidP="00D56CC5">
            <w:pPr>
              <w:pStyle w:val="Tabletext1"/>
              <w:jc w:val="right"/>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D56CC5">
              <w:rPr>
                <w:rFonts w:ascii="Arial Narrow" w:hAnsi="Arial Narrow"/>
                <w:szCs w:val="20"/>
              </w:rPr>
              <w:t>$154.903</w:t>
            </w:r>
          </w:p>
        </w:tc>
        <w:tc>
          <w:tcPr>
            <w:tcW w:w="1276" w:type="dxa"/>
            <w:shd w:val="clear" w:color="auto" w:fill="E7E6E6" w:themeFill="background2"/>
            <w:noWrap/>
            <w:hideMark/>
          </w:tcPr>
          <w:p w14:paraId="736A447A" w14:textId="77777777" w:rsidR="00F466F2" w:rsidRPr="00D56CC5" w:rsidRDefault="00F466F2" w:rsidP="00D56CC5">
            <w:pPr>
              <w:pStyle w:val="Tabletext1"/>
              <w:jc w:val="right"/>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D56CC5">
              <w:rPr>
                <w:rFonts w:ascii="Arial Narrow" w:hAnsi="Arial Narrow"/>
                <w:szCs w:val="20"/>
              </w:rPr>
              <w:t>$162.723</w:t>
            </w:r>
          </w:p>
        </w:tc>
        <w:tc>
          <w:tcPr>
            <w:tcW w:w="1276" w:type="dxa"/>
            <w:shd w:val="clear" w:color="auto" w:fill="E7E6E6" w:themeFill="background2"/>
          </w:tcPr>
          <w:p w14:paraId="4ED1EF56" w14:textId="77777777" w:rsidR="00F466F2" w:rsidRPr="00D56CC5" w:rsidRDefault="00F466F2" w:rsidP="00D56CC5">
            <w:pPr>
              <w:pStyle w:val="Tabletext1"/>
              <w:jc w:val="right"/>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D56CC5">
              <w:rPr>
                <w:rFonts w:ascii="Arial Narrow" w:hAnsi="Arial Narrow"/>
                <w:szCs w:val="20"/>
              </w:rPr>
              <w:t>1.065</w:t>
            </w:r>
          </w:p>
        </w:tc>
        <w:tc>
          <w:tcPr>
            <w:tcW w:w="1275" w:type="dxa"/>
            <w:shd w:val="clear" w:color="auto" w:fill="E7E6E6" w:themeFill="background2"/>
          </w:tcPr>
          <w:p w14:paraId="66D78930" w14:textId="77777777" w:rsidR="00F466F2" w:rsidRPr="00D56CC5" w:rsidRDefault="00F466F2" w:rsidP="00D56CC5">
            <w:pPr>
              <w:pStyle w:val="Tabletext1"/>
              <w:jc w:val="right"/>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D56CC5">
              <w:rPr>
                <w:rFonts w:ascii="Arial Narrow" w:hAnsi="Arial Narrow"/>
                <w:szCs w:val="20"/>
              </w:rPr>
              <w:t>1.051</w:t>
            </w:r>
          </w:p>
        </w:tc>
        <w:tc>
          <w:tcPr>
            <w:tcW w:w="1418" w:type="dxa"/>
            <w:shd w:val="clear" w:color="auto" w:fill="E7E6E6" w:themeFill="background2"/>
          </w:tcPr>
          <w:p w14:paraId="75B6D332" w14:textId="77777777" w:rsidR="00F466F2" w:rsidRPr="00D56CC5" w:rsidRDefault="00F466F2" w:rsidP="00D56CC5">
            <w:pPr>
              <w:pStyle w:val="Tabletext1"/>
              <w:jc w:val="right"/>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D56CC5">
              <w:rPr>
                <w:rFonts w:ascii="Arial Narrow" w:hAnsi="Arial Narrow"/>
                <w:szCs w:val="20"/>
              </w:rPr>
              <w:t>$160.05</w:t>
            </w:r>
          </w:p>
        </w:tc>
        <w:tc>
          <w:tcPr>
            <w:tcW w:w="1417" w:type="dxa"/>
            <w:shd w:val="clear" w:color="auto" w:fill="E7E6E6" w:themeFill="background2"/>
            <w:noWrap/>
          </w:tcPr>
          <w:p w14:paraId="01D1206D" w14:textId="77777777" w:rsidR="00F466F2" w:rsidRPr="00D56CC5" w:rsidRDefault="00F466F2" w:rsidP="00D56CC5">
            <w:pPr>
              <w:pStyle w:val="Tabletext1"/>
              <w:jc w:val="right"/>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D56CC5">
              <w:rPr>
                <w:rFonts w:ascii="Arial Narrow" w:hAnsi="Arial Narrow"/>
                <w:szCs w:val="20"/>
              </w:rPr>
              <w:t>$157.94</w:t>
            </w:r>
          </w:p>
        </w:tc>
      </w:tr>
    </w:tbl>
    <w:p w14:paraId="04BE96D9" w14:textId="45DAB8D1" w:rsidR="00673191" w:rsidRDefault="00673191" w:rsidP="00897C5B">
      <w:pPr>
        <w:pStyle w:val="Caption"/>
      </w:pPr>
      <w:r w:rsidRPr="00CC5A20">
        <w:t xml:space="preserve">Table </w:t>
      </w:r>
      <w:r w:rsidR="00CC5A20">
        <w:t>D-6</w:t>
      </w:r>
      <w:r>
        <w:t xml:space="preserve">: </w:t>
      </w:r>
      <w:r w:rsidRPr="00BB74AC">
        <w:t xml:space="preserve"> Daily health-related ACFI subsidy rates observed in each arm and adjusted for baseline difference</w:t>
      </w:r>
    </w:p>
    <w:p w14:paraId="16EF80BD" w14:textId="77777777" w:rsidR="00F466F2" w:rsidRPr="00F466F2" w:rsidRDefault="00F466F2" w:rsidP="00D56CC5">
      <w:pPr>
        <w:pStyle w:val="CommentText"/>
      </w:pPr>
      <w:r w:rsidRPr="00F466F2">
        <w:t>ADL = activities of daily living, BHL = Behavioural health level, CHCL = complex health care level.</w:t>
      </w:r>
    </w:p>
    <w:p w14:paraId="0959A430" w14:textId="1A4895FA" w:rsidR="00BB74AC" w:rsidRPr="00080CF9" w:rsidRDefault="00BB74AC" w:rsidP="007501B9">
      <w:r w:rsidRPr="00080CF9">
        <w:lastRenderedPageBreak/>
        <w:t>In addition, the number of resident days across arms differed significantly, therefore total ACFI costs associated with each arm of the study should not be directly compared. To remove the effect of the different exposure time that occurred between arms in the study</w:t>
      </w:r>
      <w:r w:rsidR="00D35762">
        <w:t>,</w:t>
      </w:r>
      <w:r w:rsidRPr="00080CF9">
        <w:t xml:space="preserve"> a simple modelled approach </w:t>
      </w:r>
      <w:r w:rsidR="00D35762">
        <w:t>was</w:t>
      </w:r>
      <w:r w:rsidRPr="00080CF9">
        <w:t xml:space="preserve"> applied</w:t>
      </w:r>
      <w:r w:rsidR="007501B9">
        <w:t xml:space="preserve">. </w:t>
      </w:r>
      <w:r w:rsidRPr="00080CF9">
        <w:t xml:space="preserve">As stated above, it is assumed that the change in subsidy between observed time points occurs in the middle of the observation period, therefore using the 6 month and </w:t>
      </w:r>
      <w:proofErr w:type="gramStart"/>
      <w:r w:rsidRPr="00080CF9">
        <w:t>12 month</w:t>
      </w:r>
      <w:proofErr w:type="gramEnd"/>
      <w:r w:rsidRPr="00080CF9">
        <w:t xml:space="preserve"> rates adjusted for baseline differences, the total annual subsidy for a resident alive for a year in each arm is calculated as:</w:t>
      </w:r>
    </w:p>
    <w:p w14:paraId="4EFC899F" w14:textId="77777777" w:rsidR="00BB74AC" w:rsidRPr="00080CF9" w:rsidRDefault="00BB74AC" w:rsidP="007501B9">
      <w:r w:rsidRPr="00080CF9">
        <w:t>(((‘baseline daily rate’ + ‘6 month daily rate’)/</w:t>
      </w:r>
      <w:proofErr w:type="gramStart"/>
      <w:r w:rsidRPr="00080CF9">
        <w:t>2)*</w:t>
      </w:r>
      <w:proofErr w:type="gramEnd"/>
      <w:r w:rsidRPr="00080CF9">
        <w:t>365/2) + (((‘6 month daily rate’+’12 month rate’)/2)*365/2)</w:t>
      </w:r>
    </w:p>
    <w:p w14:paraId="49387DD7" w14:textId="1932843C" w:rsidR="00080CF9" w:rsidRDefault="00BB74AC" w:rsidP="007501B9">
      <w:r w:rsidRPr="00080CF9">
        <w:t>Significant uncertainty in the ACFI data is acknowledged, and the analysis is presented both with and without inclusion of this resource.</w:t>
      </w:r>
    </w:p>
    <w:p w14:paraId="17407C39" w14:textId="77777777" w:rsidR="00BB74AC" w:rsidRPr="00080CF9" w:rsidRDefault="00BB74AC" w:rsidP="00DD003F">
      <w:pPr>
        <w:pStyle w:val="Heading4"/>
      </w:pPr>
      <w:r w:rsidRPr="00080CF9">
        <w:t>Allied Health Care (non-MBS)</w:t>
      </w:r>
    </w:p>
    <w:p w14:paraId="1FEA4564" w14:textId="63FE3598" w:rsidR="00BB74AC" w:rsidRPr="00080CF9" w:rsidRDefault="00BB74AC" w:rsidP="007501B9">
      <w:r w:rsidRPr="00080CF9">
        <w:t>A record of the allied health services each resident used during the study period (by date and type of service) was made by a clinical study research assistant who reviewed each study participant’s residential care case files at 6 months and 12 months</w:t>
      </w:r>
      <w:r w:rsidR="007501B9">
        <w:t xml:space="preserve">. </w:t>
      </w:r>
      <w:r w:rsidRPr="00080CF9">
        <w:t xml:space="preserve">The internally collected study data </w:t>
      </w:r>
      <w:r w:rsidR="00D35762">
        <w:t>were</w:t>
      </w:r>
      <w:r w:rsidRPr="00080CF9">
        <w:t xml:space="preserve"> cross-checked against the externally provided Commonwealth MBS claims data to ensure duplicate counting of allied health services that are MBS funded did not occur; a revised data set of ‘non-MBS funded allied health services’ was generated by removing those services for which there was an MBS claim for the same patient for the same allied health service on the same day</w:t>
      </w:r>
      <w:r w:rsidR="007501B9">
        <w:t xml:space="preserve">. </w:t>
      </w:r>
      <w:r w:rsidRPr="00080CF9">
        <w:t>Prices were allocated to non-MBS-funded services based on various published fee schedules (</w:t>
      </w:r>
      <w:r w:rsidRPr="00CC5A20">
        <w:t xml:space="preserve">listed in Appendix </w:t>
      </w:r>
      <w:r w:rsidR="00155108">
        <w:t>F</w:t>
      </w:r>
      <w:r w:rsidRPr="00CC5A20">
        <w:t>).</w:t>
      </w:r>
    </w:p>
    <w:p w14:paraId="7974C705" w14:textId="6D3452A2" w:rsidR="00BB74AC" w:rsidRPr="00080CF9" w:rsidRDefault="00BB74AC" w:rsidP="007501B9">
      <w:r w:rsidRPr="00080CF9">
        <w:t>The overall estimate of the costs of non-MBS allied health services in each arm is highly uncertain because</w:t>
      </w:r>
      <w:r w:rsidR="00080CF9">
        <w:t>:</w:t>
      </w:r>
    </w:p>
    <w:p w14:paraId="100405C7" w14:textId="77777777" w:rsidR="00BB74AC" w:rsidRPr="00080CF9" w:rsidRDefault="00BB74AC" w:rsidP="00853EEA">
      <w:pPr>
        <w:pStyle w:val="ListParagraph"/>
        <w:numPr>
          <w:ilvl w:val="0"/>
          <w:numId w:val="39"/>
        </w:numPr>
        <w:spacing w:after="240" w:line="276" w:lineRule="auto"/>
      </w:pPr>
      <w:r w:rsidRPr="00080CF9">
        <w:t xml:space="preserve">The pricing assigned to allied health services is highly </w:t>
      </w:r>
      <w:proofErr w:type="gramStart"/>
      <w:r w:rsidRPr="00080CF9">
        <w:t>uncertain;</w:t>
      </w:r>
      <w:proofErr w:type="gramEnd"/>
    </w:p>
    <w:p w14:paraId="055E599F" w14:textId="7EB8876C" w:rsidR="00BB74AC" w:rsidRPr="00080CF9" w:rsidRDefault="00BB74AC" w:rsidP="00853EEA">
      <w:pPr>
        <w:pStyle w:val="ListParagraph"/>
        <w:numPr>
          <w:ilvl w:val="1"/>
          <w:numId w:val="39"/>
        </w:numPr>
        <w:spacing w:after="240" w:line="276" w:lineRule="auto"/>
      </w:pPr>
      <w:r w:rsidRPr="00080CF9">
        <w:t xml:space="preserve">Within each allied health profession, multiple services are </w:t>
      </w:r>
      <w:proofErr w:type="gramStart"/>
      <w:r w:rsidRPr="00080CF9">
        <w:t>available</w:t>
      </w:r>
      <w:proofErr w:type="gramEnd"/>
      <w:r w:rsidRPr="00080CF9">
        <w:t xml:space="preserve"> and pricing depends on the specific service provided</w:t>
      </w:r>
      <w:r w:rsidR="007501B9">
        <w:t xml:space="preserve">. </w:t>
      </w:r>
      <w:proofErr w:type="gramStart"/>
      <w:r w:rsidRPr="00080CF9">
        <w:t>Generally</w:t>
      </w:r>
      <w:proofErr w:type="gramEnd"/>
      <w:r w:rsidRPr="00080CF9">
        <w:t xml:space="preserve"> there was insufficient detail on the service provided (e.g. whether it was an initial assessment or follow-up or short or long duration consult etc.) to accurately identify and assign a service price</w:t>
      </w:r>
      <w:r w:rsidR="00DD003F">
        <w:t>;</w:t>
      </w:r>
      <w:r w:rsidR="00D66295">
        <w:t xml:space="preserve"> and</w:t>
      </w:r>
    </w:p>
    <w:p w14:paraId="0FA0D054" w14:textId="3F32D5EF" w:rsidR="00BB74AC" w:rsidRPr="00080CF9" w:rsidRDefault="00BB74AC" w:rsidP="00853EEA">
      <w:pPr>
        <w:pStyle w:val="ListParagraph"/>
        <w:numPr>
          <w:ilvl w:val="1"/>
          <w:numId w:val="39"/>
        </w:numPr>
        <w:spacing w:after="240" w:line="276" w:lineRule="auto"/>
      </w:pPr>
      <w:r w:rsidRPr="00080CF9">
        <w:t>There is likely to be variation in pricing (of equivalent services) between different private allied health providers</w:t>
      </w:r>
      <w:r w:rsidR="007501B9">
        <w:t xml:space="preserve">. </w:t>
      </w:r>
      <w:r w:rsidRPr="00080CF9">
        <w:t xml:space="preserve">Specific provider information and pricing was not </w:t>
      </w:r>
      <w:proofErr w:type="gramStart"/>
      <w:r w:rsidRPr="00080CF9">
        <w:t>available</w:t>
      </w:r>
      <w:proofErr w:type="gramEnd"/>
      <w:r w:rsidRPr="00080CF9">
        <w:t xml:space="preserve"> and it is unknown whether the published price reflects the price of the private provider used by the resident during the study period.</w:t>
      </w:r>
    </w:p>
    <w:p w14:paraId="2764D666" w14:textId="433ACCF6" w:rsidR="00BB74AC" w:rsidRPr="00080CF9" w:rsidRDefault="00080CF9" w:rsidP="00853EEA">
      <w:pPr>
        <w:pStyle w:val="ListParagraph"/>
        <w:numPr>
          <w:ilvl w:val="0"/>
          <w:numId w:val="39"/>
        </w:numPr>
        <w:spacing w:after="240" w:line="276" w:lineRule="auto"/>
      </w:pPr>
      <w:r>
        <w:t>T</w:t>
      </w:r>
      <w:r w:rsidR="00BB74AC" w:rsidRPr="00080CF9">
        <w:t>he non-MBS funded allied health service use data may be incomplete</w:t>
      </w:r>
      <w:r w:rsidR="007501B9">
        <w:t xml:space="preserve">. </w:t>
      </w:r>
      <w:r w:rsidR="00BB74AC" w:rsidRPr="00080CF9">
        <w:t>Research assistants reported difficulty in finding the required information in the residential care facility case files; therefore</w:t>
      </w:r>
      <w:r w:rsidR="00D35762">
        <w:t>,</w:t>
      </w:r>
      <w:r w:rsidR="00BB74AC" w:rsidRPr="00080CF9">
        <w:t xml:space="preserve"> it is likely that some omissions occurred in data collection.</w:t>
      </w:r>
    </w:p>
    <w:p w14:paraId="6281BD27" w14:textId="412E9FC8" w:rsidR="00BB74AC" w:rsidRPr="00080CF9" w:rsidRDefault="00BB74AC" w:rsidP="007501B9">
      <w:r w:rsidRPr="00080CF9">
        <w:t>Overall, compared to MBS, PBS, hospital and ACFI costs, the non-MBS allied health costs are relatively inconsequential</w:t>
      </w:r>
      <w:r w:rsidR="007501B9">
        <w:t xml:space="preserve">. </w:t>
      </w:r>
      <w:r w:rsidRPr="00080CF9">
        <w:t xml:space="preserve">Given this, coupled with the uncertain reliability of the data </w:t>
      </w:r>
      <w:r w:rsidRPr="00080CF9">
        <w:lastRenderedPageBreak/>
        <w:t xml:space="preserve">and prices, it </w:t>
      </w:r>
      <w:r w:rsidR="00D35762">
        <w:t>was</w:t>
      </w:r>
      <w:r w:rsidRPr="00080CF9">
        <w:t xml:space="preserve"> decided that these costs should not be included in the base case analysis, but they </w:t>
      </w:r>
      <w:r w:rsidR="00412D53">
        <w:t xml:space="preserve">are </w:t>
      </w:r>
      <w:r w:rsidRPr="00080CF9">
        <w:t>presented in a scenario analysis.</w:t>
      </w:r>
    </w:p>
    <w:p w14:paraId="2642608E" w14:textId="77777777" w:rsidR="00BB74AC" w:rsidRPr="00412D53" w:rsidRDefault="00BB74AC" w:rsidP="00CA0B7D">
      <w:pPr>
        <w:pStyle w:val="Heading4"/>
        <w:spacing w:line="276" w:lineRule="auto"/>
      </w:pPr>
      <w:r w:rsidRPr="00412D53">
        <w:t>Resource use</w:t>
      </w:r>
    </w:p>
    <w:p w14:paraId="0ADCAAA4" w14:textId="3620B193" w:rsidR="00A61188" w:rsidRDefault="00BB74AC" w:rsidP="007501B9">
      <w:r w:rsidRPr="00412D53">
        <w:t xml:space="preserve">A summary of the </w:t>
      </w:r>
      <w:r w:rsidR="00412D53" w:rsidRPr="00412D53">
        <w:t>‘</w:t>
      </w:r>
      <w:r w:rsidRPr="00412D53">
        <w:t>per resident</w:t>
      </w:r>
      <w:r w:rsidR="00412D53" w:rsidRPr="00412D53">
        <w:t>’</w:t>
      </w:r>
      <w:r w:rsidRPr="00412D53">
        <w:t xml:space="preserve"> resource use that occurred in the study follow up period (excluding daily ACFI-subsidised care) is </w:t>
      </w:r>
      <w:r w:rsidRPr="00CC5A20">
        <w:t xml:space="preserve">presented </w:t>
      </w:r>
      <w:r w:rsidR="00A61188">
        <w:t xml:space="preserve">in </w:t>
      </w:r>
      <w:r w:rsidRPr="00CC5A20">
        <w:t xml:space="preserve">Table </w:t>
      </w:r>
      <w:r w:rsidR="00CC5A20" w:rsidRPr="00CC5A20">
        <w:t>D-7</w:t>
      </w:r>
      <w:r w:rsidRPr="00CC5A20">
        <w:t>.</w:t>
      </w:r>
    </w:p>
    <w:p w14:paraId="55168D1E" w14:textId="0EEF3DE3" w:rsidR="00A61188" w:rsidRDefault="00A61188" w:rsidP="007501B9">
      <w:r w:rsidRPr="00412D53">
        <w:t>The reported number of pharmacist reviews and the hospital activity units are used directly in the analysis</w:t>
      </w:r>
      <w:r w:rsidR="007501B9">
        <w:t xml:space="preserve">. </w:t>
      </w:r>
      <w:r w:rsidRPr="00412D53">
        <w:t xml:space="preserve">The number of medical services and pharmaceutical </w:t>
      </w:r>
      <w:proofErr w:type="spellStart"/>
      <w:r>
        <w:t>dispensings</w:t>
      </w:r>
      <w:proofErr w:type="spellEnd"/>
      <w:r w:rsidRPr="00412D53">
        <w:t xml:space="preserve"> are presented for information purposes only</w:t>
      </w:r>
      <w:r>
        <w:t>,</w:t>
      </w:r>
      <w:r w:rsidRPr="00412D53">
        <w:t xml:space="preserve"> as direct cost data for MBS services</w:t>
      </w:r>
      <w:r>
        <w:t xml:space="preserve"> and </w:t>
      </w:r>
      <w:r w:rsidRPr="00412D53">
        <w:t xml:space="preserve">PBS </w:t>
      </w:r>
      <w:proofErr w:type="spellStart"/>
      <w:r>
        <w:t>dispensings</w:t>
      </w:r>
      <w:proofErr w:type="spellEnd"/>
      <w:r w:rsidRPr="00412D53">
        <w:t xml:space="preserve"> was provided and used</w:t>
      </w:r>
      <w:r w:rsidR="007501B9">
        <w:t xml:space="preserve">. </w:t>
      </w:r>
      <w:r w:rsidRPr="00412D53">
        <w:t>The allied health service numbers are aggregated for information purposes only also as these are individually costed by the type of service.</w:t>
      </w:r>
    </w:p>
    <w:tbl>
      <w:tblPr>
        <w:tblStyle w:val="ListTable3"/>
        <w:tblW w:w="5000" w:type="pct"/>
        <w:tblLayout w:type="fixed"/>
        <w:tblLook w:val="04A0" w:firstRow="1" w:lastRow="0" w:firstColumn="1" w:lastColumn="0" w:noHBand="0" w:noVBand="1"/>
        <w:tblCaption w:val="Number of healthcare services provided over 12 months for each study arm"/>
        <w:tblDescription w:val="Number of healthcare services provided over 12 months for each study arm (disaggregated base case)"/>
      </w:tblPr>
      <w:tblGrid>
        <w:gridCol w:w="1838"/>
        <w:gridCol w:w="1196"/>
        <w:gridCol w:w="1196"/>
        <w:gridCol w:w="1197"/>
        <w:gridCol w:w="1196"/>
        <w:gridCol w:w="1196"/>
        <w:gridCol w:w="1197"/>
      </w:tblGrid>
      <w:tr w:rsidR="00412D53" w:rsidRPr="00E92EDB" w14:paraId="59CCFF16" w14:textId="77777777" w:rsidTr="00E92EDB">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1019" w:type="pct"/>
          </w:tcPr>
          <w:p w14:paraId="434DE75A" w14:textId="42FE63BF" w:rsidR="00BB74AC" w:rsidRPr="00E92EDB" w:rsidRDefault="00412D53" w:rsidP="00E92EDB">
            <w:pPr>
              <w:pStyle w:val="TableHeader"/>
              <w:rPr>
                <w:rFonts w:ascii="Arial Narrow" w:hAnsi="Arial Narrow"/>
                <w:b/>
                <w:bCs w:val="0"/>
                <w:sz w:val="20"/>
                <w:szCs w:val="20"/>
              </w:rPr>
            </w:pPr>
            <w:r w:rsidRPr="00E92EDB">
              <w:rPr>
                <w:rFonts w:ascii="Arial Narrow" w:hAnsi="Arial Narrow"/>
                <w:b/>
                <w:bCs w:val="0"/>
                <w:sz w:val="20"/>
                <w:szCs w:val="20"/>
              </w:rPr>
              <w:t>Descriptor</w:t>
            </w:r>
          </w:p>
        </w:tc>
        <w:tc>
          <w:tcPr>
            <w:tcW w:w="663" w:type="pct"/>
          </w:tcPr>
          <w:p w14:paraId="1EB141C3" w14:textId="387BAD67" w:rsidR="00BB74AC" w:rsidRPr="00E92EDB" w:rsidRDefault="00412D53" w:rsidP="00E92EDB">
            <w:pPr>
              <w:pStyle w:val="TableHeader"/>
              <w:cnfStyle w:val="100000000000" w:firstRow="1" w:lastRow="0" w:firstColumn="0" w:lastColumn="0" w:oddVBand="0" w:evenVBand="0" w:oddHBand="0" w:evenHBand="0" w:firstRowFirstColumn="0" w:firstRowLastColumn="0" w:lastRowFirstColumn="0" w:lastRowLastColumn="0"/>
              <w:rPr>
                <w:rFonts w:ascii="Arial Narrow" w:hAnsi="Arial Narrow"/>
                <w:b/>
                <w:bCs w:val="0"/>
                <w:sz w:val="20"/>
                <w:szCs w:val="20"/>
              </w:rPr>
            </w:pPr>
            <w:r w:rsidRPr="00E92EDB">
              <w:rPr>
                <w:rFonts w:ascii="Arial Narrow" w:hAnsi="Arial Narrow"/>
                <w:b/>
                <w:bCs w:val="0"/>
                <w:sz w:val="20"/>
                <w:szCs w:val="20"/>
              </w:rPr>
              <w:t xml:space="preserve">Intervention </w:t>
            </w:r>
            <w:r w:rsidR="00BB74AC" w:rsidRPr="00E92EDB">
              <w:rPr>
                <w:rFonts w:ascii="Arial Narrow" w:hAnsi="Arial Narrow"/>
                <w:b/>
                <w:bCs w:val="0"/>
                <w:sz w:val="20"/>
                <w:szCs w:val="20"/>
              </w:rPr>
              <w:t>(n) in dataset</w:t>
            </w:r>
          </w:p>
        </w:tc>
        <w:tc>
          <w:tcPr>
            <w:tcW w:w="663" w:type="pct"/>
            <w:noWrap/>
          </w:tcPr>
          <w:p w14:paraId="1134960E" w14:textId="3083F97E" w:rsidR="00BB74AC" w:rsidRPr="00E92EDB" w:rsidRDefault="00412D53" w:rsidP="00E92EDB">
            <w:pPr>
              <w:pStyle w:val="TableHeader"/>
              <w:cnfStyle w:val="100000000000" w:firstRow="1" w:lastRow="0" w:firstColumn="0" w:lastColumn="0" w:oddVBand="0" w:evenVBand="0" w:oddHBand="0" w:evenHBand="0" w:firstRowFirstColumn="0" w:firstRowLastColumn="0" w:lastRowFirstColumn="0" w:lastRowLastColumn="0"/>
              <w:rPr>
                <w:rFonts w:ascii="Arial Narrow" w:hAnsi="Arial Narrow"/>
                <w:b/>
                <w:bCs w:val="0"/>
                <w:sz w:val="20"/>
                <w:szCs w:val="20"/>
              </w:rPr>
            </w:pPr>
            <w:r w:rsidRPr="00E92EDB">
              <w:rPr>
                <w:rFonts w:ascii="Arial Narrow" w:hAnsi="Arial Narrow"/>
                <w:b/>
                <w:bCs w:val="0"/>
                <w:sz w:val="20"/>
                <w:szCs w:val="20"/>
              </w:rPr>
              <w:t xml:space="preserve">Intervention </w:t>
            </w:r>
            <w:r w:rsidR="00BB74AC" w:rsidRPr="00E92EDB">
              <w:rPr>
                <w:rFonts w:ascii="Arial Narrow" w:hAnsi="Arial Narrow"/>
                <w:b/>
                <w:bCs w:val="0"/>
                <w:sz w:val="20"/>
                <w:szCs w:val="20"/>
              </w:rPr>
              <w:t># services/ activity units recorded</w:t>
            </w:r>
          </w:p>
        </w:tc>
        <w:tc>
          <w:tcPr>
            <w:tcW w:w="664" w:type="pct"/>
          </w:tcPr>
          <w:p w14:paraId="296D641D" w14:textId="5FC32247" w:rsidR="00BB74AC" w:rsidRPr="00E92EDB" w:rsidRDefault="00412D53" w:rsidP="00E92EDB">
            <w:pPr>
              <w:pStyle w:val="TableHeader"/>
              <w:cnfStyle w:val="100000000000" w:firstRow="1" w:lastRow="0" w:firstColumn="0" w:lastColumn="0" w:oddVBand="0" w:evenVBand="0" w:oddHBand="0" w:evenHBand="0" w:firstRowFirstColumn="0" w:firstRowLastColumn="0" w:lastRowFirstColumn="0" w:lastRowLastColumn="0"/>
              <w:rPr>
                <w:rFonts w:ascii="Arial Narrow" w:hAnsi="Arial Narrow"/>
                <w:b/>
                <w:bCs w:val="0"/>
                <w:sz w:val="20"/>
                <w:szCs w:val="20"/>
              </w:rPr>
            </w:pPr>
            <w:r w:rsidRPr="00E92EDB">
              <w:rPr>
                <w:rFonts w:ascii="Arial Narrow" w:hAnsi="Arial Narrow"/>
                <w:b/>
                <w:bCs w:val="0"/>
                <w:sz w:val="20"/>
                <w:szCs w:val="20"/>
              </w:rPr>
              <w:t xml:space="preserve">Intervention </w:t>
            </w:r>
            <w:r w:rsidR="00BB74AC" w:rsidRPr="00E92EDB">
              <w:rPr>
                <w:rFonts w:ascii="Arial Narrow" w:hAnsi="Arial Narrow"/>
                <w:b/>
                <w:bCs w:val="0"/>
                <w:sz w:val="20"/>
                <w:szCs w:val="20"/>
              </w:rPr>
              <w:t>Average # per patient</w:t>
            </w:r>
          </w:p>
        </w:tc>
        <w:tc>
          <w:tcPr>
            <w:tcW w:w="663" w:type="pct"/>
            <w:noWrap/>
          </w:tcPr>
          <w:p w14:paraId="64A67BE2" w14:textId="76959159" w:rsidR="00BB74AC" w:rsidRPr="00E92EDB" w:rsidRDefault="00412D53" w:rsidP="00E92EDB">
            <w:pPr>
              <w:pStyle w:val="TableHeader"/>
              <w:cnfStyle w:val="100000000000" w:firstRow="1" w:lastRow="0" w:firstColumn="0" w:lastColumn="0" w:oddVBand="0" w:evenVBand="0" w:oddHBand="0" w:evenHBand="0" w:firstRowFirstColumn="0" w:firstRowLastColumn="0" w:lastRowFirstColumn="0" w:lastRowLastColumn="0"/>
              <w:rPr>
                <w:rFonts w:ascii="Arial Narrow" w:hAnsi="Arial Narrow"/>
                <w:b/>
                <w:bCs w:val="0"/>
                <w:sz w:val="20"/>
                <w:szCs w:val="20"/>
              </w:rPr>
            </w:pPr>
            <w:r w:rsidRPr="00E92EDB">
              <w:rPr>
                <w:rFonts w:ascii="Arial Narrow" w:hAnsi="Arial Narrow"/>
                <w:b/>
                <w:bCs w:val="0"/>
                <w:sz w:val="20"/>
                <w:szCs w:val="20"/>
              </w:rPr>
              <w:t xml:space="preserve">Control, </w:t>
            </w:r>
            <w:r w:rsidR="00BB74AC" w:rsidRPr="00E92EDB">
              <w:rPr>
                <w:rFonts w:ascii="Arial Narrow" w:hAnsi="Arial Narrow"/>
                <w:b/>
                <w:bCs w:val="0"/>
                <w:sz w:val="20"/>
                <w:szCs w:val="20"/>
              </w:rPr>
              <w:t>(n) in dataset</w:t>
            </w:r>
          </w:p>
        </w:tc>
        <w:tc>
          <w:tcPr>
            <w:tcW w:w="663" w:type="pct"/>
          </w:tcPr>
          <w:p w14:paraId="6FFC977B" w14:textId="40B69565" w:rsidR="00412D53" w:rsidRPr="00E92EDB" w:rsidRDefault="00412D53" w:rsidP="00E92EDB">
            <w:pPr>
              <w:pStyle w:val="TableHeader"/>
              <w:cnfStyle w:val="100000000000" w:firstRow="1" w:lastRow="0" w:firstColumn="0" w:lastColumn="0" w:oddVBand="0" w:evenVBand="0" w:oddHBand="0" w:evenHBand="0" w:firstRowFirstColumn="0" w:firstRowLastColumn="0" w:lastRowFirstColumn="0" w:lastRowLastColumn="0"/>
              <w:rPr>
                <w:rFonts w:ascii="Arial Narrow" w:hAnsi="Arial Narrow"/>
                <w:b/>
                <w:bCs w:val="0"/>
                <w:sz w:val="20"/>
                <w:szCs w:val="20"/>
              </w:rPr>
            </w:pPr>
            <w:r w:rsidRPr="00E92EDB">
              <w:rPr>
                <w:rFonts w:ascii="Arial Narrow" w:hAnsi="Arial Narrow"/>
                <w:b/>
                <w:bCs w:val="0"/>
                <w:sz w:val="20"/>
                <w:szCs w:val="20"/>
              </w:rPr>
              <w:t>Control,</w:t>
            </w:r>
          </w:p>
          <w:p w14:paraId="61EB74A7" w14:textId="79D4B3A4" w:rsidR="00BB74AC" w:rsidRPr="00E92EDB" w:rsidRDefault="00BB74AC" w:rsidP="00E92EDB">
            <w:pPr>
              <w:pStyle w:val="TableHeader"/>
              <w:cnfStyle w:val="100000000000" w:firstRow="1" w:lastRow="0" w:firstColumn="0" w:lastColumn="0" w:oddVBand="0" w:evenVBand="0" w:oddHBand="0" w:evenHBand="0" w:firstRowFirstColumn="0" w:firstRowLastColumn="0" w:lastRowFirstColumn="0" w:lastRowLastColumn="0"/>
              <w:rPr>
                <w:rFonts w:ascii="Arial Narrow" w:hAnsi="Arial Narrow"/>
                <w:b/>
                <w:bCs w:val="0"/>
                <w:sz w:val="20"/>
                <w:szCs w:val="20"/>
              </w:rPr>
            </w:pPr>
            <w:r w:rsidRPr="00E92EDB">
              <w:rPr>
                <w:rFonts w:ascii="Arial Narrow" w:hAnsi="Arial Narrow"/>
                <w:b/>
                <w:bCs w:val="0"/>
                <w:sz w:val="20"/>
                <w:szCs w:val="20"/>
              </w:rPr>
              <w:t># services/ activity units recorded</w:t>
            </w:r>
          </w:p>
        </w:tc>
        <w:tc>
          <w:tcPr>
            <w:tcW w:w="664" w:type="pct"/>
          </w:tcPr>
          <w:p w14:paraId="20E7058F" w14:textId="3CC807E2" w:rsidR="00BB74AC" w:rsidRPr="00E92EDB" w:rsidRDefault="00412D53" w:rsidP="00E92EDB">
            <w:pPr>
              <w:pStyle w:val="TableHeader"/>
              <w:cnfStyle w:val="100000000000" w:firstRow="1" w:lastRow="0" w:firstColumn="0" w:lastColumn="0" w:oddVBand="0" w:evenVBand="0" w:oddHBand="0" w:evenHBand="0" w:firstRowFirstColumn="0" w:firstRowLastColumn="0" w:lastRowFirstColumn="0" w:lastRowLastColumn="0"/>
              <w:rPr>
                <w:rFonts w:ascii="Arial Narrow" w:hAnsi="Arial Narrow"/>
                <w:b/>
                <w:bCs w:val="0"/>
                <w:sz w:val="20"/>
                <w:szCs w:val="20"/>
              </w:rPr>
            </w:pPr>
            <w:r w:rsidRPr="00E92EDB">
              <w:rPr>
                <w:rFonts w:ascii="Arial Narrow" w:hAnsi="Arial Narrow"/>
                <w:b/>
                <w:bCs w:val="0"/>
                <w:sz w:val="20"/>
                <w:szCs w:val="20"/>
              </w:rPr>
              <w:t xml:space="preserve">Control, </w:t>
            </w:r>
            <w:r w:rsidR="00BB74AC" w:rsidRPr="00E92EDB">
              <w:rPr>
                <w:rFonts w:ascii="Arial Narrow" w:hAnsi="Arial Narrow"/>
                <w:b/>
                <w:bCs w:val="0"/>
                <w:sz w:val="20"/>
                <w:szCs w:val="20"/>
              </w:rPr>
              <w:t>Average # per patient</w:t>
            </w:r>
          </w:p>
        </w:tc>
      </w:tr>
      <w:tr w:rsidR="00412D53" w:rsidRPr="00E92EDB" w14:paraId="6EC7368C" w14:textId="77777777" w:rsidTr="00E92E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9" w:type="pct"/>
          </w:tcPr>
          <w:p w14:paraId="2862DB6A" w14:textId="77777777" w:rsidR="00BB74AC" w:rsidRPr="00E92EDB" w:rsidRDefault="00BB74AC" w:rsidP="00E92EDB">
            <w:pPr>
              <w:pStyle w:val="Tabletext1"/>
              <w:rPr>
                <w:rFonts w:ascii="Arial Narrow" w:hAnsi="Arial Narrow"/>
                <w:b w:val="0"/>
                <w:bCs w:val="0"/>
                <w:szCs w:val="20"/>
              </w:rPr>
            </w:pPr>
            <w:r w:rsidRPr="00E92EDB">
              <w:rPr>
                <w:rFonts w:ascii="Arial Narrow" w:hAnsi="Arial Narrow"/>
                <w:b w:val="0"/>
                <w:bCs w:val="0"/>
                <w:szCs w:val="20"/>
              </w:rPr>
              <w:t>Pharmacist reviews</w:t>
            </w:r>
          </w:p>
        </w:tc>
        <w:tc>
          <w:tcPr>
            <w:tcW w:w="663" w:type="pct"/>
          </w:tcPr>
          <w:p w14:paraId="738844FA" w14:textId="77777777" w:rsidR="00BB74AC" w:rsidRPr="00E92EDB" w:rsidRDefault="00BB74AC" w:rsidP="00E92EDB">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E92EDB">
              <w:rPr>
                <w:rFonts w:ascii="Arial Narrow" w:hAnsi="Arial Narrow"/>
                <w:szCs w:val="20"/>
              </w:rPr>
              <w:t>115</w:t>
            </w:r>
          </w:p>
        </w:tc>
        <w:tc>
          <w:tcPr>
            <w:tcW w:w="663" w:type="pct"/>
            <w:noWrap/>
          </w:tcPr>
          <w:p w14:paraId="4DCB11FF" w14:textId="77777777" w:rsidR="00BB74AC" w:rsidRPr="00E92EDB" w:rsidRDefault="00BB74AC" w:rsidP="00E92EDB">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E92EDB">
              <w:rPr>
                <w:rFonts w:ascii="Arial Narrow" w:hAnsi="Arial Narrow"/>
                <w:szCs w:val="20"/>
              </w:rPr>
              <w:t>575</w:t>
            </w:r>
          </w:p>
        </w:tc>
        <w:tc>
          <w:tcPr>
            <w:tcW w:w="664" w:type="pct"/>
          </w:tcPr>
          <w:p w14:paraId="027E4220" w14:textId="77777777" w:rsidR="00BB74AC" w:rsidRPr="00E92EDB" w:rsidRDefault="00BB74AC" w:rsidP="00E92EDB">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E92EDB">
              <w:rPr>
                <w:rFonts w:ascii="Arial Narrow" w:hAnsi="Arial Narrow"/>
                <w:szCs w:val="20"/>
              </w:rPr>
              <w:t>5</w:t>
            </w:r>
          </w:p>
        </w:tc>
        <w:tc>
          <w:tcPr>
            <w:tcW w:w="663" w:type="pct"/>
            <w:noWrap/>
          </w:tcPr>
          <w:p w14:paraId="40BB7AF9" w14:textId="77777777" w:rsidR="00BB74AC" w:rsidRPr="00E92EDB" w:rsidRDefault="00BB74AC" w:rsidP="00E92EDB">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E92EDB">
              <w:rPr>
                <w:rFonts w:ascii="Arial Narrow" w:hAnsi="Arial Narrow"/>
                <w:szCs w:val="20"/>
              </w:rPr>
              <w:t>-</w:t>
            </w:r>
          </w:p>
        </w:tc>
        <w:tc>
          <w:tcPr>
            <w:tcW w:w="663" w:type="pct"/>
          </w:tcPr>
          <w:p w14:paraId="736988E2" w14:textId="77777777" w:rsidR="00BB74AC" w:rsidRPr="00E92EDB" w:rsidRDefault="00BB74AC" w:rsidP="00E92EDB">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E92EDB">
              <w:rPr>
                <w:rFonts w:ascii="Arial Narrow" w:hAnsi="Arial Narrow"/>
                <w:szCs w:val="20"/>
              </w:rPr>
              <w:t>-</w:t>
            </w:r>
          </w:p>
        </w:tc>
        <w:tc>
          <w:tcPr>
            <w:tcW w:w="664" w:type="pct"/>
          </w:tcPr>
          <w:p w14:paraId="32B5428F" w14:textId="77777777" w:rsidR="00BB74AC" w:rsidRPr="00E92EDB" w:rsidRDefault="00BB74AC" w:rsidP="00E92EDB">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E92EDB">
              <w:rPr>
                <w:rFonts w:ascii="Arial Narrow" w:hAnsi="Arial Narrow"/>
                <w:szCs w:val="20"/>
              </w:rPr>
              <w:t>-</w:t>
            </w:r>
          </w:p>
        </w:tc>
      </w:tr>
      <w:tr w:rsidR="00412D53" w:rsidRPr="00E92EDB" w14:paraId="3F36E3C3" w14:textId="77777777" w:rsidTr="00E92EDB">
        <w:trPr>
          <w:trHeight w:val="300"/>
        </w:trPr>
        <w:tc>
          <w:tcPr>
            <w:cnfStyle w:val="001000000000" w:firstRow="0" w:lastRow="0" w:firstColumn="1" w:lastColumn="0" w:oddVBand="0" w:evenVBand="0" w:oddHBand="0" w:evenHBand="0" w:firstRowFirstColumn="0" w:firstRowLastColumn="0" w:lastRowFirstColumn="0" w:lastRowLastColumn="0"/>
            <w:tcW w:w="1019" w:type="pct"/>
          </w:tcPr>
          <w:p w14:paraId="6B848774" w14:textId="77777777" w:rsidR="00BB74AC" w:rsidRPr="00E92EDB" w:rsidRDefault="00BB74AC" w:rsidP="00E92EDB">
            <w:pPr>
              <w:pStyle w:val="Tabletext1"/>
              <w:rPr>
                <w:rFonts w:ascii="Arial Narrow" w:hAnsi="Arial Narrow"/>
                <w:b w:val="0"/>
                <w:bCs w:val="0"/>
                <w:szCs w:val="20"/>
              </w:rPr>
            </w:pPr>
            <w:r w:rsidRPr="00E92EDB">
              <w:rPr>
                <w:rFonts w:ascii="Arial Narrow" w:hAnsi="Arial Narrow"/>
                <w:b w:val="0"/>
                <w:bCs w:val="0"/>
                <w:szCs w:val="20"/>
              </w:rPr>
              <w:t>Medical services</w:t>
            </w:r>
          </w:p>
          <w:p w14:paraId="564D4AE0" w14:textId="77777777" w:rsidR="00BB74AC" w:rsidRPr="00E92EDB" w:rsidRDefault="00BB74AC" w:rsidP="00E92EDB">
            <w:pPr>
              <w:pStyle w:val="Tabletext1"/>
              <w:rPr>
                <w:rFonts w:ascii="Arial Narrow" w:hAnsi="Arial Narrow"/>
                <w:b w:val="0"/>
                <w:bCs w:val="0"/>
                <w:szCs w:val="20"/>
              </w:rPr>
            </w:pPr>
            <w:r w:rsidRPr="00E92EDB">
              <w:rPr>
                <w:rFonts w:ascii="Arial Narrow" w:hAnsi="Arial Narrow"/>
                <w:b w:val="0"/>
                <w:bCs w:val="0"/>
                <w:szCs w:val="20"/>
              </w:rPr>
              <w:t>(MBS items)</w:t>
            </w:r>
          </w:p>
        </w:tc>
        <w:tc>
          <w:tcPr>
            <w:tcW w:w="663" w:type="pct"/>
          </w:tcPr>
          <w:p w14:paraId="6E3E5634" w14:textId="77777777" w:rsidR="00BB74AC" w:rsidRPr="00E92EDB" w:rsidRDefault="00BB74AC" w:rsidP="00E92EDB">
            <w:pPr>
              <w:pStyle w:val="Tabletext1"/>
              <w:jc w:val="right"/>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E92EDB">
              <w:rPr>
                <w:rFonts w:ascii="Arial Narrow" w:hAnsi="Arial Narrow"/>
                <w:szCs w:val="20"/>
              </w:rPr>
              <w:t>80</w:t>
            </w:r>
          </w:p>
        </w:tc>
        <w:tc>
          <w:tcPr>
            <w:tcW w:w="663" w:type="pct"/>
            <w:noWrap/>
          </w:tcPr>
          <w:p w14:paraId="687DF922" w14:textId="77777777" w:rsidR="00BB74AC" w:rsidRPr="00E92EDB" w:rsidRDefault="00BB74AC" w:rsidP="00E92EDB">
            <w:pPr>
              <w:pStyle w:val="Tabletext1"/>
              <w:jc w:val="right"/>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E92EDB">
              <w:rPr>
                <w:rFonts w:ascii="Arial Narrow" w:hAnsi="Arial Narrow"/>
                <w:szCs w:val="20"/>
              </w:rPr>
              <w:t>4032</w:t>
            </w:r>
          </w:p>
        </w:tc>
        <w:tc>
          <w:tcPr>
            <w:tcW w:w="664" w:type="pct"/>
          </w:tcPr>
          <w:p w14:paraId="43CB6B16" w14:textId="77777777" w:rsidR="00BB74AC" w:rsidRPr="00E92EDB" w:rsidRDefault="00BB74AC" w:rsidP="00E92EDB">
            <w:pPr>
              <w:pStyle w:val="Tabletext1"/>
              <w:jc w:val="right"/>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E92EDB">
              <w:rPr>
                <w:rFonts w:ascii="Arial Narrow" w:hAnsi="Arial Narrow"/>
                <w:szCs w:val="20"/>
              </w:rPr>
              <w:t>50.40</w:t>
            </w:r>
          </w:p>
        </w:tc>
        <w:tc>
          <w:tcPr>
            <w:tcW w:w="663" w:type="pct"/>
            <w:noWrap/>
          </w:tcPr>
          <w:p w14:paraId="6DD80DBF" w14:textId="77777777" w:rsidR="00BB74AC" w:rsidRPr="00E92EDB" w:rsidRDefault="00BB74AC" w:rsidP="00E92EDB">
            <w:pPr>
              <w:pStyle w:val="Tabletext1"/>
              <w:jc w:val="right"/>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E92EDB">
              <w:rPr>
                <w:rFonts w:ascii="Arial Narrow" w:hAnsi="Arial Narrow"/>
                <w:szCs w:val="20"/>
              </w:rPr>
              <w:t>88</w:t>
            </w:r>
          </w:p>
        </w:tc>
        <w:tc>
          <w:tcPr>
            <w:tcW w:w="663" w:type="pct"/>
          </w:tcPr>
          <w:p w14:paraId="149441AA" w14:textId="77777777" w:rsidR="00BB74AC" w:rsidRPr="00E92EDB" w:rsidRDefault="00BB74AC" w:rsidP="00E92EDB">
            <w:pPr>
              <w:pStyle w:val="Tabletext1"/>
              <w:jc w:val="right"/>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E92EDB">
              <w:rPr>
                <w:rFonts w:ascii="Arial Narrow" w:hAnsi="Arial Narrow"/>
                <w:szCs w:val="20"/>
              </w:rPr>
              <w:t>4079</w:t>
            </w:r>
          </w:p>
        </w:tc>
        <w:tc>
          <w:tcPr>
            <w:tcW w:w="664" w:type="pct"/>
          </w:tcPr>
          <w:p w14:paraId="16A7D22E" w14:textId="77777777" w:rsidR="00BB74AC" w:rsidRPr="00E92EDB" w:rsidRDefault="00BB74AC" w:rsidP="00E92EDB">
            <w:pPr>
              <w:pStyle w:val="Tabletext1"/>
              <w:jc w:val="right"/>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E92EDB">
              <w:rPr>
                <w:rFonts w:ascii="Arial Narrow" w:hAnsi="Arial Narrow"/>
                <w:szCs w:val="20"/>
              </w:rPr>
              <w:t>46.35</w:t>
            </w:r>
          </w:p>
        </w:tc>
      </w:tr>
      <w:tr w:rsidR="00412D53" w:rsidRPr="00E92EDB" w14:paraId="1F4F0C19" w14:textId="77777777" w:rsidTr="00E92E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9" w:type="pct"/>
          </w:tcPr>
          <w:p w14:paraId="37CC7A65" w14:textId="77777777" w:rsidR="00BB74AC" w:rsidRPr="00E92EDB" w:rsidRDefault="00BB74AC" w:rsidP="00E92EDB">
            <w:pPr>
              <w:pStyle w:val="Tabletext1"/>
              <w:rPr>
                <w:rFonts w:ascii="Arial Narrow" w:hAnsi="Arial Narrow"/>
                <w:b w:val="0"/>
                <w:bCs w:val="0"/>
                <w:szCs w:val="20"/>
              </w:rPr>
            </w:pPr>
            <w:r w:rsidRPr="00E92EDB">
              <w:rPr>
                <w:rFonts w:ascii="Arial Narrow" w:hAnsi="Arial Narrow"/>
                <w:b w:val="0"/>
                <w:bCs w:val="0"/>
                <w:szCs w:val="20"/>
              </w:rPr>
              <w:t>Pharmaceuticals</w:t>
            </w:r>
          </w:p>
          <w:p w14:paraId="3A804444" w14:textId="04FC146C" w:rsidR="00BB74AC" w:rsidRPr="00E92EDB" w:rsidRDefault="00BB74AC" w:rsidP="00E92EDB">
            <w:pPr>
              <w:pStyle w:val="Tabletext1"/>
              <w:rPr>
                <w:rFonts w:ascii="Arial Narrow" w:hAnsi="Arial Narrow"/>
                <w:b w:val="0"/>
                <w:bCs w:val="0"/>
                <w:szCs w:val="20"/>
              </w:rPr>
            </w:pPr>
            <w:r w:rsidRPr="00E92EDB">
              <w:rPr>
                <w:rFonts w:ascii="Arial Narrow" w:hAnsi="Arial Narrow"/>
                <w:b w:val="0"/>
                <w:bCs w:val="0"/>
                <w:szCs w:val="20"/>
              </w:rPr>
              <w:t xml:space="preserve">(PBS </w:t>
            </w:r>
            <w:proofErr w:type="spellStart"/>
            <w:r w:rsidR="00A61188" w:rsidRPr="00E92EDB">
              <w:rPr>
                <w:rFonts w:ascii="Arial Narrow" w:hAnsi="Arial Narrow"/>
                <w:b w:val="0"/>
                <w:bCs w:val="0"/>
                <w:szCs w:val="20"/>
              </w:rPr>
              <w:t>dispensings</w:t>
            </w:r>
            <w:proofErr w:type="spellEnd"/>
            <w:r w:rsidRPr="00E92EDB">
              <w:rPr>
                <w:rFonts w:ascii="Arial Narrow" w:hAnsi="Arial Narrow"/>
                <w:b w:val="0"/>
                <w:bCs w:val="0"/>
                <w:szCs w:val="20"/>
              </w:rPr>
              <w:t>)</w:t>
            </w:r>
          </w:p>
        </w:tc>
        <w:tc>
          <w:tcPr>
            <w:tcW w:w="663" w:type="pct"/>
          </w:tcPr>
          <w:p w14:paraId="65C7BACB" w14:textId="77777777" w:rsidR="00BB74AC" w:rsidRPr="00E92EDB" w:rsidRDefault="00BB74AC" w:rsidP="00E92EDB">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E92EDB">
              <w:rPr>
                <w:rFonts w:ascii="Arial Narrow" w:hAnsi="Arial Narrow"/>
                <w:szCs w:val="20"/>
              </w:rPr>
              <w:t>78</w:t>
            </w:r>
          </w:p>
        </w:tc>
        <w:tc>
          <w:tcPr>
            <w:tcW w:w="663" w:type="pct"/>
            <w:noWrap/>
          </w:tcPr>
          <w:p w14:paraId="3A55F2A3" w14:textId="77777777" w:rsidR="00BB74AC" w:rsidRPr="00E92EDB" w:rsidRDefault="00BB74AC" w:rsidP="00E92EDB">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E92EDB">
              <w:rPr>
                <w:rFonts w:ascii="Arial Narrow" w:hAnsi="Arial Narrow"/>
                <w:szCs w:val="20"/>
              </w:rPr>
              <w:t>7677</w:t>
            </w:r>
          </w:p>
        </w:tc>
        <w:tc>
          <w:tcPr>
            <w:tcW w:w="664" w:type="pct"/>
          </w:tcPr>
          <w:p w14:paraId="0E4A187B" w14:textId="77777777" w:rsidR="00BB74AC" w:rsidRPr="00E92EDB" w:rsidRDefault="00BB74AC" w:rsidP="00E92EDB">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E92EDB">
              <w:rPr>
                <w:rFonts w:ascii="Arial Narrow" w:hAnsi="Arial Narrow"/>
                <w:szCs w:val="20"/>
              </w:rPr>
              <w:t>98.42</w:t>
            </w:r>
          </w:p>
        </w:tc>
        <w:tc>
          <w:tcPr>
            <w:tcW w:w="663" w:type="pct"/>
            <w:noWrap/>
          </w:tcPr>
          <w:p w14:paraId="4B99E22D" w14:textId="77777777" w:rsidR="00BB74AC" w:rsidRPr="00E92EDB" w:rsidRDefault="00BB74AC" w:rsidP="00E92EDB">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E92EDB">
              <w:rPr>
                <w:rFonts w:ascii="Arial Narrow" w:hAnsi="Arial Narrow"/>
                <w:szCs w:val="20"/>
              </w:rPr>
              <w:t>85</w:t>
            </w:r>
          </w:p>
        </w:tc>
        <w:tc>
          <w:tcPr>
            <w:tcW w:w="663" w:type="pct"/>
          </w:tcPr>
          <w:p w14:paraId="6986BABA" w14:textId="77777777" w:rsidR="00BB74AC" w:rsidRPr="00E92EDB" w:rsidRDefault="00BB74AC" w:rsidP="00E92EDB">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E92EDB">
              <w:rPr>
                <w:rFonts w:ascii="Arial Narrow" w:hAnsi="Arial Narrow"/>
                <w:szCs w:val="20"/>
              </w:rPr>
              <w:t>7662</w:t>
            </w:r>
          </w:p>
        </w:tc>
        <w:tc>
          <w:tcPr>
            <w:tcW w:w="664" w:type="pct"/>
          </w:tcPr>
          <w:p w14:paraId="70B65E5D" w14:textId="77777777" w:rsidR="00BB74AC" w:rsidRPr="00E92EDB" w:rsidRDefault="00BB74AC" w:rsidP="00E92EDB">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E92EDB">
              <w:rPr>
                <w:rFonts w:ascii="Arial Narrow" w:hAnsi="Arial Narrow"/>
                <w:szCs w:val="20"/>
              </w:rPr>
              <w:t>90.14</w:t>
            </w:r>
          </w:p>
        </w:tc>
      </w:tr>
      <w:tr w:rsidR="00412D53" w:rsidRPr="00E92EDB" w14:paraId="5C734025" w14:textId="77777777" w:rsidTr="00E92EDB">
        <w:trPr>
          <w:trHeight w:val="300"/>
        </w:trPr>
        <w:tc>
          <w:tcPr>
            <w:cnfStyle w:val="001000000000" w:firstRow="0" w:lastRow="0" w:firstColumn="1" w:lastColumn="0" w:oddVBand="0" w:evenVBand="0" w:oddHBand="0" w:evenHBand="0" w:firstRowFirstColumn="0" w:firstRowLastColumn="0" w:lastRowFirstColumn="0" w:lastRowLastColumn="0"/>
            <w:tcW w:w="1019" w:type="pct"/>
          </w:tcPr>
          <w:p w14:paraId="368FEDBB" w14:textId="0A3E26DE" w:rsidR="00BB74AC" w:rsidRPr="00E92EDB" w:rsidRDefault="00BB74AC" w:rsidP="00E92EDB">
            <w:pPr>
              <w:pStyle w:val="Tabletext1"/>
              <w:rPr>
                <w:rFonts w:ascii="Arial Narrow" w:hAnsi="Arial Narrow"/>
                <w:b w:val="0"/>
                <w:bCs w:val="0"/>
                <w:szCs w:val="20"/>
              </w:rPr>
            </w:pPr>
            <w:r w:rsidRPr="00E92EDB">
              <w:rPr>
                <w:rFonts w:ascii="Arial Narrow" w:hAnsi="Arial Narrow"/>
                <w:b w:val="0"/>
                <w:bCs w:val="0"/>
                <w:szCs w:val="20"/>
              </w:rPr>
              <w:t>Hospitalisation – Inpatient NWAUs</w:t>
            </w:r>
          </w:p>
        </w:tc>
        <w:tc>
          <w:tcPr>
            <w:tcW w:w="663" w:type="pct"/>
          </w:tcPr>
          <w:p w14:paraId="4A9FDFD2" w14:textId="77777777" w:rsidR="00BB74AC" w:rsidRPr="00E92EDB" w:rsidRDefault="00BB74AC" w:rsidP="00E92EDB">
            <w:pPr>
              <w:pStyle w:val="Tabletext1"/>
              <w:jc w:val="right"/>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E92EDB">
              <w:rPr>
                <w:rFonts w:ascii="Arial Narrow" w:hAnsi="Arial Narrow"/>
                <w:szCs w:val="20"/>
              </w:rPr>
              <w:t>100</w:t>
            </w:r>
          </w:p>
        </w:tc>
        <w:tc>
          <w:tcPr>
            <w:tcW w:w="663" w:type="pct"/>
            <w:noWrap/>
          </w:tcPr>
          <w:p w14:paraId="725A60AA" w14:textId="77777777" w:rsidR="00BB74AC" w:rsidRPr="00E92EDB" w:rsidRDefault="00BB74AC" w:rsidP="00E92EDB">
            <w:pPr>
              <w:pStyle w:val="Tabletext1"/>
              <w:jc w:val="right"/>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E92EDB">
              <w:rPr>
                <w:rFonts w:ascii="Arial Narrow" w:hAnsi="Arial Narrow"/>
                <w:szCs w:val="20"/>
              </w:rPr>
              <w:t>57.22</w:t>
            </w:r>
          </w:p>
        </w:tc>
        <w:tc>
          <w:tcPr>
            <w:tcW w:w="664" w:type="pct"/>
          </w:tcPr>
          <w:p w14:paraId="103B50BF" w14:textId="77777777" w:rsidR="00BB74AC" w:rsidRPr="00E92EDB" w:rsidRDefault="00BB74AC" w:rsidP="00E92EDB">
            <w:pPr>
              <w:pStyle w:val="Tabletext1"/>
              <w:jc w:val="right"/>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E92EDB">
              <w:rPr>
                <w:rFonts w:ascii="Arial Narrow" w:hAnsi="Arial Narrow"/>
                <w:szCs w:val="20"/>
              </w:rPr>
              <w:t>0.572</w:t>
            </w:r>
          </w:p>
        </w:tc>
        <w:tc>
          <w:tcPr>
            <w:tcW w:w="663" w:type="pct"/>
            <w:noWrap/>
          </w:tcPr>
          <w:p w14:paraId="4E9573F2" w14:textId="77777777" w:rsidR="00BB74AC" w:rsidRPr="00E92EDB" w:rsidRDefault="00BB74AC" w:rsidP="00E92EDB">
            <w:pPr>
              <w:pStyle w:val="Tabletext1"/>
              <w:jc w:val="right"/>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E92EDB">
              <w:rPr>
                <w:rFonts w:ascii="Arial Narrow" w:hAnsi="Arial Narrow"/>
                <w:szCs w:val="20"/>
              </w:rPr>
              <w:t>109</w:t>
            </w:r>
          </w:p>
        </w:tc>
        <w:tc>
          <w:tcPr>
            <w:tcW w:w="663" w:type="pct"/>
          </w:tcPr>
          <w:p w14:paraId="568DEC78" w14:textId="77777777" w:rsidR="00BB74AC" w:rsidRPr="00E92EDB" w:rsidRDefault="00BB74AC" w:rsidP="00E92EDB">
            <w:pPr>
              <w:pStyle w:val="Tabletext1"/>
              <w:jc w:val="right"/>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E92EDB">
              <w:rPr>
                <w:rFonts w:ascii="Arial Narrow" w:hAnsi="Arial Narrow"/>
                <w:szCs w:val="20"/>
              </w:rPr>
              <w:t>16.26</w:t>
            </w:r>
          </w:p>
        </w:tc>
        <w:tc>
          <w:tcPr>
            <w:tcW w:w="664" w:type="pct"/>
          </w:tcPr>
          <w:p w14:paraId="1DB5A478" w14:textId="77777777" w:rsidR="00BB74AC" w:rsidRPr="00E92EDB" w:rsidRDefault="00BB74AC" w:rsidP="00E92EDB">
            <w:pPr>
              <w:pStyle w:val="Tabletext1"/>
              <w:jc w:val="right"/>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E92EDB">
              <w:rPr>
                <w:rFonts w:ascii="Arial Narrow" w:hAnsi="Arial Narrow"/>
                <w:szCs w:val="20"/>
              </w:rPr>
              <w:t>0.149</w:t>
            </w:r>
          </w:p>
        </w:tc>
      </w:tr>
      <w:tr w:rsidR="00412D53" w:rsidRPr="00E92EDB" w14:paraId="1C3A20A2" w14:textId="77777777" w:rsidTr="00E92E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9" w:type="pct"/>
          </w:tcPr>
          <w:p w14:paraId="4C70C041" w14:textId="0D65C47B" w:rsidR="00BB74AC" w:rsidRPr="00E92EDB" w:rsidRDefault="00BB74AC" w:rsidP="00E92EDB">
            <w:pPr>
              <w:pStyle w:val="Tabletext1"/>
              <w:rPr>
                <w:rFonts w:ascii="Arial Narrow" w:hAnsi="Arial Narrow"/>
                <w:b w:val="0"/>
                <w:bCs w:val="0"/>
                <w:szCs w:val="20"/>
              </w:rPr>
            </w:pPr>
            <w:r w:rsidRPr="00E92EDB">
              <w:rPr>
                <w:rFonts w:ascii="Arial Narrow" w:hAnsi="Arial Narrow"/>
                <w:b w:val="0"/>
                <w:bCs w:val="0"/>
                <w:szCs w:val="20"/>
              </w:rPr>
              <w:t>Hospitalisation – Outpatient NWAUs</w:t>
            </w:r>
          </w:p>
        </w:tc>
        <w:tc>
          <w:tcPr>
            <w:tcW w:w="663" w:type="pct"/>
          </w:tcPr>
          <w:p w14:paraId="1C8C5E46" w14:textId="77777777" w:rsidR="00BB74AC" w:rsidRPr="00E92EDB" w:rsidRDefault="00BB74AC" w:rsidP="00E92EDB">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E92EDB">
              <w:rPr>
                <w:rFonts w:ascii="Arial Narrow" w:hAnsi="Arial Narrow"/>
                <w:szCs w:val="20"/>
              </w:rPr>
              <w:t>21</w:t>
            </w:r>
          </w:p>
        </w:tc>
        <w:tc>
          <w:tcPr>
            <w:tcW w:w="663" w:type="pct"/>
            <w:noWrap/>
          </w:tcPr>
          <w:p w14:paraId="5009630B" w14:textId="77777777" w:rsidR="00BB74AC" w:rsidRPr="00E92EDB" w:rsidRDefault="00BB74AC" w:rsidP="00E92EDB">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E92EDB">
              <w:rPr>
                <w:rFonts w:ascii="Arial Narrow" w:hAnsi="Arial Narrow"/>
                <w:szCs w:val="20"/>
              </w:rPr>
              <w:t>2.02</w:t>
            </w:r>
          </w:p>
        </w:tc>
        <w:tc>
          <w:tcPr>
            <w:tcW w:w="664" w:type="pct"/>
          </w:tcPr>
          <w:p w14:paraId="13297F01" w14:textId="77777777" w:rsidR="00BB74AC" w:rsidRPr="00E92EDB" w:rsidRDefault="00BB74AC" w:rsidP="00E92EDB">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E92EDB">
              <w:rPr>
                <w:rFonts w:ascii="Arial Narrow" w:hAnsi="Arial Narrow"/>
                <w:szCs w:val="20"/>
              </w:rPr>
              <w:t>0.096</w:t>
            </w:r>
          </w:p>
        </w:tc>
        <w:tc>
          <w:tcPr>
            <w:tcW w:w="663" w:type="pct"/>
            <w:noWrap/>
          </w:tcPr>
          <w:p w14:paraId="39FA1351" w14:textId="77777777" w:rsidR="00BB74AC" w:rsidRPr="00E92EDB" w:rsidRDefault="00BB74AC" w:rsidP="00E92EDB">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E92EDB">
              <w:rPr>
                <w:rFonts w:ascii="Arial Narrow" w:hAnsi="Arial Narrow"/>
                <w:szCs w:val="20"/>
              </w:rPr>
              <w:t>18</w:t>
            </w:r>
          </w:p>
        </w:tc>
        <w:tc>
          <w:tcPr>
            <w:tcW w:w="663" w:type="pct"/>
          </w:tcPr>
          <w:p w14:paraId="49C3EEFB" w14:textId="77777777" w:rsidR="00BB74AC" w:rsidRPr="00E92EDB" w:rsidRDefault="00BB74AC" w:rsidP="00E92EDB">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E92EDB">
              <w:rPr>
                <w:rFonts w:ascii="Arial Narrow" w:hAnsi="Arial Narrow"/>
                <w:szCs w:val="20"/>
              </w:rPr>
              <w:t>0.46</w:t>
            </w:r>
          </w:p>
        </w:tc>
        <w:tc>
          <w:tcPr>
            <w:tcW w:w="664" w:type="pct"/>
          </w:tcPr>
          <w:p w14:paraId="7CB3E3E1" w14:textId="77777777" w:rsidR="00BB74AC" w:rsidRPr="00E92EDB" w:rsidRDefault="00BB74AC" w:rsidP="00E92EDB">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E92EDB">
              <w:rPr>
                <w:rFonts w:ascii="Arial Narrow" w:hAnsi="Arial Narrow"/>
                <w:szCs w:val="20"/>
              </w:rPr>
              <w:t>0.025</w:t>
            </w:r>
          </w:p>
        </w:tc>
      </w:tr>
      <w:tr w:rsidR="00412D53" w:rsidRPr="00E92EDB" w14:paraId="2A83B46C" w14:textId="77777777" w:rsidTr="00E92EDB">
        <w:trPr>
          <w:trHeight w:val="300"/>
        </w:trPr>
        <w:tc>
          <w:tcPr>
            <w:cnfStyle w:val="001000000000" w:firstRow="0" w:lastRow="0" w:firstColumn="1" w:lastColumn="0" w:oddVBand="0" w:evenVBand="0" w:oddHBand="0" w:evenHBand="0" w:firstRowFirstColumn="0" w:firstRowLastColumn="0" w:lastRowFirstColumn="0" w:lastRowLastColumn="0"/>
            <w:tcW w:w="1019" w:type="pct"/>
          </w:tcPr>
          <w:p w14:paraId="7D029DEC" w14:textId="77777777" w:rsidR="00BB74AC" w:rsidRPr="00E92EDB" w:rsidRDefault="00BB74AC" w:rsidP="00E92EDB">
            <w:pPr>
              <w:pStyle w:val="Tabletext1"/>
              <w:rPr>
                <w:rFonts w:ascii="Arial Narrow" w:hAnsi="Arial Narrow"/>
                <w:b w:val="0"/>
                <w:bCs w:val="0"/>
                <w:szCs w:val="20"/>
              </w:rPr>
            </w:pPr>
            <w:r w:rsidRPr="00E92EDB">
              <w:rPr>
                <w:rFonts w:ascii="Arial Narrow" w:hAnsi="Arial Narrow"/>
                <w:b w:val="0"/>
                <w:bCs w:val="0"/>
                <w:szCs w:val="20"/>
              </w:rPr>
              <w:t>Allied Health services</w:t>
            </w:r>
          </w:p>
        </w:tc>
        <w:tc>
          <w:tcPr>
            <w:tcW w:w="663" w:type="pct"/>
          </w:tcPr>
          <w:p w14:paraId="687153FA" w14:textId="77777777" w:rsidR="00BB74AC" w:rsidRPr="00E92EDB" w:rsidRDefault="00BB74AC" w:rsidP="00E92EDB">
            <w:pPr>
              <w:pStyle w:val="Tabletext1"/>
              <w:jc w:val="right"/>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E92EDB">
              <w:rPr>
                <w:rFonts w:ascii="Arial Narrow" w:hAnsi="Arial Narrow"/>
                <w:szCs w:val="20"/>
              </w:rPr>
              <w:t>120</w:t>
            </w:r>
          </w:p>
        </w:tc>
        <w:tc>
          <w:tcPr>
            <w:tcW w:w="663" w:type="pct"/>
            <w:noWrap/>
          </w:tcPr>
          <w:p w14:paraId="5EAF97BA" w14:textId="77777777" w:rsidR="00BB74AC" w:rsidRPr="00E92EDB" w:rsidRDefault="00BB74AC" w:rsidP="00E92EDB">
            <w:pPr>
              <w:pStyle w:val="Tabletext1"/>
              <w:jc w:val="right"/>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E92EDB">
              <w:rPr>
                <w:rFonts w:ascii="Arial Narrow" w:hAnsi="Arial Narrow"/>
                <w:szCs w:val="20"/>
              </w:rPr>
              <w:t>349</w:t>
            </w:r>
          </w:p>
        </w:tc>
        <w:tc>
          <w:tcPr>
            <w:tcW w:w="664" w:type="pct"/>
          </w:tcPr>
          <w:p w14:paraId="115CA8B8" w14:textId="77777777" w:rsidR="00BB74AC" w:rsidRPr="00E92EDB" w:rsidRDefault="00BB74AC" w:rsidP="00E92EDB">
            <w:pPr>
              <w:pStyle w:val="Tabletext1"/>
              <w:jc w:val="right"/>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szCs w:val="20"/>
              </w:rPr>
            </w:pPr>
          </w:p>
        </w:tc>
        <w:tc>
          <w:tcPr>
            <w:tcW w:w="663" w:type="pct"/>
            <w:noWrap/>
          </w:tcPr>
          <w:p w14:paraId="2AC14EC5" w14:textId="77777777" w:rsidR="00BB74AC" w:rsidRPr="00E92EDB" w:rsidRDefault="00BB74AC" w:rsidP="00E92EDB">
            <w:pPr>
              <w:pStyle w:val="Tabletext1"/>
              <w:jc w:val="right"/>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E92EDB">
              <w:rPr>
                <w:rFonts w:ascii="Arial Narrow" w:hAnsi="Arial Narrow"/>
                <w:szCs w:val="20"/>
              </w:rPr>
              <w:t>128</w:t>
            </w:r>
          </w:p>
        </w:tc>
        <w:tc>
          <w:tcPr>
            <w:tcW w:w="663" w:type="pct"/>
          </w:tcPr>
          <w:p w14:paraId="54F7B0AF" w14:textId="77777777" w:rsidR="00BB74AC" w:rsidRPr="00E92EDB" w:rsidRDefault="00BB74AC" w:rsidP="00E92EDB">
            <w:pPr>
              <w:pStyle w:val="Tabletext1"/>
              <w:jc w:val="right"/>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E92EDB">
              <w:rPr>
                <w:rFonts w:ascii="Arial Narrow" w:hAnsi="Arial Narrow"/>
                <w:szCs w:val="20"/>
              </w:rPr>
              <w:t>225</w:t>
            </w:r>
          </w:p>
        </w:tc>
        <w:tc>
          <w:tcPr>
            <w:tcW w:w="664" w:type="pct"/>
          </w:tcPr>
          <w:p w14:paraId="3D42109A" w14:textId="77777777" w:rsidR="00BB74AC" w:rsidRPr="00E92EDB" w:rsidRDefault="00BB74AC" w:rsidP="00E92EDB">
            <w:pPr>
              <w:pStyle w:val="Tabletext1"/>
              <w:jc w:val="right"/>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szCs w:val="20"/>
              </w:rPr>
            </w:pPr>
          </w:p>
        </w:tc>
      </w:tr>
    </w:tbl>
    <w:p w14:paraId="6BB19562" w14:textId="03FB984D" w:rsidR="00412D53" w:rsidRPr="00BB74AC" w:rsidRDefault="00412D53" w:rsidP="00897C5B">
      <w:pPr>
        <w:pStyle w:val="Caption"/>
      </w:pPr>
      <w:r w:rsidRPr="00CC5A20">
        <w:t xml:space="preserve">Table </w:t>
      </w:r>
      <w:r w:rsidR="00CC5A20">
        <w:t>D-7</w:t>
      </w:r>
      <w:r>
        <w:t>:</w:t>
      </w:r>
      <w:r w:rsidRPr="00BB74AC">
        <w:t xml:space="preserve"> Number of healthcare services provided over 12 months for each study arm (disaggregated base case)</w:t>
      </w:r>
    </w:p>
    <w:p w14:paraId="36936CDD" w14:textId="70B18684" w:rsidR="00683514" w:rsidRPr="00BB74AC" w:rsidRDefault="00683514" w:rsidP="00897C5B">
      <w:pPr>
        <w:pStyle w:val="Heading3"/>
      </w:pPr>
      <w:bookmarkStart w:id="237" w:name="_Toc117758272"/>
      <w:r>
        <w:t>D.4.2</w:t>
      </w:r>
      <w:r w:rsidR="00FF37D6">
        <w:tab/>
      </w:r>
      <w:r>
        <w:t>Health Outcomes</w:t>
      </w:r>
      <w:bookmarkEnd w:id="237"/>
    </w:p>
    <w:p w14:paraId="10468598" w14:textId="0C7227F8" w:rsidR="00683514" w:rsidRPr="00BB74AC" w:rsidRDefault="00683514" w:rsidP="007501B9">
      <w:r>
        <w:t xml:space="preserve">The health outcome </w:t>
      </w:r>
      <w:r w:rsidRPr="00155108">
        <w:t>w</w:t>
      </w:r>
      <w:r w:rsidR="00A61188" w:rsidRPr="00155108">
        <w:t>h</w:t>
      </w:r>
      <w:r w:rsidRPr="00155108">
        <w:t xml:space="preserve">ere a significant difference between arms was demonstrated in the study was cognitive decline, as shown in </w:t>
      </w:r>
      <w:r w:rsidR="00D66295" w:rsidRPr="00155108">
        <w:t>Table B</w:t>
      </w:r>
      <w:r w:rsidR="00155108" w:rsidRPr="00155108">
        <w:t>9a</w:t>
      </w:r>
      <w:r w:rsidR="007501B9">
        <w:t xml:space="preserve">. </w:t>
      </w:r>
      <w:r w:rsidRPr="00155108">
        <w:t>To be interpretable in the context of value for money, health outcome differences in a cost-effectiveness analysis should be societally</w:t>
      </w:r>
      <w:r w:rsidR="00A61188" w:rsidRPr="00155108">
        <w:t xml:space="preserve"> or </w:t>
      </w:r>
      <w:r w:rsidRPr="00155108">
        <w:t>patient relevant</w:t>
      </w:r>
      <w:r w:rsidR="007501B9">
        <w:t xml:space="preserve">. </w:t>
      </w:r>
      <w:r w:rsidRPr="00155108">
        <w:t>Therefore</w:t>
      </w:r>
      <w:r w:rsidR="00A61188" w:rsidRPr="00155108">
        <w:t>,</w:t>
      </w:r>
      <w:r w:rsidRPr="00155108">
        <w:t xml:space="preserve"> for economic purposes the </w:t>
      </w:r>
      <w:r w:rsidRPr="00155108">
        <w:rPr>
          <w:i/>
        </w:rPr>
        <w:t>post hoc</w:t>
      </w:r>
      <w:r w:rsidRPr="00155108">
        <w:t xml:space="preserve"> analysis presented in Table </w:t>
      </w:r>
      <w:r w:rsidR="00D66295" w:rsidRPr="00155108">
        <w:t>B</w:t>
      </w:r>
      <w:r w:rsidR="00155108" w:rsidRPr="00155108">
        <w:t>-10</w:t>
      </w:r>
      <w:r w:rsidRPr="00155108">
        <w:t xml:space="preserve"> is</w:t>
      </w:r>
      <w:r>
        <w:t xml:space="preserve"> the most relevant to quantify patient-relevant effects on cognitive function</w:t>
      </w:r>
      <w:r w:rsidR="007501B9">
        <w:t xml:space="preserve">. </w:t>
      </w:r>
      <w:r>
        <w:t>This analysis identified that in the intervention arm an additional 12% of residents avoid</w:t>
      </w:r>
      <w:r w:rsidR="00A61188">
        <w:t>ed</w:t>
      </w:r>
      <w:r>
        <w:t xml:space="preserve"> clinically significant cognitive decline in 12 months</w:t>
      </w:r>
      <w:r w:rsidR="007501B9">
        <w:t xml:space="preserve">. </w:t>
      </w:r>
      <w:r>
        <w:t>This represents a NNT (number needed to treat/pro</w:t>
      </w:r>
      <w:r w:rsidR="00CC5A20">
        <w:t xml:space="preserve">vide intervention to) of 8.33. </w:t>
      </w:r>
      <w:proofErr w:type="spellStart"/>
      <w:r w:rsidR="0004349F">
        <w:t>I.e</w:t>
      </w:r>
      <w:proofErr w:type="spellEnd"/>
      <w:r>
        <w:t xml:space="preserve"> for every 8.33 residents that pharmacists </w:t>
      </w:r>
      <w:r>
        <w:lastRenderedPageBreak/>
        <w:t xml:space="preserve">reviewed 8 weekly over a year, it would be expected that one would avoid a </w:t>
      </w:r>
      <w:proofErr w:type="gramStart"/>
      <w:r>
        <w:t>clinically-relevant</w:t>
      </w:r>
      <w:proofErr w:type="gramEnd"/>
      <w:r>
        <w:t xml:space="preserve"> cognitive decline.</w:t>
      </w:r>
    </w:p>
    <w:p w14:paraId="48CB0CFC" w14:textId="50A878CD" w:rsidR="002B236B" w:rsidRDefault="00BB74AC" w:rsidP="00903BC5">
      <w:pPr>
        <w:pStyle w:val="Heading2-SectionD"/>
      </w:pPr>
      <w:bookmarkStart w:id="238" w:name="_Toc117758273"/>
      <w:r>
        <w:t>Results of the economic evaluation</w:t>
      </w:r>
      <w:bookmarkEnd w:id="238"/>
    </w:p>
    <w:p w14:paraId="218B7FB9" w14:textId="6EBD7345" w:rsidR="00412D53" w:rsidRDefault="00E91002" w:rsidP="00897C5B">
      <w:pPr>
        <w:pStyle w:val="Heading3"/>
      </w:pPr>
      <w:bookmarkStart w:id="239" w:name="_Toc117758274"/>
      <w:r>
        <w:t>Disaggregated Cost Results</w:t>
      </w:r>
      <w:bookmarkEnd w:id="239"/>
    </w:p>
    <w:p w14:paraId="7FAFAF86" w14:textId="77777777" w:rsidR="00412D53" w:rsidRDefault="00412D53" w:rsidP="00155108">
      <w:pPr>
        <w:pStyle w:val="Heading4"/>
        <w:spacing w:line="276" w:lineRule="auto"/>
      </w:pPr>
      <w:r>
        <w:t>Pharmacist intervention</w:t>
      </w:r>
    </w:p>
    <w:p w14:paraId="5AC9489D" w14:textId="449A8DFE" w:rsidR="00412D53" w:rsidRDefault="00412D53" w:rsidP="007501B9">
      <w:r>
        <w:t>115 residents in the intervention arm received 575 pharmacist reviews over a total of 38,342 study follow-up days</w:t>
      </w:r>
      <w:r w:rsidR="007501B9">
        <w:t xml:space="preserve">. </w:t>
      </w:r>
      <w:r>
        <w:t>Costing reviews at an average of $107.07 each, represents an expenditure of $61,565 over the cohort, or $535.35 per resident in the intervention arm</w:t>
      </w:r>
      <w:r w:rsidR="007501B9">
        <w:t xml:space="preserve">. </w:t>
      </w:r>
      <w:r>
        <w:t>However</w:t>
      </w:r>
      <w:r w:rsidR="00B01115">
        <w:t>,</w:t>
      </w:r>
      <w:r>
        <w:t xml:space="preserve"> because average follow-up in the intervention arm was only 333 days (due to the fact that some residents died before 1 year), all cost estimates will be adjusted to an estimate of costs over a </w:t>
      </w:r>
      <w:proofErr w:type="gramStart"/>
      <w:r>
        <w:t>365 day</w:t>
      </w:r>
      <w:proofErr w:type="gramEnd"/>
      <w:r>
        <w:t xml:space="preserve"> period to enable a comparison to be made to the usual care arm.</w:t>
      </w:r>
    </w:p>
    <w:p w14:paraId="587146A1" w14:textId="77777777" w:rsidR="00412D53" w:rsidRDefault="00412D53" w:rsidP="007501B9">
      <w:r>
        <w:t xml:space="preserve">This adjustment (calculation of an average cost of $1.61 per </w:t>
      </w:r>
      <w:proofErr w:type="gramStart"/>
      <w:r>
        <w:t>day, and</w:t>
      </w:r>
      <w:proofErr w:type="gramEnd"/>
      <w:r>
        <w:t xml:space="preserve"> multiplying it by 365) results in an estimate of the intervention cost to be on average $586 per resident per year.</w:t>
      </w:r>
    </w:p>
    <w:p w14:paraId="0CAF6E7A" w14:textId="77777777" w:rsidR="00412D53" w:rsidRDefault="00412D53" w:rsidP="00155108">
      <w:pPr>
        <w:pStyle w:val="Heading4"/>
        <w:spacing w:line="276" w:lineRule="auto"/>
      </w:pPr>
      <w:r>
        <w:t>MBS costs and PBS costs</w:t>
      </w:r>
    </w:p>
    <w:p w14:paraId="18CD65DD" w14:textId="040D8743" w:rsidR="00412D53" w:rsidRDefault="00412D53" w:rsidP="007501B9">
      <w:r>
        <w:t xml:space="preserve">Total MBS use and PBS use over the </w:t>
      </w:r>
      <w:proofErr w:type="gramStart"/>
      <w:r>
        <w:t>12 month</w:t>
      </w:r>
      <w:proofErr w:type="gramEnd"/>
      <w:r>
        <w:t xml:space="preserve"> follow-up period for each patient are reported </w:t>
      </w:r>
      <w:r w:rsidRPr="00CC5A20">
        <w:t xml:space="preserve">separately </w:t>
      </w:r>
      <w:r w:rsidR="00B01115" w:rsidRPr="00CC5A20">
        <w:t>(T</w:t>
      </w:r>
      <w:r w:rsidRPr="00CC5A20">
        <w:t xml:space="preserve">ables </w:t>
      </w:r>
      <w:r w:rsidR="00CC5A20" w:rsidRPr="00CC5A20">
        <w:t>D-8</w:t>
      </w:r>
      <w:r w:rsidRPr="00CC5A20">
        <w:t xml:space="preserve"> and </w:t>
      </w:r>
      <w:r w:rsidR="00CC5A20" w:rsidRPr="00CC5A20">
        <w:t>D-9</w:t>
      </w:r>
      <w:r w:rsidR="00B01115" w:rsidRPr="00CC5A20">
        <w:t>)</w:t>
      </w:r>
      <w:r w:rsidRPr="00CC5A20">
        <w:t>,</w:t>
      </w:r>
      <w:r>
        <w:t xml:space="preserve"> with the calculations of the average cost per patient and the average cost per day also presented</w:t>
      </w:r>
      <w:r w:rsidR="007501B9">
        <w:t xml:space="preserve">. </w:t>
      </w:r>
      <w:r>
        <w:t>The costs reported below are total healthcare system costs (</w:t>
      </w:r>
      <w:proofErr w:type="gramStart"/>
      <w:r>
        <w:t>i.e.</w:t>
      </w:r>
      <w:proofErr w:type="gramEnd"/>
      <w:r>
        <w:t xml:space="preserve"> include both public benefits paid and also patient contributions)</w:t>
      </w:r>
      <w:r w:rsidR="007501B9">
        <w:t xml:space="preserve">. </w:t>
      </w:r>
      <w:r>
        <w:t>The public funding perspective (</w:t>
      </w:r>
      <w:proofErr w:type="gramStart"/>
      <w:r>
        <w:t>i.e.</w:t>
      </w:r>
      <w:proofErr w:type="gramEnd"/>
      <w:r>
        <w:t xml:space="preserve"> based on public expenditure only) is presented in the sensitivity analysis.</w:t>
      </w:r>
    </w:p>
    <w:tbl>
      <w:tblPr>
        <w:tblStyle w:val="ListTable3"/>
        <w:tblW w:w="0" w:type="auto"/>
        <w:tblLook w:val="04A0" w:firstRow="1" w:lastRow="0" w:firstColumn="1" w:lastColumn="0" w:noHBand="0" w:noVBand="1"/>
        <w:tblCaption w:val="MBS costs in each arm of the study"/>
        <w:tblDescription w:val="MBS costs in each arm of the study"/>
      </w:tblPr>
      <w:tblGrid>
        <w:gridCol w:w="1577"/>
        <w:gridCol w:w="1573"/>
        <w:gridCol w:w="1537"/>
        <w:gridCol w:w="1573"/>
        <w:gridCol w:w="1488"/>
        <w:gridCol w:w="1268"/>
      </w:tblGrid>
      <w:tr w:rsidR="00B01115" w:rsidRPr="00E92EDB" w14:paraId="4128FCD7" w14:textId="77777777" w:rsidTr="00E92ED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970" w:type="dxa"/>
          </w:tcPr>
          <w:p w14:paraId="2757DCD3" w14:textId="4D40F704" w:rsidR="00412D53" w:rsidRPr="00E92EDB" w:rsidRDefault="00B01115" w:rsidP="00E92EDB">
            <w:pPr>
              <w:pStyle w:val="TableHeader"/>
              <w:rPr>
                <w:b/>
                <w:bCs w:val="0"/>
              </w:rPr>
            </w:pPr>
            <w:r w:rsidRPr="00E92EDB">
              <w:rPr>
                <w:b/>
                <w:bCs w:val="0"/>
              </w:rPr>
              <w:t>MBS Costs</w:t>
            </w:r>
            <w:bookmarkStart w:id="240" w:name="ColumnTitle_23"/>
            <w:bookmarkEnd w:id="240"/>
          </w:p>
        </w:tc>
        <w:tc>
          <w:tcPr>
            <w:tcW w:w="1455" w:type="dxa"/>
          </w:tcPr>
          <w:p w14:paraId="3B171A58" w14:textId="77777777" w:rsidR="00B01115" w:rsidRPr="00E92EDB" w:rsidRDefault="00B01115" w:rsidP="00E92EDB">
            <w:pPr>
              <w:pStyle w:val="TableHeader"/>
              <w:cnfStyle w:val="100000000000" w:firstRow="1" w:lastRow="0" w:firstColumn="0" w:lastColumn="0" w:oddVBand="0" w:evenVBand="0" w:oddHBand="0" w:evenHBand="0" w:firstRowFirstColumn="0" w:firstRowLastColumn="0" w:lastRowFirstColumn="0" w:lastRowLastColumn="0"/>
              <w:rPr>
                <w:b/>
                <w:bCs w:val="0"/>
              </w:rPr>
            </w:pPr>
            <w:r w:rsidRPr="00E92EDB">
              <w:rPr>
                <w:b/>
                <w:bCs w:val="0"/>
              </w:rPr>
              <w:t>Intervention,</w:t>
            </w:r>
          </w:p>
          <w:p w14:paraId="70BF646A" w14:textId="00EA6451" w:rsidR="00412D53" w:rsidRPr="00E92EDB" w:rsidRDefault="00412D53" w:rsidP="00E92EDB">
            <w:pPr>
              <w:pStyle w:val="TableHeader"/>
              <w:cnfStyle w:val="100000000000" w:firstRow="1" w:lastRow="0" w:firstColumn="0" w:lastColumn="0" w:oddVBand="0" w:evenVBand="0" w:oddHBand="0" w:evenHBand="0" w:firstRowFirstColumn="0" w:firstRowLastColumn="0" w:lastRowFirstColumn="0" w:lastRowLastColumn="0"/>
              <w:rPr>
                <w:b/>
                <w:bCs w:val="0"/>
              </w:rPr>
            </w:pPr>
            <w:r w:rsidRPr="00E92EDB">
              <w:rPr>
                <w:b/>
                <w:bCs w:val="0"/>
              </w:rPr>
              <w:t>Denominator</w:t>
            </w:r>
          </w:p>
        </w:tc>
        <w:tc>
          <w:tcPr>
            <w:tcW w:w="1456" w:type="dxa"/>
          </w:tcPr>
          <w:p w14:paraId="797C2792" w14:textId="7FC7FAE9" w:rsidR="00412D53" w:rsidRPr="00E92EDB" w:rsidRDefault="00B01115" w:rsidP="00E92EDB">
            <w:pPr>
              <w:pStyle w:val="TableHeader"/>
              <w:cnfStyle w:val="100000000000" w:firstRow="1" w:lastRow="0" w:firstColumn="0" w:lastColumn="0" w:oddVBand="0" w:evenVBand="0" w:oddHBand="0" w:evenHBand="0" w:firstRowFirstColumn="0" w:firstRowLastColumn="0" w:lastRowFirstColumn="0" w:lastRowLastColumn="0"/>
              <w:rPr>
                <w:b/>
                <w:bCs w:val="0"/>
              </w:rPr>
            </w:pPr>
            <w:r w:rsidRPr="00E92EDB">
              <w:rPr>
                <w:b/>
                <w:bCs w:val="0"/>
              </w:rPr>
              <w:t xml:space="preserve">Intervention, </w:t>
            </w:r>
            <w:r w:rsidR="00412D53" w:rsidRPr="00E92EDB">
              <w:rPr>
                <w:b/>
                <w:bCs w:val="0"/>
              </w:rPr>
              <w:t>Costs</w:t>
            </w:r>
          </w:p>
        </w:tc>
        <w:tc>
          <w:tcPr>
            <w:tcW w:w="1351" w:type="dxa"/>
          </w:tcPr>
          <w:p w14:paraId="2B070FFD" w14:textId="0B5E7F3E" w:rsidR="00412D53" w:rsidRPr="00E92EDB" w:rsidRDefault="00BF6331" w:rsidP="00E92EDB">
            <w:pPr>
              <w:pStyle w:val="TableHeader"/>
              <w:cnfStyle w:val="100000000000" w:firstRow="1" w:lastRow="0" w:firstColumn="0" w:lastColumn="0" w:oddVBand="0" w:evenVBand="0" w:oddHBand="0" w:evenHBand="0" w:firstRowFirstColumn="0" w:firstRowLastColumn="0" w:lastRowFirstColumn="0" w:lastRowLastColumn="0"/>
              <w:rPr>
                <w:b/>
                <w:bCs w:val="0"/>
              </w:rPr>
            </w:pPr>
            <w:r w:rsidRPr="00E92EDB">
              <w:rPr>
                <w:b/>
                <w:bCs w:val="0"/>
              </w:rPr>
              <w:t>Control</w:t>
            </w:r>
            <w:r w:rsidR="00B01115" w:rsidRPr="00E92EDB">
              <w:rPr>
                <w:b/>
                <w:bCs w:val="0"/>
              </w:rPr>
              <w:t xml:space="preserve">, </w:t>
            </w:r>
            <w:r w:rsidR="00412D53" w:rsidRPr="00E92EDB">
              <w:rPr>
                <w:b/>
                <w:bCs w:val="0"/>
              </w:rPr>
              <w:t>Denominator</w:t>
            </w:r>
          </w:p>
        </w:tc>
        <w:tc>
          <w:tcPr>
            <w:tcW w:w="1418" w:type="dxa"/>
          </w:tcPr>
          <w:p w14:paraId="44385749" w14:textId="6E82E917" w:rsidR="00B01115" w:rsidRPr="00E92EDB" w:rsidRDefault="00B01115" w:rsidP="00E92EDB">
            <w:pPr>
              <w:pStyle w:val="TableHeader"/>
              <w:cnfStyle w:val="100000000000" w:firstRow="1" w:lastRow="0" w:firstColumn="0" w:lastColumn="0" w:oddVBand="0" w:evenVBand="0" w:oddHBand="0" w:evenHBand="0" w:firstRowFirstColumn="0" w:firstRowLastColumn="0" w:lastRowFirstColumn="0" w:lastRowLastColumn="0"/>
              <w:rPr>
                <w:b/>
                <w:bCs w:val="0"/>
              </w:rPr>
            </w:pPr>
            <w:r w:rsidRPr="00E92EDB">
              <w:rPr>
                <w:b/>
                <w:bCs w:val="0"/>
              </w:rPr>
              <w:t>Control,</w:t>
            </w:r>
          </w:p>
          <w:p w14:paraId="48FD31CE" w14:textId="196148F3" w:rsidR="00412D53" w:rsidRPr="00E92EDB" w:rsidRDefault="00412D53" w:rsidP="00E92EDB">
            <w:pPr>
              <w:pStyle w:val="TableHeader"/>
              <w:cnfStyle w:val="100000000000" w:firstRow="1" w:lastRow="0" w:firstColumn="0" w:lastColumn="0" w:oddVBand="0" w:evenVBand="0" w:oddHBand="0" w:evenHBand="0" w:firstRowFirstColumn="0" w:firstRowLastColumn="0" w:lastRowFirstColumn="0" w:lastRowLastColumn="0"/>
              <w:rPr>
                <w:b/>
                <w:bCs w:val="0"/>
              </w:rPr>
            </w:pPr>
            <w:r w:rsidRPr="00E92EDB">
              <w:rPr>
                <w:b/>
                <w:bCs w:val="0"/>
              </w:rPr>
              <w:t>Expenditure</w:t>
            </w:r>
          </w:p>
        </w:tc>
        <w:tc>
          <w:tcPr>
            <w:tcW w:w="1134" w:type="dxa"/>
          </w:tcPr>
          <w:p w14:paraId="346C7DF5" w14:textId="5C21DEC3" w:rsidR="00412D53" w:rsidRPr="00E92EDB" w:rsidRDefault="00B01115" w:rsidP="00E92EDB">
            <w:pPr>
              <w:pStyle w:val="TableHeader"/>
              <w:cnfStyle w:val="100000000000" w:firstRow="1" w:lastRow="0" w:firstColumn="0" w:lastColumn="0" w:oddVBand="0" w:evenVBand="0" w:oddHBand="0" w:evenHBand="0" w:firstRowFirstColumn="0" w:firstRowLastColumn="0" w:lastRowFirstColumn="0" w:lastRowLastColumn="0"/>
              <w:rPr>
                <w:b/>
                <w:bCs w:val="0"/>
              </w:rPr>
            </w:pPr>
            <w:r w:rsidRPr="00E92EDB">
              <w:rPr>
                <w:b/>
                <w:bCs w:val="0"/>
              </w:rPr>
              <w:t>Increment</w:t>
            </w:r>
          </w:p>
        </w:tc>
      </w:tr>
      <w:tr w:rsidR="00B01115" w:rsidRPr="00E92EDB" w14:paraId="15D9590D" w14:textId="77777777" w:rsidTr="00E92E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tcPr>
          <w:p w14:paraId="5C789FF7" w14:textId="77777777" w:rsidR="00412D53" w:rsidRPr="00E92EDB" w:rsidRDefault="00412D53" w:rsidP="00E92EDB">
            <w:pPr>
              <w:pStyle w:val="Tabletext1"/>
              <w:rPr>
                <w:b w:val="0"/>
                <w:bCs w:val="0"/>
              </w:rPr>
            </w:pPr>
            <w:r w:rsidRPr="00E92EDB">
              <w:rPr>
                <w:b w:val="0"/>
                <w:bCs w:val="0"/>
              </w:rPr>
              <w:t xml:space="preserve">Per trial arm </w:t>
            </w:r>
          </w:p>
        </w:tc>
        <w:tc>
          <w:tcPr>
            <w:tcW w:w="1455" w:type="dxa"/>
          </w:tcPr>
          <w:p w14:paraId="1A9DBB19" w14:textId="77777777" w:rsidR="00412D53" w:rsidRPr="00E92EDB" w:rsidRDefault="00412D53" w:rsidP="00E92EDB">
            <w:pPr>
              <w:pStyle w:val="Tabletext1"/>
              <w:jc w:val="right"/>
              <w:cnfStyle w:val="000000100000" w:firstRow="0" w:lastRow="0" w:firstColumn="0" w:lastColumn="0" w:oddVBand="0" w:evenVBand="0" w:oddHBand="1" w:evenHBand="0" w:firstRowFirstColumn="0" w:firstRowLastColumn="0" w:lastRowFirstColumn="0" w:lastRowLastColumn="0"/>
            </w:pPr>
          </w:p>
        </w:tc>
        <w:tc>
          <w:tcPr>
            <w:tcW w:w="1456" w:type="dxa"/>
          </w:tcPr>
          <w:p w14:paraId="301F64EE" w14:textId="77777777" w:rsidR="00412D53" w:rsidRPr="00E92EDB" w:rsidRDefault="00412D53" w:rsidP="00E92EDB">
            <w:pPr>
              <w:pStyle w:val="Tabletext1"/>
              <w:jc w:val="right"/>
              <w:cnfStyle w:val="000000100000" w:firstRow="0" w:lastRow="0" w:firstColumn="0" w:lastColumn="0" w:oddVBand="0" w:evenVBand="0" w:oddHBand="1" w:evenHBand="0" w:firstRowFirstColumn="0" w:firstRowLastColumn="0" w:lastRowFirstColumn="0" w:lastRowLastColumn="0"/>
            </w:pPr>
            <w:r w:rsidRPr="00E92EDB">
              <w:t>$209,028</w:t>
            </w:r>
          </w:p>
        </w:tc>
        <w:tc>
          <w:tcPr>
            <w:tcW w:w="1351" w:type="dxa"/>
          </w:tcPr>
          <w:p w14:paraId="3F6FD6CD" w14:textId="77777777" w:rsidR="00412D53" w:rsidRPr="00E92EDB" w:rsidRDefault="00412D53" w:rsidP="00E92EDB">
            <w:pPr>
              <w:pStyle w:val="Tabletext1"/>
              <w:jc w:val="right"/>
              <w:cnfStyle w:val="000000100000" w:firstRow="0" w:lastRow="0" w:firstColumn="0" w:lastColumn="0" w:oddVBand="0" w:evenVBand="0" w:oddHBand="1" w:evenHBand="0" w:firstRowFirstColumn="0" w:firstRowLastColumn="0" w:lastRowFirstColumn="0" w:lastRowLastColumn="0"/>
            </w:pPr>
          </w:p>
        </w:tc>
        <w:tc>
          <w:tcPr>
            <w:tcW w:w="1418" w:type="dxa"/>
          </w:tcPr>
          <w:p w14:paraId="4090563B" w14:textId="77777777" w:rsidR="00412D53" w:rsidRPr="00E92EDB" w:rsidRDefault="00412D53" w:rsidP="00E92EDB">
            <w:pPr>
              <w:pStyle w:val="Tabletext1"/>
              <w:jc w:val="right"/>
              <w:cnfStyle w:val="000000100000" w:firstRow="0" w:lastRow="0" w:firstColumn="0" w:lastColumn="0" w:oddVBand="0" w:evenVBand="0" w:oddHBand="1" w:evenHBand="0" w:firstRowFirstColumn="0" w:firstRowLastColumn="0" w:lastRowFirstColumn="0" w:lastRowLastColumn="0"/>
            </w:pPr>
            <w:r w:rsidRPr="00E92EDB">
              <w:t>$206,047</w:t>
            </w:r>
          </w:p>
        </w:tc>
        <w:tc>
          <w:tcPr>
            <w:tcW w:w="1134" w:type="dxa"/>
          </w:tcPr>
          <w:p w14:paraId="7C48F484" w14:textId="77777777" w:rsidR="00412D53" w:rsidRPr="00E92EDB" w:rsidRDefault="00412D53" w:rsidP="00E92EDB">
            <w:pPr>
              <w:pStyle w:val="Tabletext1"/>
              <w:jc w:val="right"/>
              <w:cnfStyle w:val="000000100000" w:firstRow="0" w:lastRow="0" w:firstColumn="0" w:lastColumn="0" w:oddVBand="0" w:evenVBand="0" w:oddHBand="1" w:evenHBand="0" w:firstRowFirstColumn="0" w:firstRowLastColumn="0" w:lastRowFirstColumn="0" w:lastRowLastColumn="0"/>
            </w:pPr>
            <w:r w:rsidRPr="00E92EDB">
              <w:t>$2,982</w:t>
            </w:r>
          </w:p>
        </w:tc>
      </w:tr>
      <w:tr w:rsidR="00B01115" w:rsidRPr="00E92EDB" w14:paraId="7489254B" w14:textId="77777777" w:rsidTr="00E92EDB">
        <w:tc>
          <w:tcPr>
            <w:cnfStyle w:val="001000000000" w:firstRow="0" w:lastRow="0" w:firstColumn="1" w:lastColumn="0" w:oddVBand="0" w:evenVBand="0" w:oddHBand="0" w:evenHBand="0" w:firstRowFirstColumn="0" w:firstRowLastColumn="0" w:lastRowFirstColumn="0" w:lastRowLastColumn="0"/>
            <w:tcW w:w="1970" w:type="dxa"/>
          </w:tcPr>
          <w:p w14:paraId="4E3A0D2E" w14:textId="77777777" w:rsidR="00412D53" w:rsidRPr="00E92EDB" w:rsidRDefault="00412D53" w:rsidP="00E92EDB">
            <w:pPr>
              <w:pStyle w:val="Tabletext1"/>
              <w:rPr>
                <w:b w:val="0"/>
                <w:bCs w:val="0"/>
              </w:rPr>
            </w:pPr>
            <w:r w:rsidRPr="00E92EDB">
              <w:rPr>
                <w:b w:val="0"/>
                <w:bCs w:val="0"/>
              </w:rPr>
              <w:t>Av cost per person</w:t>
            </w:r>
          </w:p>
        </w:tc>
        <w:tc>
          <w:tcPr>
            <w:tcW w:w="1455" w:type="dxa"/>
          </w:tcPr>
          <w:p w14:paraId="2418862A" w14:textId="77777777" w:rsidR="00412D53" w:rsidRPr="00E92EDB" w:rsidRDefault="00412D53" w:rsidP="00E92EDB">
            <w:pPr>
              <w:pStyle w:val="Tabletext1"/>
              <w:jc w:val="right"/>
              <w:cnfStyle w:val="000000000000" w:firstRow="0" w:lastRow="0" w:firstColumn="0" w:lastColumn="0" w:oddVBand="0" w:evenVBand="0" w:oddHBand="0" w:evenHBand="0" w:firstRowFirstColumn="0" w:firstRowLastColumn="0" w:lastRowFirstColumn="0" w:lastRowLastColumn="0"/>
            </w:pPr>
            <w:r w:rsidRPr="00E92EDB">
              <w:t>80</w:t>
            </w:r>
          </w:p>
        </w:tc>
        <w:tc>
          <w:tcPr>
            <w:tcW w:w="1456" w:type="dxa"/>
          </w:tcPr>
          <w:p w14:paraId="5BDFB4AD" w14:textId="77777777" w:rsidR="00412D53" w:rsidRPr="00E92EDB" w:rsidRDefault="00412D53" w:rsidP="00E92EDB">
            <w:pPr>
              <w:pStyle w:val="Tabletext1"/>
              <w:jc w:val="right"/>
              <w:cnfStyle w:val="000000000000" w:firstRow="0" w:lastRow="0" w:firstColumn="0" w:lastColumn="0" w:oddVBand="0" w:evenVBand="0" w:oddHBand="0" w:evenHBand="0" w:firstRowFirstColumn="0" w:firstRowLastColumn="0" w:lastRowFirstColumn="0" w:lastRowLastColumn="0"/>
            </w:pPr>
            <w:r w:rsidRPr="00E92EDB">
              <w:t>$2,613</w:t>
            </w:r>
          </w:p>
        </w:tc>
        <w:tc>
          <w:tcPr>
            <w:tcW w:w="1351" w:type="dxa"/>
          </w:tcPr>
          <w:p w14:paraId="30232C43" w14:textId="77777777" w:rsidR="00412D53" w:rsidRPr="00E92EDB" w:rsidRDefault="00412D53" w:rsidP="00E92EDB">
            <w:pPr>
              <w:pStyle w:val="Tabletext1"/>
              <w:jc w:val="right"/>
              <w:cnfStyle w:val="000000000000" w:firstRow="0" w:lastRow="0" w:firstColumn="0" w:lastColumn="0" w:oddVBand="0" w:evenVBand="0" w:oddHBand="0" w:evenHBand="0" w:firstRowFirstColumn="0" w:firstRowLastColumn="0" w:lastRowFirstColumn="0" w:lastRowLastColumn="0"/>
            </w:pPr>
            <w:r w:rsidRPr="00E92EDB">
              <w:t>88</w:t>
            </w:r>
          </w:p>
        </w:tc>
        <w:tc>
          <w:tcPr>
            <w:tcW w:w="1418" w:type="dxa"/>
          </w:tcPr>
          <w:p w14:paraId="5065D0E5" w14:textId="77777777" w:rsidR="00412D53" w:rsidRPr="00E92EDB" w:rsidRDefault="00412D53" w:rsidP="00E92EDB">
            <w:pPr>
              <w:pStyle w:val="Tabletext1"/>
              <w:jc w:val="right"/>
              <w:cnfStyle w:val="000000000000" w:firstRow="0" w:lastRow="0" w:firstColumn="0" w:lastColumn="0" w:oddVBand="0" w:evenVBand="0" w:oddHBand="0" w:evenHBand="0" w:firstRowFirstColumn="0" w:firstRowLastColumn="0" w:lastRowFirstColumn="0" w:lastRowLastColumn="0"/>
            </w:pPr>
            <w:r w:rsidRPr="00E92EDB">
              <w:t>$2,341</w:t>
            </w:r>
          </w:p>
        </w:tc>
        <w:tc>
          <w:tcPr>
            <w:tcW w:w="1134" w:type="dxa"/>
          </w:tcPr>
          <w:p w14:paraId="6D0BB0C3" w14:textId="77777777" w:rsidR="00412D53" w:rsidRPr="00E92EDB" w:rsidRDefault="00412D53" w:rsidP="00E92EDB">
            <w:pPr>
              <w:pStyle w:val="Tabletext1"/>
              <w:jc w:val="right"/>
              <w:cnfStyle w:val="000000000000" w:firstRow="0" w:lastRow="0" w:firstColumn="0" w:lastColumn="0" w:oddVBand="0" w:evenVBand="0" w:oddHBand="0" w:evenHBand="0" w:firstRowFirstColumn="0" w:firstRowLastColumn="0" w:lastRowFirstColumn="0" w:lastRowLastColumn="0"/>
            </w:pPr>
            <w:r w:rsidRPr="00E92EDB">
              <w:t>$271</w:t>
            </w:r>
          </w:p>
        </w:tc>
      </w:tr>
      <w:tr w:rsidR="00B01115" w:rsidRPr="00E92EDB" w14:paraId="1FC62D37" w14:textId="77777777" w:rsidTr="00E92E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tcPr>
          <w:p w14:paraId="4C68A335" w14:textId="77777777" w:rsidR="00412D53" w:rsidRPr="00E92EDB" w:rsidRDefault="00412D53" w:rsidP="00E92EDB">
            <w:pPr>
              <w:pStyle w:val="Tabletext1"/>
              <w:rPr>
                <w:b w:val="0"/>
                <w:bCs w:val="0"/>
              </w:rPr>
            </w:pPr>
            <w:r w:rsidRPr="00E92EDB">
              <w:rPr>
                <w:b w:val="0"/>
                <w:bCs w:val="0"/>
              </w:rPr>
              <w:t>Av cost per day</w:t>
            </w:r>
          </w:p>
        </w:tc>
        <w:tc>
          <w:tcPr>
            <w:tcW w:w="1455" w:type="dxa"/>
          </w:tcPr>
          <w:p w14:paraId="654A16EC" w14:textId="77777777" w:rsidR="00412D53" w:rsidRPr="00E92EDB" w:rsidRDefault="00412D53" w:rsidP="00E92EDB">
            <w:pPr>
              <w:pStyle w:val="Tabletext1"/>
              <w:jc w:val="right"/>
              <w:cnfStyle w:val="000000100000" w:firstRow="0" w:lastRow="0" w:firstColumn="0" w:lastColumn="0" w:oddVBand="0" w:evenVBand="0" w:oddHBand="1" w:evenHBand="0" w:firstRowFirstColumn="0" w:firstRowLastColumn="0" w:lastRowFirstColumn="0" w:lastRowLastColumn="0"/>
            </w:pPr>
            <w:r w:rsidRPr="00E92EDB">
              <w:t>28,937</w:t>
            </w:r>
          </w:p>
        </w:tc>
        <w:tc>
          <w:tcPr>
            <w:tcW w:w="1456" w:type="dxa"/>
          </w:tcPr>
          <w:p w14:paraId="665E4070" w14:textId="77777777" w:rsidR="00412D53" w:rsidRPr="00E92EDB" w:rsidRDefault="00412D53" w:rsidP="00E92EDB">
            <w:pPr>
              <w:pStyle w:val="Tabletext1"/>
              <w:jc w:val="right"/>
              <w:cnfStyle w:val="000000100000" w:firstRow="0" w:lastRow="0" w:firstColumn="0" w:lastColumn="0" w:oddVBand="0" w:evenVBand="0" w:oddHBand="1" w:evenHBand="0" w:firstRowFirstColumn="0" w:firstRowLastColumn="0" w:lastRowFirstColumn="0" w:lastRowLastColumn="0"/>
            </w:pPr>
            <w:r w:rsidRPr="00E92EDB">
              <w:t>$7.22</w:t>
            </w:r>
          </w:p>
        </w:tc>
        <w:tc>
          <w:tcPr>
            <w:tcW w:w="1351" w:type="dxa"/>
          </w:tcPr>
          <w:p w14:paraId="48DAE752" w14:textId="77777777" w:rsidR="00412D53" w:rsidRPr="00E92EDB" w:rsidRDefault="00412D53" w:rsidP="00E92EDB">
            <w:pPr>
              <w:pStyle w:val="Tabletext1"/>
              <w:jc w:val="right"/>
              <w:cnfStyle w:val="000000100000" w:firstRow="0" w:lastRow="0" w:firstColumn="0" w:lastColumn="0" w:oddVBand="0" w:evenVBand="0" w:oddHBand="1" w:evenHBand="0" w:firstRowFirstColumn="0" w:firstRowLastColumn="0" w:lastRowFirstColumn="0" w:lastRowLastColumn="0"/>
            </w:pPr>
            <w:r w:rsidRPr="00E92EDB">
              <w:t>31,908</w:t>
            </w:r>
          </w:p>
        </w:tc>
        <w:tc>
          <w:tcPr>
            <w:tcW w:w="1418" w:type="dxa"/>
          </w:tcPr>
          <w:p w14:paraId="10E91E71" w14:textId="77777777" w:rsidR="00412D53" w:rsidRPr="00E92EDB" w:rsidRDefault="00412D53" w:rsidP="00E92EDB">
            <w:pPr>
              <w:pStyle w:val="Tabletext1"/>
              <w:jc w:val="right"/>
              <w:cnfStyle w:val="000000100000" w:firstRow="0" w:lastRow="0" w:firstColumn="0" w:lastColumn="0" w:oddVBand="0" w:evenVBand="0" w:oddHBand="1" w:evenHBand="0" w:firstRowFirstColumn="0" w:firstRowLastColumn="0" w:lastRowFirstColumn="0" w:lastRowLastColumn="0"/>
            </w:pPr>
            <w:r w:rsidRPr="00E92EDB">
              <w:t>$6.46</w:t>
            </w:r>
          </w:p>
        </w:tc>
        <w:tc>
          <w:tcPr>
            <w:tcW w:w="1134" w:type="dxa"/>
          </w:tcPr>
          <w:p w14:paraId="5A418CDF" w14:textId="77777777" w:rsidR="00412D53" w:rsidRPr="00E92EDB" w:rsidRDefault="00412D53" w:rsidP="00E92EDB">
            <w:pPr>
              <w:pStyle w:val="Tabletext1"/>
              <w:jc w:val="right"/>
              <w:cnfStyle w:val="000000100000" w:firstRow="0" w:lastRow="0" w:firstColumn="0" w:lastColumn="0" w:oddVBand="0" w:evenVBand="0" w:oddHBand="1" w:evenHBand="0" w:firstRowFirstColumn="0" w:firstRowLastColumn="0" w:lastRowFirstColumn="0" w:lastRowLastColumn="0"/>
            </w:pPr>
            <w:r w:rsidRPr="00E92EDB">
              <w:t>$0.77</w:t>
            </w:r>
          </w:p>
        </w:tc>
      </w:tr>
      <w:tr w:rsidR="00B01115" w:rsidRPr="00E92EDB" w14:paraId="516E999A" w14:textId="77777777" w:rsidTr="00E92EDB">
        <w:tc>
          <w:tcPr>
            <w:cnfStyle w:val="001000000000" w:firstRow="0" w:lastRow="0" w:firstColumn="1" w:lastColumn="0" w:oddVBand="0" w:evenVBand="0" w:oddHBand="0" w:evenHBand="0" w:firstRowFirstColumn="0" w:firstRowLastColumn="0" w:lastRowFirstColumn="0" w:lastRowLastColumn="0"/>
            <w:tcW w:w="1970" w:type="dxa"/>
          </w:tcPr>
          <w:p w14:paraId="10C16788" w14:textId="77777777" w:rsidR="00412D53" w:rsidRPr="00E92EDB" w:rsidRDefault="00412D53" w:rsidP="00E92EDB">
            <w:pPr>
              <w:pStyle w:val="Tabletext1"/>
            </w:pPr>
            <w:r w:rsidRPr="00E92EDB">
              <w:t>Av cost per year (adj)</w:t>
            </w:r>
          </w:p>
        </w:tc>
        <w:tc>
          <w:tcPr>
            <w:tcW w:w="1455" w:type="dxa"/>
          </w:tcPr>
          <w:p w14:paraId="66AD89FF" w14:textId="77777777" w:rsidR="00412D53" w:rsidRPr="00E92EDB" w:rsidRDefault="00412D53" w:rsidP="00E92EDB">
            <w:pPr>
              <w:pStyle w:val="Tabletext1"/>
              <w:jc w:val="right"/>
              <w:cnfStyle w:val="000000000000" w:firstRow="0" w:lastRow="0" w:firstColumn="0" w:lastColumn="0" w:oddVBand="0" w:evenVBand="0" w:oddHBand="0" w:evenHBand="0" w:firstRowFirstColumn="0" w:firstRowLastColumn="0" w:lastRowFirstColumn="0" w:lastRowLastColumn="0"/>
              <w:rPr>
                <w:b/>
                <w:bCs/>
              </w:rPr>
            </w:pPr>
          </w:p>
        </w:tc>
        <w:tc>
          <w:tcPr>
            <w:tcW w:w="1456" w:type="dxa"/>
          </w:tcPr>
          <w:p w14:paraId="2A93E151" w14:textId="77777777" w:rsidR="00412D53" w:rsidRPr="00E92EDB" w:rsidRDefault="00412D53" w:rsidP="00E92EDB">
            <w:pPr>
              <w:pStyle w:val="Tabletext1"/>
              <w:jc w:val="right"/>
              <w:cnfStyle w:val="000000000000" w:firstRow="0" w:lastRow="0" w:firstColumn="0" w:lastColumn="0" w:oddVBand="0" w:evenVBand="0" w:oddHBand="0" w:evenHBand="0" w:firstRowFirstColumn="0" w:firstRowLastColumn="0" w:lastRowFirstColumn="0" w:lastRowLastColumn="0"/>
              <w:rPr>
                <w:b/>
                <w:bCs/>
              </w:rPr>
            </w:pPr>
            <w:r w:rsidRPr="00E92EDB">
              <w:rPr>
                <w:b/>
                <w:bCs/>
              </w:rPr>
              <w:t>$2,637</w:t>
            </w:r>
          </w:p>
        </w:tc>
        <w:tc>
          <w:tcPr>
            <w:tcW w:w="1351" w:type="dxa"/>
          </w:tcPr>
          <w:p w14:paraId="0637A690" w14:textId="77777777" w:rsidR="00412D53" w:rsidRPr="00E92EDB" w:rsidRDefault="00412D53" w:rsidP="00E92EDB">
            <w:pPr>
              <w:pStyle w:val="Tabletext1"/>
              <w:jc w:val="right"/>
              <w:cnfStyle w:val="000000000000" w:firstRow="0" w:lastRow="0" w:firstColumn="0" w:lastColumn="0" w:oddVBand="0" w:evenVBand="0" w:oddHBand="0" w:evenHBand="0" w:firstRowFirstColumn="0" w:firstRowLastColumn="0" w:lastRowFirstColumn="0" w:lastRowLastColumn="0"/>
              <w:rPr>
                <w:b/>
                <w:bCs/>
              </w:rPr>
            </w:pPr>
          </w:p>
        </w:tc>
        <w:tc>
          <w:tcPr>
            <w:tcW w:w="1418" w:type="dxa"/>
          </w:tcPr>
          <w:p w14:paraId="1FFD9664" w14:textId="77777777" w:rsidR="00412D53" w:rsidRPr="00E92EDB" w:rsidRDefault="00412D53" w:rsidP="00E92EDB">
            <w:pPr>
              <w:pStyle w:val="Tabletext1"/>
              <w:jc w:val="right"/>
              <w:cnfStyle w:val="000000000000" w:firstRow="0" w:lastRow="0" w:firstColumn="0" w:lastColumn="0" w:oddVBand="0" w:evenVBand="0" w:oddHBand="0" w:evenHBand="0" w:firstRowFirstColumn="0" w:firstRowLastColumn="0" w:lastRowFirstColumn="0" w:lastRowLastColumn="0"/>
              <w:rPr>
                <w:b/>
                <w:bCs/>
              </w:rPr>
            </w:pPr>
            <w:r w:rsidRPr="00E92EDB">
              <w:rPr>
                <w:b/>
                <w:bCs/>
              </w:rPr>
              <w:t>$2,357</w:t>
            </w:r>
          </w:p>
        </w:tc>
        <w:tc>
          <w:tcPr>
            <w:tcW w:w="1134" w:type="dxa"/>
          </w:tcPr>
          <w:p w14:paraId="5E7F3705" w14:textId="77777777" w:rsidR="00412D53" w:rsidRPr="00E92EDB" w:rsidRDefault="00412D53" w:rsidP="00E92EDB">
            <w:pPr>
              <w:pStyle w:val="Tabletext1"/>
              <w:jc w:val="right"/>
              <w:cnfStyle w:val="000000000000" w:firstRow="0" w:lastRow="0" w:firstColumn="0" w:lastColumn="0" w:oddVBand="0" w:evenVBand="0" w:oddHBand="0" w:evenHBand="0" w:firstRowFirstColumn="0" w:firstRowLastColumn="0" w:lastRowFirstColumn="0" w:lastRowLastColumn="0"/>
              <w:rPr>
                <w:b/>
                <w:bCs/>
              </w:rPr>
            </w:pPr>
            <w:r w:rsidRPr="00E92EDB">
              <w:rPr>
                <w:b/>
                <w:bCs/>
              </w:rPr>
              <w:t>$280</w:t>
            </w:r>
          </w:p>
        </w:tc>
      </w:tr>
    </w:tbl>
    <w:p w14:paraId="1B077A2C" w14:textId="621005C9" w:rsidR="00412D53" w:rsidRDefault="00B01115" w:rsidP="00897C5B">
      <w:pPr>
        <w:pStyle w:val="Caption"/>
      </w:pPr>
      <w:r w:rsidRPr="00CC5A20">
        <w:t>Table</w:t>
      </w:r>
      <w:r w:rsidR="00CC5A20">
        <w:t xml:space="preserve"> D-8</w:t>
      </w:r>
      <w:r>
        <w:t xml:space="preserve">: </w:t>
      </w:r>
      <w:r w:rsidR="007D621B">
        <w:t>Medicare Benefits Schedule (</w:t>
      </w:r>
      <w:r>
        <w:t>MBS</w:t>
      </w:r>
      <w:r w:rsidR="007D621B">
        <w:t>)</w:t>
      </w:r>
      <w:r>
        <w:t xml:space="preserve"> costs in each arm of the study</w:t>
      </w:r>
    </w:p>
    <w:p w14:paraId="119E1044" w14:textId="0BC195DE" w:rsidR="00412D53" w:rsidRDefault="00412D53" w:rsidP="007501B9">
      <w:r>
        <w:t>A slightly higher increase in MBS expenditure was observed in the pharmacist intervention arm of the trial, with and without adjustment for resident follow-up, but the difference is small (approximately 10%) and not statistically significant (p = 0.24 using 2 tailed t-Test).</w:t>
      </w:r>
    </w:p>
    <w:tbl>
      <w:tblPr>
        <w:tblStyle w:val="ListTable3"/>
        <w:tblW w:w="0" w:type="auto"/>
        <w:tblLook w:val="04A0" w:firstRow="1" w:lastRow="0" w:firstColumn="1" w:lastColumn="0" w:noHBand="0" w:noVBand="1"/>
        <w:tblCaption w:val="PBS costs in each arm of the study"/>
        <w:tblDescription w:val="PBS costs in each arm of the study"/>
      </w:tblPr>
      <w:tblGrid>
        <w:gridCol w:w="1577"/>
        <w:gridCol w:w="1573"/>
        <w:gridCol w:w="1537"/>
        <w:gridCol w:w="1573"/>
        <w:gridCol w:w="1488"/>
        <w:gridCol w:w="1268"/>
      </w:tblGrid>
      <w:tr w:rsidR="00BF6331" w:rsidRPr="00E92EDB" w14:paraId="3DCC4B47" w14:textId="77777777" w:rsidTr="00E92ED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41" w:type="dxa"/>
          </w:tcPr>
          <w:p w14:paraId="21436216" w14:textId="6BFD8F71" w:rsidR="00BF6331" w:rsidRPr="00E92EDB" w:rsidRDefault="00BF6331" w:rsidP="00E92EDB">
            <w:pPr>
              <w:pStyle w:val="TableHeader"/>
              <w:rPr>
                <w:b/>
                <w:bCs w:val="0"/>
              </w:rPr>
            </w:pPr>
            <w:r w:rsidRPr="00E92EDB">
              <w:rPr>
                <w:b/>
                <w:bCs w:val="0"/>
              </w:rPr>
              <w:lastRenderedPageBreak/>
              <w:t>PBS Costs</w:t>
            </w:r>
            <w:bookmarkStart w:id="241" w:name="ColumnTitle_24"/>
            <w:bookmarkEnd w:id="241"/>
          </w:p>
        </w:tc>
        <w:tc>
          <w:tcPr>
            <w:tcW w:w="1456" w:type="dxa"/>
          </w:tcPr>
          <w:p w14:paraId="2C896E5A" w14:textId="77777777" w:rsidR="00BF6331" w:rsidRPr="00E92EDB" w:rsidRDefault="00BF6331" w:rsidP="00E92EDB">
            <w:pPr>
              <w:pStyle w:val="TableHeader"/>
              <w:cnfStyle w:val="100000000000" w:firstRow="1" w:lastRow="0" w:firstColumn="0" w:lastColumn="0" w:oddVBand="0" w:evenVBand="0" w:oddHBand="0" w:evenHBand="0" w:firstRowFirstColumn="0" w:firstRowLastColumn="0" w:lastRowFirstColumn="0" w:lastRowLastColumn="0"/>
              <w:rPr>
                <w:b/>
                <w:bCs w:val="0"/>
              </w:rPr>
            </w:pPr>
            <w:r w:rsidRPr="00E92EDB">
              <w:rPr>
                <w:b/>
                <w:bCs w:val="0"/>
              </w:rPr>
              <w:t>Intervention,</w:t>
            </w:r>
          </w:p>
          <w:p w14:paraId="3116AE26" w14:textId="5F17633D" w:rsidR="00BF6331" w:rsidRPr="00E92EDB" w:rsidRDefault="00BF6331" w:rsidP="00E92EDB">
            <w:pPr>
              <w:pStyle w:val="TableHeader"/>
              <w:cnfStyle w:val="100000000000" w:firstRow="1" w:lastRow="0" w:firstColumn="0" w:lastColumn="0" w:oddVBand="0" w:evenVBand="0" w:oddHBand="0" w:evenHBand="0" w:firstRowFirstColumn="0" w:firstRowLastColumn="0" w:lastRowFirstColumn="0" w:lastRowLastColumn="0"/>
              <w:rPr>
                <w:b/>
                <w:bCs w:val="0"/>
              </w:rPr>
            </w:pPr>
            <w:r w:rsidRPr="00E92EDB">
              <w:rPr>
                <w:b/>
                <w:bCs w:val="0"/>
              </w:rPr>
              <w:t>Denominator</w:t>
            </w:r>
          </w:p>
        </w:tc>
        <w:tc>
          <w:tcPr>
            <w:tcW w:w="1457" w:type="dxa"/>
          </w:tcPr>
          <w:p w14:paraId="4E23BE92" w14:textId="1FB32F2B" w:rsidR="00BF6331" w:rsidRPr="00E92EDB" w:rsidRDefault="00BF6331" w:rsidP="00E92EDB">
            <w:pPr>
              <w:pStyle w:val="TableHeader"/>
              <w:cnfStyle w:val="100000000000" w:firstRow="1" w:lastRow="0" w:firstColumn="0" w:lastColumn="0" w:oddVBand="0" w:evenVBand="0" w:oddHBand="0" w:evenHBand="0" w:firstRowFirstColumn="0" w:firstRowLastColumn="0" w:lastRowFirstColumn="0" w:lastRowLastColumn="0"/>
              <w:rPr>
                <w:b/>
                <w:bCs w:val="0"/>
              </w:rPr>
            </w:pPr>
            <w:r w:rsidRPr="00E92EDB">
              <w:rPr>
                <w:b/>
                <w:bCs w:val="0"/>
              </w:rPr>
              <w:t>Intervention, Costs</w:t>
            </w:r>
          </w:p>
        </w:tc>
        <w:tc>
          <w:tcPr>
            <w:tcW w:w="1378" w:type="dxa"/>
          </w:tcPr>
          <w:p w14:paraId="4C52CDEA" w14:textId="2E541655" w:rsidR="00BF6331" w:rsidRPr="00E92EDB" w:rsidRDefault="00BF6331" w:rsidP="00E92EDB">
            <w:pPr>
              <w:pStyle w:val="TableHeader"/>
              <w:cnfStyle w:val="100000000000" w:firstRow="1" w:lastRow="0" w:firstColumn="0" w:lastColumn="0" w:oddVBand="0" w:evenVBand="0" w:oddHBand="0" w:evenHBand="0" w:firstRowFirstColumn="0" w:firstRowLastColumn="0" w:lastRowFirstColumn="0" w:lastRowLastColumn="0"/>
              <w:rPr>
                <w:b/>
                <w:bCs w:val="0"/>
              </w:rPr>
            </w:pPr>
            <w:r w:rsidRPr="00E92EDB">
              <w:rPr>
                <w:b/>
                <w:bCs w:val="0"/>
              </w:rPr>
              <w:t>Control, Denominator</w:t>
            </w:r>
          </w:p>
        </w:tc>
        <w:tc>
          <w:tcPr>
            <w:tcW w:w="1418" w:type="dxa"/>
          </w:tcPr>
          <w:p w14:paraId="27F8E776" w14:textId="77777777" w:rsidR="00BF6331" w:rsidRPr="00E92EDB" w:rsidRDefault="00BF6331" w:rsidP="00E92EDB">
            <w:pPr>
              <w:pStyle w:val="TableHeader"/>
              <w:cnfStyle w:val="100000000000" w:firstRow="1" w:lastRow="0" w:firstColumn="0" w:lastColumn="0" w:oddVBand="0" w:evenVBand="0" w:oddHBand="0" w:evenHBand="0" w:firstRowFirstColumn="0" w:firstRowLastColumn="0" w:lastRowFirstColumn="0" w:lastRowLastColumn="0"/>
              <w:rPr>
                <w:b/>
                <w:bCs w:val="0"/>
              </w:rPr>
            </w:pPr>
            <w:r w:rsidRPr="00E92EDB">
              <w:rPr>
                <w:b/>
                <w:bCs w:val="0"/>
              </w:rPr>
              <w:t>Control,</w:t>
            </w:r>
          </w:p>
          <w:p w14:paraId="1FB272E9" w14:textId="1A89C811" w:rsidR="00BF6331" w:rsidRPr="00E92EDB" w:rsidRDefault="00BF6331" w:rsidP="00E92EDB">
            <w:pPr>
              <w:pStyle w:val="TableHeader"/>
              <w:cnfStyle w:val="100000000000" w:firstRow="1" w:lastRow="0" w:firstColumn="0" w:lastColumn="0" w:oddVBand="0" w:evenVBand="0" w:oddHBand="0" w:evenHBand="0" w:firstRowFirstColumn="0" w:firstRowLastColumn="0" w:lastRowFirstColumn="0" w:lastRowLastColumn="0"/>
              <w:rPr>
                <w:b/>
                <w:bCs w:val="0"/>
              </w:rPr>
            </w:pPr>
            <w:r w:rsidRPr="00E92EDB">
              <w:rPr>
                <w:b/>
                <w:bCs w:val="0"/>
              </w:rPr>
              <w:t>Expenditure</w:t>
            </w:r>
          </w:p>
        </w:tc>
        <w:tc>
          <w:tcPr>
            <w:tcW w:w="1134" w:type="dxa"/>
          </w:tcPr>
          <w:p w14:paraId="1BEF1383" w14:textId="76996FC6" w:rsidR="00BF6331" w:rsidRPr="00E92EDB" w:rsidRDefault="00BF6331" w:rsidP="00E92EDB">
            <w:pPr>
              <w:pStyle w:val="TableHeader"/>
              <w:cnfStyle w:val="100000000000" w:firstRow="1" w:lastRow="0" w:firstColumn="0" w:lastColumn="0" w:oddVBand="0" w:evenVBand="0" w:oddHBand="0" w:evenHBand="0" w:firstRowFirstColumn="0" w:firstRowLastColumn="0" w:lastRowFirstColumn="0" w:lastRowLastColumn="0"/>
              <w:rPr>
                <w:b/>
                <w:bCs w:val="0"/>
              </w:rPr>
            </w:pPr>
            <w:r w:rsidRPr="00E92EDB">
              <w:rPr>
                <w:b/>
                <w:bCs w:val="0"/>
              </w:rPr>
              <w:t>Increment</w:t>
            </w:r>
          </w:p>
        </w:tc>
      </w:tr>
      <w:tr w:rsidR="00BF6331" w:rsidRPr="00E92EDB" w14:paraId="39287931" w14:textId="77777777" w:rsidTr="00E92E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1" w:type="dxa"/>
          </w:tcPr>
          <w:p w14:paraId="6170AF98" w14:textId="77777777" w:rsidR="00BF6331" w:rsidRPr="00E92EDB" w:rsidRDefault="00BF6331" w:rsidP="00E92EDB">
            <w:pPr>
              <w:pStyle w:val="Tabletext1"/>
              <w:rPr>
                <w:b w:val="0"/>
                <w:bCs w:val="0"/>
              </w:rPr>
            </w:pPr>
            <w:r w:rsidRPr="00E92EDB">
              <w:rPr>
                <w:b w:val="0"/>
                <w:bCs w:val="0"/>
              </w:rPr>
              <w:t xml:space="preserve">Per trial arm </w:t>
            </w:r>
          </w:p>
        </w:tc>
        <w:tc>
          <w:tcPr>
            <w:tcW w:w="1456" w:type="dxa"/>
          </w:tcPr>
          <w:p w14:paraId="3B0D3B07" w14:textId="77777777" w:rsidR="00BF6331" w:rsidRPr="00E92EDB" w:rsidRDefault="00BF6331" w:rsidP="00E92EDB">
            <w:pPr>
              <w:pStyle w:val="Tabletext1"/>
              <w:jc w:val="right"/>
              <w:cnfStyle w:val="000000100000" w:firstRow="0" w:lastRow="0" w:firstColumn="0" w:lastColumn="0" w:oddVBand="0" w:evenVBand="0" w:oddHBand="1" w:evenHBand="0" w:firstRowFirstColumn="0" w:firstRowLastColumn="0" w:lastRowFirstColumn="0" w:lastRowLastColumn="0"/>
            </w:pPr>
          </w:p>
        </w:tc>
        <w:tc>
          <w:tcPr>
            <w:tcW w:w="1457" w:type="dxa"/>
          </w:tcPr>
          <w:p w14:paraId="059E4919" w14:textId="77777777" w:rsidR="00BF6331" w:rsidRPr="00E92EDB" w:rsidRDefault="00BF6331" w:rsidP="00E92EDB">
            <w:pPr>
              <w:pStyle w:val="Tabletext1"/>
              <w:jc w:val="right"/>
              <w:cnfStyle w:val="000000100000" w:firstRow="0" w:lastRow="0" w:firstColumn="0" w:lastColumn="0" w:oddVBand="0" w:evenVBand="0" w:oddHBand="1" w:evenHBand="0" w:firstRowFirstColumn="0" w:firstRowLastColumn="0" w:lastRowFirstColumn="0" w:lastRowLastColumn="0"/>
            </w:pPr>
            <w:r w:rsidRPr="00E92EDB">
              <w:t>$219,500</w:t>
            </w:r>
          </w:p>
        </w:tc>
        <w:tc>
          <w:tcPr>
            <w:tcW w:w="1378" w:type="dxa"/>
          </w:tcPr>
          <w:p w14:paraId="2466F77C" w14:textId="77777777" w:rsidR="00BF6331" w:rsidRPr="00E92EDB" w:rsidRDefault="00BF6331" w:rsidP="00E92EDB">
            <w:pPr>
              <w:pStyle w:val="Tabletext1"/>
              <w:jc w:val="right"/>
              <w:cnfStyle w:val="000000100000" w:firstRow="0" w:lastRow="0" w:firstColumn="0" w:lastColumn="0" w:oddVBand="0" w:evenVBand="0" w:oddHBand="1" w:evenHBand="0" w:firstRowFirstColumn="0" w:firstRowLastColumn="0" w:lastRowFirstColumn="0" w:lastRowLastColumn="0"/>
            </w:pPr>
          </w:p>
        </w:tc>
        <w:tc>
          <w:tcPr>
            <w:tcW w:w="1418" w:type="dxa"/>
          </w:tcPr>
          <w:p w14:paraId="1D311AC1" w14:textId="77777777" w:rsidR="00BF6331" w:rsidRPr="00E92EDB" w:rsidRDefault="00BF6331" w:rsidP="00E92EDB">
            <w:pPr>
              <w:pStyle w:val="Tabletext1"/>
              <w:jc w:val="right"/>
              <w:cnfStyle w:val="000000100000" w:firstRow="0" w:lastRow="0" w:firstColumn="0" w:lastColumn="0" w:oddVBand="0" w:evenVBand="0" w:oddHBand="1" w:evenHBand="0" w:firstRowFirstColumn="0" w:firstRowLastColumn="0" w:lastRowFirstColumn="0" w:lastRowLastColumn="0"/>
            </w:pPr>
            <w:r w:rsidRPr="00E92EDB">
              <w:t>$295,832</w:t>
            </w:r>
          </w:p>
        </w:tc>
        <w:tc>
          <w:tcPr>
            <w:tcW w:w="1134" w:type="dxa"/>
          </w:tcPr>
          <w:p w14:paraId="7FDC1542" w14:textId="77777777" w:rsidR="00BF6331" w:rsidRPr="00E92EDB" w:rsidRDefault="00BF6331" w:rsidP="00E92EDB">
            <w:pPr>
              <w:pStyle w:val="Tabletext1"/>
              <w:jc w:val="right"/>
              <w:cnfStyle w:val="000000100000" w:firstRow="0" w:lastRow="0" w:firstColumn="0" w:lastColumn="0" w:oddVBand="0" w:evenVBand="0" w:oddHBand="1" w:evenHBand="0" w:firstRowFirstColumn="0" w:firstRowLastColumn="0" w:lastRowFirstColumn="0" w:lastRowLastColumn="0"/>
            </w:pPr>
            <w:r w:rsidRPr="00E92EDB">
              <w:t>-$76,332</w:t>
            </w:r>
          </w:p>
        </w:tc>
      </w:tr>
      <w:tr w:rsidR="00BF6331" w:rsidRPr="00E92EDB" w14:paraId="14F148D8" w14:textId="77777777" w:rsidTr="00E92EDB">
        <w:tc>
          <w:tcPr>
            <w:cnfStyle w:val="001000000000" w:firstRow="0" w:lastRow="0" w:firstColumn="1" w:lastColumn="0" w:oddVBand="0" w:evenVBand="0" w:oddHBand="0" w:evenHBand="0" w:firstRowFirstColumn="0" w:firstRowLastColumn="0" w:lastRowFirstColumn="0" w:lastRowLastColumn="0"/>
            <w:tcW w:w="1941" w:type="dxa"/>
          </w:tcPr>
          <w:p w14:paraId="60BE1C26" w14:textId="77777777" w:rsidR="00BF6331" w:rsidRPr="00E92EDB" w:rsidRDefault="00BF6331" w:rsidP="00E92EDB">
            <w:pPr>
              <w:pStyle w:val="Tabletext1"/>
              <w:rPr>
                <w:b w:val="0"/>
                <w:bCs w:val="0"/>
              </w:rPr>
            </w:pPr>
            <w:r w:rsidRPr="00E92EDB">
              <w:rPr>
                <w:b w:val="0"/>
                <w:bCs w:val="0"/>
              </w:rPr>
              <w:t>Av cost per person</w:t>
            </w:r>
          </w:p>
        </w:tc>
        <w:tc>
          <w:tcPr>
            <w:tcW w:w="1456" w:type="dxa"/>
          </w:tcPr>
          <w:p w14:paraId="784AC55A" w14:textId="77777777" w:rsidR="00BF6331" w:rsidRPr="00E92EDB" w:rsidRDefault="00BF6331" w:rsidP="00E92EDB">
            <w:pPr>
              <w:pStyle w:val="Tabletext1"/>
              <w:jc w:val="right"/>
              <w:cnfStyle w:val="000000000000" w:firstRow="0" w:lastRow="0" w:firstColumn="0" w:lastColumn="0" w:oddVBand="0" w:evenVBand="0" w:oddHBand="0" w:evenHBand="0" w:firstRowFirstColumn="0" w:firstRowLastColumn="0" w:lastRowFirstColumn="0" w:lastRowLastColumn="0"/>
            </w:pPr>
            <w:r w:rsidRPr="00E92EDB">
              <w:t>78 people</w:t>
            </w:r>
          </w:p>
        </w:tc>
        <w:tc>
          <w:tcPr>
            <w:tcW w:w="1457" w:type="dxa"/>
          </w:tcPr>
          <w:p w14:paraId="67820EF2" w14:textId="77777777" w:rsidR="00BF6331" w:rsidRPr="00E92EDB" w:rsidRDefault="00BF6331" w:rsidP="00E92EDB">
            <w:pPr>
              <w:pStyle w:val="Tabletext1"/>
              <w:jc w:val="right"/>
              <w:cnfStyle w:val="000000000000" w:firstRow="0" w:lastRow="0" w:firstColumn="0" w:lastColumn="0" w:oddVBand="0" w:evenVBand="0" w:oddHBand="0" w:evenHBand="0" w:firstRowFirstColumn="0" w:firstRowLastColumn="0" w:lastRowFirstColumn="0" w:lastRowLastColumn="0"/>
            </w:pPr>
            <w:r w:rsidRPr="00E92EDB">
              <w:t>$2,814</w:t>
            </w:r>
          </w:p>
        </w:tc>
        <w:tc>
          <w:tcPr>
            <w:tcW w:w="1378" w:type="dxa"/>
          </w:tcPr>
          <w:p w14:paraId="0384407F" w14:textId="77777777" w:rsidR="00BF6331" w:rsidRPr="00E92EDB" w:rsidRDefault="00BF6331" w:rsidP="00E92EDB">
            <w:pPr>
              <w:pStyle w:val="Tabletext1"/>
              <w:jc w:val="right"/>
              <w:cnfStyle w:val="000000000000" w:firstRow="0" w:lastRow="0" w:firstColumn="0" w:lastColumn="0" w:oddVBand="0" w:evenVBand="0" w:oddHBand="0" w:evenHBand="0" w:firstRowFirstColumn="0" w:firstRowLastColumn="0" w:lastRowFirstColumn="0" w:lastRowLastColumn="0"/>
            </w:pPr>
            <w:r w:rsidRPr="00E92EDB">
              <w:t>85 people</w:t>
            </w:r>
          </w:p>
        </w:tc>
        <w:tc>
          <w:tcPr>
            <w:tcW w:w="1418" w:type="dxa"/>
          </w:tcPr>
          <w:p w14:paraId="03AAEECE" w14:textId="77777777" w:rsidR="00BF6331" w:rsidRPr="00E92EDB" w:rsidRDefault="00BF6331" w:rsidP="00E92EDB">
            <w:pPr>
              <w:pStyle w:val="Tabletext1"/>
              <w:jc w:val="right"/>
              <w:cnfStyle w:val="000000000000" w:firstRow="0" w:lastRow="0" w:firstColumn="0" w:lastColumn="0" w:oddVBand="0" w:evenVBand="0" w:oddHBand="0" w:evenHBand="0" w:firstRowFirstColumn="0" w:firstRowLastColumn="0" w:lastRowFirstColumn="0" w:lastRowLastColumn="0"/>
            </w:pPr>
            <w:r w:rsidRPr="00E92EDB">
              <w:t>$3,480</w:t>
            </w:r>
          </w:p>
        </w:tc>
        <w:tc>
          <w:tcPr>
            <w:tcW w:w="1134" w:type="dxa"/>
          </w:tcPr>
          <w:p w14:paraId="4F97FDD2" w14:textId="77777777" w:rsidR="00BF6331" w:rsidRPr="00E92EDB" w:rsidRDefault="00BF6331" w:rsidP="00E92EDB">
            <w:pPr>
              <w:pStyle w:val="Tabletext1"/>
              <w:jc w:val="right"/>
              <w:cnfStyle w:val="000000000000" w:firstRow="0" w:lastRow="0" w:firstColumn="0" w:lastColumn="0" w:oddVBand="0" w:evenVBand="0" w:oddHBand="0" w:evenHBand="0" w:firstRowFirstColumn="0" w:firstRowLastColumn="0" w:lastRowFirstColumn="0" w:lastRowLastColumn="0"/>
            </w:pPr>
            <w:r w:rsidRPr="00E92EDB">
              <w:t>-$666</w:t>
            </w:r>
          </w:p>
        </w:tc>
      </w:tr>
      <w:tr w:rsidR="00BF6331" w:rsidRPr="00E92EDB" w14:paraId="07FA233F" w14:textId="77777777" w:rsidTr="00E92E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1" w:type="dxa"/>
          </w:tcPr>
          <w:p w14:paraId="07843AFF" w14:textId="77777777" w:rsidR="00BF6331" w:rsidRPr="00E92EDB" w:rsidRDefault="00BF6331" w:rsidP="00E92EDB">
            <w:pPr>
              <w:pStyle w:val="Tabletext1"/>
              <w:rPr>
                <w:b w:val="0"/>
                <w:bCs w:val="0"/>
              </w:rPr>
            </w:pPr>
            <w:r w:rsidRPr="00E92EDB">
              <w:rPr>
                <w:b w:val="0"/>
                <w:bCs w:val="0"/>
              </w:rPr>
              <w:t>Av cost per day</w:t>
            </w:r>
          </w:p>
        </w:tc>
        <w:tc>
          <w:tcPr>
            <w:tcW w:w="1456" w:type="dxa"/>
          </w:tcPr>
          <w:p w14:paraId="76D808C6" w14:textId="77777777" w:rsidR="00BF6331" w:rsidRPr="00E92EDB" w:rsidRDefault="00BF6331" w:rsidP="00E92EDB">
            <w:pPr>
              <w:pStyle w:val="Tabletext1"/>
              <w:jc w:val="right"/>
              <w:cnfStyle w:val="000000100000" w:firstRow="0" w:lastRow="0" w:firstColumn="0" w:lastColumn="0" w:oddVBand="0" w:evenVBand="0" w:oddHBand="1" w:evenHBand="0" w:firstRowFirstColumn="0" w:firstRowLastColumn="0" w:lastRowFirstColumn="0" w:lastRowLastColumn="0"/>
            </w:pPr>
            <w:r w:rsidRPr="00E92EDB">
              <w:t>28,207 days</w:t>
            </w:r>
          </w:p>
        </w:tc>
        <w:tc>
          <w:tcPr>
            <w:tcW w:w="1457" w:type="dxa"/>
          </w:tcPr>
          <w:p w14:paraId="58D5805A" w14:textId="77777777" w:rsidR="00BF6331" w:rsidRPr="00E92EDB" w:rsidRDefault="00BF6331" w:rsidP="00E92EDB">
            <w:pPr>
              <w:pStyle w:val="Tabletext1"/>
              <w:jc w:val="right"/>
              <w:cnfStyle w:val="000000100000" w:firstRow="0" w:lastRow="0" w:firstColumn="0" w:lastColumn="0" w:oddVBand="0" w:evenVBand="0" w:oddHBand="1" w:evenHBand="0" w:firstRowFirstColumn="0" w:firstRowLastColumn="0" w:lastRowFirstColumn="0" w:lastRowLastColumn="0"/>
            </w:pPr>
            <w:r w:rsidRPr="00E92EDB">
              <w:t>$7.78</w:t>
            </w:r>
          </w:p>
        </w:tc>
        <w:tc>
          <w:tcPr>
            <w:tcW w:w="1378" w:type="dxa"/>
          </w:tcPr>
          <w:p w14:paraId="11A9D03E" w14:textId="77777777" w:rsidR="00BF6331" w:rsidRPr="00E92EDB" w:rsidRDefault="00BF6331" w:rsidP="00E92EDB">
            <w:pPr>
              <w:pStyle w:val="Tabletext1"/>
              <w:jc w:val="right"/>
              <w:cnfStyle w:val="000000100000" w:firstRow="0" w:lastRow="0" w:firstColumn="0" w:lastColumn="0" w:oddVBand="0" w:evenVBand="0" w:oddHBand="1" w:evenHBand="0" w:firstRowFirstColumn="0" w:firstRowLastColumn="0" w:lastRowFirstColumn="0" w:lastRowLastColumn="0"/>
            </w:pPr>
            <w:r w:rsidRPr="00E92EDB">
              <w:t>30,813 days</w:t>
            </w:r>
          </w:p>
        </w:tc>
        <w:tc>
          <w:tcPr>
            <w:tcW w:w="1418" w:type="dxa"/>
          </w:tcPr>
          <w:p w14:paraId="3AA6A24E" w14:textId="77777777" w:rsidR="00BF6331" w:rsidRPr="00E92EDB" w:rsidRDefault="00BF6331" w:rsidP="00E92EDB">
            <w:pPr>
              <w:pStyle w:val="Tabletext1"/>
              <w:jc w:val="right"/>
              <w:cnfStyle w:val="000000100000" w:firstRow="0" w:lastRow="0" w:firstColumn="0" w:lastColumn="0" w:oddVBand="0" w:evenVBand="0" w:oddHBand="1" w:evenHBand="0" w:firstRowFirstColumn="0" w:firstRowLastColumn="0" w:lastRowFirstColumn="0" w:lastRowLastColumn="0"/>
            </w:pPr>
            <w:r w:rsidRPr="00E92EDB">
              <w:t>$9.60</w:t>
            </w:r>
          </w:p>
        </w:tc>
        <w:tc>
          <w:tcPr>
            <w:tcW w:w="1134" w:type="dxa"/>
          </w:tcPr>
          <w:p w14:paraId="25AD64A0" w14:textId="77777777" w:rsidR="00BF6331" w:rsidRPr="00E92EDB" w:rsidRDefault="00BF6331" w:rsidP="00E92EDB">
            <w:pPr>
              <w:pStyle w:val="Tabletext1"/>
              <w:jc w:val="right"/>
              <w:cnfStyle w:val="000000100000" w:firstRow="0" w:lastRow="0" w:firstColumn="0" w:lastColumn="0" w:oddVBand="0" w:evenVBand="0" w:oddHBand="1" w:evenHBand="0" w:firstRowFirstColumn="0" w:firstRowLastColumn="0" w:lastRowFirstColumn="0" w:lastRowLastColumn="0"/>
            </w:pPr>
            <w:r w:rsidRPr="00E92EDB">
              <w:t>-$1.82</w:t>
            </w:r>
          </w:p>
        </w:tc>
      </w:tr>
      <w:tr w:rsidR="00BF6331" w:rsidRPr="00E92EDB" w14:paraId="456F1F83" w14:textId="77777777" w:rsidTr="00E92EDB">
        <w:tc>
          <w:tcPr>
            <w:cnfStyle w:val="001000000000" w:firstRow="0" w:lastRow="0" w:firstColumn="1" w:lastColumn="0" w:oddVBand="0" w:evenVBand="0" w:oddHBand="0" w:evenHBand="0" w:firstRowFirstColumn="0" w:firstRowLastColumn="0" w:lastRowFirstColumn="0" w:lastRowLastColumn="0"/>
            <w:tcW w:w="1941" w:type="dxa"/>
          </w:tcPr>
          <w:p w14:paraId="2226E88D" w14:textId="77777777" w:rsidR="00BF6331" w:rsidRPr="00E92EDB" w:rsidRDefault="00BF6331" w:rsidP="00E92EDB">
            <w:pPr>
              <w:pStyle w:val="Tabletext1"/>
            </w:pPr>
            <w:r w:rsidRPr="00E92EDB">
              <w:t>Av cost per year (adj)</w:t>
            </w:r>
          </w:p>
        </w:tc>
        <w:tc>
          <w:tcPr>
            <w:tcW w:w="1456" w:type="dxa"/>
          </w:tcPr>
          <w:p w14:paraId="49B439B2" w14:textId="77777777" w:rsidR="00BF6331" w:rsidRPr="00E92EDB" w:rsidRDefault="00BF6331" w:rsidP="00E92EDB">
            <w:pPr>
              <w:pStyle w:val="Tabletext1"/>
              <w:jc w:val="right"/>
              <w:cnfStyle w:val="000000000000" w:firstRow="0" w:lastRow="0" w:firstColumn="0" w:lastColumn="0" w:oddVBand="0" w:evenVBand="0" w:oddHBand="0" w:evenHBand="0" w:firstRowFirstColumn="0" w:firstRowLastColumn="0" w:lastRowFirstColumn="0" w:lastRowLastColumn="0"/>
              <w:rPr>
                <w:b/>
                <w:bCs/>
              </w:rPr>
            </w:pPr>
          </w:p>
        </w:tc>
        <w:tc>
          <w:tcPr>
            <w:tcW w:w="1457" w:type="dxa"/>
          </w:tcPr>
          <w:p w14:paraId="22163EA7" w14:textId="77777777" w:rsidR="00BF6331" w:rsidRPr="00E92EDB" w:rsidRDefault="00BF6331" w:rsidP="00E92EDB">
            <w:pPr>
              <w:pStyle w:val="Tabletext1"/>
              <w:jc w:val="right"/>
              <w:cnfStyle w:val="000000000000" w:firstRow="0" w:lastRow="0" w:firstColumn="0" w:lastColumn="0" w:oddVBand="0" w:evenVBand="0" w:oddHBand="0" w:evenHBand="0" w:firstRowFirstColumn="0" w:firstRowLastColumn="0" w:lastRowFirstColumn="0" w:lastRowLastColumn="0"/>
              <w:rPr>
                <w:b/>
                <w:bCs/>
              </w:rPr>
            </w:pPr>
            <w:r w:rsidRPr="00E92EDB">
              <w:rPr>
                <w:b/>
                <w:bCs/>
              </w:rPr>
              <w:t>$2,840</w:t>
            </w:r>
          </w:p>
        </w:tc>
        <w:tc>
          <w:tcPr>
            <w:tcW w:w="1378" w:type="dxa"/>
          </w:tcPr>
          <w:p w14:paraId="4A6E501A" w14:textId="77777777" w:rsidR="00BF6331" w:rsidRPr="00E92EDB" w:rsidRDefault="00BF6331" w:rsidP="00E92EDB">
            <w:pPr>
              <w:pStyle w:val="Tabletext1"/>
              <w:jc w:val="right"/>
              <w:cnfStyle w:val="000000000000" w:firstRow="0" w:lastRow="0" w:firstColumn="0" w:lastColumn="0" w:oddVBand="0" w:evenVBand="0" w:oddHBand="0" w:evenHBand="0" w:firstRowFirstColumn="0" w:firstRowLastColumn="0" w:lastRowFirstColumn="0" w:lastRowLastColumn="0"/>
              <w:rPr>
                <w:b/>
                <w:bCs/>
              </w:rPr>
            </w:pPr>
          </w:p>
        </w:tc>
        <w:tc>
          <w:tcPr>
            <w:tcW w:w="1418" w:type="dxa"/>
          </w:tcPr>
          <w:p w14:paraId="0503E192" w14:textId="77777777" w:rsidR="00BF6331" w:rsidRPr="00E92EDB" w:rsidRDefault="00BF6331" w:rsidP="00E92EDB">
            <w:pPr>
              <w:pStyle w:val="Tabletext1"/>
              <w:jc w:val="right"/>
              <w:cnfStyle w:val="000000000000" w:firstRow="0" w:lastRow="0" w:firstColumn="0" w:lastColumn="0" w:oddVBand="0" w:evenVBand="0" w:oddHBand="0" w:evenHBand="0" w:firstRowFirstColumn="0" w:firstRowLastColumn="0" w:lastRowFirstColumn="0" w:lastRowLastColumn="0"/>
              <w:rPr>
                <w:b/>
                <w:bCs/>
              </w:rPr>
            </w:pPr>
            <w:r w:rsidRPr="00E92EDB">
              <w:rPr>
                <w:b/>
                <w:bCs/>
              </w:rPr>
              <w:t>$3,504</w:t>
            </w:r>
          </w:p>
        </w:tc>
        <w:tc>
          <w:tcPr>
            <w:tcW w:w="1134" w:type="dxa"/>
          </w:tcPr>
          <w:p w14:paraId="00F155A4" w14:textId="77777777" w:rsidR="00BF6331" w:rsidRPr="00E92EDB" w:rsidRDefault="00BF6331" w:rsidP="00E92EDB">
            <w:pPr>
              <w:pStyle w:val="Tabletext1"/>
              <w:jc w:val="right"/>
              <w:cnfStyle w:val="000000000000" w:firstRow="0" w:lastRow="0" w:firstColumn="0" w:lastColumn="0" w:oddVBand="0" w:evenVBand="0" w:oddHBand="0" w:evenHBand="0" w:firstRowFirstColumn="0" w:firstRowLastColumn="0" w:lastRowFirstColumn="0" w:lastRowLastColumn="0"/>
              <w:rPr>
                <w:b/>
                <w:bCs/>
              </w:rPr>
            </w:pPr>
            <w:r w:rsidRPr="00E92EDB">
              <w:rPr>
                <w:b/>
                <w:bCs/>
              </w:rPr>
              <w:t>-$664</w:t>
            </w:r>
          </w:p>
        </w:tc>
      </w:tr>
    </w:tbl>
    <w:p w14:paraId="33BD2771" w14:textId="6C78606B" w:rsidR="00B01115" w:rsidRDefault="00B01115" w:rsidP="00897C5B">
      <w:pPr>
        <w:pStyle w:val="Caption"/>
      </w:pPr>
      <w:r w:rsidRPr="00CC5A20">
        <w:t xml:space="preserve">Table </w:t>
      </w:r>
      <w:r w:rsidR="00CC5A20">
        <w:t>D-9</w:t>
      </w:r>
      <w:r>
        <w:t xml:space="preserve">: </w:t>
      </w:r>
      <w:r w:rsidR="007D621B">
        <w:t>Pharmaceutical Benefits Sche</w:t>
      </w:r>
      <w:r w:rsidR="00F462B9">
        <w:t xml:space="preserve">me </w:t>
      </w:r>
      <w:r w:rsidR="007D621B">
        <w:t>(</w:t>
      </w:r>
      <w:r>
        <w:t>PBS</w:t>
      </w:r>
      <w:r w:rsidR="007D621B">
        <w:t>)</w:t>
      </w:r>
      <w:r>
        <w:t xml:space="preserve"> costs in each arm of the study</w:t>
      </w:r>
    </w:p>
    <w:p w14:paraId="77C439CB" w14:textId="74A4F1A0" w:rsidR="00412D53" w:rsidRDefault="00412D53" w:rsidP="007501B9">
      <w:r>
        <w:t xml:space="preserve">PBS expenditure per patient </w:t>
      </w:r>
      <w:r w:rsidR="007C1077">
        <w:t>was</w:t>
      </w:r>
      <w:r>
        <w:t xml:space="preserve"> observed to be lower in the intervention arm than the usual care arm, and this observation holds when adjusted for follow-up time</w:t>
      </w:r>
      <w:r w:rsidR="007501B9">
        <w:t xml:space="preserve">. </w:t>
      </w:r>
      <w:r>
        <w:t>The adjusted annual difference of $664 represents a 23% reduction in annual prescription costs</w:t>
      </w:r>
      <w:r w:rsidR="007501B9">
        <w:t xml:space="preserve">. </w:t>
      </w:r>
      <w:r>
        <w:t>Although a substantial difference in costs, the difference was not statistically significant (p = 0.5</w:t>
      </w:r>
      <w:r w:rsidRPr="002C1F12">
        <w:t xml:space="preserve"> </w:t>
      </w:r>
      <w:r>
        <w:t>using 2 tailed t-Test)</w:t>
      </w:r>
      <w:r w:rsidR="00A61188">
        <w:t>, however,</w:t>
      </w:r>
      <w:r>
        <w:t xml:space="preserve"> the study was not powered to detect differences in costs</w:t>
      </w:r>
      <w:r w:rsidR="007501B9">
        <w:t xml:space="preserve">. </w:t>
      </w:r>
      <w:r>
        <w:t>This finding is consistent with the findings in the literature (Section D.3), where 6 of the 7 economic studies identified cost savings in pharmaceutical expenditure associated with pharmacist interventions.</w:t>
      </w:r>
    </w:p>
    <w:p w14:paraId="3DEA08F9" w14:textId="77777777" w:rsidR="00412D53" w:rsidRDefault="00412D53" w:rsidP="00CA0B7D">
      <w:pPr>
        <w:pStyle w:val="Heading4"/>
        <w:spacing w:line="276" w:lineRule="auto"/>
      </w:pPr>
      <w:r>
        <w:t>Hospital costs</w:t>
      </w:r>
    </w:p>
    <w:p w14:paraId="49475586" w14:textId="0F8B4BD2" w:rsidR="00A61188" w:rsidRDefault="00412D53" w:rsidP="007501B9">
      <w:r>
        <w:t xml:space="preserve">The hospital cost data for consenting residents obtained from various systems through SA Health and Tasmania </w:t>
      </w:r>
      <w:r w:rsidRPr="00CC5A20">
        <w:t xml:space="preserve">Health </w:t>
      </w:r>
      <w:r w:rsidR="00A61188">
        <w:t>are</w:t>
      </w:r>
      <w:r w:rsidRPr="00CC5A20">
        <w:t xml:space="preserve"> presented as raw and adjusted data for each jurisdiction before calculating an overall </w:t>
      </w:r>
      <w:r w:rsidRPr="00155108">
        <w:t>estimate</w:t>
      </w:r>
      <w:r w:rsidR="00BF6331" w:rsidRPr="00155108">
        <w:t xml:space="preserve"> (Table </w:t>
      </w:r>
      <w:r w:rsidR="00CC5A20" w:rsidRPr="00155108">
        <w:t>D-10</w:t>
      </w:r>
      <w:r w:rsidR="00BF6331" w:rsidRPr="00155108">
        <w:t>)</w:t>
      </w:r>
      <w:r w:rsidRPr="00155108">
        <w:t>.</w:t>
      </w:r>
    </w:p>
    <w:p w14:paraId="3395AB35" w14:textId="1DA4F8A1" w:rsidR="00A61188" w:rsidRDefault="00A61188" w:rsidP="007501B9">
      <w:r>
        <w:t>The difference between the average hospital cost per resident is not statistically significant</w:t>
      </w:r>
      <w:r w:rsidR="007501B9">
        <w:t xml:space="preserve">. </w:t>
      </w:r>
      <w:r>
        <w:t>Only the SA Health costs will be used in the base case results of the analysis given the unreliability of the Tasmanian hospital data</w:t>
      </w:r>
      <w:r w:rsidR="007501B9">
        <w:t xml:space="preserve">. </w:t>
      </w:r>
      <w:r>
        <w:t>It is also noted that there was one resident in the intervention arm that was an outlier in that they had extremely high hospital costs (</w:t>
      </w:r>
      <w:r w:rsidRPr="008A0616">
        <w:t>$81,323</w:t>
      </w:r>
      <w:r>
        <w:t>, representing 53% of the overall hospital costs in that arm)</w:t>
      </w:r>
      <w:r w:rsidR="007501B9">
        <w:t xml:space="preserve">. </w:t>
      </w:r>
      <w:r>
        <w:t>The effect of removing the outlier from the analysis is presented as a sensitivity analysis.</w:t>
      </w:r>
    </w:p>
    <w:tbl>
      <w:tblPr>
        <w:tblStyle w:val="ListTable3"/>
        <w:tblW w:w="0" w:type="auto"/>
        <w:tblLayout w:type="fixed"/>
        <w:tblLook w:val="04A0" w:firstRow="1" w:lastRow="0" w:firstColumn="1" w:lastColumn="0" w:noHBand="0" w:noVBand="1"/>
        <w:tblCaption w:val="Hospital costs over 12 months in each arm."/>
        <w:tblDescription w:val="Hospital costs over 12 months in each arm."/>
      </w:tblPr>
      <w:tblGrid>
        <w:gridCol w:w="1129"/>
        <w:gridCol w:w="1481"/>
        <w:gridCol w:w="1354"/>
        <w:gridCol w:w="1276"/>
        <w:gridCol w:w="1276"/>
        <w:gridCol w:w="1260"/>
        <w:gridCol w:w="1240"/>
      </w:tblGrid>
      <w:tr w:rsidR="00D66295" w:rsidRPr="00E92EDB" w14:paraId="29DF8B4B" w14:textId="77777777" w:rsidTr="00E92ED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129" w:type="dxa"/>
          </w:tcPr>
          <w:p w14:paraId="2263BF3C" w14:textId="77777777" w:rsidR="00D66295" w:rsidRPr="00E92EDB" w:rsidRDefault="00D66295" w:rsidP="00E92EDB">
            <w:pPr>
              <w:pStyle w:val="TableHeader"/>
              <w:rPr>
                <w:rFonts w:ascii="Arial Narrow" w:hAnsi="Arial Narrow"/>
                <w:b/>
                <w:bCs w:val="0"/>
                <w:sz w:val="20"/>
                <w:szCs w:val="20"/>
              </w:rPr>
            </w:pPr>
            <w:bookmarkStart w:id="242" w:name="Title_29" w:colFirst="0" w:colLast="0"/>
          </w:p>
        </w:tc>
        <w:tc>
          <w:tcPr>
            <w:tcW w:w="1481" w:type="dxa"/>
          </w:tcPr>
          <w:p w14:paraId="67AC256E" w14:textId="77777777" w:rsidR="00D66295" w:rsidRPr="00E92EDB" w:rsidRDefault="00D66295" w:rsidP="00E92EDB">
            <w:pPr>
              <w:pStyle w:val="TableHeader"/>
              <w:cnfStyle w:val="100000000000" w:firstRow="1" w:lastRow="0" w:firstColumn="0" w:lastColumn="0" w:oddVBand="0" w:evenVBand="0" w:oddHBand="0" w:evenHBand="0" w:firstRowFirstColumn="0" w:firstRowLastColumn="0" w:lastRowFirstColumn="0" w:lastRowLastColumn="0"/>
              <w:rPr>
                <w:rFonts w:ascii="Arial Narrow" w:hAnsi="Arial Narrow"/>
                <w:b/>
                <w:bCs w:val="0"/>
                <w:sz w:val="20"/>
                <w:szCs w:val="20"/>
              </w:rPr>
            </w:pPr>
            <w:r w:rsidRPr="00E92EDB">
              <w:rPr>
                <w:rFonts w:ascii="Arial Narrow" w:hAnsi="Arial Narrow"/>
                <w:b/>
                <w:bCs w:val="0"/>
                <w:sz w:val="20"/>
                <w:szCs w:val="20"/>
              </w:rPr>
              <w:t>Hospital Costs</w:t>
            </w:r>
          </w:p>
        </w:tc>
        <w:tc>
          <w:tcPr>
            <w:tcW w:w="1354" w:type="dxa"/>
          </w:tcPr>
          <w:p w14:paraId="5224E0FD" w14:textId="77777777" w:rsidR="00D66295" w:rsidRPr="00E92EDB" w:rsidRDefault="00D66295" w:rsidP="00E92EDB">
            <w:pPr>
              <w:pStyle w:val="TableHeader"/>
              <w:cnfStyle w:val="100000000000" w:firstRow="1" w:lastRow="0" w:firstColumn="0" w:lastColumn="0" w:oddVBand="0" w:evenVBand="0" w:oddHBand="0" w:evenHBand="0" w:firstRowFirstColumn="0" w:firstRowLastColumn="0" w:lastRowFirstColumn="0" w:lastRowLastColumn="0"/>
              <w:rPr>
                <w:rFonts w:ascii="Arial Narrow" w:hAnsi="Arial Narrow"/>
                <w:b/>
                <w:bCs w:val="0"/>
                <w:sz w:val="20"/>
                <w:szCs w:val="20"/>
              </w:rPr>
            </w:pPr>
            <w:proofErr w:type="gramStart"/>
            <w:r w:rsidRPr="00E92EDB">
              <w:rPr>
                <w:rFonts w:ascii="Arial Narrow" w:hAnsi="Arial Narrow"/>
                <w:b/>
                <w:bCs w:val="0"/>
                <w:sz w:val="20"/>
                <w:szCs w:val="20"/>
              </w:rPr>
              <w:t>Intervention,  Denominator</w:t>
            </w:r>
            <w:proofErr w:type="gramEnd"/>
          </w:p>
        </w:tc>
        <w:tc>
          <w:tcPr>
            <w:tcW w:w="1276" w:type="dxa"/>
          </w:tcPr>
          <w:p w14:paraId="6BD81AFB" w14:textId="77777777" w:rsidR="00D66295" w:rsidRPr="00E92EDB" w:rsidRDefault="00D66295" w:rsidP="00E92EDB">
            <w:pPr>
              <w:pStyle w:val="TableHeader"/>
              <w:cnfStyle w:val="100000000000" w:firstRow="1" w:lastRow="0" w:firstColumn="0" w:lastColumn="0" w:oddVBand="0" w:evenVBand="0" w:oddHBand="0" w:evenHBand="0" w:firstRowFirstColumn="0" w:firstRowLastColumn="0" w:lastRowFirstColumn="0" w:lastRowLastColumn="0"/>
              <w:rPr>
                <w:rFonts w:ascii="Arial Narrow" w:hAnsi="Arial Narrow"/>
                <w:b/>
                <w:bCs w:val="0"/>
                <w:sz w:val="20"/>
                <w:szCs w:val="20"/>
              </w:rPr>
            </w:pPr>
            <w:r w:rsidRPr="00E92EDB">
              <w:rPr>
                <w:rFonts w:ascii="Arial Narrow" w:hAnsi="Arial Narrow"/>
                <w:b/>
                <w:bCs w:val="0"/>
                <w:sz w:val="20"/>
                <w:szCs w:val="20"/>
              </w:rPr>
              <w:t xml:space="preserve">Intervention, </w:t>
            </w:r>
          </w:p>
          <w:p w14:paraId="5C8FFD8D" w14:textId="77777777" w:rsidR="00D66295" w:rsidRPr="00E92EDB" w:rsidRDefault="00D66295" w:rsidP="00E92EDB">
            <w:pPr>
              <w:pStyle w:val="TableHeader"/>
              <w:cnfStyle w:val="100000000000" w:firstRow="1" w:lastRow="0" w:firstColumn="0" w:lastColumn="0" w:oddVBand="0" w:evenVBand="0" w:oddHBand="0" w:evenHBand="0" w:firstRowFirstColumn="0" w:firstRowLastColumn="0" w:lastRowFirstColumn="0" w:lastRowLastColumn="0"/>
              <w:rPr>
                <w:rFonts w:ascii="Arial Narrow" w:hAnsi="Arial Narrow"/>
                <w:b/>
                <w:bCs w:val="0"/>
                <w:sz w:val="20"/>
                <w:szCs w:val="20"/>
              </w:rPr>
            </w:pPr>
            <w:r w:rsidRPr="00E92EDB">
              <w:rPr>
                <w:rFonts w:ascii="Arial Narrow" w:hAnsi="Arial Narrow"/>
                <w:b/>
                <w:bCs w:val="0"/>
                <w:sz w:val="20"/>
                <w:szCs w:val="20"/>
              </w:rPr>
              <w:t>Costs</w:t>
            </w:r>
          </w:p>
        </w:tc>
        <w:tc>
          <w:tcPr>
            <w:tcW w:w="1276" w:type="dxa"/>
          </w:tcPr>
          <w:p w14:paraId="1AFEF97E" w14:textId="77777777" w:rsidR="00D66295" w:rsidRPr="00E92EDB" w:rsidRDefault="00D66295" w:rsidP="00E92EDB">
            <w:pPr>
              <w:pStyle w:val="TableHeader"/>
              <w:cnfStyle w:val="100000000000" w:firstRow="1" w:lastRow="0" w:firstColumn="0" w:lastColumn="0" w:oddVBand="0" w:evenVBand="0" w:oddHBand="0" w:evenHBand="0" w:firstRowFirstColumn="0" w:firstRowLastColumn="0" w:lastRowFirstColumn="0" w:lastRowLastColumn="0"/>
              <w:rPr>
                <w:rFonts w:ascii="Arial Narrow" w:hAnsi="Arial Narrow"/>
                <w:b/>
                <w:bCs w:val="0"/>
                <w:sz w:val="20"/>
                <w:szCs w:val="20"/>
              </w:rPr>
            </w:pPr>
            <w:r w:rsidRPr="00E92EDB">
              <w:rPr>
                <w:rFonts w:ascii="Arial Narrow" w:hAnsi="Arial Narrow"/>
                <w:b/>
                <w:bCs w:val="0"/>
                <w:sz w:val="20"/>
                <w:szCs w:val="20"/>
              </w:rPr>
              <w:t>Control, Denominator</w:t>
            </w:r>
          </w:p>
        </w:tc>
        <w:tc>
          <w:tcPr>
            <w:tcW w:w="1260" w:type="dxa"/>
          </w:tcPr>
          <w:p w14:paraId="42B6267F" w14:textId="77777777" w:rsidR="00D66295" w:rsidRPr="00E92EDB" w:rsidRDefault="00D66295" w:rsidP="00E92EDB">
            <w:pPr>
              <w:pStyle w:val="TableHeader"/>
              <w:cnfStyle w:val="100000000000" w:firstRow="1" w:lastRow="0" w:firstColumn="0" w:lastColumn="0" w:oddVBand="0" w:evenVBand="0" w:oddHBand="0" w:evenHBand="0" w:firstRowFirstColumn="0" w:firstRowLastColumn="0" w:lastRowFirstColumn="0" w:lastRowLastColumn="0"/>
              <w:rPr>
                <w:rFonts w:ascii="Arial Narrow" w:hAnsi="Arial Narrow"/>
                <w:b/>
                <w:bCs w:val="0"/>
                <w:sz w:val="20"/>
                <w:szCs w:val="20"/>
              </w:rPr>
            </w:pPr>
            <w:r w:rsidRPr="00E92EDB">
              <w:rPr>
                <w:rFonts w:ascii="Arial Narrow" w:hAnsi="Arial Narrow"/>
                <w:b/>
                <w:bCs w:val="0"/>
                <w:sz w:val="20"/>
                <w:szCs w:val="20"/>
              </w:rPr>
              <w:t>Control,</w:t>
            </w:r>
          </w:p>
          <w:p w14:paraId="60EFBA2A" w14:textId="77777777" w:rsidR="00D66295" w:rsidRPr="00E92EDB" w:rsidRDefault="00D66295" w:rsidP="00E92EDB">
            <w:pPr>
              <w:pStyle w:val="TableHeader"/>
              <w:cnfStyle w:val="100000000000" w:firstRow="1" w:lastRow="0" w:firstColumn="0" w:lastColumn="0" w:oddVBand="0" w:evenVBand="0" w:oddHBand="0" w:evenHBand="0" w:firstRowFirstColumn="0" w:firstRowLastColumn="0" w:lastRowFirstColumn="0" w:lastRowLastColumn="0"/>
              <w:rPr>
                <w:rFonts w:ascii="Arial Narrow" w:hAnsi="Arial Narrow"/>
                <w:b/>
                <w:bCs w:val="0"/>
                <w:sz w:val="20"/>
                <w:szCs w:val="20"/>
              </w:rPr>
            </w:pPr>
            <w:r w:rsidRPr="00E92EDB">
              <w:rPr>
                <w:rFonts w:ascii="Arial Narrow" w:hAnsi="Arial Narrow"/>
                <w:b/>
                <w:bCs w:val="0"/>
                <w:sz w:val="20"/>
                <w:szCs w:val="20"/>
              </w:rPr>
              <w:t>Costs</w:t>
            </w:r>
          </w:p>
        </w:tc>
        <w:tc>
          <w:tcPr>
            <w:tcW w:w="1240" w:type="dxa"/>
          </w:tcPr>
          <w:p w14:paraId="67C5C9E7" w14:textId="77777777" w:rsidR="00D66295" w:rsidRPr="00E92EDB" w:rsidRDefault="00D66295" w:rsidP="00E92EDB">
            <w:pPr>
              <w:pStyle w:val="TableHeader"/>
              <w:cnfStyle w:val="100000000000" w:firstRow="1" w:lastRow="0" w:firstColumn="0" w:lastColumn="0" w:oddVBand="0" w:evenVBand="0" w:oddHBand="0" w:evenHBand="0" w:firstRowFirstColumn="0" w:firstRowLastColumn="0" w:lastRowFirstColumn="0" w:lastRowLastColumn="0"/>
              <w:rPr>
                <w:rFonts w:ascii="Arial Narrow" w:hAnsi="Arial Narrow"/>
                <w:b/>
                <w:bCs w:val="0"/>
                <w:sz w:val="20"/>
                <w:szCs w:val="20"/>
              </w:rPr>
            </w:pPr>
            <w:r w:rsidRPr="00E92EDB">
              <w:rPr>
                <w:rFonts w:ascii="Arial Narrow" w:hAnsi="Arial Narrow"/>
                <w:b/>
                <w:bCs w:val="0"/>
                <w:sz w:val="20"/>
                <w:szCs w:val="20"/>
              </w:rPr>
              <w:t>Increment</w:t>
            </w:r>
          </w:p>
        </w:tc>
      </w:tr>
      <w:bookmarkEnd w:id="242"/>
      <w:tr w:rsidR="00D66295" w:rsidRPr="00E92EDB" w14:paraId="711A521D" w14:textId="77777777" w:rsidTr="00E92E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7FEF970E" w14:textId="77777777" w:rsidR="00D66295" w:rsidRPr="00E92EDB" w:rsidRDefault="00D66295" w:rsidP="00E92EDB">
            <w:pPr>
              <w:pStyle w:val="Tabletext1"/>
              <w:rPr>
                <w:rFonts w:ascii="Arial Narrow" w:hAnsi="Arial Narrow"/>
                <w:szCs w:val="20"/>
              </w:rPr>
            </w:pPr>
            <w:r w:rsidRPr="00E92EDB">
              <w:rPr>
                <w:rFonts w:ascii="Arial Narrow" w:hAnsi="Arial Narrow"/>
                <w:szCs w:val="20"/>
              </w:rPr>
              <w:t>Total SA Health</w:t>
            </w:r>
          </w:p>
        </w:tc>
        <w:tc>
          <w:tcPr>
            <w:tcW w:w="1481" w:type="dxa"/>
          </w:tcPr>
          <w:p w14:paraId="2582F9FC" w14:textId="77777777" w:rsidR="00D66295" w:rsidRPr="00E92EDB" w:rsidRDefault="00D66295" w:rsidP="00E92EDB">
            <w:pPr>
              <w:pStyle w:val="Tabletext1"/>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E92EDB">
              <w:rPr>
                <w:rFonts w:ascii="Arial Narrow" w:hAnsi="Arial Narrow"/>
                <w:szCs w:val="20"/>
              </w:rPr>
              <w:t>Per trial arm</w:t>
            </w:r>
          </w:p>
        </w:tc>
        <w:tc>
          <w:tcPr>
            <w:tcW w:w="1354" w:type="dxa"/>
          </w:tcPr>
          <w:p w14:paraId="2CBD02CD" w14:textId="77777777" w:rsidR="00D66295" w:rsidRPr="00E92EDB" w:rsidRDefault="00D66295" w:rsidP="00E92EDB">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Cs w:val="20"/>
              </w:rPr>
            </w:pPr>
          </w:p>
        </w:tc>
        <w:tc>
          <w:tcPr>
            <w:tcW w:w="1276" w:type="dxa"/>
          </w:tcPr>
          <w:p w14:paraId="6A214C89" w14:textId="77777777" w:rsidR="00D66295" w:rsidRPr="00E92EDB" w:rsidRDefault="00D66295" w:rsidP="00E92EDB">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Cs w:val="20"/>
              </w:rPr>
            </w:pPr>
            <w:r w:rsidRPr="00E92EDB">
              <w:rPr>
                <w:rFonts w:ascii="Arial Narrow" w:hAnsi="Arial Narrow"/>
                <w:b/>
                <w:bCs/>
                <w:szCs w:val="20"/>
              </w:rPr>
              <w:t>$153,754</w:t>
            </w:r>
          </w:p>
        </w:tc>
        <w:tc>
          <w:tcPr>
            <w:tcW w:w="1276" w:type="dxa"/>
          </w:tcPr>
          <w:p w14:paraId="1A820A59" w14:textId="77777777" w:rsidR="00D66295" w:rsidRPr="00E92EDB" w:rsidRDefault="00D66295" w:rsidP="00E92EDB">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Cs w:val="20"/>
              </w:rPr>
            </w:pPr>
          </w:p>
        </w:tc>
        <w:tc>
          <w:tcPr>
            <w:tcW w:w="1260" w:type="dxa"/>
          </w:tcPr>
          <w:p w14:paraId="09D3C55D" w14:textId="77777777" w:rsidR="00D66295" w:rsidRPr="00E92EDB" w:rsidRDefault="00D66295" w:rsidP="00E92EDB">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Cs w:val="20"/>
              </w:rPr>
            </w:pPr>
            <w:r w:rsidRPr="00E92EDB">
              <w:rPr>
                <w:rFonts w:ascii="Arial Narrow" w:hAnsi="Arial Narrow"/>
                <w:b/>
                <w:bCs/>
                <w:szCs w:val="20"/>
              </w:rPr>
              <w:t>$53,935</w:t>
            </w:r>
          </w:p>
        </w:tc>
        <w:tc>
          <w:tcPr>
            <w:tcW w:w="1240" w:type="dxa"/>
          </w:tcPr>
          <w:p w14:paraId="1C4729C6" w14:textId="77777777" w:rsidR="00D66295" w:rsidRPr="00E92EDB" w:rsidRDefault="00D66295" w:rsidP="00E92EDB">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Cs w:val="20"/>
              </w:rPr>
            </w:pPr>
            <w:r w:rsidRPr="00E92EDB">
              <w:rPr>
                <w:rFonts w:ascii="Arial Narrow" w:hAnsi="Arial Narrow"/>
                <w:b/>
                <w:bCs/>
                <w:szCs w:val="20"/>
              </w:rPr>
              <w:t>$99,819</w:t>
            </w:r>
          </w:p>
        </w:tc>
      </w:tr>
      <w:tr w:rsidR="00D66295" w:rsidRPr="00E92EDB" w14:paraId="7EEC8EFC" w14:textId="77777777" w:rsidTr="00E92EDB">
        <w:tc>
          <w:tcPr>
            <w:cnfStyle w:val="001000000000" w:firstRow="0" w:lastRow="0" w:firstColumn="1" w:lastColumn="0" w:oddVBand="0" w:evenVBand="0" w:oddHBand="0" w:evenHBand="0" w:firstRowFirstColumn="0" w:firstRowLastColumn="0" w:lastRowFirstColumn="0" w:lastRowLastColumn="0"/>
            <w:tcW w:w="1129" w:type="dxa"/>
          </w:tcPr>
          <w:p w14:paraId="19CD23CA" w14:textId="3E697DD3" w:rsidR="00D66295" w:rsidRPr="00E92EDB" w:rsidRDefault="00D66295" w:rsidP="00E92EDB">
            <w:pPr>
              <w:pStyle w:val="Tabletext1"/>
              <w:rPr>
                <w:rFonts w:ascii="Arial Narrow" w:hAnsi="Arial Narrow"/>
                <w:color w:val="FFFFFF" w:themeColor="background1"/>
                <w:szCs w:val="20"/>
              </w:rPr>
            </w:pPr>
          </w:p>
        </w:tc>
        <w:tc>
          <w:tcPr>
            <w:tcW w:w="1481" w:type="dxa"/>
          </w:tcPr>
          <w:p w14:paraId="6DE2BC98" w14:textId="77777777" w:rsidR="00D66295" w:rsidRPr="00E92EDB" w:rsidRDefault="00D66295" w:rsidP="00E92EDB">
            <w:pPr>
              <w:pStyle w:val="Tabletext1"/>
              <w:cnfStyle w:val="000000000000" w:firstRow="0" w:lastRow="0" w:firstColumn="0" w:lastColumn="0" w:oddVBand="0" w:evenVBand="0" w:oddHBand="0" w:evenHBand="0" w:firstRowFirstColumn="0" w:firstRowLastColumn="0" w:lastRowFirstColumn="0" w:lastRowLastColumn="0"/>
              <w:rPr>
                <w:rFonts w:ascii="Arial Narrow" w:hAnsi="Arial Narrow" w:cstheme="minorHAnsi"/>
                <w:szCs w:val="20"/>
              </w:rPr>
            </w:pPr>
            <w:r w:rsidRPr="00E92EDB">
              <w:rPr>
                <w:rFonts w:ascii="Arial Narrow" w:hAnsi="Arial Narrow"/>
                <w:szCs w:val="20"/>
              </w:rPr>
              <w:t>Av cost per person</w:t>
            </w:r>
          </w:p>
        </w:tc>
        <w:tc>
          <w:tcPr>
            <w:tcW w:w="1354" w:type="dxa"/>
          </w:tcPr>
          <w:p w14:paraId="2E6A069C" w14:textId="77777777" w:rsidR="00D66295" w:rsidRPr="00E92EDB" w:rsidRDefault="00D66295" w:rsidP="00E92EDB">
            <w:pPr>
              <w:pStyle w:val="Tabletext1"/>
              <w:jc w:val="right"/>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E92EDB">
              <w:rPr>
                <w:rFonts w:ascii="Arial Narrow" w:hAnsi="Arial Narrow"/>
                <w:szCs w:val="20"/>
              </w:rPr>
              <w:t>79 people</w:t>
            </w:r>
          </w:p>
        </w:tc>
        <w:tc>
          <w:tcPr>
            <w:tcW w:w="1276" w:type="dxa"/>
          </w:tcPr>
          <w:p w14:paraId="348C5E06" w14:textId="77777777" w:rsidR="00D66295" w:rsidRPr="00E92EDB" w:rsidRDefault="00D66295" w:rsidP="00E92EDB">
            <w:pPr>
              <w:pStyle w:val="Tabletext1"/>
              <w:jc w:val="right"/>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E92EDB">
              <w:rPr>
                <w:rFonts w:ascii="Arial Narrow" w:hAnsi="Arial Narrow"/>
                <w:szCs w:val="20"/>
              </w:rPr>
              <w:t>$1,946</w:t>
            </w:r>
          </w:p>
        </w:tc>
        <w:tc>
          <w:tcPr>
            <w:tcW w:w="1276" w:type="dxa"/>
          </w:tcPr>
          <w:p w14:paraId="07FFCD5F" w14:textId="77777777" w:rsidR="00D66295" w:rsidRPr="00E92EDB" w:rsidRDefault="00D66295" w:rsidP="00E92EDB">
            <w:pPr>
              <w:pStyle w:val="Tabletext1"/>
              <w:jc w:val="right"/>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E92EDB">
              <w:rPr>
                <w:rFonts w:ascii="Arial Narrow" w:hAnsi="Arial Narrow"/>
                <w:szCs w:val="20"/>
              </w:rPr>
              <w:t>91 people</w:t>
            </w:r>
          </w:p>
        </w:tc>
        <w:tc>
          <w:tcPr>
            <w:tcW w:w="1260" w:type="dxa"/>
          </w:tcPr>
          <w:p w14:paraId="7B766A08" w14:textId="77777777" w:rsidR="00D66295" w:rsidRPr="00E92EDB" w:rsidRDefault="00D66295" w:rsidP="00E92EDB">
            <w:pPr>
              <w:pStyle w:val="Tabletext1"/>
              <w:jc w:val="right"/>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E92EDB">
              <w:rPr>
                <w:rFonts w:ascii="Arial Narrow" w:hAnsi="Arial Narrow"/>
                <w:szCs w:val="20"/>
              </w:rPr>
              <w:t>$593</w:t>
            </w:r>
          </w:p>
        </w:tc>
        <w:tc>
          <w:tcPr>
            <w:tcW w:w="1240" w:type="dxa"/>
          </w:tcPr>
          <w:p w14:paraId="08CEC1C6" w14:textId="77777777" w:rsidR="00D66295" w:rsidRPr="00E92EDB" w:rsidRDefault="00D66295" w:rsidP="00E92EDB">
            <w:pPr>
              <w:pStyle w:val="Tabletext1"/>
              <w:jc w:val="right"/>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E92EDB">
              <w:rPr>
                <w:rFonts w:ascii="Arial Narrow" w:hAnsi="Arial Narrow"/>
                <w:szCs w:val="20"/>
              </w:rPr>
              <w:t>$1,354</w:t>
            </w:r>
          </w:p>
        </w:tc>
      </w:tr>
      <w:tr w:rsidR="00D66295" w:rsidRPr="00E92EDB" w14:paraId="320CE001" w14:textId="77777777" w:rsidTr="00E92E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54365361" w14:textId="0D87994F" w:rsidR="00D66295" w:rsidRPr="00E92EDB" w:rsidRDefault="00D66295" w:rsidP="00E92EDB">
            <w:pPr>
              <w:pStyle w:val="Tabletext1"/>
              <w:rPr>
                <w:rFonts w:ascii="Arial Narrow" w:hAnsi="Arial Narrow"/>
                <w:color w:val="FFFFFF" w:themeColor="background1"/>
                <w:szCs w:val="20"/>
              </w:rPr>
            </w:pPr>
          </w:p>
        </w:tc>
        <w:tc>
          <w:tcPr>
            <w:tcW w:w="1481" w:type="dxa"/>
          </w:tcPr>
          <w:p w14:paraId="43299791" w14:textId="77777777" w:rsidR="00D66295" w:rsidRPr="00E92EDB" w:rsidRDefault="00D66295" w:rsidP="00E92EDB">
            <w:pPr>
              <w:pStyle w:val="Tabletext1"/>
              <w:cnfStyle w:val="000000100000" w:firstRow="0" w:lastRow="0" w:firstColumn="0" w:lastColumn="0" w:oddVBand="0" w:evenVBand="0" w:oddHBand="1" w:evenHBand="0" w:firstRowFirstColumn="0" w:firstRowLastColumn="0" w:lastRowFirstColumn="0" w:lastRowLastColumn="0"/>
              <w:rPr>
                <w:rFonts w:ascii="Arial Narrow" w:hAnsi="Arial Narrow" w:cstheme="minorHAnsi"/>
                <w:szCs w:val="20"/>
              </w:rPr>
            </w:pPr>
            <w:r w:rsidRPr="00E92EDB">
              <w:rPr>
                <w:rFonts w:ascii="Arial Narrow" w:hAnsi="Arial Narrow"/>
                <w:szCs w:val="20"/>
              </w:rPr>
              <w:t>Av cost per day</w:t>
            </w:r>
          </w:p>
        </w:tc>
        <w:tc>
          <w:tcPr>
            <w:tcW w:w="1354" w:type="dxa"/>
          </w:tcPr>
          <w:p w14:paraId="2DA85BA9" w14:textId="77777777" w:rsidR="00D66295" w:rsidRPr="00E92EDB" w:rsidRDefault="00D66295" w:rsidP="00E92EDB">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E92EDB">
              <w:rPr>
                <w:rFonts w:ascii="Arial Narrow" w:hAnsi="Arial Narrow"/>
                <w:szCs w:val="20"/>
              </w:rPr>
              <w:t>25,600 days</w:t>
            </w:r>
          </w:p>
        </w:tc>
        <w:tc>
          <w:tcPr>
            <w:tcW w:w="1276" w:type="dxa"/>
          </w:tcPr>
          <w:p w14:paraId="2ED12EE6" w14:textId="77777777" w:rsidR="00D66295" w:rsidRPr="00E92EDB" w:rsidRDefault="00D66295" w:rsidP="00E92EDB">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E92EDB">
              <w:rPr>
                <w:rFonts w:ascii="Arial Narrow" w:hAnsi="Arial Narrow"/>
                <w:szCs w:val="20"/>
              </w:rPr>
              <w:t>$6.01</w:t>
            </w:r>
          </w:p>
        </w:tc>
        <w:tc>
          <w:tcPr>
            <w:tcW w:w="1276" w:type="dxa"/>
          </w:tcPr>
          <w:p w14:paraId="2A00F27E" w14:textId="77777777" w:rsidR="00D66295" w:rsidRPr="00E92EDB" w:rsidRDefault="00D66295" w:rsidP="00E92EDB">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E92EDB">
              <w:rPr>
                <w:rFonts w:ascii="Arial Narrow" w:hAnsi="Arial Narrow"/>
                <w:szCs w:val="20"/>
              </w:rPr>
              <w:t>31,612 days</w:t>
            </w:r>
          </w:p>
        </w:tc>
        <w:tc>
          <w:tcPr>
            <w:tcW w:w="1260" w:type="dxa"/>
          </w:tcPr>
          <w:p w14:paraId="01638373" w14:textId="77777777" w:rsidR="00D66295" w:rsidRPr="00E92EDB" w:rsidRDefault="00D66295" w:rsidP="00E92EDB">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E92EDB">
              <w:rPr>
                <w:rFonts w:ascii="Arial Narrow" w:hAnsi="Arial Narrow"/>
                <w:szCs w:val="20"/>
              </w:rPr>
              <w:t>$1.71</w:t>
            </w:r>
          </w:p>
        </w:tc>
        <w:tc>
          <w:tcPr>
            <w:tcW w:w="1240" w:type="dxa"/>
          </w:tcPr>
          <w:p w14:paraId="61B684AE" w14:textId="77777777" w:rsidR="00D66295" w:rsidRPr="00E92EDB" w:rsidRDefault="00D66295" w:rsidP="00E92EDB">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E92EDB">
              <w:rPr>
                <w:rFonts w:ascii="Arial Narrow" w:hAnsi="Arial Narrow"/>
                <w:szCs w:val="20"/>
              </w:rPr>
              <w:t>$4.30</w:t>
            </w:r>
          </w:p>
        </w:tc>
      </w:tr>
      <w:tr w:rsidR="00D66295" w:rsidRPr="00E92EDB" w14:paraId="1DD60DAB" w14:textId="77777777" w:rsidTr="00E92EDB">
        <w:tc>
          <w:tcPr>
            <w:cnfStyle w:val="001000000000" w:firstRow="0" w:lastRow="0" w:firstColumn="1" w:lastColumn="0" w:oddVBand="0" w:evenVBand="0" w:oddHBand="0" w:evenHBand="0" w:firstRowFirstColumn="0" w:firstRowLastColumn="0" w:lastRowFirstColumn="0" w:lastRowLastColumn="0"/>
            <w:tcW w:w="1129" w:type="dxa"/>
            <w:shd w:val="clear" w:color="auto" w:fill="E7E6E6" w:themeFill="background2"/>
          </w:tcPr>
          <w:p w14:paraId="32FA4EAC" w14:textId="26111895" w:rsidR="00D66295" w:rsidRPr="00E92EDB" w:rsidRDefault="00D66295" w:rsidP="00E92EDB">
            <w:pPr>
              <w:pStyle w:val="Tabletext1"/>
              <w:rPr>
                <w:rFonts w:ascii="Arial Narrow" w:hAnsi="Arial Narrow"/>
                <w:color w:val="F2F2F2" w:themeColor="background1" w:themeShade="F2"/>
                <w:szCs w:val="20"/>
              </w:rPr>
            </w:pPr>
          </w:p>
        </w:tc>
        <w:tc>
          <w:tcPr>
            <w:tcW w:w="1481" w:type="dxa"/>
            <w:shd w:val="clear" w:color="auto" w:fill="E7E6E6" w:themeFill="background2"/>
          </w:tcPr>
          <w:p w14:paraId="47A8DAD3" w14:textId="77777777" w:rsidR="00D66295" w:rsidRPr="00E92EDB" w:rsidRDefault="00D66295" w:rsidP="00E92EDB">
            <w:pPr>
              <w:pStyle w:val="Tabletext1"/>
              <w:cnfStyle w:val="000000000000" w:firstRow="0" w:lastRow="0" w:firstColumn="0" w:lastColumn="0" w:oddVBand="0" w:evenVBand="0" w:oddHBand="0" w:evenHBand="0" w:firstRowFirstColumn="0" w:firstRowLastColumn="0" w:lastRowFirstColumn="0" w:lastRowLastColumn="0"/>
              <w:rPr>
                <w:rFonts w:ascii="Arial Narrow" w:hAnsi="Arial Narrow" w:cstheme="minorHAnsi"/>
                <w:szCs w:val="20"/>
              </w:rPr>
            </w:pPr>
            <w:r w:rsidRPr="00E92EDB">
              <w:rPr>
                <w:rFonts w:ascii="Arial Narrow" w:hAnsi="Arial Narrow"/>
                <w:szCs w:val="20"/>
              </w:rPr>
              <w:t>Av cost per year (adj)</w:t>
            </w:r>
          </w:p>
        </w:tc>
        <w:tc>
          <w:tcPr>
            <w:tcW w:w="1354" w:type="dxa"/>
            <w:shd w:val="clear" w:color="auto" w:fill="E7E6E6" w:themeFill="background2"/>
          </w:tcPr>
          <w:p w14:paraId="33DFAF4A" w14:textId="77777777" w:rsidR="00D66295" w:rsidRPr="00E92EDB" w:rsidRDefault="00D66295" w:rsidP="00E92EDB">
            <w:pPr>
              <w:pStyle w:val="Tabletext1"/>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Cs w:val="20"/>
              </w:rPr>
            </w:pPr>
          </w:p>
        </w:tc>
        <w:tc>
          <w:tcPr>
            <w:tcW w:w="1276" w:type="dxa"/>
            <w:shd w:val="clear" w:color="auto" w:fill="E7E6E6" w:themeFill="background2"/>
          </w:tcPr>
          <w:p w14:paraId="27546D2C" w14:textId="77777777" w:rsidR="00D66295" w:rsidRPr="00E92EDB" w:rsidRDefault="00D66295" w:rsidP="00E92EDB">
            <w:pPr>
              <w:pStyle w:val="Tabletext1"/>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Cs w:val="20"/>
              </w:rPr>
            </w:pPr>
            <w:r w:rsidRPr="00E92EDB">
              <w:rPr>
                <w:rFonts w:ascii="Arial Narrow" w:hAnsi="Arial Narrow"/>
                <w:b/>
                <w:bCs/>
                <w:szCs w:val="20"/>
              </w:rPr>
              <w:t>$2,192</w:t>
            </w:r>
          </w:p>
        </w:tc>
        <w:tc>
          <w:tcPr>
            <w:tcW w:w="1276" w:type="dxa"/>
            <w:shd w:val="clear" w:color="auto" w:fill="E7E6E6" w:themeFill="background2"/>
          </w:tcPr>
          <w:p w14:paraId="6CECE8CE" w14:textId="77777777" w:rsidR="00D66295" w:rsidRPr="00E92EDB" w:rsidRDefault="00D66295" w:rsidP="00E92EDB">
            <w:pPr>
              <w:pStyle w:val="Tabletext1"/>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Cs w:val="20"/>
              </w:rPr>
            </w:pPr>
          </w:p>
        </w:tc>
        <w:tc>
          <w:tcPr>
            <w:tcW w:w="1260" w:type="dxa"/>
            <w:shd w:val="clear" w:color="auto" w:fill="E7E6E6" w:themeFill="background2"/>
          </w:tcPr>
          <w:p w14:paraId="57AC0D09" w14:textId="77777777" w:rsidR="00D66295" w:rsidRPr="00E92EDB" w:rsidRDefault="00D66295" w:rsidP="00E92EDB">
            <w:pPr>
              <w:pStyle w:val="Tabletext1"/>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Cs w:val="20"/>
              </w:rPr>
            </w:pPr>
            <w:r w:rsidRPr="00E92EDB">
              <w:rPr>
                <w:rFonts w:ascii="Arial Narrow" w:hAnsi="Arial Narrow"/>
                <w:b/>
                <w:bCs/>
                <w:szCs w:val="20"/>
              </w:rPr>
              <w:t>$623</w:t>
            </w:r>
          </w:p>
        </w:tc>
        <w:tc>
          <w:tcPr>
            <w:tcW w:w="1240" w:type="dxa"/>
            <w:shd w:val="clear" w:color="auto" w:fill="E7E6E6" w:themeFill="background2"/>
          </w:tcPr>
          <w:p w14:paraId="7E7D092D" w14:textId="77777777" w:rsidR="00D66295" w:rsidRPr="00E92EDB" w:rsidRDefault="00D66295" w:rsidP="00E92EDB">
            <w:pPr>
              <w:pStyle w:val="Tabletext1"/>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Cs w:val="20"/>
              </w:rPr>
            </w:pPr>
            <w:r w:rsidRPr="00E92EDB">
              <w:rPr>
                <w:rFonts w:ascii="Arial Narrow" w:hAnsi="Arial Narrow"/>
                <w:b/>
                <w:bCs/>
                <w:szCs w:val="20"/>
              </w:rPr>
              <w:t>$1,569</w:t>
            </w:r>
          </w:p>
        </w:tc>
      </w:tr>
      <w:tr w:rsidR="00D66295" w:rsidRPr="00E92EDB" w14:paraId="02C380A8" w14:textId="77777777" w:rsidTr="00E92E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E7E6E6" w:themeFill="background2"/>
          </w:tcPr>
          <w:p w14:paraId="37D71896" w14:textId="78E8DE66" w:rsidR="00D66295" w:rsidRPr="00E92EDB" w:rsidRDefault="00D66295" w:rsidP="00E92EDB">
            <w:pPr>
              <w:pStyle w:val="Tabletext1"/>
              <w:rPr>
                <w:rFonts w:ascii="Arial Narrow" w:hAnsi="Arial Narrow"/>
                <w:i/>
                <w:color w:val="F2F2F2" w:themeColor="background1" w:themeShade="F2"/>
                <w:szCs w:val="20"/>
              </w:rPr>
            </w:pPr>
          </w:p>
        </w:tc>
        <w:tc>
          <w:tcPr>
            <w:tcW w:w="1481" w:type="dxa"/>
            <w:shd w:val="clear" w:color="auto" w:fill="E7E6E6" w:themeFill="background2"/>
          </w:tcPr>
          <w:p w14:paraId="51D70690" w14:textId="77777777" w:rsidR="00D66295" w:rsidRPr="00E92EDB" w:rsidRDefault="00D66295" w:rsidP="00E92EDB">
            <w:pPr>
              <w:pStyle w:val="Tabletext1"/>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E92EDB">
              <w:rPr>
                <w:rFonts w:ascii="Arial Narrow" w:hAnsi="Arial Narrow"/>
                <w:szCs w:val="20"/>
              </w:rPr>
              <w:t>Excluding outlier</w:t>
            </w:r>
          </w:p>
        </w:tc>
        <w:tc>
          <w:tcPr>
            <w:tcW w:w="1354" w:type="dxa"/>
            <w:shd w:val="clear" w:color="auto" w:fill="E7E6E6" w:themeFill="background2"/>
          </w:tcPr>
          <w:p w14:paraId="41239482" w14:textId="77777777" w:rsidR="00D66295" w:rsidRPr="00E92EDB" w:rsidRDefault="00D66295" w:rsidP="00E92EDB">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i/>
                <w:szCs w:val="20"/>
              </w:rPr>
            </w:pPr>
          </w:p>
        </w:tc>
        <w:tc>
          <w:tcPr>
            <w:tcW w:w="1276" w:type="dxa"/>
            <w:shd w:val="clear" w:color="auto" w:fill="E7E6E6" w:themeFill="background2"/>
          </w:tcPr>
          <w:p w14:paraId="0D052309" w14:textId="77777777" w:rsidR="00D66295" w:rsidRPr="00E92EDB" w:rsidRDefault="00D66295" w:rsidP="00E92EDB">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E92EDB">
              <w:rPr>
                <w:rFonts w:ascii="Arial Narrow" w:hAnsi="Arial Narrow"/>
                <w:szCs w:val="20"/>
              </w:rPr>
              <w:t>$1,045</w:t>
            </w:r>
          </w:p>
        </w:tc>
        <w:tc>
          <w:tcPr>
            <w:tcW w:w="1276" w:type="dxa"/>
            <w:shd w:val="clear" w:color="auto" w:fill="E7E6E6" w:themeFill="background2"/>
          </w:tcPr>
          <w:p w14:paraId="191DC1A6" w14:textId="77777777" w:rsidR="00D66295" w:rsidRPr="00E92EDB" w:rsidRDefault="00D66295" w:rsidP="00E92EDB">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i/>
                <w:szCs w:val="20"/>
              </w:rPr>
            </w:pPr>
          </w:p>
        </w:tc>
        <w:tc>
          <w:tcPr>
            <w:tcW w:w="1260" w:type="dxa"/>
            <w:shd w:val="clear" w:color="auto" w:fill="E7E6E6" w:themeFill="background2"/>
          </w:tcPr>
          <w:p w14:paraId="259ACBAE" w14:textId="77777777" w:rsidR="00D66295" w:rsidRPr="00E92EDB" w:rsidRDefault="00D66295" w:rsidP="00E92EDB">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E92EDB">
              <w:rPr>
                <w:rFonts w:ascii="Arial Narrow" w:hAnsi="Arial Narrow"/>
                <w:szCs w:val="20"/>
              </w:rPr>
              <w:t>$623</w:t>
            </w:r>
          </w:p>
        </w:tc>
        <w:tc>
          <w:tcPr>
            <w:tcW w:w="1240" w:type="dxa"/>
            <w:shd w:val="clear" w:color="auto" w:fill="E7E6E6" w:themeFill="background2"/>
          </w:tcPr>
          <w:p w14:paraId="3E84ABE7" w14:textId="77777777" w:rsidR="00D66295" w:rsidRPr="00E92EDB" w:rsidRDefault="00D66295" w:rsidP="00E92EDB">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E92EDB">
              <w:rPr>
                <w:rFonts w:ascii="Arial Narrow" w:hAnsi="Arial Narrow"/>
                <w:szCs w:val="20"/>
              </w:rPr>
              <w:t>$422</w:t>
            </w:r>
          </w:p>
        </w:tc>
      </w:tr>
      <w:tr w:rsidR="00D66295" w:rsidRPr="00E92EDB" w14:paraId="5947B259" w14:textId="77777777" w:rsidTr="00E92EDB">
        <w:tc>
          <w:tcPr>
            <w:cnfStyle w:val="001000000000" w:firstRow="0" w:lastRow="0" w:firstColumn="1" w:lastColumn="0" w:oddVBand="0" w:evenVBand="0" w:oddHBand="0" w:evenHBand="0" w:firstRowFirstColumn="0" w:firstRowLastColumn="0" w:lastRowFirstColumn="0" w:lastRowLastColumn="0"/>
            <w:tcW w:w="1129" w:type="dxa"/>
          </w:tcPr>
          <w:p w14:paraId="212B684D" w14:textId="77777777" w:rsidR="00D66295" w:rsidRPr="00E92EDB" w:rsidRDefault="00D66295" w:rsidP="00E92EDB">
            <w:pPr>
              <w:pStyle w:val="Tabletext1"/>
              <w:rPr>
                <w:rFonts w:ascii="Arial Narrow" w:hAnsi="Arial Narrow"/>
                <w:szCs w:val="20"/>
              </w:rPr>
            </w:pPr>
            <w:r w:rsidRPr="00E92EDB">
              <w:rPr>
                <w:rFonts w:ascii="Arial Narrow" w:hAnsi="Arial Narrow"/>
                <w:szCs w:val="20"/>
              </w:rPr>
              <w:lastRenderedPageBreak/>
              <w:t>Total Tas Health</w:t>
            </w:r>
          </w:p>
        </w:tc>
        <w:tc>
          <w:tcPr>
            <w:tcW w:w="1481" w:type="dxa"/>
          </w:tcPr>
          <w:p w14:paraId="194D1F74" w14:textId="77777777" w:rsidR="00D66295" w:rsidRPr="00E92EDB" w:rsidRDefault="00D66295" w:rsidP="00E92EDB">
            <w:pPr>
              <w:pStyle w:val="Tabletext1"/>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E92EDB">
              <w:rPr>
                <w:rFonts w:ascii="Arial Narrow" w:hAnsi="Arial Narrow"/>
                <w:szCs w:val="20"/>
              </w:rPr>
              <w:t>Tas Health IPD</w:t>
            </w:r>
          </w:p>
        </w:tc>
        <w:tc>
          <w:tcPr>
            <w:tcW w:w="1354" w:type="dxa"/>
          </w:tcPr>
          <w:p w14:paraId="3EBC6894" w14:textId="77777777" w:rsidR="00D66295" w:rsidRPr="00E92EDB" w:rsidRDefault="00D66295" w:rsidP="00E92EDB">
            <w:pPr>
              <w:pStyle w:val="Tabletext1"/>
              <w:jc w:val="right"/>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p>
        </w:tc>
        <w:tc>
          <w:tcPr>
            <w:tcW w:w="1276" w:type="dxa"/>
          </w:tcPr>
          <w:p w14:paraId="5D04BB86" w14:textId="77777777" w:rsidR="00D66295" w:rsidRPr="00E92EDB" w:rsidRDefault="00D66295" w:rsidP="00E92EDB">
            <w:pPr>
              <w:pStyle w:val="Tabletext1"/>
              <w:jc w:val="right"/>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E92EDB">
              <w:rPr>
                <w:rFonts w:ascii="Arial Narrow" w:hAnsi="Arial Narrow"/>
                <w:szCs w:val="20"/>
              </w:rPr>
              <w:t>$140,027</w:t>
            </w:r>
          </w:p>
        </w:tc>
        <w:tc>
          <w:tcPr>
            <w:tcW w:w="1276" w:type="dxa"/>
          </w:tcPr>
          <w:p w14:paraId="199AE1A4" w14:textId="77777777" w:rsidR="00D66295" w:rsidRPr="00E92EDB" w:rsidRDefault="00D66295" w:rsidP="00E92EDB">
            <w:pPr>
              <w:pStyle w:val="Tabletext1"/>
              <w:jc w:val="right"/>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p>
        </w:tc>
        <w:tc>
          <w:tcPr>
            <w:tcW w:w="1260" w:type="dxa"/>
          </w:tcPr>
          <w:p w14:paraId="65CF21E0" w14:textId="77777777" w:rsidR="00D66295" w:rsidRPr="00E92EDB" w:rsidRDefault="00D66295" w:rsidP="00E92EDB">
            <w:pPr>
              <w:pStyle w:val="Tabletext1"/>
              <w:jc w:val="right"/>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E92EDB">
              <w:rPr>
                <w:rFonts w:ascii="Arial Narrow" w:hAnsi="Arial Narrow"/>
                <w:szCs w:val="20"/>
              </w:rPr>
              <w:t>$29,521</w:t>
            </w:r>
          </w:p>
        </w:tc>
        <w:tc>
          <w:tcPr>
            <w:tcW w:w="1240" w:type="dxa"/>
          </w:tcPr>
          <w:p w14:paraId="56536B49" w14:textId="77777777" w:rsidR="00D66295" w:rsidRPr="00E92EDB" w:rsidRDefault="00D66295" w:rsidP="00E92EDB">
            <w:pPr>
              <w:pStyle w:val="Tabletext1"/>
              <w:jc w:val="right"/>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E92EDB">
              <w:rPr>
                <w:rFonts w:ascii="Arial Narrow" w:hAnsi="Arial Narrow"/>
                <w:szCs w:val="20"/>
              </w:rPr>
              <w:t>$110,506</w:t>
            </w:r>
          </w:p>
        </w:tc>
      </w:tr>
      <w:tr w:rsidR="00D66295" w:rsidRPr="00E92EDB" w14:paraId="581672CE" w14:textId="77777777" w:rsidTr="00E92E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2E91F093" w14:textId="18A8D9D5" w:rsidR="00D66295" w:rsidRPr="00E92EDB" w:rsidRDefault="00D66295" w:rsidP="00E92EDB">
            <w:pPr>
              <w:pStyle w:val="Tabletext1"/>
              <w:rPr>
                <w:rFonts w:ascii="Arial Narrow" w:hAnsi="Arial Narrow" w:cstheme="minorHAnsi"/>
                <w:color w:val="FFFFFF" w:themeColor="background1"/>
                <w:szCs w:val="20"/>
              </w:rPr>
            </w:pPr>
          </w:p>
        </w:tc>
        <w:tc>
          <w:tcPr>
            <w:tcW w:w="1481" w:type="dxa"/>
          </w:tcPr>
          <w:p w14:paraId="2FC714FD" w14:textId="77777777" w:rsidR="00D66295" w:rsidRPr="00E92EDB" w:rsidRDefault="00D66295" w:rsidP="00E92EDB">
            <w:pPr>
              <w:pStyle w:val="Tabletext1"/>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E92EDB">
              <w:rPr>
                <w:rFonts w:ascii="Arial Narrow" w:hAnsi="Arial Narrow"/>
                <w:szCs w:val="20"/>
              </w:rPr>
              <w:t>Tas Health OPD</w:t>
            </w:r>
          </w:p>
        </w:tc>
        <w:tc>
          <w:tcPr>
            <w:tcW w:w="1354" w:type="dxa"/>
          </w:tcPr>
          <w:p w14:paraId="037D02BC" w14:textId="77777777" w:rsidR="00D66295" w:rsidRPr="00E92EDB" w:rsidRDefault="00D66295" w:rsidP="00E92EDB">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p>
        </w:tc>
        <w:tc>
          <w:tcPr>
            <w:tcW w:w="1276" w:type="dxa"/>
          </w:tcPr>
          <w:p w14:paraId="6DDE8B16" w14:textId="77777777" w:rsidR="00D66295" w:rsidRPr="00E92EDB" w:rsidRDefault="00D66295" w:rsidP="00E92EDB">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E92EDB">
              <w:rPr>
                <w:rFonts w:ascii="Arial Narrow" w:hAnsi="Arial Narrow"/>
                <w:szCs w:val="20"/>
              </w:rPr>
              <w:t>$10,379</w:t>
            </w:r>
          </w:p>
        </w:tc>
        <w:tc>
          <w:tcPr>
            <w:tcW w:w="1276" w:type="dxa"/>
          </w:tcPr>
          <w:p w14:paraId="0D8AABF4" w14:textId="77777777" w:rsidR="00D66295" w:rsidRPr="00E92EDB" w:rsidRDefault="00D66295" w:rsidP="00E92EDB">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p>
        </w:tc>
        <w:tc>
          <w:tcPr>
            <w:tcW w:w="1260" w:type="dxa"/>
          </w:tcPr>
          <w:p w14:paraId="1BF364EB" w14:textId="77777777" w:rsidR="00D66295" w:rsidRPr="00E92EDB" w:rsidRDefault="00D66295" w:rsidP="00E92EDB">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E92EDB">
              <w:rPr>
                <w:rFonts w:ascii="Arial Narrow" w:hAnsi="Arial Narrow"/>
                <w:szCs w:val="20"/>
              </w:rPr>
              <w:t>$2,350</w:t>
            </w:r>
          </w:p>
        </w:tc>
        <w:tc>
          <w:tcPr>
            <w:tcW w:w="1240" w:type="dxa"/>
          </w:tcPr>
          <w:p w14:paraId="63734477" w14:textId="77777777" w:rsidR="00D66295" w:rsidRPr="00E92EDB" w:rsidRDefault="00D66295" w:rsidP="00E92EDB">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E92EDB">
              <w:rPr>
                <w:rFonts w:ascii="Arial Narrow" w:hAnsi="Arial Narrow"/>
                <w:szCs w:val="20"/>
              </w:rPr>
              <w:t>$8,029</w:t>
            </w:r>
          </w:p>
        </w:tc>
      </w:tr>
      <w:tr w:rsidR="00D66295" w:rsidRPr="00E92EDB" w14:paraId="1B930733" w14:textId="77777777" w:rsidTr="00E92EDB">
        <w:tc>
          <w:tcPr>
            <w:cnfStyle w:val="001000000000" w:firstRow="0" w:lastRow="0" w:firstColumn="1" w:lastColumn="0" w:oddVBand="0" w:evenVBand="0" w:oddHBand="0" w:evenHBand="0" w:firstRowFirstColumn="0" w:firstRowLastColumn="0" w:lastRowFirstColumn="0" w:lastRowLastColumn="0"/>
            <w:tcW w:w="1129" w:type="dxa"/>
          </w:tcPr>
          <w:p w14:paraId="703F200D" w14:textId="58AF96CD" w:rsidR="00D66295" w:rsidRPr="00E92EDB" w:rsidRDefault="00D66295" w:rsidP="00E92EDB">
            <w:pPr>
              <w:pStyle w:val="Tabletext1"/>
              <w:rPr>
                <w:rFonts w:ascii="Arial Narrow" w:hAnsi="Arial Narrow" w:cstheme="minorHAnsi"/>
                <w:color w:val="FFFFFF" w:themeColor="background1"/>
                <w:szCs w:val="20"/>
              </w:rPr>
            </w:pPr>
          </w:p>
        </w:tc>
        <w:tc>
          <w:tcPr>
            <w:tcW w:w="1481" w:type="dxa"/>
          </w:tcPr>
          <w:p w14:paraId="40BD7D0C" w14:textId="77777777" w:rsidR="00D66295" w:rsidRPr="00E92EDB" w:rsidRDefault="00D66295" w:rsidP="00E92EDB">
            <w:pPr>
              <w:pStyle w:val="Tabletext1"/>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E92EDB">
              <w:rPr>
                <w:rFonts w:ascii="Arial Narrow" w:hAnsi="Arial Narrow"/>
                <w:szCs w:val="20"/>
              </w:rPr>
              <w:t>Per trial arm</w:t>
            </w:r>
          </w:p>
        </w:tc>
        <w:tc>
          <w:tcPr>
            <w:tcW w:w="1354" w:type="dxa"/>
          </w:tcPr>
          <w:p w14:paraId="4073059C" w14:textId="77777777" w:rsidR="00D66295" w:rsidRPr="00E92EDB" w:rsidRDefault="00D66295" w:rsidP="00E92EDB">
            <w:pPr>
              <w:pStyle w:val="Tabletext1"/>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Cs w:val="20"/>
              </w:rPr>
            </w:pPr>
          </w:p>
        </w:tc>
        <w:tc>
          <w:tcPr>
            <w:tcW w:w="1276" w:type="dxa"/>
          </w:tcPr>
          <w:p w14:paraId="17AAF9C1" w14:textId="77777777" w:rsidR="00D66295" w:rsidRPr="00E92EDB" w:rsidRDefault="00D66295" w:rsidP="00E92EDB">
            <w:pPr>
              <w:pStyle w:val="Tabletext1"/>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Cs w:val="20"/>
              </w:rPr>
            </w:pPr>
            <w:r w:rsidRPr="00E92EDB">
              <w:rPr>
                <w:rFonts w:ascii="Arial Narrow" w:hAnsi="Arial Narrow"/>
                <w:b/>
                <w:bCs/>
                <w:szCs w:val="20"/>
              </w:rPr>
              <w:t>$150,407</w:t>
            </w:r>
          </w:p>
        </w:tc>
        <w:tc>
          <w:tcPr>
            <w:tcW w:w="1276" w:type="dxa"/>
          </w:tcPr>
          <w:p w14:paraId="153C30EA" w14:textId="77777777" w:rsidR="00D66295" w:rsidRPr="00E92EDB" w:rsidRDefault="00D66295" w:rsidP="00E92EDB">
            <w:pPr>
              <w:pStyle w:val="Tabletext1"/>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Cs w:val="20"/>
              </w:rPr>
            </w:pPr>
          </w:p>
        </w:tc>
        <w:tc>
          <w:tcPr>
            <w:tcW w:w="1260" w:type="dxa"/>
          </w:tcPr>
          <w:p w14:paraId="412D45A4" w14:textId="77777777" w:rsidR="00D66295" w:rsidRPr="00E92EDB" w:rsidRDefault="00D66295" w:rsidP="00E92EDB">
            <w:pPr>
              <w:pStyle w:val="Tabletext1"/>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Cs w:val="20"/>
              </w:rPr>
            </w:pPr>
            <w:r w:rsidRPr="00E92EDB">
              <w:rPr>
                <w:rFonts w:ascii="Arial Narrow" w:hAnsi="Arial Narrow"/>
                <w:b/>
                <w:bCs/>
                <w:szCs w:val="20"/>
              </w:rPr>
              <w:t>$31,871</w:t>
            </w:r>
          </w:p>
        </w:tc>
        <w:tc>
          <w:tcPr>
            <w:tcW w:w="1240" w:type="dxa"/>
          </w:tcPr>
          <w:p w14:paraId="00D58D1B" w14:textId="77777777" w:rsidR="00D66295" w:rsidRPr="00E92EDB" w:rsidRDefault="00D66295" w:rsidP="00E92EDB">
            <w:pPr>
              <w:pStyle w:val="Tabletext1"/>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Cs w:val="20"/>
              </w:rPr>
            </w:pPr>
            <w:r w:rsidRPr="00E92EDB">
              <w:rPr>
                <w:rFonts w:ascii="Arial Narrow" w:hAnsi="Arial Narrow"/>
                <w:b/>
                <w:bCs/>
                <w:szCs w:val="20"/>
              </w:rPr>
              <w:t>$118,535</w:t>
            </w:r>
          </w:p>
        </w:tc>
      </w:tr>
      <w:tr w:rsidR="00D66295" w:rsidRPr="00E92EDB" w14:paraId="50B27D44" w14:textId="77777777" w:rsidTr="00E92E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7287E074" w14:textId="633922E4" w:rsidR="00D66295" w:rsidRPr="00E92EDB" w:rsidRDefault="00D66295" w:rsidP="00E92EDB">
            <w:pPr>
              <w:pStyle w:val="Tabletext1"/>
              <w:rPr>
                <w:rFonts w:ascii="Arial Narrow" w:hAnsi="Arial Narrow"/>
                <w:color w:val="FFFFFF" w:themeColor="background1"/>
                <w:szCs w:val="20"/>
              </w:rPr>
            </w:pPr>
          </w:p>
        </w:tc>
        <w:tc>
          <w:tcPr>
            <w:tcW w:w="1481" w:type="dxa"/>
          </w:tcPr>
          <w:p w14:paraId="61BABEEF" w14:textId="77777777" w:rsidR="00D66295" w:rsidRPr="00E92EDB" w:rsidRDefault="00D66295" w:rsidP="00E92EDB">
            <w:pPr>
              <w:pStyle w:val="Tabletext1"/>
              <w:cnfStyle w:val="000000100000" w:firstRow="0" w:lastRow="0" w:firstColumn="0" w:lastColumn="0" w:oddVBand="0" w:evenVBand="0" w:oddHBand="1" w:evenHBand="0" w:firstRowFirstColumn="0" w:firstRowLastColumn="0" w:lastRowFirstColumn="0" w:lastRowLastColumn="0"/>
              <w:rPr>
                <w:rFonts w:ascii="Arial Narrow" w:hAnsi="Arial Narrow" w:cstheme="minorHAnsi"/>
                <w:szCs w:val="20"/>
              </w:rPr>
            </w:pPr>
            <w:r w:rsidRPr="00E92EDB">
              <w:rPr>
                <w:rFonts w:ascii="Arial Narrow" w:hAnsi="Arial Narrow"/>
                <w:szCs w:val="20"/>
              </w:rPr>
              <w:t>Av cost per person</w:t>
            </w:r>
          </w:p>
        </w:tc>
        <w:tc>
          <w:tcPr>
            <w:tcW w:w="1354" w:type="dxa"/>
          </w:tcPr>
          <w:p w14:paraId="543BB190" w14:textId="77777777" w:rsidR="00D66295" w:rsidRPr="00E92EDB" w:rsidRDefault="00D66295" w:rsidP="00E92EDB">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Cs w:val="20"/>
              </w:rPr>
            </w:pPr>
            <w:r w:rsidRPr="00E92EDB">
              <w:rPr>
                <w:rFonts w:ascii="Arial Narrow" w:hAnsi="Arial Narrow"/>
                <w:b/>
                <w:bCs/>
                <w:szCs w:val="20"/>
              </w:rPr>
              <w:t>21</w:t>
            </w:r>
          </w:p>
        </w:tc>
        <w:tc>
          <w:tcPr>
            <w:tcW w:w="1276" w:type="dxa"/>
          </w:tcPr>
          <w:p w14:paraId="1117B9E2" w14:textId="77777777" w:rsidR="00D66295" w:rsidRPr="00E92EDB" w:rsidRDefault="00D66295" w:rsidP="00E92EDB">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E92EDB">
              <w:rPr>
                <w:rFonts w:ascii="Arial Narrow" w:hAnsi="Arial Narrow"/>
                <w:szCs w:val="20"/>
              </w:rPr>
              <w:t>$7,162</w:t>
            </w:r>
          </w:p>
        </w:tc>
        <w:tc>
          <w:tcPr>
            <w:tcW w:w="1276" w:type="dxa"/>
          </w:tcPr>
          <w:p w14:paraId="5642BB0A" w14:textId="77777777" w:rsidR="00D66295" w:rsidRPr="00E92EDB" w:rsidRDefault="00D66295" w:rsidP="00E92EDB">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E92EDB">
              <w:rPr>
                <w:rFonts w:ascii="Arial Narrow" w:hAnsi="Arial Narrow"/>
                <w:szCs w:val="20"/>
              </w:rPr>
              <w:t>18</w:t>
            </w:r>
          </w:p>
        </w:tc>
        <w:tc>
          <w:tcPr>
            <w:tcW w:w="1260" w:type="dxa"/>
          </w:tcPr>
          <w:p w14:paraId="590E415A" w14:textId="77777777" w:rsidR="00D66295" w:rsidRPr="00E92EDB" w:rsidRDefault="00D66295" w:rsidP="00E92EDB">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E92EDB">
              <w:rPr>
                <w:rFonts w:ascii="Arial Narrow" w:hAnsi="Arial Narrow"/>
                <w:szCs w:val="20"/>
              </w:rPr>
              <w:t>$1,771</w:t>
            </w:r>
          </w:p>
        </w:tc>
        <w:tc>
          <w:tcPr>
            <w:tcW w:w="1240" w:type="dxa"/>
          </w:tcPr>
          <w:p w14:paraId="12EE07EB" w14:textId="77777777" w:rsidR="00D66295" w:rsidRPr="00E92EDB" w:rsidRDefault="00D66295" w:rsidP="00E92EDB">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E92EDB">
              <w:rPr>
                <w:rFonts w:ascii="Arial Narrow" w:hAnsi="Arial Narrow"/>
                <w:szCs w:val="20"/>
              </w:rPr>
              <w:t>$5,392</w:t>
            </w:r>
          </w:p>
        </w:tc>
      </w:tr>
      <w:tr w:rsidR="00D66295" w:rsidRPr="00E92EDB" w14:paraId="6D13D7E1" w14:textId="77777777" w:rsidTr="00E92EDB">
        <w:tc>
          <w:tcPr>
            <w:cnfStyle w:val="001000000000" w:firstRow="0" w:lastRow="0" w:firstColumn="1" w:lastColumn="0" w:oddVBand="0" w:evenVBand="0" w:oddHBand="0" w:evenHBand="0" w:firstRowFirstColumn="0" w:firstRowLastColumn="0" w:lastRowFirstColumn="0" w:lastRowLastColumn="0"/>
            <w:tcW w:w="1129" w:type="dxa"/>
          </w:tcPr>
          <w:p w14:paraId="6A7C6AB3" w14:textId="21FC7EAA" w:rsidR="00D66295" w:rsidRPr="00E92EDB" w:rsidRDefault="00D66295" w:rsidP="00E92EDB">
            <w:pPr>
              <w:pStyle w:val="Tabletext1"/>
              <w:rPr>
                <w:rFonts w:ascii="Arial Narrow" w:hAnsi="Arial Narrow"/>
                <w:color w:val="FFFFFF" w:themeColor="background1"/>
                <w:szCs w:val="20"/>
              </w:rPr>
            </w:pPr>
          </w:p>
        </w:tc>
        <w:tc>
          <w:tcPr>
            <w:tcW w:w="1481" w:type="dxa"/>
          </w:tcPr>
          <w:p w14:paraId="42163C6E" w14:textId="77777777" w:rsidR="00D66295" w:rsidRPr="00E92EDB" w:rsidRDefault="00D66295" w:rsidP="00E92EDB">
            <w:pPr>
              <w:pStyle w:val="Tabletext1"/>
              <w:cnfStyle w:val="000000000000" w:firstRow="0" w:lastRow="0" w:firstColumn="0" w:lastColumn="0" w:oddVBand="0" w:evenVBand="0" w:oddHBand="0" w:evenHBand="0" w:firstRowFirstColumn="0" w:firstRowLastColumn="0" w:lastRowFirstColumn="0" w:lastRowLastColumn="0"/>
              <w:rPr>
                <w:rFonts w:ascii="Arial Narrow" w:hAnsi="Arial Narrow" w:cstheme="minorHAnsi"/>
                <w:szCs w:val="20"/>
              </w:rPr>
            </w:pPr>
            <w:r w:rsidRPr="00E92EDB">
              <w:rPr>
                <w:rFonts w:ascii="Arial Narrow" w:hAnsi="Arial Narrow"/>
                <w:szCs w:val="20"/>
              </w:rPr>
              <w:t>Av cost per day</w:t>
            </w:r>
          </w:p>
        </w:tc>
        <w:tc>
          <w:tcPr>
            <w:tcW w:w="1354" w:type="dxa"/>
          </w:tcPr>
          <w:p w14:paraId="6A1914E9" w14:textId="77777777" w:rsidR="00D66295" w:rsidRPr="00E92EDB" w:rsidRDefault="00D66295" w:rsidP="00E92EDB">
            <w:pPr>
              <w:pStyle w:val="Tabletext1"/>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Cs w:val="20"/>
              </w:rPr>
            </w:pPr>
            <w:r w:rsidRPr="00E92EDB">
              <w:rPr>
                <w:rFonts w:ascii="Arial Narrow" w:hAnsi="Arial Narrow"/>
                <w:b/>
                <w:bCs/>
                <w:szCs w:val="20"/>
              </w:rPr>
              <w:t>7,665 days</w:t>
            </w:r>
          </w:p>
        </w:tc>
        <w:tc>
          <w:tcPr>
            <w:tcW w:w="1276" w:type="dxa"/>
          </w:tcPr>
          <w:p w14:paraId="5F441D63" w14:textId="77777777" w:rsidR="00D66295" w:rsidRPr="00E92EDB" w:rsidRDefault="00D66295" w:rsidP="00E92EDB">
            <w:pPr>
              <w:pStyle w:val="Tabletext1"/>
              <w:jc w:val="right"/>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E92EDB">
              <w:rPr>
                <w:rFonts w:ascii="Arial Narrow" w:hAnsi="Arial Narrow"/>
                <w:szCs w:val="20"/>
              </w:rPr>
              <w:t>$19.62</w:t>
            </w:r>
          </w:p>
        </w:tc>
        <w:tc>
          <w:tcPr>
            <w:tcW w:w="1276" w:type="dxa"/>
          </w:tcPr>
          <w:p w14:paraId="53284AA3" w14:textId="77777777" w:rsidR="00D66295" w:rsidRPr="00E92EDB" w:rsidRDefault="00D66295" w:rsidP="00E92EDB">
            <w:pPr>
              <w:pStyle w:val="Tabletext1"/>
              <w:jc w:val="right"/>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E92EDB">
              <w:rPr>
                <w:rFonts w:ascii="Arial Narrow" w:hAnsi="Arial Narrow"/>
                <w:szCs w:val="20"/>
              </w:rPr>
              <w:t>6,570 days</w:t>
            </w:r>
          </w:p>
        </w:tc>
        <w:tc>
          <w:tcPr>
            <w:tcW w:w="1260" w:type="dxa"/>
          </w:tcPr>
          <w:p w14:paraId="4BC429BA" w14:textId="77777777" w:rsidR="00D66295" w:rsidRPr="00E92EDB" w:rsidRDefault="00D66295" w:rsidP="00E92EDB">
            <w:pPr>
              <w:pStyle w:val="Tabletext1"/>
              <w:jc w:val="right"/>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E92EDB">
              <w:rPr>
                <w:rFonts w:ascii="Arial Narrow" w:hAnsi="Arial Narrow"/>
                <w:szCs w:val="20"/>
              </w:rPr>
              <w:t>$4.85</w:t>
            </w:r>
          </w:p>
        </w:tc>
        <w:tc>
          <w:tcPr>
            <w:tcW w:w="1240" w:type="dxa"/>
          </w:tcPr>
          <w:p w14:paraId="3F81AE98" w14:textId="77777777" w:rsidR="00D66295" w:rsidRPr="00E92EDB" w:rsidRDefault="00D66295" w:rsidP="00E92EDB">
            <w:pPr>
              <w:pStyle w:val="Tabletext1"/>
              <w:jc w:val="right"/>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E92EDB">
              <w:rPr>
                <w:rFonts w:ascii="Arial Narrow" w:hAnsi="Arial Narrow"/>
                <w:szCs w:val="20"/>
              </w:rPr>
              <w:t>$14.77</w:t>
            </w:r>
          </w:p>
        </w:tc>
      </w:tr>
      <w:tr w:rsidR="00D66295" w:rsidRPr="00E92EDB" w14:paraId="61434CC9" w14:textId="77777777" w:rsidTr="00E92E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E7E6E6" w:themeFill="background2"/>
          </w:tcPr>
          <w:p w14:paraId="2D4DCAB3" w14:textId="6E940091" w:rsidR="00D66295" w:rsidRPr="00E92EDB" w:rsidRDefault="00D66295" w:rsidP="00E92EDB">
            <w:pPr>
              <w:pStyle w:val="Tabletext1"/>
              <w:rPr>
                <w:rFonts w:ascii="Arial Narrow" w:hAnsi="Arial Narrow"/>
                <w:color w:val="F2F2F2" w:themeColor="background1" w:themeShade="F2"/>
                <w:szCs w:val="20"/>
              </w:rPr>
            </w:pPr>
          </w:p>
        </w:tc>
        <w:tc>
          <w:tcPr>
            <w:tcW w:w="1481" w:type="dxa"/>
            <w:shd w:val="clear" w:color="auto" w:fill="E7E6E6" w:themeFill="background2"/>
          </w:tcPr>
          <w:p w14:paraId="1C660787" w14:textId="77777777" w:rsidR="00D66295" w:rsidRPr="00E92EDB" w:rsidRDefault="00D66295" w:rsidP="00E92EDB">
            <w:pPr>
              <w:pStyle w:val="Tabletext1"/>
              <w:cnfStyle w:val="000000100000" w:firstRow="0" w:lastRow="0" w:firstColumn="0" w:lastColumn="0" w:oddVBand="0" w:evenVBand="0" w:oddHBand="1" w:evenHBand="0" w:firstRowFirstColumn="0" w:firstRowLastColumn="0" w:lastRowFirstColumn="0" w:lastRowLastColumn="0"/>
              <w:rPr>
                <w:rFonts w:ascii="Arial Narrow" w:hAnsi="Arial Narrow" w:cstheme="minorHAnsi"/>
                <w:szCs w:val="20"/>
              </w:rPr>
            </w:pPr>
            <w:r w:rsidRPr="00E92EDB">
              <w:rPr>
                <w:rFonts w:ascii="Arial Narrow" w:hAnsi="Arial Narrow"/>
                <w:szCs w:val="20"/>
              </w:rPr>
              <w:t>Av cost per year (adj)</w:t>
            </w:r>
          </w:p>
        </w:tc>
        <w:tc>
          <w:tcPr>
            <w:tcW w:w="1354" w:type="dxa"/>
            <w:shd w:val="clear" w:color="auto" w:fill="E7E6E6" w:themeFill="background2"/>
          </w:tcPr>
          <w:p w14:paraId="113B78FF" w14:textId="77777777" w:rsidR="00D66295" w:rsidRPr="00E92EDB" w:rsidRDefault="00D66295" w:rsidP="00E92EDB">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Cs w:val="20"/>
              </w:rPr>
            </w:pPr>
          </w:p>
        </w:tc>
        <w:tc>
          <w:tcPr>
            <w:tcW w:w="1276" w:type="dxa"/>
            <w:shd w:val="clear" w:color="auto" w:fill="E7E6E6" w:themeFill="background2"/>
          </w:tcPr>
          <w:p w14:paraId="319D95E5" w14:textId="77777777" w:rsidR="00D66295" w:rsidRPr="00E92EDB" w:rsidRDefault="00D66295" w:rsidP="00E92EDB">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Cs w:val="20"/>
              </w:rPr>
            </w:pPr>
            <w:r w:rsidRPr="00E92EDB">
              <w:rPr>
                <w:rFonts w:ascii="Arial Narrow" w:hAnsi="Arial Narrow"/>
                <w:b/>
                <w:bCs/>
                <w:szCs w:val="20"/>
              </w:rPr>
              <w:t>$7,162</w:t>
            </w:r>
          </w:p>
        </w:tc>
        <w:tc>
          <w:tcPr>
            <w:tcW w:w="1276" w:type="dxa"/>
            <w:shd w:val="clear" w:color="auto" w:fill="E7E6E6" w:themeFill="background2"/>
          </w:tcPr>
          <w:p w14:paraId="058C4212" w14:textId="77777777" w:rsidR="00D66295" w:rsidRPr="00E92EDB" w:rsidRDefault="00D66295" w:rsidP="00E92EDB">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Cs w:val="20"/>
              </w:rPr>
            </w:pPr>
          </w:p>
        </w:tc>
        <w:tc>
          <w:tcPr>
            <w:tcW w:w="1260" w:type="dxa"/>
            <w:shd w:val="clear" w:color="auto" w:fill="E7E6E6" w:themeFill="background2"/>
          </w:tcPr>
          <w:p w14:paraId="70CF51C7" w14:textId="77777777" w:rsidR="00D66295" w:rsidRPr="00E92EDB" w:rsidRDefault="00D66295" w:rsidP="00E92EDB">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Cs w:val="20"/>
              </w:rPr>
            </w:pPr>
            <w:r w:rsidRPr="00E92EDB">
              <w:rPr>
                <w:rFonts w:ascii="Arial Narrow" w:hAnsi="Arial Narrow"/>
                <w:b/>
                <w:bCs/>
                <w:szCs w:val="20"/>
              </w:rPr>
              <w:t>$1,771</w:t>
            </w:r>
          </w:p>
        </w:tc>
        <w:tc>
          <w:tcPr>
            <w:tcW w:w="1240" w:type="dxa"/>
            <w:shd w:val="clear" w:color="auto" w:fill="E7E6E6" w:themeFill="background2"/>
          </w:tcPr>
          <w:p w14:paraId="5C8123B2" w14:textId="77777777" w:rsidR="00D66295" w:rsidRPr="00E92EDB" w:rsidRDefault="00D66295" w:rsidP="00E92EDB">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Cs w:val="20"/>
              </w:rPr>
            </w:pPr>
            <w:r w:rsidRPr="00E92EDB">
              <w:rPr>
                <w:rFonts w:ascii="Arial Narrow" w:hAnsi="Arial Narrow"/>
                <w:b/>
                <w:bCs/>
                <w:szCs w:val="20"/>
              </w:rPr>
              <w:t>$5,392</w:t>
            </w:r>
          </w:p>
        </w:tc>
      </w:tr>
      <w:tr w:rsidR="00D66295" w:rsidRPr="00E92EDB" w14:paraId="08856BF6" w14:textId="77777777" w:rsidTr="00E92EDB">
        <w:tc>
          <w:tcPr>
            <w:cnfStyle w:val="001000000000" w:firstRow="0" w:lastRow="0" w:firstColumn="1" w:lastColumn="0" w:oddVBand="0" w:evenVBand="0" w:oddHBand="0" w:evenHBand="0" w:firstRowFirstColumn="0" w:firstRowLastColumn="0" w:lastRowFirstColumn="0" w:lastRowLastColumn="0"/>
            <w:tcW w:w="1129" w:type="dxa"/>
          </w:tcPr>
          <w:p w14:paraId="6DE5B526" w14:textId="77777777" w:rsidR="00D66295" w:rsidRPr="00E92EDB" w:rsidRDefault="00D66295" w:rsidP="00E92EDB">
            <w:pPr>
              <w:pStyle w:val="Tabletext1"/>
              <w:rPr>
                <w:rFonts w:ascii="Arial Narrow" w:hAnsi="Arial Narrow"/>
                <w:szCs w:val="20"/>
              </w:rPr>
            </w:pPr>
            <w:r w:rsidRPr="00E92EDB">
              <w:rPr>
                <w:rFonts w:ascii="Arial Narrow" w:hAnsi="Arial Narrow"/>
                <w:szCs w:val="20"/>
              </w:rPr>
              <w:t>Pooled SA and Tas hospital data</w:t>
            </w:r>
          </w:p>
        </w:tc>
        <w:tc>
          <w:tcPr>
            <w:tcW w:w="1481" w:type="dxa"/>
          </w:tcPr>
          <w:p w14:paraId="206375DB" w14:textId="77777777" w:rsidR="00D66295" w:rsidRPr="00E92EDB" w:rsidRDefault="00D66295" w:rsidP="00E92EDB">
            <w:pPr>
              <w:pStyle w:val="Tabletext1"/>
              <w:cnfStyle w:val="000000000000" w:firstRow="0" w:lastRow="0" w:firstColumn="0" w:lastColumn="0" w:oddVBand="0" w:evenVBand="0" w:oddHBand="0" w:evenHBand="0" w:firstRowFirstColumn="0" w:firstRowLastColumn="0" w:lastRowFirstColumn="0" w:lastRowLastColumn="0"/>
              <w:rPr>
                <w:rFonts w:ascii="Arial Narrow" w:hAnsi="Arial Narrow"/>
                <w:b/>
                <w:bCs/>
                <w:szCs w:val="20"/>
              </w:rPr>
            </w:pPr>
            <w:r w:rsidRPr="00E92EDB">
              <w:rPr>
                <w:rFonts w:ascii="Arial Narrow" w:hAnsi="Arial Narrow"/>
                <w:b/>
                <w:bCs/>
                <w:szCs w:val="20"/>
              </w:rPr>
              <w:t>Total costs for arm</w:t>
            </w:r>
          </w:p>
        </w:tc>
        <w:tc>
          <w:tcPr>
            <w:tcW w:w="1354" w:type="dxa"/>
          </w:tcPr>
          <w:p w14:paraId="22AD2090" w14:textId="77777777" w:rsidR="00D66295" w:rsidRPr="00E92EDB" w:rsidRDefault="00D66295" w:rsidP="00E92EDB">
            <w:pPr>
              <w:pStyle w:val="Tabletext1"/>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Cs w:val="20"/>
              </w:rPr>
            </w:pPr>
          </w:p>
        </w:tc>
        <w:tc>
          <w:tcPr>
            <w:tcW w:w="1276" w:type="dxa"/>
          </w:tcPr>
          <w:p w14:paraId="66C6EB28" w14:textId="77777777" w:rsidR="00D66295" w:rsidRPr="00E92EDB" w:rsidRDefault="00D66295" w:rsidP="00E92EDB">
            <w:pPr>
              <w:pStyle w:val="Tabletext1"/>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Cs w:val="20"/>
              </w:rPr>
            </w:pPr>
            <w:r w:rsidRPr="00E92EDB">
              <w:rPr>
                <w:rFonts w:ascii="Arial Narrow" w:hAnsi="Arial Narrow"/>
                <w:b/>
                <w:bCs/>
                <w:szCs w:val="20"/>
              </w:rPr>
              <w:t>$304,161</w:t>
            </w:r>
          </w:p>
        </w:tc>
        <w:tc>
          <w:tcPr>
            <w:tcW w:w="1276" w:type="dxa"/>
          </w:tcPr>
          <w:p w14:paraId="78385C3B" w14:textId="77777777" w:rsidR="00D66295" w:rsidRPr="00E92EDB" w:rsidRDefault="00D66295" w:rsidP="00E92EDB">
            <w:pPr>
              <w:pStyle w:val="Tabletext1"/>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Cs w:val="20"/>
              </w:rPr>
            </w:pPr>
          </w:p>
        </w:tc>
        <w:tc>
          <w:tcPr>
            <w:tcW w:w="1260" w:type="dxa"/>
          </w:tcPr>
          <w:p w14:paraId="2537498F" w14:textId="77777777" w:rsidR="00D66295" w:rsidRPr="00E92EDB" w:rsidRDefault="00D66295" w:rsidP="00E92EDB">
            <w:pPr>
              <w:pStyle w:val="Tabletext1"/>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Cs w:val="20"/>
              </w:rPr>
            </w:pPr>
            <w:r w:rsidRPr="00E92EDB">
              <w:rPr>
                <w:rFonts w:ascii="Arial Narrow" w:hAnsi="Arial Narrow"/>
                <w:b/>
                <w:bCs/>
                <w:szCs w:val="20"/>
              </w:rPr>
              <w:t>$85,806</w:t>
            </w:r>
          </w:p>
        </w:tc>
        <w:tc>
          <w:tcPr>
            <w:tcW w:w="1240" w:type="dxa"/>
          </w:tcPr>
          <w:p w14:paraId="550DABD2" w14:textId="77777777" w:rsidR="00D66295" w:rsidRPr="00E92EDB" w:rsidRDefault="00D66295" w:rsidP="00E92EDB">
            <w:pPr>
              <w:pStyle w:val="Tabletext1"/>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Cs w:val="20"/>
              </w:rPr>
            </w:pPr>
            <w:r w:rsidRPr="00E92EDB">
              <w:rPr>
                <w:rFonts w:ascii="Arial Narrow" w:hAnsi="Arial Narrow"/>
                <w:b/>
                <w:bCs/>
                <w:szCs w:val="20"/>
              </w:rPr>
              <w:t>$218,355</w:t>
            </w:r>
          </w:p>
        </w:tc>
      </w:tr>
      <w:tr w:rsidR="00D66295" w:rsidRPr="00E92EDB" w14:paraId="19FA8996" w14:textId="77777777" w:rsidTr="00E92E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018B7996" w14:textId="45CABB7E" w:rsidR="00D66295" w:rsidRPr="00E92EDB" w:rsidRDefault="00D66295" w:rsidP="00E92EDB">
            <w:pPr>
              <w:pStyle w:val="Tabletext1"/>
              <w:rPr>
                <w:rFonts w:ascii="Arial Narrow" w:hAnsi="Arial Narrow"/>
                <w:color w:val="FFFFFF" w:themeColor="background1"/>
                <w:szCs w:val="20"/>
              </w:rPr>
            </w:pPr>
          </w:p>
        </w:tc>
        <w:tc>
          <w:tcPr>
            <w:tcW w:w="1481" w:type="dxa"/>
          </w:tcPr>
          <w:p w14:paraId="5EC43254" w14:textId="77777777" w:rsidR="00D66295" w:rsidRPr="00E92EDB" w:rsidRDefault="00D66295" w:rsidP="00E92EDB">
            <w:pPr>
              <w:pStyle w:val="Tabletext1"/>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E92EDB">
              <w:rPr>
                <w:rFonts w:ascii="Arial Narrow" w:hAnsi="Arial Narrow"/>
                <w:szCs w:val="20"/>
              </w:rPr>
              <w:t>Av cost per person</w:t>
            </w:r>
          </w:p>
        </w:tc>
        <w:tc>
          <w:tcPr>
            <w:tcW w:w="1354" w:type="dxa"/>
          </w:tcPr>
          <w:p w14:paraId="27CB9B42" w14:textId="77777777" w:rsidR="00D66295" w:rsidRPr="00E92EDB" w:rsidRDefault="00D66295" w:rsidP="00E92EDB">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E92EDB">
              <w:rPr>
                <w:rFonts w:ascii="Arial Narrow" w:hAnsi="Arial Narrow"/>
                <w:szCs w:val="20"/>
              </w:rPr>
              <w:t>100</w:t>
            </w:r>
          </w:p>
        </w:tc>
        <w:tc>
          <w:tcPr>
            <w:tcW w:w="1276" w:type="dxa"/>
          </w:tcPr>
          <w:p w14:paraId="490FF0A4" w14:textId="77777777" w:rsidR="00D66295" w:rsidRPr="00E92EDB" w:rsidRDefault="00D66295" w:rsidP="00E92EDB">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E92EDB">
              <w:rPr>
                <w:rFonts w:ascii="Arial Narrow" w:hAnsi="Arial Narrow"/>
                <w:szCs w:val="20"/>
              </w:rPr>
              <w:t>$3,042</w:t>
            </w:r>
          </w:p>
        </w:tc>
        <w:tc>
          <w:tcPr>
            <w:tcW w:w="1276" w:type="dxa"/>
          </w:tcPr>
          <w:p w14:paraId="038FB03A" w14:textId="77777777" w:rsidR="00D66295" w:rsidRPr="00E92EDB" w:rsidRDefault="00D66295" w:rsidP="00E92EDB">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E92EDB">
              <w:rPr>
                <w:rFonts w:ascii="Arial Narrow" w:hAnsi="Arial Narrow"/>
                <w:szCs w:val="20"/>
              </w:rPr>
              <w:t>109</w:t>
            </w:r>
          </w:p>
        </w:tc>
        <w:tc>
          <w:tcPr>
            <w:tcW w:w="1260" w:type="dxa"/>
          </w:tcPr>
          <w:p w14:paraId="3A686315" w14:textId="77777777" w:rsidR="00D66295" w:rsidRPr="00E92EDB" w:rsidRDefault="00D66295" w:rsidP="00E92EDB">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E92EDB">
              <w:rPr>
                <w:rFonts w:ascii="Arial Narrow" w:hAnsi="Arial Narrow"/>
                <w:szCs w:val="20"/>
              </w:rPr>
              <w:t>$787</w:t>
            </w:r>
          </w:p>
        </w:tc>
        <w:tc>
          <w:tcPr>
            <w:tcW w:w="1240" w:type="dxa"/>
          </w:tcPr>
          <w:p w14:paraId="51ADF771" w14:textId="77777777" w:rsidR="00D66295" w:rsidRPr="00E92EDB" w:rsidRDefault="00D66295" w:rsidP="00E92EDB">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E92EDB">
              <w:rPr>
                <w:rFonts w:ascii="Arial Narrow" w:hAnsi="Arial Narrow"/>
                <w:szCs w:val="20"/>
              </w:rPr>
              <w:t>$2,254</w:t>
            </w:r>
          </w:p>
        </w:tc>
      </w:tr>
      <w:tr w:rsidR="00D66295" w:rsidRPr="00E92EDB" w14:paraId="59049FA7" w14:textId="77777777" w:rsidTr="00E92EDB">
        <w:tc>
          <w:tcPr>
            <w:cnfStyle w:val="001000000000" w:firstRow="0" w:lastRow="0" w:firstColumn="1" w:lastColumn="0" w:oddVBand="0" w:evenVBand="0" w:oddHBand="0" w:evenHBand="0" w:firstRowFirstColumn="0" w:firstRowLastColumn="0" w:lastRowFirstColumn="0" w:lastRowLastColumn="0"/>
            <w:tcW w:w="1129" w:type="dxa"/>
          </w:tcPr>
          <w:p w14:paraId="3B7D09AC" w14:textId="3EE6BF73" w:rsidR="00D66295" w:rsidRPr="00E92EDB" w:rsidRDefault="00D66295" w:rsidP="00E92EDB">
            <w:pPr>
              <w:pStyle w:val="Tabletext1"/>
              <w:rPr>
                <w:rFonts w:ascii="Arial Narrow" w:hAnsi="Arial Narrow"/>
                <w:color w:val="FFFFFF" w:themeColor="background1"/>
                <w:szCs w:val="20"/>
              </w:rPr>
            </w:pPr>
          </w:p>
        </w:tc>
        <w:tc>
          <w:tcPr>
            <w:tcW w:w="1481" w:type="dxa"/>
          </w:tcPr>
          <w:p w14:paraId="46E8DE94" w14:textId="77777777" w:rsidR="00D66295" w:rsidRPr="00E92EDB" w:rsidRDefault="00D66295" w:rsidP="00E92EDB">
            <w:pPr>
              <w:pStyle w:val="Tabletext1"/>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E92EDB">
              <w:rPr>
                <w:rFonts w:ascii="Arial Narrow" w:hAnsi="Arial Narrow"/>
                <w:szCs w:val="20"/>
              </w:rPr>
              <w:t>Av cost per day</w:t>
            </w:r>
          </w:p>
        </w:tc>
        <w:tc>
          <w:tcPr>
            <w:tcW w:w="1354" w:type="dxa"/>
          </w:tcPr>
          <w:p w14:paraId="6EAFBE76" w14:textId="77777777" w:rsidR="00D66295" w:rsidRPr="00E92EDB" w:rsidRDefault="00D66295" w:rsidP="00E92EDB">
            <w:pPr>
              <w:pStyle w:val="Tabletext1"/>
              <w:jc w:val="right"/>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E92EDB">
              <w:rPr>
                <w:rFonts w:ascii="Arial Narrow" w:hAnsi="Arial Narrow"/>
                <w:szCs w:val="20"/>
              </w:rPr>
              <w:t>33265</w:t>
            </w:r>
          </w:p>
        </w:tc>
        <w:tc>
          <w:tcPr>
            <w:tcW w:w="1276" w:type="dxa"/>
          </w:tcPr>
          <w:p w14:paraId="672AA7E1" w14:textId="77777777" w:rsidR="00D66295" w:rsidRPr="00E92EDB" w:rsidRDefault="00D66295" w:rsidP="00E92EDB">
            <w:pPr>
              <w:pStyle w:val="Tabletext1"/>
              <w:jc w:val="right"/>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E92EDB">
              <w:rPr>
                <w:rFonts w:ascii="Arial Narrow" w:hAnsi="Arial Narrow"/>
                <w:szCs w:val="20"/>
              </w:rPr>
              <w:t>$9.14</w:t>
            </w:r>
          </w:p>
        </w:tc>
        <w:tc>
          <w:tcPr>
            <w:tcW w:w="1276" w:type="dxa"/>
          </w:tcPr>
          <w:p w14:paraId="6A775C0B" w14:textId="77777777" w:rsidR="00D66295" w:rsidRPr="00E92EDB" w:rsidRDefault="00D66295" w:rsidP="00E92EDB">
            <w:pPr>
              <w:pStyle w:val="Tabletext1"/>
              <w:jc w:val="right"/>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E92EDB">
              <w:rPr>
                <w:rFonts w:ascii="Arial Narrow" w:hAnsi="Arial Narrow"/>
                <w:szCs w:val="20"/>
              </w:rPr>
              <w:t>381182</w:t>
            </w:r>
          </w:p>
        </w:tc>
        <w:tc>
          <w:tcPr>
            <w:tcW w:w="1260" w:type="dxa"/>
          </w:tcPr>
          <w:p w14:paraId="00131520" w14:textId="77777777" w:rsidR="00D66295" w:rsidRPr="00E92EDB" w:rsidRDefault="00D66295" w:rsidP="00E92EDB">
            <w:pPr>
              <w:pStyle w:val="Tabletext1"/>
              <w:jc w:val="right"/>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E92EDB">
              <w:rPr>
                <w:rFonts w:ascii="Arial Narrow" w:hAnsi="Arial Narrow"/>
                <w:szCs w:val="20"/>
              </w:rPr>
              <w:t>$2.25</w:t>
            </w:r>
          </w:p>
        </w:tc>
        <w:tc>
          <w:tcPr>
            <w:tcW w:w="1240" w:type="dxa"/>
          </w:tcPr>
          <w:p w14:paraId="771E1B27" w14:textId="77777777" w:rsidR="00D66295" w:rsidRPr="00E92EDB" w:rsidRDefault="00D66295" w:rsidP="00E92EDB">
            <w:pPr>
              <w:pStyle w:val="Tabletext1"/>
              <w:jc w:val="right"/>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E92EDB">
              <w:rPr>
                <w:rFonts w:ascii="Arial Narrow" w:hAnsi="Arial Narrow"/>
                <w:szCs w:val="20"/>
              </w:rPr>
              <w:t>$6.90</w:t>
            </w:r>
          </w:p>
        </w:tc>
      </w:tr>
      <w:tr w:rsidR="00D66295" w:rsidRPr="00E92EDB" w14:paraId="2E1B03D9" w14:textId="77777777" w:rsidTr="00E92E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E7E6E6" w:themeFill="background2"/>
          </w:tcPr>
          <w:p w14:paraId="216DB44B" w14:textId="354B7386" w:rsidR="00D66295" w:rsidRPr="00E92EDB" w:rsidRDefault="00D66295" w:rsidP="00E92EDB">
            <w:pPr>
              <w:pStyle w:val="Tabletext1"/>
              <w:rPr>
                <w:rFonts w:ascii="Arial Narrow" w:hAnsi="Arial Narrow"/>
                <w:color w:val="FFFFFF" w:themeColor="background1"/>
                <w:szCs w:val="20"/>
              </w:rPr>
            </w:pPr>
          </w:p>
        </w:tc>
        <w:tc>
          <w:tcPr>
            <w:tcW w:w="1481" w:type="dxa"/>
            <w:shd w:val="clear" w:color="auto" w:fill="E7E6E6" w:themeFill="background2"/>
          </w:tcPr>
          <w:p w14:paraId="08AA66EF" w14:textId="77777777" w:rsidR="00D66295" w:rsidRPr="00E92EDB" w:rsidRDefault="00D66295" w:rsidP="00E92EDB">
            <w:pPr>
              <w:pStyle w:val="Tabletext1"/>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E92EDB">
              <w:rPr>
                <w:rFonts w:ascii="Arial Narrow" w:hAnsi="Arial Narrow"/>
                <w:szCs w:val="20"/>
              </w:rPr>
              <w:t>Av cost per year (adj)</w:t>
            </w:r>
          </w:p>
        </w:tc>
        <w:tc>
          <w:tcPr>
            <w:tcW w:w="1354" w:type="dxa"/>
            <w:shd w:val="clear" w:color="auto" w:fill="E7E6E6" w:themeFill="background2"/>
          </w:tcPr>
          <w:p w14:paraId="0C3B8F75" w14:textId="77777777" w:rsidR="00D66295" w:rsidRPr="00E92EDB" w:rsidRDefault="00D66295" w:rsidP="00E92EDB">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p>
        </w:tc>
        <w:tc>
          <w:tcPr>
            <w:tcW w:w="1276" w:type="dxa"/>
            <w:shd w:val="clear" w:color="auto" w:fill="E7E6E6" w:themeFill="background2"/>
          </w:tcPr>
          <w:p w14:paraId="63FB2A8F" w14:textId="77777777" w:rsidR="00D66295" w:rsidRPr="00E92EDB" w:rsidRDefault="00D66295" w:rsidP="00E92EDB">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E92EDB">
              <w:rPr>
                <w:rFonts w:ascii="Arial Narrow" w:hAnsi="Arial Narrow"/>
                <w:szCs w:val="20"/>
              </w:rPr>
              <w:t>$3,337</w:t>
            </w:r>
          </w:p>
        </w:tc>
        <w:tc>
          <w:tcPr>
            <w:tcW w:w="1276" w:type="dxa"/>
            <w:shd w:val="clear" w:color="auto" w:fill="E7E6E6" w:themeFill="background2"/>
          </w:tcPr>
          <w:p w14:paraId="359C8C7D" w14:textId="77777777" w:rsidR="00D66295" w:rsidRPr="00E92EDB" w:rsidRDefault="00D66295" w:rsidP="00E92EDB">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p>
        </w:tc>
        <w:tc>
          <w:tcPr>
            <w:tcW w:w="1260" w:type="dxa"/>
            <w:shd w:val="clear" w:color="auto" w:fill="E7E6E6" w:themeFill="background2"/>
          </w:tcPr>
          <w:p w14:paraId="51C65766" w14:textId="77777777" w:rsidR="00D66295" w:rsidRPr="00E92EDB" w:rsidRDefault="00D66295" w:rsidP="00E92EDB">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E92EDB">
              <w:rPr>
                <w:rFonts w:ascii="Arial Narrow" w:hAnsi="Arial Narrow"/>
                <w:szCs w:val="20"/>
              </w:rPr>
              <w:t>$820</w:t>
            </w:r>
          </w:p>
        </w:tc>
        <w:tc>
          <w:tcPr>
            <w:tcW w:w="1240" w:type="dxa"/>
            <w:shd w:val="clear" w:color="auto" w:fill="E7E6E6" w:themeFill="background2"/>
          </w:tcPr>
          <w:p w14:paraId="4113C28A" w14:textId="77777777" w:rsidR="00D66295" w:rsidRPr="00E92EDB" w:rsidRDefault="00D66295" w:rsidP="00E92EDB">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E92EDB">
              <w:rPr>
                <w:rFonts w:ascii="Arial Narrow" w:hAnsi="Arial Narrow"/>
                <w:szCs w:val="20"/>
              </w:rPr>
              <w:t>$2,517</w:t>
            </w:r>
          </w:p>
        </w:tc>
      </w:tr>
    </w:tbl>
    <w:p w14:paraId="14C69B61" w14:textId="6FAD9BD5" w:rsidR="008143ED" w:rsidRDefault="00BF6331" w:rsidP="00897C5B">
      <w:pPr>
        <w:pStyle w:val="Caption"/>
      </w:pPr>
      <w:r w:rsidRPr="00A648B6">
        <w:t xml:space="preserve">Table </w:t>
      </w:r>
      <w:r w:rsidR="00CC5A20">
        <w:t>D-10</w:t>
      </w:r>
      <w:r w:rsidR="008143ED">
        <w:t>:</w:t>
      </w:r>
      <w:r>
        <w:t xml:space="preserve"> Hospital costs over 12 months in each arm.</w:t>
      </w:r>
    </w:p>
    <w:p w14:paraId="724034F5" w14:textId="40F29AC2" w:rsidR="0004349F" w:rsidRPr="0004349F" w:rsidRDefault="0004349F" w:rsidP="00E92EDB">
      <w:pPr>
        <w:pStyle w:val="CommentText"/>
      </w:pPr>
      <w:r>
        <w:t>Adj- adjusted</w:t>
      </w:r>
    </w:p>
    <w:p w14:paraId="08822DBB" w14:textId="77777777" w:rsidR="00412D53" w:rsidRDefault="00412D53" w:rsidP="00CA0B7D">
      <w:pPr>
        <w:pStyle w:val="Heading4"/>
        <w:spacing w:line="276" w:lineRule="auto"/>
      </w:pPr>
      <w:r>
        <w:t>Residential Care health-related care costs (ACFI subsidies)</w:t>
      </w:r>
    </w:p>
    <w:p w14:paraId="2EB8C9C6" w14:textId="08A2E8ED" w:rsidR="003D14C3" w:rsidRDefault="00412D53" w:rsidP="007501B9">
      <w:r>
        <w:t>Estimates of total ACFI subsidies allocated to the care facility residents to assist with health-related costs of care were based on the resident’s ACFI assessments in the areas of Activities of Daily living, Behavioural and Complex Health requirements</w:t>
      </w:r>
      <w:r w:rsidR="007501B9">
        <w:t xml:space="preserve">. </w:t>
      </w:r>
      <w:r>
        <w:t>Subsidies are provided as a daily rate, and it was identified that the average daily subsidy rate was slightly different between the arms at baseline</w:t>
      </w:r>
      <w:r w:rsidR="007501B9">
        <w:t xml:space="preserve">. </w:t>
      </w:r>
      <w:r>
        <w:t xml:space="preserve">Although this difference is small, when applied over a year it is significant, </w:t>
      </w:r>
      <w:proofErr w:type="gramStart"/>
      <w:r>
        <w:t>therefore</w:t>
      </w:r>
      <w:proofErr w:type="gramEnd"/>
      <w:r>
        <w:t xml:space="preserve"> to enable a fair comparison of the potential effect of the intervention on total ACFI subsidy related costs over a year an adjustment to equalise baseline subsidy rates </w:t>
      </w:r>
      <w:r w:rsidR="00A61188">
        <w:t>was</w:t>
      </w:r>
      <w:r>
        <w:t xml:space="preserve"> made and the subsidies over the year estimated based on the relative change in the daily rate from baseline</w:t>
      </w:r>
      <w:r w:rsidR="007501B9">
        <w:t xml:space="preserve">. </w:t>
      </w:r>
      <w:r>
        <w:t>The total projected subsidies per patient in each arm are also adjusted to estimate one year of subsidisation</w:t>
      </w:r>
      <w:r w:rsidR="008143ED">
        <w:t xml:space="preserve"> </w:t>
      </w:r>
      <w:r w:rsidR="008143ED" w:rsidRPr="00A648B6">
        <w:t xml:space="preserve">(Table </w:t>
      </w:r>
      <w:r w:rsidR="00A648B6" w:rsidRPr="00A648B6">
        <w:t>D-</w:t>
      </w:r>
      <w:r w:rsidR="00A648B6">
        <w:t>11</w:t>
      </w:r>
      <w:r w:rsidR="008143ED">
        <w:t>)</w:t>
      </w:r>
      <w:r>
        <w:t>.</w:t>
      </w:r>
      <w:r w:rsidR="003D14C3">
        <w:t xml:space="preserve"> This analysis of the subsidy rates observed in the study suggests there was no significant change in ACFI-health related subsidies associated with the intervention.</w:t>
      </w:r>
    </w:p>
    <w:tbl>
      <w:tblPr>
        <w:tblStyle w:val="ListTable3"/>
        <w:tblW w:w="0" w:type="auto"/>
        <w:tblLook w:val="04A0" w:firstRow="1" w:lastRow="0" w:firstColumn="1" w:lastColumn="0" w:noHBand="0" w:noVBand="1"/>
        <w:tblCaption w:val="Estimated health-related ACFI subsidies per resident."/>
        <w:tblDescription w:val="Estimated health-related ACFI subsidies per resident incorporating observed changes to the average daily rate in each arm, applied over one year (adjusted for baseline difference)."/>
      </w:tblPr>
      <w:tblGrid>
        <w:gridCol w:w="1941"/>
        <w:gridCol w:w="2712"/>
        <w:gridCol w:w="2713"/>
        <w:gridCol w:w="1650"/>
      </w:tblGrid>
      <w:tr w:rsidR="00412D53" w:rsidRPr="00E92EDB" w14:paraId="33AC1D16" w14:textId="77777777" w:rsidTr="00E92ED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941" w:type="dxa"/>
          </w:tcPr>
          <w:p w14:paraId="6386AB90" w14:textId="3F1C1427" w:rsidR="00412D53" w:rsidRPr="00E92EDB" w:rsidRDefault="008143ED" w:rsidP="00E92EDB">
            <w:pPr>
              <w:pStyle w:val="TableHeader"/>
              <w:rPr>
                <w:b/>
                <w:bCs w:val="0"/>
              </w:rPr>
            </w:pPr>
            <w:bookmarkStart w:id="243" w:name="ColumnTitle_2651"/>
            <w:r w:rsidRPr="00E92EDB">
              <w:rPr>
                <w:b/>
                <w:bCs w:val="0"/>
              </w:rPr>
              <w:t>Timeframe</w:t>
            </w:r>
            <w:bookmarkStart w:id="244" w:name="ColumnTitle_25"/>
            <w:bookmarkEnd w:id="244"/>
          </w:p>
        </w:tc>
        <w:tc>
          <w:tcPr>
            <w:tcW w:w="2712" w:type="dxa"/>
          </w:tcPr>
          <w:p w14:paraId="407095EB" w14:textId="22450D76" w:rsidR="00412D53" w:rsidRPr="00E92EDB" w:rsidRDefault="00412D53" w:rsidP="00E92EDB">
            <w:pPr>
              <w:pStyle w:val="TableHeader"/>
              <w:cnfStyle w:val="100000000000" w:firstRow="1" w:lastRow="0" w:firstColumn="0" w:lastColumn="0" w:oddVBand="0" w:evenVBand="0" w:oddHBand="0" w:evenHBand="0" w:firstRowFirstColumn="0" w:firstRowLastColumn="0" w:lastRowFirstColumn="0" w:lastRowLastColumn="0"/>
              <w:rPr>
                <w:b/>
                <w:bCs w:val="0"/>
              </w:rPr>
            </w:pPr>
            <w:r w:rsidRPr="00E92EDB">
              <w:rPr>
                <w:b/>
                <w:bCs w:val="0"/>
              </w:rPr>
              <w:t>Intervention</w:t>
            </w:r>
          </w:p>
        </w:tc>
        <w:tc>
          <w:tcPr>
            <w:tcW w:w="2713" w:type="dxa"/>
          </w:tcPr>
          <w:p w14:paraId="3A3433B6" w14:textId="319178AF" w:rsidR="00412D53" w:rsidRPr="00E92EDB" w:rsidRDefault="00E91002" w:rsidP="00E92EDB">
            <w:pPr>
              <w:pStyle w:val="TableHeader"/>
              <w:cnfStyle w:val="100000000000" w:firstRow="1" w:lastRow="0" w:firstColumn="0" w:lastColumn="0" w:oddVBand="0" w:evenVBand="0" w:oddHBand="0" w:evenHBand="0" w:firstRowFirstColumn="0" w:firstRowLastColumn="0" w:lastRowFirstColumn="0" w:lastRowLastColumn="0"/>
              <w:rPr>
                <w:b/>
                <w:bCs w:val="0"/>
              </w:rPr>
            </w:pPr>
            <w:r w:rsidRPr="00E92EDB">
              <w:rPr>
                <w:b/>
                <w:bCs w:val="0"/>
              </w:rPr>
              <w:t>Control</w:t>
            </w:r>
          </w:p>
        </w:tc>
        <w:tc>
          <w:tcPr>
            <w:tcW w:w="1650" w:type="dxa"/>
          </w:tcPr>
          <w:p w14:paraId="7FB090B3" w14:textId="77777777" w:rsidR="00412D53" w:rsidRPr="00E92EDB" w:rsidRDefault="00412D53" w:rsidP="00E92EDB">
            <w:pPr>
              <w:pStyle w:val="TableHeader"/>
              <w:cnfStyle w:val="100000000000" w:firstRow="1" w:lastRow="0" w:firstColumn="0" w:lastColumn="0" w:oddVBand="0" w:evenVBand="0" w:oddHBand="0" w:evenHBand="0" w:firstRowFirstColumn="0" w:firstRowLastColumn="0" w:lastRowFirstColumn="0" w:lastRowLastColumn="0"/>
              <w:rPr>
                <w:b/>
                <w:bCs w:val="0"/>
              </w:rPr>
            </w:pPr>
            <w:r w:rsidRPr="00E92EDB">
              <w:rPr>
                <w:b/>
                <w:bCs w:val="0"/>
              </w:rPr>
              <w:t>Increment</w:t>
            </w:r>
          </w:p>
        </w:tc>
      </w:tr>
      <w:bookmarkEnd w:id="243"/>
      <w:tr w:rsidR="00412D53" w:rsidRPr="00E92EDB" w14:paraId="60914FAB" w14:textId="77777777" w:rsidTr="00E92E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1" w:type="dxa"/>
          </w:tcPr>
          <w:p w14:paraId="6CE4AAC8" w14:textId="77777777" w:rsidR="00412D53" w:rsidRPr="00E92EDB" w:rsidRDefault="00412D53" w:rsidP="00E92EDB">
            <w:pPr>
              <w:pStyle w:val="Tabletext1"/>
            </w:pPr>
            <w:r w:rsidRPr="00E92EDB">
              <w:t xml:space="preserve">In first 6 months </w:t>
            </w:r>
          </w:p>
        </w:tc>
        <w:tc>
          <w:tcPr>
            <w:tcW w:w="2712" w:type="dxa"/>
          </w:tcPr>
          <w:p w14:paraId="1B78BA09" w14:textId="77777777" w:rsidR="00412D53" w:rsidRPr="00E92EDB" w:rsidRDefault="00412D53" w:rsidP="00E92EDB">
            <w:pPr>
              <w:pStyle w:val="Tabletext1"/>
              <w:jc w:val="right"/>
              <w:cnfStyle w:val="000000100000" w:firstRow="0" w:lastRow="0" w:firstColumn="0" w:lastColumn="0" w:oddVBand="0" w:evenVBand="0" w:oddHBand="1" w:evenHBand="0" w:firstRowFirstColumn="0" w:firstRowLastColumn="0" w:lastRowFirstColumn="0" w:lastRowLastColumn="0"/>
            </w:pPr>
            <w:r w:rsidRPr="00E92EDB">
              <w:t>$27,567</w:t>
            </w:r>
          </w:p>
        </w:tc>
        <w:tc>
          <w:tcPr>
            <w:tcW w:w="2713" w:type="dxa"/>
          </w:tcPr>
          <w:p w14:paraId="0185BD05" w14:textId="77777777" w:rsidR="00412D53" w:rsidRPr="00E92EDB" w:rsidRDefault="00412D53" w:rsidP="00E92EDB">
            <w:pPr>
              <w:pStyle w:val="Tabletext1"/>
              <w:jc w:val="right"/>
              <w:cnfStyle w:val="000000100000" w:firstRow="0" w:lastRow="0" w:firstColumn="0" w:lastColumn="0" w:oddVBand="0" w:evenVBand="0" w:oddHBand="1" w:evenHBand="0" w:firstRowFirstColumn="0" w:firstRowLastColumn="0" w:lastRowFirstColumn="0" w:lastRowLastColumn="0"/>
            </w:pPr>
            <w:r w:rsidRPr="00E92EDB">
              <w:t>$27,628</w:t>
            </w:r>
          </w:p>
        </w:tc>
        <w:tc>
          <w:tcPr>
            <w:tcW w:w="1650" w:type="dxa"/>
          </w:tcPr>
          <w:p w14:paraId="02B122D1" w14:textId="77777777" w:rsidR="00412D53" w:rsidRPr="00E92EDB" w:rsidRDefault="00412D53" w:rsidP="00E92EDB">
            <w:pPr>
              <w:pStyle w:val="Tabletext1"/>
              <w:jc w:val="right"/>
              <w:cnfStyle w:val="000000100000" w:firstRow="0" w:lastRow="0" w:firstColumn="0" w:lastColumn="0" w:oddVBand="0" w:evenVBand="0" w:oddHBand="1" w:evenHBand="0" w:firstRowFirstColumn="0" w:firstRowLastColumn="0" w:lastRowFirstColumn="0" w:lastRowLastColumn="0"/>
            </w:pPr>
            <w:r w:rsidRPr="00E92EDB">
              <w:t>-$61</w:t>
            </w:r>
          </w:p>
        </w:tc>
      </w:tr>
      <w:tr w:rsidR="00412D53" w:rsidRPr="00E92EDB" w14:paraId="67B32600" w14:textId="77777777" w:rsidTr="00E92EDB">
        <w:tc>
          <w:tcPr>
            <w:cnfStyle w:val="001000000000" w:firstRow="0" w:lastRow="0" w:firstColumn="1" w:lastColumn="0" w:oddVBand="0" w:evenVBand="0" w:oddHBand="0" w:evenHBand="0" w:firstRowFirstColumn="0" w:firstRowLastColumn="0" w:lastRowFirstColumn="0" w:lastRowLastColumn="0"/>
            <w:tcW w:w="1941" w:type="dxa"/>
          </w:tcPr>
          <w:p w14:paraId="41AA2ABF" w14:textId="77777777" w:rsidR="00412D53" w:rsidRPr="00E92EDB" w:rsidRDefault="00412D53" w:rsidP="00E92EDB">
            <w:pPr>
              <w:pStyle w:val="Tabletext1"/>
            </w:pPr>
            <w:r w:rsidRPr="00E92EDB">
              <w:t>In months 6-12</w:t>
            </w:r>
          </w:p>
        </w:tc>
        <w:tc>
          <w:tcPr>
            <w:tcW w:w="2712" w:type="dxa"/>
          </w:tcPr>
          <w:p w14:paraId="3836C7E4" w14:textId="77777777" w:rsidR="00412D53" w:rsidRPr="00E92EDB" w:rsidRDefault="00412D53" w:rsidP="00E92EDB">
            <w:pPr>
              <w:pStyle w:val="Tabletext1"/>
              <w:jc w:val="right"/>
              <w:cnfStyle w:val="000000000000" w:firstRow="0" w:lastRow="0" w:firstColumn="0" w:lastColumn="0" w:oddVBand="0" w:evenVBand="0" w:oddHBand="0" w:evenHBand="0" w:firstRowFirstColumn="0" w:firstRowLastColumn="0" w:lastRowFirstColumn="0" w:lastRowLastColumn="0"/>
            </w:pPr>
            <w:r w:rsidRPr="00E92EDB">
              <w:t>$28,456</w:t>
            </w:r>
          </w:p>
        </w:tc>
        <w:tc>
          <w:tcPr>
            <w:tcW w:w="2713" w:type="dxa"/>
          </w:tcPr>
          <w:p w14:paraId="289F3BE3" w14:textId="77777777" w:rsidR="00412D53" w:rsidRPr="00E92EDB" w:rsidRDefault="00412D53" w:rsidP="00E92EDB">
            <w:pPr>
              <w:pStyle w:val="Tabletext1"/>
              <w:jc w:val="right"/>
              <w:cnfStyle w:val="000000000000" w:firstRow="0" w:lastRow="0" w:firstColumn="0" w:lastColumn="0" w:oddVBand="0" w:evenVBand="0" w:oddHBand="0" w:evenHBand="0" w:firstRowFirstColumn="0" w:firstRowLastColumn="0" w:lastRowFirstColumn="0" w:lastRowLastColumn="0"/>
            </w:pPr>
            <w:r w:rsidRPr="00E92EDB">
              <w:t>$28,325</w:t>
            </w:r>
          </w:p>
        </w:tc>
        <w:tc>
          <w:tcPr>
            <w:tcW w:w="1650" w:type="dxa"/>
          </w:tcPr>
          <w:p w14:paraId="7FC946EE" w14:textId="77777777" w:rsidR="00412D53" w:rsidRPr="00E92EDB" w:rsidRDefault="00412D53" w:rsidP="00E92EDB">
            <w:pPr>
              <w:pStyle w:val="Tabletext1"/>
              <w:jc w:val="right"/>
              <w:cnfStyle w:val="000000000000" w:firstRow="0" w:lastRow="0" w:firstColumn="0" w:lastColumn="0" w:oddVBand="0" w:evenVBand="0" w:oddHBand="0" w:evenHBand="0" w:firstRowFirstColumn="0" w:firstRowLastColumn="0" w:lastRowFirstColumn="0" w:lastRowLastColumn="0"/>
            </w:pPr>
            <w:r w:rsidRPr="00E92EDB">
              <w:t>$131</w:t>
            </w:r>
          </w:p>
        </w:tc>
      </w:tr>
      <w:tr w:rsidR="00412D53" w:rsidRPr="00E92EDB" w14:paraId="2F8DFF1B" w14:textId="77777777" w:rsidTr="00E92E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1" w:type="dxa"/>
            <w:shd w:val="clear" w:color="auto" w:fill="E7E6E6" w:themeFill="background2"/>
          </w:tcPr>
          <w:p w14:paraId="5EC5AC7C" w14:textId="77777777" w:rsidR="00412D53" w:rsidRPr="00E92EDB" w:rsidRDefault="00412D53" w:rsidP="00E92EDB">
            <w:pPr>
              <w:pStyle w:val="Tabletext1"/>
            </w:pPr>
            <w:r w:rsidRPr="00E92EDB">
              <w:t>Total</w:t>
            </w:r>
          </w:p>
        </w:tc>
        <w:tc>
          <w:tcPr>
            <w:tcW w:w="2712" w:type="dxa"/>
            <w:shd w:val="clear" w:color="auto" w:fill="E7E6E6" w:themeFill="background2"/>
          </w:tcPr>
          <w:p w14:paraId="6076ECC2" w14:textId="77777777" w:rsidR="00412D53" w:rsidRPr="00E92EDB" w:rsidRDefault="00412D53" w:rsidP="00E92EDB">
            <w:pPr>
              <w:pStyle w:val="Tabletext1"/>
              <w:jc w:val="right"/>
              <w:cnfStyle w:val="000000100000" w:firstRow="0" w:lastRow="0" w:firstColumn="0" w:lastColumn="0" w:oddVBand="0" w:evenVBand="0" w:oddHBand="1" w:evenHBand="0" w:firstRowFirstColumn="0" w:firstRowLastColumn="0" w:lastRowFirstColumn="0" w:lastRowLastColumn="0"/>
            </w:pPr>
            <w:r w:rsidRPr="00E92EDB">
              <w:t>$56,023</w:t>
            </w:r>
          </w:p>
        </w:tc>
        <w:tc>
          <w:tcPr>
            <w:tcW w:w="2713" w:type="dxa"/>
            <w:shd w:val="clear" w:color="auto" w:fill="E7E6E6" w:themeFill="background2"/>
          </w:tcPr>
          <w:p w14:paraId="4D65B4E7" w14:textId="77777777" w:rsidR="00412D53" w:rsidRPr="00E92EDB" w:rsidRDefault="00412D53" w:rsidP="00E92EDB">
            <w:pPr>
              <w:pStyle w:val="Tabletext1"/>
              <w:jc w:val="right"/>
              <w:cnfStyle w:val="000000100000" w:firstRow="0" w:lastRow="0" w:firstColumn="0" w:lastColumn="0" w:oddVBand="0" w:evenVBand="0" w:oddHBand="1" w:evenHBand="0" w:firstRowFirstColumn="0" w:firstRowLastColumn="0" w:lastRowFirstColumn="0" w:lastRowLastColumn="0"/>
            </w:pPr>
            <w:r w:rsidRPr="00E92EDB">
              <w:t>$55,953</w:t>
            </w:r>
          </w:p>
        </w:tc>
        <w:tc>
          <w:tcPr>
            <w:tcW w:w="1650" w:type="dxa"/>
            <w:shd w:val="clear" w:color="auto" w:fill="E7E6E6" w:themeFill="background2"/>
          </w:tcPr>
          <w:p w14:paraId="51D9E75F" w14:textId="77777777" w:rsidR="00412D53" w:rsidRPr="00E92EDB" w:rsidRDefault="00412D53" w:rsidP="00E92EDB">
            <w:pPr>
              <w:pStyle w:val="Tabletext1"/>
              <w:jc w:val="right"/>
              <w:cnfStyle w:val="000000100000" w:firstRow="0" w:lastRow="0" w:firstColumn="0" w:lastColumn="0" w:oddVBand="0" w:evenVBand="0" w:oddHBand="1" w:evenHBand="0" w:firstRowFirstColumn="0" w:firstRowLastColumn="0" w:lastRowFirstColumn="0" w:lastRowLastColumn="0"/>
            </w:pPr>
            <w:r w:rsidRPr="00E92EDB">
              <w:t>$70</w:t>
            </w:r>
          </w:p>
        </w:tc>
      </w:tr>
    </w:tbl>
    <w:p w14:paraId="7C7B2110" w14:textId="55C2794C" w:rsidR="008143ED" w:rsidRDefault="008143ED" w:rsidP="00897C5B">
      <w:pPr>
        <w:pStyle w:val="Caption"/>
      </w:pPr>
      <w:r w:rsidRPr="00A648B6">
        <w:lastRenderedPageBreak/>
        <w:t>Table</w:t>
      </w:r>
      <w:r w:rsidR="00A648B6">
        <w:t xml:space="preserve"> D-11</w:t>
      </w:r>
      <w:r w:rsidR="00DD003F">
        <w:t>:</w:t>
      </w:r>
      <w:r>
        <w:t xml:space="preserve"> Estimated health-related ACFI subsidies per resident incorporating observed changes to the average daily rate in each arm, applied over one year (adjusted for baseline difference).</w:t>
      </w:r>
    </w:p>
    <w:p w14:paraId="273E2C5A" w14:textId="77777777" w:rsidR="00412D53" w:rsidRDefault="00412D53" w:rsidP="00CA0B7D">
      <w:pPr>
        <w:pStyle w:val="Heading4"/>
        <w:spacing w:line="276" w:lineRule="auto"/>
      </w:pPr>
      <w:r>
        <w:t>Allied Health Services costs</w:t>
      </w:r>
    </w:p>
    <w:p w14:paraId="6447E005" w14:textId="729BF66B" w:rsidR="00412D53" w:rsidRPr="00592C34" w:rsidRDefault="00412D53" w:rsidP="007501B9">
      <w:pPr>
        <w:rPr>
          <w:rFonts w:ascii="Arial Narrow" w:hAnsi="Arial Narrow"/>
          <w:b/>
          <w:bCs/>
          <w:sz w:val="20"/>
        </w:rPr>
      </w:pPr>
      <w:r>
        <w:t xml:space="preserve">Estimates of allied healthcare services that are not funded though </w:t>
      </w:r>
      <w:r w:rsidR="005F4A1A">
        <w:t xml:space="preserve">MBS </w:t>
      </w:r>
      <w:r>
        <w:t xml:space="preserve">were also </w:t>
      </w:r>
      <w:r w:rsidR="00A61188">
        <w:t>made</w:t>
      </w:r>
      <w:r w:rsidR="00A648B6">
        <w:t xml:space="preserve"> (Table D-12</w:t>
      </w:r>
      <w:r w:rsidR="007501B9">
        <w:t xml:space="preserve">. </w:t>
      </w:r>
      <w:r>
        <w:t>Although nominally incurred by the patient, where supported through private health insurance rebates, these services are partially indirectly funded as government funding supports the private health insurance industry</w:t>
      </w:r>
      <w:r w:rsidR="007501B9">
        <w:t xml:space="preserve">. </w:t>
      </w:r>
      <w:r>
        <w:t>In either case, an argument to include these costs in analysis from a healthcare systems perspective could be made</w:t>
      </w:r>
      <w:r w:rsidR="007501B9">
        <w:t xml:space="preserve">. </w:t>
      </w:r>
      <w:r>
        <w:t xml:space="preserve">However, in this case, the data collected during the trial </w:t>
      </w:r>
      <w:r w:rsidR="00A61188">
        <w:t>was</w:t>
      </w:r>
      <w:r>
        <w:t xml:space="preserve"> deemed too uncertain to reliably inform the base case and so allied healthcare costs will only inform a scenario analysis.</w:t>
      </w:r>
    </w:p>
    <w:tbl>
      <w:tblPr>
        <w:tblStyle w:val="ListTable3"/>
        <w:tblW w:w="0" w:type="auto"/>
        <w:tblLook w:val="04A0" w:firstRow="1" w:lastRow="0" w:firstColumn="1" w:lastColumn="0" w:noHBand="0" w:noVBand="1"/>
        <w:tblCaption w:val="Allied health services costs in each arm of the study"/>
        <w:tblDescription w:val="Allied health services costs in each arm of the study"/>
      </w:tblPr>
      <w:tblGrid>
        <w:gridCol w:w="1577"/>
        <w:gridCol w:w="1573"/>
        <w:gridCol w:w="1537"/>
        <w:gridCol w:w="1573"/>
        <w:gridCol w:w="1488"/>
        <w:gridCol w:w="1268"/>
      </w:tblGrid>
      <w:tr w:rsidR="00E91002" w:rsidRPr="00DA49F2" w14:paraId="5FB692A8" w14:textId="77777777" w:rsidTr="00E92ED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941" w:type="dxa"/>
          </w:tcPr>
          <w:p w14:paraId="0C01D183" w14:textId="4208BBAB" w:rsidR="00E91002" w:rsidRPr="00DA49F2" w:rsidRDefault="00E91002" w:rsidP="00E92EDB">
            <w:pPr>
              <w:pStyle w:val="TableHeader"/>
              <w:rPr>
                <w:b/>
                <w:bCs w:val="0"/>
              </w:rPr>
            </w:pPr>
            <w:r w:rsidRPr="00DA49F2">
              <w:rPr>
                <w:b/>
                <w:bCs w:val="0"/>
              </w:rPr>
              <w:t>Allied Health Costs</w:t>
            </w:r>
          </w:p>
        </w:tc>
        <w:tc>
          <w:tcPr>
            <w:tcW w:w="1456" w:type="dxa"/>
          </w:tcPr>
          <w:p w14:paraId="3CCF4D28" w14:textId="1349F783" w:rsidR="00E91002" w:rsidRPr="00DA49F2" w:rsidRDefault="00E91002" w:rsidP="00E92EDB">
            <w:pPr>
              <w:pStyle w:val="TableHeader"/>
              <w:cnfStyle w:val="100000000000" w:firstRow="1" w:lastRow="0" w:firstColumn="0" w:lastColumn="0" w:oddVBand="0" w:evenVBand="0" w:oddHBand="0" w:evenHBand="0" w:firstRowFirstColumn="0" w:firstRowLastColumn="0" w:lastRowFirstColumn="0" w:lastRowLastColumn="0"/>
              <w:rPr>
                <w:b/>
                <w:bCs w:val="0"/>
              </w:rPr>
            </w:pPr>
            <w:r w:rsidRPr="00DA49F2">
              <w:rPr>
                <w:b/>
                <w:bCs w:val="0"/>
              </w:rPr>
              <w:t>Intervention, Denominator</w:t>
            </w:r>
          </w:p>
        </w:tc>
        <w:tc>
          <w:tcPr>
            <w:tcW w:w="1457" w:type="dxa"/>
          </w:tcPr>
          <w:p w14:paraId="77CFC4B4" w14:textId="5A3406B8" w:rsidR="00E91002" w:rsidRPr="00DA49F2" w:rsidRDefault="00E91002" w:rsidP="00E92EDB">
            <w:pPr>
              <w:pStyle w:val="TableHeader"/>
              <w:cnfStyle w:val="100000000000" w:firstRow="1" w:lastRow="0" w:firstColumn="0" w:lastColumn="0" w:oddVBand="0" w:evenVBand="0" w:oddHBand="0" w:evenHBand="0" w:firstRowFirstColumn="0" w:firstRowLastColumn="0" w:lastRowFirstColumn="0" w:lastRowLastColumn="0"/>
              <w:rPr>
                <w:b/>
                <w:bCs w:val="0"/>
              </w:rPr>
            </w:pPr>
            <w:r w:rsidRPr="00DA49F2">
              <w:rPr>
                <w:b/>
                <w:bCs w:val="0"/>
              </w:rPr>
              <w:t>Intervention, Costs</w:t>
            </w:r>
          </w:p>
        </w:tc>
        <w:tc>
          <w:tcPr>
            <w:tcW w:w="1520" w:type="dxa"/>
          </w:tcPr>
          <w:p w14:paraId="7D96CBDC" w14:textId="77777777" w:rsidR="00E91002" w:rsidRPr="00DA49F2" w:rsidRDefault="00E91002" w:rsidP="00E92EDB">
            <w:pPr>
              <w:pStyle w:val="TableHeader"/>
              <w:cnfStyle w:val="100000000000" w:firstRow="1" w:lastRow="0" w:firstColumn="0" w:lastColumn="0" w:oddVBand="0" w:evenVBand="0" w:oddHBand="0" w:evenHBand="0" w:firstRowFirstColumn="0" w:firstRowLastColumn="0" w:lastRowFirstColumn="0" w:lastRowLastColumn="0"/>
              <w:rPr>
                <w:b/>
                <w:bCs w:val="0"/>
              </w:rPr>
            </w:pPr>
            <w:r w:rsidRPr="00DA49F2">
              <w:rPr>
                <w:b/>
                <w:bCs w:val="0"/>
              </w:rPr>
              <w:t>Control,</w:t>
            </w:r>
          </w:p>
          <w:p w14:paraId="78BA3109" w14:textId="7DF365D6" w:rsidR="00E91002" w:rsidRPr="00DA49F2" w:rsidRDefault="00E91002" w:rsidP="00E92EDB">
            <w:pPr>
              <w:pStyle w:val="TableHeader"/>
              <w:cnfStyle w:val="100000000000" w:firstRow="1" w:lastRow="0" w:firstColumn="0" w:lastColumn="0" w:oddVBand="0" w:evenVBand="0" w:oddHBand="0" w:evenHBand="0" w:firstRowFirstColumn="0" w:firstRowLastColumn="0" w:lastRowFirstColumn="0" w:lastRowLastColumn="0"/>
              <w:rPr>
                <w:b/>
                <w:bCs w:val="0"/>
              </w:rPr>
            </w:pPr>
            <w:r w:rsidRPr="00DA49F2">
              <w:rPr>
                <w:b/>
                <w:bCs w:val="0"/>
              </w:rPr>
              <w:t>Denominator</w:t>
            </w:r>
          </w:p>
        </w:tc>
        <w:tc>
          <w:tcPr>
            <w:tcW w:w="1425" w:type="dxa"/>
          </w:tcPr>
          <w:p w14:paraId="19F82C05" w14:textId="1FE95FFA" w:rsidR="00E91002" w:rsidRPr="00DA49F2" w:rsidRDefault="00E91002" w:rsidP="00E92EDB">
            <w:pPr>
              <w:pStyle w:val="TableHeader"/>
              <w:cnfStyle w:val="100000000000" w:firstRow="1" w:lastRow="0" w:firstColumn="0" w:lastColumn="0" w:oddVBand="0" w:evenVBand="0" w:oddHBand="0" w:evenHBand="0" w:firstRowFirstColumn="0" w:firstRowLastColumn="0" w:lastRowFirstColumn="0" w:lastRowLastColumn="0"/>
              <w:rPr>
                <w:b/>
                <w:bCs w:val="0"/>
              </w:rPr>
            </w:pPr>
            <w:r w:rsidRPr="00DA49F2">
              <w:rPr>
                <w:b/>
                <w:bCs w:val="0"/>
              </w:rPr>
              <w:t>Control, Expenditure</w:t>
            </w:r>
          </w:p>
        </w:tc>
        <w:tc>
          <w:tcPr>
            <w:tcW w:w="1217" w:type="dxa"/>
          </w:tcPr>
          <w:p w14:paraId="60BD7822" w14:textId="6F9DB1AB" w:rsidR="00E91002" w:rsidRPr="00DA49F2" w:rsidRDefault="00E91002" w:rsidP="00E92EDB">
            <w:pPr>
              <w:pStyle w:val="TableHeader"/>
              <w:cnfStyle w:val="100000000000" w:firstRow="1" w:lastRow="0" w:firstColumn="0" w:lastColumn="0" w:oddVBand="0" w:evenVBand="0" w:oddHBand="0" w:evenHBand="0" w:firstRowFirstColumn="0" w:firstRowLastColumn="0" w:lastRowFirstColumn="0" w:lastRowLastColumn="0"/>
              <w:rPr>
                <w:b/>
                <w:bCs w:val="0"/>
              </w:rPr>
            </w:pPr>
            <w:r w:rsidRPr="00DA49F2">
              <w:rPr>
                <w:b/>
                <w:bCs w:val="0"/>
              </w:rPr>
              <w:t>Increment</w:t>
            </w:r>
          </w:p>
        </w:tc>
      </w:tr>
      <w:tr w:rsidR="00E91002" w:rsidRPr="00592C34" w14:paraId="1ACE5F92" w14:textId="77777777" w:rsidTr="00E92E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1" w:type="dxa"/>
          </w:tcPr>
          <w:p w14:paraId="7A251CDB" w14:textId="77777777" w:rsidR="00E91002" w:rsidRPr="00592C34" w:rsidRDefault="00E91002" w:rsidP="00E92EDB">
            <w:pPr>
              <w:pStyle w:val="Tabletext1"/>
            </w:pPr>
            <w:r w:rsidRPr="00592C34">
              <w:t xml:space="preserve">Per trial arm </w:t>
            </w:r>
          </w:p>
        </w:tc>
        <w:tc>
          <w:tcPr>
            <w:tcW w:w="1456" w:type="dxa"/>
          </w:tcPr>
          <w:p w14:paraId="7CD0F7FD" w14:textId="77777777" w:rsidR="00E91002" w:rsidRPr="00592C34" w:rsidRDefault="00E91002" w:rsidP="00DA49F2">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cstheme="minorHAnsi"/>
              </w:rPr>
            </w:pPr>
          </w:p>
        </w:tc>
        <w:tc>
          <w:tcPr>
            <w:tcW w:w="1457" w:type="dxa"/>
          </w:tcPr>
          <w:p w14:paraId="77C69D9E" w14:textId="77777777" w:rsidR="00E91002" w:rsidRPr="00592C34" w:rsidRDefault="00E91002" w:rsidP="00DA49F2">
            <w:pPr>
              <w:pStyle w:val="Tabletext1"/>
              <w:jc w:val="right"/>
              <w:cnfStyle w:val="000000100000" w:firstRow="0" w:lastRow="0" w:firstColumn="0" w:lastColumn="0" w:oddVBand="0" w:evenVBand="0" w:oddHBand="1" w:evenHBand="0" w:firstRowFirstColumn="0" w:firstRowLastColumn="0" w:lastRowFirstColumn="0" w:lastRowLastColumn="0"/>
            </w:pPr>
            <w:r>
              <w:t>$</w:t>
            </w:r>
            <w:r w:rsidRPr="004362B7">
              <w:t>27</w:t>
            </w:r>
            <w:r>
              <w:t>,921</w:t>
            </w:r>
          </w:p>
        </w:tc>
        <w:tc>
          <w:tcPr>
            <w:tcW w:w="1520" w:type="dxa"/>
          </w:tcPr>
          <w:p w14:paraId="1999A838" w14:textId="77777777" w:rsidR="00E91002" w:rsidRPr="00592C34" w:rsidRDefault="00E91002" w:rsidP="00DA49F2">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cstheme="minorHAnsi"/>
              </w:rPr>
            </w:pPr>
          </w:p>
        </w:tc>
        <w:tc>
          <w:tcPr>
            <w:tcW w:w="1425" w:type="dxa"/>
          </w:tcPr>
          <w:p w14:paraId="36D71C86" w14:textId="77777777" w:rsidR="00E91002" w:rsidRPr="00592C34" w:rsidRDefault="00E91002" w:rsidP="00DA49F2">
            <w:pPr>
              <w:pStyle w:val="Tabletext1"/>
              <w:jc w:val="right"/>
              <w:cnfStyle w:val="000000100000" w:firstRow="0" w:lastRow="0" w:firstColumn="0" w:lastColumn="0" w:oddVBand="0" w:evenVBand="0" w:oddHBand="1" w:evenHBand="0" w:firstRowFirstColumn="0" w:firstRowLastColumn="0" w:lastRowFirstColumn="0" w:lastRowLastColumn="0"/>
            </w:pPr>
            <w:r>
              <w:t>$</w:t>
            </w:r>
            <w:r w:rsidRPr="004362B7">
              <w:t>17</w:t>
            </w:r>
            <w:r>
              <w:t>,</w:t>
            </w:r>
            <w:r w:rsidRPr="004362B7">
              <w:t>479</w:t>
            </w:r>
          </w:p>
        </w:tc>
        <w:tc>
          <w:tcPr>
            <w:tcW w:w="1217" w:type="dxa"/>
          </w:tcPr>
          <w:p w14:paraId="756E12A6" w14:textId="77777777" w:rsidR="00E91002" w:rsidRPr="00592C34" w:rsidRDefault="00E91002" w:rsidP="00DA49F2">
            <w:pPr>
              <w:pStyle w:val="Tabletext1"/>
              <w:jc w:val="right"/>
              <w:cnfStyle w:val="000000100000" w:firstRow="0" w:lastRow="0" w:firstColumn="0" w:lastColumn="0" w:oddVBand="0" w:evenVBand="0" w:oddHBand="1" w:evenHBand="0" w:firstRowFirstColumn="0" w:firstRowLastColumn="0" w:lastRowFirstColumn="0" w:lastRowLastColumn="0"/>
            </w:pPr>
            <w:r>
              <w:t>$</w:t>
            </w:r>
            <w:r w:rsidRPr="004362B7">
              <w:t>10</w:t>
            </w:r>
            <w:r>
              <w:t>,44</w:t>
            </w:r>
            <w:r w:rsidRPr="004362B7">
              <w:t>2</w:t>
            </w:r>
          </w:p>
        </w:tc>
      </w:tr>
      <w:tr w:rsidR="00E91002" w:rsidRPr="00592C34" w14:paraId="7EE12973" w14:textId="77777777" w:rsidTr="00E92EDB">
        <w:tc>
          <w:tcPr>
            <w:cnfStyle w:val="001000000000" w:firstRow="0" w:lastRow="0" w:firstColumn="1" w:lastColumn="0" w:oddVBand="0" w:evenVBand="0" w:oddHBand="0" w:evenHBand="0" w:firstRowFirstColumn="0" w:firstRowLastColumn="0" w:lastRowFirstColumn="0" w:lastRowLastColumn="0"/>
            <w:tcW w:w="1941" w:type="dxa"/>
          </w:tcPr>
          <w:p w14:paraId="7A3521DA" w14:textId="77777777" w:rsidR="00E91002" w:rsidRPr="00592C34" w:rsidRDefault="00E91002" w:rsidP="00E92EDB">
            <w:pPr>
              <w:pStyle w:val="Tabletext1"/>
            </w:pPr>
            <w:r w:rsidRPr="00592C34">
              <w:t>Av cost per person</w:t>
            </w:r>
          </w:p>
        </w:tc>
        <w:tc>
          <w:tcPr>
            <w:tcW w:w="1456" w:type="dxa"/>
          </w:tcPr>
          <w:p w14:paraId="6360A2C7" w14:textId="77777777" w:rsidR="00E91002" w:rsidRPr="00592C34" w:rsidRDefault="00E91002" w:rsidP="00DA49F2">
            <w:pPr>
              <w:pStyle w:val="Tabletext1"/>
              <w:jc w:val="right"/>
              <w:cnfStyle w:val="000000000000" w:firstRow="0" w:lastRow="0" w:firstColumn="0" w:lastColumn="0" w:oddVBand="0" w:evenVBand="0" w:oddHBand="0" w:evenHBand="0" w:firstRowFirstColumn="0" w:firstRowLastColumn="0" w:lastRowFirstColumn="0" w:lastRowLastColumn="0"/>
            </w:pPr>
            <w:r>
              <w:t xml:space="preserve">120 </w:t>
            </w:r>
            <w:r w:rsidRPr="00592C34">
              <w:t>people</w:t>
            </w:r>
          </w:p>
        </w:tc>
        <w:tc>
          <w:tcPr>
            <w:tcW w:w="1457" w:type="dxa"/>
          </w:tcPr>
          <w:p w14:paraId="0D518C6E" w14:textId="77777777" w:rsidR="00E91002" w:rsidRPr="00592C34" w:rsidRDefault="00E91002" w:rsidP="00DA49F2">
            <w:pPr>
              <w:pStyle w:val="Tabletext1"/>
              <w:jc w:val="right"/>
              <w:cnfStyle w:val="000000000000" w:firstRow="0" w:lastRow="0" w:firstColumn="0" w:lastColumn="0" w:oddVBand="0" w:evenVBand="0" w:oddHBand="0" w:evenHBand="0" w:firstRowFirstColumn="0" w:firstRowLastColumn="0" w:lastRowFirstColumn="0" w:lastRowLastColumn="0"/>
            </w:pPr>
            <w:r w:rsidRPr="00592C34">
              <w:t>$</w:t>
            </w:r>
            <w:r>
              <w:t>233</w:t>
            </w:r>
          </w:p>
        </w:tc>
        <w:tc>
          <w:tcPr>
            <w:tcW w:w="1520" w:type="dxa"/>
          </w:tcPr>
          <w:p w14:paraId="0C850D2A" w14:textId="77777777" w:rsidR="00E91002" w:rsidRPr="00592C34" w:rsidRDefault="00E91002" w:rsidP="00DA49F2">
            <w:pPr>
              <w:pStyle w:val="Tabletext1"/>
              <w:jc w:val="right"/>
              <w:cnfStyle w:val="000000000000" w:firstRow="0" w:lastRow="0" w:firstColumn="0" w:lastColumn="0" w:oddVBand="0" w:evenVBand="0" w:oddHBand="0" w:evenHBand="0" w:firstRowFirstColumn="0" w:firstRowLastColumn="0" w:lastRowFirstColumn="0" w:lastRowLastColumn="0"/>
            </w:pPr>
            <w:r>
              <w:t xml:space="preserve">128 </w:t>
            </w:r>
            <w:r w:rsidRPr="00592C34">
              <w:t>people</w:t>
            </w:r>
          </w:p>
        </w:tc>
        <w:tc>
          <w:tcPr>
            <w:tcW w:w="1425" w:type="dxa"/>
          </w:tcPr>
          <w:p w14:paraId="6756B662" w14:textId="77777777" w:rsidR="00E91002" w:rsidRPr="00592C34" w:rsidRDefault="00E91002" w:rsidP="00DA49F2">
            <w:pPr>
              <w:pStyle w:val="Tabletext1"/>
              <w:jc w:val="right"/>
              <w:cnfStyle w:val="000000000000" w:firstRow="0" w:lastRow="0" w:firstColumn="0" w:lastColumn="0" w:oddVBand="0" w:evenVBand="0" w:oddHBand="0" w:evenHBand="0" w:firstRowFirstColumn="0" w:firstRowLastColumn="0" w:lastRowFirstColumn="0" w:lastRowLastColumn="0"/>
            </w:pPr>
            <w:r w:rsidRPr="00592C34">
              <w:t>$</w:t>
            </w:r>
            <w:r>
              <w:t>137</w:t>
            </w:r>
          </w:p>
        </w:tc>
        <w:tc>
          <w:tcPr>
            <w:tcW w:w="1217" w:type="dxa"/>
          </w:tcPr>
          <w:p w14:paraId="049FBB4D" w14:textId="77777777" w:rsidR="00E91002" w:rsidRPr="00592C34" w:rsidRDefault="00E91002" w:rsidP="00DA49F2">
            <w:pPr>
              <w:pStyle w:val="Tabletext1"/>
              <w:jc w:val="right"/>
              <w:cnfStyle w:val="000000000000" w:firstRow="0" w:lastRow="0" w:firstColumn="0" w:lastColumn="0" w:oddVBand="0" w:evenVBand="0" w:oddHBand="0" w:evenHBand="0" w:firstRowFirstColumn="0" w:firstRowLastColumn="0" w:lastRowFirstColumn="0" w:lastRowLastColumn="0"/>
            </w:pPr>
            <w:r w:rsidRPr="00592C34">
              <w:t>-$</w:t>
            </w:r>
            <w:r>
              <w:t>96</w:t>
            </w:r>
          </w:p>
        </w:tc>
      </w:tr>
      <w:tr w:rsidR="00E91002" w:rsidRPr="00592C34" w14:paraId="39F9D0BB" w14:textId="77777777" w:rsidTr="00E92E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1" w:type="dxa"/>
          </w:tcPr>
          <w:p w14:paraId="1F000EA0" w14:textId="77777777" w:rsidR="00E91002" w:rsidRPr="00592C34" w:rsidRDefault="00E91002" w:rsidP="00E92EDB">
            <w:pPr>
              <w:pStyle w:val="Tabletext1"/>
            </w:pPr>
            <w:r w:rsidRPr="00592C34">
              <w:t>Av cost per day</w:t>
            </w:r>
          </w:p>
        </w:tc>
        <w:tc>
          <w:tcPr>
            <w:tcW w:w="1456" w:type="dxa"/>
          </w:tcPr>
          <w:p w14:paraId="603DCEB0" w14:textId="77777777" w:rsidR="00E91002" w:rsidRPr="00592C34" w:rsidRDefault="00E91002" w:rsidP="00DA49F2">
            <w:pPr>
              <w:pStyle w:val="Tabletext1"/>
              <w:jc w:val="right"/>
              <w:cnfStyle w:val="000000100000" w:firstRow="0" w:lastRow="0" w:firstColumn="0" w:lastColumn="0" w:oddVBand="0" w:evenVBand="0" w:oddHBand="1" w:evenHBand="0" w:firstRowFirstColumn="0" w:firstRowLastColumn="0" w:lastRowFirstColumn="0" w:lastRowLastColumn="0"/>
            </w:pPr>
            <w:r w:rsidRPr="00423B0A">
              <w:t>39</w:t>
            </w:r>
            <w:r>
              <w:t>,</w:t>
            </w:r>
            <w:r w:rsidRPr="00423B0A">
              <w:t>212</w:t>
            </w:r>
            <w:r>
              <w:t xml:space="preserve"> </w:t>
            </w:r>
            <w:r w:rsidRPr="00592C34">
              <w:t>days</w:t>
            </w:r>
          </w:p>
        </w:tc>
        <w:tc>
          <w:tcPr>
            <w:tcW w:w="1457" w:type="dxa"/>
          </w:tcPr>
          <w:p w14:paraId="3E2F297A" w14:textId="77777777" w:rsidR="00E91002" w:rsidRPr="00592C34" w:rsidRDefault="00E91002" w:rsidP="00DA49F2">
            <w:pPr>
              <w:pStyle w:val="Tabletext1"/>
              <w:jc w:val="right"/>
              <w:cnfStyle w:val="000000100000" w:firstRow="0" w:lastRow="0" w:firstColumn="0" w:lastColumn="0" w:oddVBand="0" w:evenVBand="0" w:oddHBand="1" w:evenHBand="0" w:firstRowFirstColumn="0" w:firstRowLastColumn="0" w:lastRowFirstColumn="0" w:lastRowLastColumn="0"/>
            </w:pPr>
            <w:r w:rsidRPr="00592C34">
              <w:t>$</w:t>
            </w:r>
            <w:r>
              <w:t>0.71</w:t>
            </w:r>
          </w:p>
        </w:tc>
        <w:tc>
          <w:tcPr>
            <w:tcW w:w="1520" w:type="dxa"/>
          </w:tcPr>
          <w:p w14:paraId="32570A9B" w14:textId="77777777" w:rsidR="00E91002" w:rsidRPr="00592C34" w:rsidRDefault="00E91002" w:rsidP="00DA49F2">
            <w:pPr>
              <w:pStyle w:val="Tabletext1"/>
              <w:jc w:val="right"/>
              <w:cnfStyle w:val="000000100000" w:firstRow="0" w:lastRow="0" w:firstColumn="0" w:lastColumn="0" w:oddVBand="0" w:evenVBand="0" w:oddHBand="1" w:evenHBand="0" w:firstRowFirstColumn="0" w:firstRowLastColumn="0" w:lastRowFirstColumn="0" w:lastRowLastColumn="0"/>
            </w:pPr>
            <w:r w:rsidRPr="00423B0A">
              <w:t>44</w:t>
            </w:r>
            <w:r>
              <w:t>,</w:t>
            </w:r>
            <w:r w:rsidRPr="00423B0A">
              <w:t>071</w:t>
            </w:r>
            <w:r w:rsidRPr="00592C34">
              <w:t>days</w:t>
            </w:r>
          </w:p>
        </w:tc>
        <w:tc>
          <w:tcPr>
            <w:tcW w:w="1425" w:type="dxa"/>
          </w:tcPr>
          <w:p w14:paraId="503EBB9E" w14:textId="77777777" w:rsidR="00E91002" w:rsidRPr="00592C34" w:rsidRDefault="00E91002" w:rsidP="00DA49F2">
            <w:pPr>
              <w:pStyle w:val="Tabletext1"/>
              <w:jc w:val="right"/>
              <w:cnfStyle w:val="000000100000" w:firstRow="0" w:lastRow="0" w:firstColumn="0" w:lastColumn="0" w:oddVBand="0" w:evenVBand="0" w:oddHBand="1" w:evenHBand="0" w:firstRowFirstColumn="0" w:firstRowLastColumn="0" w:lastRowFirstColumn="0" w:lastRowLastColumn="0"/>
            </w:pPr>
            <w:r w:rsidRPr="00592C34">
              <w:t>$</w:t>
            </w:r>
            <w:r>
              <w:t>0.40</w:t>
            </w:r>
          </w:p>
        </w:tc>
        <w:tc>
          <w:tcPr>
            <w:tcW w:w="1217" w:type="dxa"/>
          </w:tcPr>
          <w:p w14:paraId="11B0780A" w14:textId="77777777" w:rsidR="00E91002" w:rsidRPr="00592C34" w:rsidRDefault="00E91002" w:rsidP="00DA49F2">
            <w:pPr>
              <w:pStyle w:val="Tabletext1"/>
              <w:jc w:val="right"/>
              <w:cnfStyle w:val="000000100000" w:firstRow="0" w:lastRow="0" w:firstColumn="0" w:lastColumn="0" w:oddVBand="0" w:evenVBand="0" w:oddHBand="1" w:evenHBand="0" w:firstRowFirstColumn="0" w:firstRowLastColumn="0" w:lastRowFirstColumn="0" w:lastRowLastColumn="0"/>
            </w:pPr>
            <w:r w:rsidRPr="00592C34">
              <w:t>$</w:t>
            </w:r>
            <w:r>
              <w:t>0</w:t>
            </w:r>
            <w:r w:rsidRPr="00592C34">
              <w:t>.</w:t>
            </w:r>
            <w:r>
              <w:t>3</w:t>
            </w:r>
            <w:r w:rsidRPr="00592C34">
              <w:t>2</w:t>
            </w:r>
          </w:p>
        </w:tc>
      </w:tr>
      <w:tr w:rsidR="00E91002" w:rsidRPr="00DA49F2" w14:paraId="38B603CF" w14:textId="77777777" w:rsidTr="00DA49F2">
        <w:tc>
          <w:tcPr>
            <w:cnfStyle w:val="001000000000" w:firstRow="0" w:lastRow="0" w:firstColumn="1" w:lastColumn="0" w:oddVBand="0" w:evenVBand="0" w:oddHBand="0" w:evenHBand="0" w:firstRowFirstColumn="0" w:firstRowLastColumn="0" w:lastRowFirstColumn="0" w:lastRowLastColumn="0"/>
            <w:tcW w:w="1941" w:type="dxa"/>
            <w:shd w:val="clear" w:color="auto" w:fill="E7E6E6" w:themeFill="background2"/>
          </w:tcPr>
          <w:p w14:paraId="3FC95925" w14:textId="77777777" w:rsidR="00E91002" w:rsidRPr="00DA49F2" w:rsidRDefault="00E91002" w:rsidP="00E92EDB">
            <w:pPr>
              <w:pStyle w:val="Tabletext1"/>
            </w:pPr>
            <w:r w:rsidRPr="00DA49F2">
              <w:t>Av cost per year (adj)</w:t>
            </w:r>
          </w:p>
        </w:tc>
        <w:tc>
          <w:tcPr>
            <w:tcW w:w="1456" w:type="dxa"/>
            <w:shd w:val="clear" w:color="auto" w:fill="E7E6E6" w:themeFill="background2"/>
          </w:tcPr>
          <w:p w14:paraId="2A6DB7A9" w14:textId="77777777" w:rsidR="00E91002" w:rsidRPr="00DA49F2" w:rsidRDefault="00E91002" w:rsidP="00DA49F2">
            <w:pPr>
              <w:pStyle w:val="Tabletext1"/>
              <w:jc w:val="right"/>
              <w:cnfStyle w:val="000000000000" w:firstRow="0" w:lastRow="0" w:firstColumn="0" w:lastColumn="0" w:oddVBand="0" w:evenVBand="0" w:oddHBand="0" w:evenHBand="0" w:firstRowFirstColumn="0" w:firstRowLastColumn="0" w:lastRowFirstColumn="0" w:lastRowLastColumn="0"/>
              <w:rPr>
                <w:rFonts w:ascii="Arial Narrow" w:hAnsi="Arial Narrow" w:cstheme="minorHAnsi"/>
                <w:b/>
                <w:bCs/>
                <w:color w:val="000000"/>
              </w:rPr>
            </w:pPr>
          </w:p>
        </w:tc>
        <w:tc>
          <w:tcPr>
            <w:tcW w:w="1457" w:type="dxa"/>
            <w:shd w:val="clear" w:color="auto" w:fill="E7E6E6" w:themeFill="background2"/>
          </w:tcPr>
          <w:p w14:paraId="4E2B925B" w14:textId="77777777" w:rsidR="00E91002" w:rsidRPr="00DA49F2" w:rsidRDefault="00E91002" w:rsidP="00DA49F2">
            <w:pPr>
              <w:pStyle w:val="Tabletext1"/>
              <w:jc w:val="right"/>
              <w:cnfStyle w:val="000000000000" w:firstRow="0" w:lastRow="0" w:firstColumn="0" w:lastColumn="0" w:oddVBand="0" w:evenVBand="0" w:oddHBand="0" w:evenHBand="0" w:firstRowFirstColumn="0" w:firstRowLastColumn="0" w:lastRowFirstColumn="0" w:lastRowLastColumn="0"/>
              <w:rPr>
                <w:b/>
                <w:bCs/>
              </w:rPr>
            </w:pPr>
            <w:r w:rsidRPr="00DA49F2">
              <w:rPr>
                <w:b/>
                <w:bCs/>
              </w:rPr>
              <w:t>$260</w:t>
            </w:r>
          </w:p>
        </w:tc>
        <w:tc>
          <w:tcPr>
            <w:tcW w:w="1520" w:type="dxa"/>
            <w:shd w:val="clear" w:color="auto" w:fill="E7E6E6" w:themeFill="background2"/>
          </w:tcPr>
          <w:p w14:paraId="789A7D3B" w14:textId="77777777" w:rsidR="00E91002" w:rsidRPr="00DA49F2" w:rsidRDefault="00E91002" w:rsidP="00DA49F2">
            <w:pPr>
              <w:pStyle w:val="Tabletext1"/>
              <w:jc w:val="right"/>
              <w:cnfStyle w:val="000000000000" w:firstRow="0" w:lastRow="0" w:firstColumn="0" w:lastColumn="0" w:oddVBand="0" w:evenVBand="0" w:oddHBand="0" w:evenHBand="0" w:firstRowFirstColumn="0" w:firstRowLastColumn="0" w:lastRowFirstColumn="0" w:lastRowLastColumn="0"/>
              <w:rPr>
                <w:rFonts w:ascii="Arial Narrow" w:hAnsi="Arial Narrow" w:cstheme="minorHAnsi"/>
                <w:b/>
                <w:bCs/>
                <w:color w:val="000000"/>
              </w:rPr>
            </w:pPr>
          </w:p>
        </w:tc>
        <w:tc>
          <w:tcPr>
            <w:tcW w:w="1425" w:type="dxa"/>
            <w:shd w:val="clear" w:color="auto" w:fill="E7E6E6" w:themeFill="background2"/>
          </w:tcPr>
          <w:p w14:paraId="59C327E9" w14:textId="77777777" w:rsidR="00E91002" w:rsidRPr="00DA49F2" w:rsidRDefault="00E91002" w:rsidP="00DA49F2">
            <w:pPr>
              <w:pStyle w:val="Tabletext1"/>
              <w:jc w:val="right"/>
              <w:cnfStyle w:val="000000000000" w:firstRow="0" w:lastRow="0" w:firstColumn="0" w:lastColumn="0" w:oddVBand="0" w:evenVBand="0" w:oddHBand="0" w:evenHBand="0" w:firstRowFirstColumn="0" w:firstRowLastColumn="0" w:lastRowFirstColumn="0" w:lastRowLastColumn="0"/>
              <w:rPr>
                <w:b/>
                <w:bCs/>
              </w:rPr>
            </w:pPr>
            <w:r w:rsidRPr="00DA49F2">
              <w:rPr>
                <w:b/>
                <w:bCs/>
              </w:rPr>
              <w:t>$145</w:t>
            </w:r>
          </w:p>
        </w:tc>
        <w:tc>
          <w:tcPr>
            <w:tcW w:w="1217" w:type="dxa"/>
            <w:shd w:val="clear" w:color="auto" w:fill="E7E6E6" w:themeFill="background2"/>
          </w:tcPr>
          <w:p w14:paraId="2EDEE9A4" w14:textId="77777777" w:rsidR="00E91002" w:rsidRPr="00DA49F2" w:rsidRDefault="00E91002" w:rsidP="00DA49F2">
            <w:pPr>
              <w:pStyle w:val="Tabletext1"/>
              <w:jc w:val="right"/>
              <w:cnfStyle w:val="000000000000" w:firstRow="0" w:lastRow="0" w:firstColumn="0" w:lastColumn="0" w:oddVBand="0" w:evenVBand="0" w:oddHBand="0" w:evenHBand="0" w:firstRowFirstColumn="0" w:firstRowLastColumn="0" w:lastRowFirstColumn="0" w:lastRowLastColumn="0"/>
              <w:rPr>
                <w:b/>
                <w:bCs/>
              </w:rPr>
            </w:pPr>
            <w:r w:rsidRPr="00DA49F2">
              <w:rPr>
                <w:b/>
                <w:bCs/>
              </w:rPr>
              <w:t>$115</w:t>
            </w:r>
          </w:p>
        </w:tc>
      </w:tr>
    </w:tbl>
    <w:p w14:paraId="39BCDDC3" w14:textId="272CE438" w:rsidR="00412D53" w:rsidRDefault="00A648B6" w:rsidP="00897C5B">
      <w:pPr>
        <w:pStyle w:val="Caption"/>
      </w:pPr>
      <w:r>
        <w:t>Table D-12</w:t>
      </w:r>
      <w:r w:rsidR="00E91002">
        <w:t>:</w:t>
      </w:r>
      <w:r w:rsidR="00E91002" w:rsidRPr="00592C34">
        <w:t xml:space="preserve"> </w:t>
      </w:r>
      <w:r w:rsidR="00E91002">
        <w:t>Allied health services</w:t>
      </w:r>
      <w:r w:rsidR="00E91002" w:rsidRPr="00592C34">
        <w:t xml:space="preserve"> costs in each arm of the study</w:t>
      </w:r>
    </w:p>
    <w:p w14:paraId="1D945935" w14:textId="77777777" w:rsidR="00412D53" w:rsidRPr="00183E4D" w:rsidRDefault="00412D53" w:rsidP="00897C5B">
      <w:pPr>
        <w:pStyle w:val="Heading3"/>
      </w:pPr>
      <w:bookmarkStart w:id="245" w:name="_Toc395200803"/>
      <w:bookmarkStart w:id="246" w:name="_Toc445464052"/>
      <w:bookmarkStart w:id="247" w:name="_Toc117758275"/>
      <w:r>
        <w:t xml:space="preserve">Cost and </w:t>
      </w:r>
      <w:r w:rsidRPr="00183E4D">
        <w:t>Incremental cost</w:t>
      </w:r>
      <w:r>
        <w:t xml:space="preserve"> analysis</w:t>
      </w:r>
      <w:bookmarkEnd w:id="245"/>
      <w:bookmarkEnd w:id="246"/>
      <w:bookmarkEnd w:id="247"/>
    </w:p>
    <w:p w14:paraId="2CBE581A" w14:textId="6EC1F88C" w:rsidR="00412D53" w:rsidRPr="00895946" w:rsidRDefault="00412D53" w:rsidP="007501B9">
      <w:pPr>
        <w:rPr>
          <w:rFonts w:ascii="Arial Narrow" w:hAnsi="Arial Narrow"/>
          <w:b/>
          <w:bCs/>
          <w:sz w:val="20"/>
        </w:rPr>
      </w:pPr>
      <w:r w:rsidRPr="000E3D77">
        <w:t xml:space="preserve">For the base case analysis, the average per </w:t>
      </w:r>
      <w:r>
        <w:t>resident</w:t>
      </w:r>
      <w:r w:rsidRPr="000E3D77">
        <w:t xml:space="preserve"> </w:t>
      </w:r>
      <w:r>
        <w:t xml:space="preserve">healthcare costs adjusted to equally reflect </w:t>
      </w:r>
      <w:r w:rsidRPr="000E3D77">
        <w:t>12 month</w:t>
      </w:r>
      <w:r>
        <w:t>s</w:t>
      </w:r>
      <w:r w:rsidRPr="000E3D77">
        <w:t xml:space="preserve"> </w:t>
      </w:r>
      <w:r>
        <w:t>of survival in each arm (as calculated in the disaggregated results above) is shown below</w:t>
      </w:r>
      <w:r w:rsidR="00A648B6">
        <w:t xml:space="preserve"> (Table D-13)</w:t>
      </w:r>
      <w:r>
        <w:t>, with the incremental cost difference between arms shown for each resource and calculated for the total healthcare costs</w:t>
      </w:r>
      <w:r w:rsidR="007501B9">
        <w:t xml:space="preserve">. </w:t>
      </w:r>
      <w:r>
        <w:t>The base case analysis includes pharmacist intervention costs, PBS costs, MBS costs</w:t>
      </w:r>
      <w:r w:rsidR="00A61188">
        <w:t>,</w:t>
      </w:r>
      <w:r>
        <w:t xml:space="preserve"> and inpatient</w:t>
      </w:r>
      <w:r w:rsidR="00A61188">
        <w:t xml:space="preserve"> and emergency department </w:t>
      </w:r>
      <w:r>
        <w:t xml:space="preserve">hospitalisation costs based on the more reliable SA Health </w:t>
      </w:r>
      <w:proofErr w:type="gramStart"/>
      <w:r>
        <w:t>data</w:t>
      </w:r>
      <w:r w:rsidR="00E8095F">
        <w:t>,</w:t>
      </w:r>
      <w:r w:rsidR="00E8095F" w:rsidRPr="00E8095F">
        <w:t xml:space="preserve"> and</w:t>
      </w:r>
      <w:proofErr w:type="gramEnd"/>
      <w:r w:rsidR="00E8095F" w:rsidRPr="00E8095F">
        <w:t xml:space="preserve"> identified a net total incremental healthcare cost of $1,841 per resident over 12 months associated with the intervention arm.</w:t>
      </w:r>
    </w:p>
    <w:tbl>
      <w:tblPr>
        <w:tblStyle w:val="ListTable3"/>
        <w:tblW w:w="4950" w:type="pct"/>
        <w:tblLayout w:type="fixed"/>
        <w:tblLook w:val="04A0" w:firstRow="1" w:lastRow="0" w:firstColumn="1" w:lastColumn="0" w:noHBand="0" w:noVBand="1"/>
        <w:tblCaption w:val="Average healthcare costs per patient over 12 months for each study arm (adjusted trial-based cost analysis): base case "/>
        <w:tblDescription w:val="Average healthcare costs per patient over 12 months for each study arm (adjusted trial-based cost analysis): base case "/>
      </w:tblPr>
      <w:tblGrid>
        <w:gridCol w:w="2830"/>
        <w:gridCol w:w="2032"/>
        <w:gridCol w:w="2032"/>
        <w:gridCol w:w="2032"/>
      </w:tblGrid>
      <w:tr w:rsidR="00412D53" w:rsidRPr="00DA49F2" w14:paraId="17611A38" w14:textId="77777777" w:rsidTr="00DA49F2">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1585" w:type="pct"/>
          </w:tcPr>
          <w:p w14:paraId="1D469F4F" w14:textId="77777777" w:rsidR="00412D53" w:rsidRPr="00DA49F2" w:rsidRDefault="00412D53" w:rsidP="00DA49F2">
            <w:pPr>
              <w:pStyle w:val="TableHeader"/>
              <w:rPr>
                <w:b/>
                <w:bCs w:val="0"/>
              </w:rPr>
            </w:pPr>
            <w:bookmarkStart w:id="248" w:name="ColumnTitle_2851"/>
            <w:r w:rsidRPr="00DA49F2">
              <w:rPr>
                <w:b/>
                <w:bCs w:val="0"/>
              </w:rPr>
              <w:t>Descriptor</w:t>
            </w:r>
            <w:bookmarkStart w:id="249" w:name="ColumnTitle_29"/>
            <w:bookmarkEnd w:id="249"/>
          </w:p>
        </w:tc>
        <w:tc>
          <w:tcPr>
            <w:tcW w:w="1138" w:type="pct"/>
            <w:noWrap/>
          </w:tcPr>
          <w:p w14:paraId="395A6694" w14:textId="30A018CA" w:rsidR="00412D53" w:rsidRPr="00DA49F2" w:rsidRDefault="00412D53" w:rsidP="00DA49F2">
            <w:pPr>
              <w:pStyle w:val="TableHeader"/>
              <w:cnfStyle w:val="100000000000" w:firstRow="1" w:lastRow="0" w:firstColumn="0" w:lastColumn="0" w:oddVBand="0" w:evenVBand="0" w:oddHBand="0" w:evenHBand="0" w:firstRowFirstColumn="0" w:firstRowLastColumn="0" w:lastRowFirstColumn="0" w:lastRowLastColumn="0"/>
              <w:rPr>
                <w:b/>
                <w:bCs w:val="0"/>
              </w:rPr>
            </w:pPr>
            <w:r w:rsidRPr="00DA49F2">
              <w:rPr>
                <w:b/>
                <w:bCs w:val="0"/>
              </w:rPr>
              <w:t>Intervention</w:t>
            </w:r>
          </w:p>
        </w:tc>
        <w:tc>
          <w:tcPr>
            <w:tcW w:w="1138" w:type="pct"/>
            <w:noWrap/>
          </w:tcPr>
          <w:p w14:paraId="5C1DFD2D" w14:textId="69A90465" w:rsidR="00412D53" w:rsidRPr="00DA49F2" w:rsidRDefault="00E91002" w:rsidP="00DA49F2">
            <w:pPr>
              <w:pStyle w:val="TableHeader"/>
              <w:cnfStyle w:val="100000000000" w:firstRow="1" w:lastRow="0" w:firstColumn="0" w:lastColumn="0" w:oddVBand="0" w:evenVBand="0" w:oddHBand="0" w:evenHBand="0" w:firstRowFirstColumn="0" w:firstRowLastColumn="0" w:lastRowFirstColumn="0" w:lastRowLastColumn="0"/>
              <w:rPr>
                <w:b/>
                <w:bCs w:val="0"/>
              </w:rPr>
            </w:pPr>
            <w:r w:rsidRPr="00DA49F2">
              <w:rPr>
                <w:b/>
                <w:bCs w:val="0"/>
              </w:rPr>
              <w:t>Control</w:t>
            </w:r>
          </w:p>
        </w:tc>
        <w:tc>
          <w:tcPr>
            <w:tcW w:w="1138" w:type="pct"/>
          </w:tcPr>
          <w:p w14:paraId="05869725" w14:textId="77777777" w:rsidR="00412D53" w:rsidRPr="00DA49F2" w:rsidRDefault="00412D53" w:rsidP="00DA49F2">
            <w:pPr>
              <w:pStyle w:val="TableHeader"/>
              <w:cnfStyle w:val="100000000000" w:firstRow="1" w:lastRow="0" w:firstColumn="0" w:lastColumn="0" w:oddVBand="0" w:evenVBand="0" w:oddHBand="0" w:evenHBand="0" w:firstRowFirstColumn="0" w:firstRowLastColumn="0" w:lastRowFirstColumn="0" w:lastRowLastColumn="0"/>
              <w:rPr>
                <w:b/>
                <w:bCs w:val="0"/>
              </w:rPr>
            </w:pPr>
            <w:r w:rsidRPr="00DA49F2">
              <w:rPr>
                <w:b/>
                <w:bCs w:val="0"/>
              </w:rPr>
              <w:t>Increment</w:t>
            </w:r>
          </w:p>
        </w:tc>
      </w:tr>
      <w:bookmarkEnd w:id="248"/>
      <w:tr w:rsidR="00412D53" w:rsidRPr="00E91002" w14:paraId="3F0EAF83" w14:textId="77777777" w:rsidTr="00DA49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5" w:type="pct"/>
          </w:tcPr>
          <w:p w14:paraId="03379D88" w14:textId="77777777" w:rsidR="00412D53" w:rsidRPr="00DA49F2" w:rsidRDefault="00412D53" w:rsidP="00DA49F2">
            <w:pPr>
              <w:pStyle w:val="Tabletext1"/>
              <w:rPr>
                <w:b w:val="0"/>
                <w:bCs w:val="0"/>
              </w:rPr>
            </w:pPr>
            <w:r w:rsidRPr="00DA49F2">
              <w:rPr>
                <w:b w:val="0"/>
                <w:bCs w:val="0"/>
              </w:rPr>
              <w:t>Proposed pharmacist review</w:t>
            </w:r>
          </w:p>
        </w:tc>
        <w:tc>
          <w:tcPr>
            <w:tcW w:w="1138" w:type="pct"/>
            <w:noWrap/>
          </w:tcPr>
          <w:p w14:paraId="07A30CF4" w14:textId="77777777" w:rsidR="00412D53" w:rsidRPr="00E91002" w:rsidRDefault="00412D53" w:rsidP="00DA49F2">
            <w:pPr>
              <w:pStyle w:val="Tabletext1"/>
              <w:jc w:val="right"/>
              <w:cnfStyle w:val="000000100000" w:firstRow="0" w:lastRow="0" w:firstColumn="0" w:lastColumn="0" w:oddVBand="0" w:evenVBand="0" w:oddHBand="1" w:evenHBand="0" w:firstRowFirstColumn="0" w:firstRowLastColumn="0" w:lastRowFirstColumn="0" w:lastRowLastColumn="0"/>
            </w:pPr>
            <w:r w:rsidRPr="00E91002">
              <w:t>$586</w:t>
            </w:r>
          </w:p>
        </w:tc>
        <w:tc>
          <w:tcPr>
            <w:tcW w:w="1138" w:type="pct"/>
            <w:noWrap/>
          </w:tcPr>
          <w:p w14:paraId="15349602" w14:textId="77777777" w:rsidR="00412D53" w:rsidRPr="00E91002" w:rsidRDefault="00412D53" w:rsidP="00DA49F2">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rPr>
            </w:pPr>
          </w:p>
        </w:tc>
        <w:tc>
          <w:tcPr>
            <w:tcW w:w="1138" w:type="pct"/>
          </w:tcPr>
          <w:p w14:paraId="1D6B7906" w14:textId="77777777" w:rsidR="00412D53" w:rsidRPr="00E91002" w:rsidRDefault="00412D53" w:rsidP="00DA49F2">
            <w:pPr>
              <w:pStyle w:val="Tabletext1"/>
              <w:jc w:val="right"/>
              <w:cnfStyle w:val="000000100000" w:firstRow="0" w:lastRow="0" w:firstColumn="0" w:lastColumn="0" w:oddVBand="0" w:evenVBand="0" w:oddHBand="1" w:evenHBand="0" w:firstRowFirstColumn="0" w:firstRowLastColumn="0" w:lastRowFirstColumn="0" w:lastRowLastColumn="0"/>
            </w:pPr>
            <w:r w:rsidRPr="00E91002">
              <w:t>$586</w:t>
            </w:r>
          </w:p>
        </w:tc>
      </w:tr>
      <w:tr w:rsidR="00412D53" w:rsidRPr="00E91002" w14:paraId="5199291C" w14:textId="77777777" w:rsidTr="00DA49F2">
        <w:trPr>
          <w:trHeight w:val="300"/>
        </w:trPr>
        <w:tc>
          <w:tcPr>
            <w:cnfStyle w:val="001000000000" w:firstRow="0" w:lastRow="0" w:firstColumn="1" w:lastColumn="0" w:oddVBand="0" w:evenVBand="0" w:oddHBand="0" w:evenHBand="0" w:firstRowFirstColumn="0" w:firstRowLastColumn="0" w:lastRowFirstColumn="0" w:lastRowLastColumn="0"/>
            <w:tcW w:w="1585" w:type="pct"/>
          </w:tcPr>
          <w:p w14:paraId="31700BFF" w14:textId="77777777" w:rsidR="00412D53" w:rsidRPr="00DA49F2" w:rsidRDefault="00412D53" w:rsidP="00DA49F2">
            <w:pPr>
              <w:pStyle w:val="Tabletext1"/>
              <w:rPr>
                <w:b w:val="0"/>
                <w:bCs w:val="0"/>
              </w:rPr>
            </w:pPr>
            <w:r w:rsidRPr="00DA49F2">
              <w:rPr>
                <w:b w:val="0"/>
                <w:bCs w:val="0"/>
              </w:rPr>
              <w:t xml:space="preserve">Medical services (MBS costs) </w:t>
            </w:r>
          </w:p>
        </w:tc>
        <w:tc>
          <w:tcPr>
            <w:tcW w:w="1138" w:type="pct"/>
            <w:noWrap/>
          </w:tcPr>
          <w:p w14:paraId="3288F7E0" w14:textId="77777777" w:rsidR="00412D53" w:rsidRPr="00E91002" w:rsidRDefault="00412D53" w:rsidP="00DA49F2">
            <w:pPr>
              <w:pStyle w:val="Tabletext1"/>
              <w:jc w:val="right"/>
              <w:cnfStyle w:val="000000000000" w:firstRow="0" w:lastRow="0" w:firstColumn="0" w:lastColumn="0" w:oddVBand="0" w:evenVBand="0" w:oddHBand="0" w:evenHBand="0" w:firstRowFirstColumn="0" w:firstRowLastColumn="0" w:lastRowFirstColumn="0" w:lastRowLastColumn="0"/>
            </w:pPr>
            <w:r w:rsidRPr="00E91002">
              <w:t>$2,637</w:t>
            </w:r>
          </w:p>
        </w:tc>
        <w:tc>
          <w:tcPr>
            <w:tcW w:w="1138" w:type="pct"/>
            <w:noWrap/>
          </w:tcPr>
          <w:p w14:paraId="4B9A15BB" w14:textId="77777777" w:rsidR="00412D53" w:rsidRPr="00E91002" w:rsidRDefault="00412D53" w:rsidP="00DA49F2">
            <w:pPr>
              <w:pStyle w:val="Tabletext1"/>
              <w:jc w:val="right"/>
              <w:cnfStyle w:val="000000000000" w:firstRow="0" w:lastRow="0" w:firstColumn="0" w:lastColumn="0" w:oddVBand="0" w:evenVBand="0" w:oddHBand="0" w:evenHBand="0" w:firstRowFirstColumn="0" w:firstRowLastColumn="0" w:lastRowFirstColumn="0" w:lastRowLastColumn="0"/>
            </w:pPr>
            <w:r w:rsidRPr="00E91002">
              <w:t>$2,357</w:t>
            </w:r>
          </w:p>
        </w:tc>
        <w:tc>
          <w:tcPr>
            <w:tcW w:w="1138" w:type="pct"/>
          </w:tcPr>
          <w:p w14:paraId="71407A1A" w14:textId="77777777" w:rsidR="00412D53" w:rsidRPr="00E91002" w:rsidRDefault="00412D53" w:rsidP="00DA49F2">
            <w:pPr>
              <w:pStyle w:val="Tabletext1"/>
              <w:jc w:val="right"/>
              <w:cnfStyle w:val="000000000000" w:firstRow="0" w:lastRow="0" w:firstColumn="0" w:lastColumn="0" w:oddVBand="0" w:evenVBand="0" w:oddHBand="0" w:evenHBand="0" w:firstRowFirstColumn="0" w:firstRowLastColumn="0" w:lastRowFirstColumn="0" w:lastRowLastColumn="0"/>
            </w:pPr>
            <w:r w:rsidRPr="00E91002">
              <w:t>$280</w:t>
            </w:r>
          </w:p>
        </w:tc>
      </w:tr>
      <w:tr w:rsidR="00412D53" w:rsidRPr="00E91002" w14:paraId="0F088535" w14:textId="77777777" w:rsidTr="00DA49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5" w:type="pct"/>
          </w:tcPr>
          <w:p w14:paraId="7BCB0623" w14:textId="77777777" w:rsidR="00412D53" w:rsidRPr="00DA49F2" w:rsidRDefault="00412D53" w:rsidP="00DA49F2">
            <w:pPr>
              <w:pStyle w:val="Tabletext1"/>
              <w:rPr>
                <w:b w:val="0"/>
                <w:bCs w:val="0"/>
              </w:rPr>
            </w:pPr>
            <w:r w:rsidRPr="00DA49F2">
              <w:rPr>
                <w:b w:val="0"/>
                <w:bCs w:val="0"/>
              </w:rPr>
              <w:t>Pharmaceuticals (PBS costs)</w:t>
            </w:r>
          </w:p>
        </w:tc>
        <w:tc>
          <w:tcPr>
            <w:tcW w:w="1138" w:type="pct"/>
            <w:noWrap/>
          </w:tcPr>
          <w:p w14:paraId="36B76D4B" w14:textId="77777777" w:rsidR="00412D53" w:rsidRPr="00E91002" w:rsidRDefault="00412D53" w:rsidP="00DA49F2">
            <w:pPr>
              <w:pStyle w:val="Tabletext1"/>
              <w:jc w:val="right"/>
              <w:cnfStyle w:val="000000100000" w:firstRow="0" w:lastRow="0" w:firstColumn="0" w:lastColumn="0" w:oddVBand="0" w:evenVBand="0" w:oddHBand="1" w:evenHBand="0" w:firstRowFirstColumn="0" w:firstRowLastColumn="0" w:lastRowFirstColumn="0" w:lastRowLastColumn="0"/>
            </w:pPr>
            <w:r w:rsidRPr="00E91002">
              <w:t>$2,840</w:t>
            </w:r>
          </w:p>
        </w:tc>
        <w:tc>
          <w:tcPr>
            <w:tcW w:w="1138" w:type="pct"/>
            <w:noWrap/>
          </w:tcPr>
          <w:p w14:paraId="35E8A466" w14:textId="77777777" w:rsidR="00412D53" w:rsidRPr="00E91002" w:rsidRDefault="00412D53" w:rsidP="00DA49F2">
            <w:pPr>
              <w:pStyle w:val="Tabletext1"/>
              <w:jc w:val="right"/>
              <w:cnfStyle w:val="000000100000" w:firstRow="0" w:lastRow="0" w:firstColumn="0" w:lastColumn="0" w:oddVBand="0" w:evenVBand="0" w:oddHBand="1" w:evenHBand="0" w:firstRowFirstColumn="0" w:firstRowLastColumn="0" w:lastRowFirstColumn="0" w:lastRowLastColumn="0"/>
            </w:pPr>
            <w:r w:rsidRPr="00E91002">
              <w:t>$3,504</w:t>
            </w:r>
          </w:p>
        </w:tc>
        <w:tc>
          <w:tcPr>
            <w:tcW w:w="1138" w:type="pct"/>
          </w:tcPr>
          <w:p w14:paraId="38F7A1D7" w14:textId="77777777" w:rsidR="00412D53" w:rsidRPr="00E91002" w:rsidRDefault="00412D53" w:rsidP="00DA49F2">
            <w:pPr>
              <w:pStyle w:val="Tabletext1"/>
              <w:jc w:val="right"/>
              <w:cnfStyle w:val="000000100000" w:firstRow="0" w:lastRow="0" w:firstColumn="0" w:lastColumn="0" w:oddVBand="0" w:evenVBand="0" w:oddHBand="1" w:evenHBand="0" w:firstRowFirstColumn="0" w:firstRowLastColumn="0" w:lastRowFirstColumn="0" w:lastRowLastColumn="0"/>
            </w:pPr>
            <w:r w:rsidRPr="00E91002">
              <w:t>-$664</w:t>
            </w:r>
          </w:p>
        </w:tc>
      </w:tr>
      <w:tr w:rsidR="00412D53" w:rsidRPr="00E91002" w14:paraId="67D00934" w14:textId="77777777" w:rsidTr="00DA49F2">
        <w:trPr>
          <w:trHeight w:val="300"/>
        </w:trPr>
        <w:tc>
          <w:tcPr>
            <w:cnfStyle w:val="001000000000" w:firstRow="0" w:lastRow="0" w:firstColumn="1" w:lastColumn="0" w:oddVBand="0" w:evenVBand="0" w:oddHBand="0" w:evenHBand="0" w:firstRowFirstColumn="0" w:firstRowLastColumn="0" w:lastRowFirstColumn="0" w:lastRowLastColumn="0"/>
            <w:tcW w:w="1585" w:type="pct"/>
          </w:tcPr>
          <w:p w14:paraId="54EAFC66" w14:textId="77777777" w:rsidR="00412D53" w:rsidRPr="00DA49F2" w:rsidRDefault="00412D53" w:rsidP="00DA49F2">
            <w:pPr>
              <w:pStyle w:val="Tabletext1"/>
              <w:rPr>
                <w:b w:val="0"/>
                <w:bCs w:val="0"/>
              </w:rPr>
            </w:pPr>
            <w:r w:rsidRPr="00DA49F2">
              <w:rPr>
                <w:b w:val="0"/>
                <w:bCs w:val="0"/>
              </w:rPr>
              <w:t>Hospital costs - admissions</w:t>
            </w:r>
          </w:p>
        </w:tc>
        <w:tc>
          <w:tcPr>
            <w:tcW w:w="1138" w:type="pct"/>
            <w:noWrap/>
          </w:tcPr>
          <w:p w14:paraId="55E1AD18" w14:textId="77777777" w:rsidR="00412D53" w:rsidRPr="00E91002" w:rsidRDefault="00412D53" w:rsidP="00DA49F2">
            <w:pPr>
              <w:pStyle w:val="Tabletext1"/>
              <w:jc w:val="right"/>
              <w:cnfStyle w:val="000000000000" w:firstRow="0" w:lastRow="0" w:firstColumn="0" w:lastColumn="0" w:oddVBand="0" w:evenVBand="0" w:oddHBand="0" w:evenHBand="0" w:firstRowFirstColumn="0" w:firstRowLastColumn="0" w:lastRowFirstColumn="0" w:lastRowLastColumn="0"/>
            </w:pPr>
            <w:r w:rsidRPr="00E91002">
              <w:t>$2,192</w:t>
            </w:r>
          </w:p>
        </w:tc>
        <w:tc>
          <w:tcPr>
            <w:tcW w:w="1138" w:type="pct"/>
            <w:noWrap/>
          </w:tcPr>
          <w:p w14:paraId="4DBA5BF7" w14:textId="77777777" w:rsidR="00412D53" w:rsidRPr="00E91002" w:rsidRDefault="00412D53" w:rsidP="00DA49F2">
            <w:pPr>
              <w:pStyle w:val="Tabletext1"/>
              <w:jc w:val="right"/>
              <w:cnfStyle w:val="000000000000" w:firstRow="0" w:lastRow="0" w:firstColumn="0" w:lastColumn="0" w:oddVBand="0" w:evenVBand="0" w:oddHBand="0" w:evenHBand="0" w:firstRowFirstColumn="0" w:firstRowLastColumn="0" w:lastRowFirstColumn="0" w:lastRowLastColumn="0"/>
            </w:pPr>
            <w:r w:rsidRPr="00E91002">
              <w:t>$623</w:t>
            </w:r>
          </w:p>
        </w:tc>
        <w:tc>
          <w:tcPr>
            <w:tcW w:w="1138" w:type="pct"/>
          </w:tcPr>
          <w:p w14:paraId="0167024E" w14:textId="77777777" w:rsidR="00412D53" w:rsidRPr="00E91002" w:rsidRDefault="00412D53" w:rsidP="00DA49F2">
            <w:pPr>
              <w:pStyle w:val="Tabletext1"/>
              <w:jc w:val="right"/>
              <w:cnfStyle w:val="000000000000" w:firstRow="0" w:lastRow="0" w:firstColumn="0" w:lastColumn="0" w:oddVBand="0" w:evenVBand="0" w:oddHBand="0" w:evenHBand="0" w:firstRowFirstColumn="0" w:firstRowLastColumn="0" w:lastRowFirstColumn="0" w:lastRowLastColumn="0"/>
            </w:pPr>
            <w:r w:rsidRPr="00E91002">
              <w:t>$1,569</w:t>
            </w:r>
          </w:p>
        </w:tc>
      </w:tr>
      <w:tr w:rsidR="00412D53" w:rsidRPr="00E91002" w14:paraId="150E5E52" w14:textId="77777777" w:rsidTr="00DA49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5" w:type="pct"/>
          </w:tcPr>
          <w:p w14:paraId="32FE09CD" w14:textId="77777777" w:rsidR="00412D53" w:rsidRPr="00DA49F2" w:rsidRDefault="00412D53" w:rsidP="00DA49F2">
            <w:pPr>
              <w:pStyle w:val="Tabletext1"/>
              <w:rPr>
                <w:b w:val="0"/>
                <w:bCs w:val="0"/>
              </w:rPr>
            </w:pPr>
            <w:r w:rsidRPr="00DA49F2">
              <w:rPr>
                <w:b w:val="0"/>
                <w:bCs w:val="0"/>
              </w:rPr>
              <w:lastRenderedPageBreak/>
              <w:t xml:space="preserve">Aged Care subsidies </w:t>
            </w:r>
          </w:p>
        </w:tc>
        <w:tc>
          <w:tcPr>
            <w:tcW w:w="1138" w:type="pct"/>
            <w:noWrap/>
          </w:tcPr>
          <w:p w14:paraId="56CAD0B8" w14:textId="77777777" w:rsidR="00412D53" w:rsidRPr="00E91002" w:rsidRDefault="00412D53" w:rsidP="00DA49F2">
            <w:pPr>
              <w:pStyle w:val="Tabletext1"/>
              <w:jc w:val="right"/>
              <w:cnfStyle w:val="000000100000" w:firstRow="0" w:lastRow="0" w:firstColumn="0" w:lastColumn="0" w:oddVBand="0" w:evenVBand="0" w:oddHBand="1" w:evenHBand="0" w:firstRowFirstColumn="0" w:firstRowLastColumn="0" w:lastRowFirstColumn="0" w:lastRowLastColumn="0"/>
            </w:pPr>
            <w:r w:rsidRPr="00E91002">
              <w:t>$56,023</w:t>
            </w:r>
          </w:p>
        </w:tc>
        <w:tc>
          <w:tcPr>
            <w:tcW w:w="1138" w:type="pct"/>
            <w:noWrap/>
          </w:tcPr>
          <w:p w14:paraId="3DB5F51E" w14:textId="77777777" w:rsidR="00412D53" w:rsidRPr="00E91002" w:rsidRDefault="00412D53" w:rsidP="00DA49F2">
            <w:pPr>
              <w:pStyle w:val="Tabletext1"/>
              <w:jc w:val="right"/>
              <w:cnfStyle w:val="000000100000" w:firstRow="0" w:lastRow="0" w:firstColumn="0" w:lastColumn="0" w:oddVBand="0" w:evenVBand="0" w:oddHBand="1" w:evenHBand="0" w:firstRowFirstColumn="0" w:firstRowLastColumn="0" w:lastRowFirstColumn="0" w:lastRowLastColumn="0"/>
            </w:pPr>
            <w:r w:rsidRPr="00E91002">
              <w:t>$55,953</w:t>
            </w:r>
          </w:p>
        </w:tc>
        <w:tc>
          <w:tcPr>
            <w:tcW w:w="1138" w:type="pct"/>
          </w:tcPr>
          <w:p w14:paraId="08894450" w14:textId="77777777" w:rsidR="00412D53" w:rsidRPr="00E91002" w:rsidRDefault="00412D53" w:rsidP="00DA49F2">
            <w:pPr>
              <w:pStyle w:val="Tabletext1"/>
              <w:jc w:val="right"/>
              <w:cnfStyle w:val="000000100000" w:firstRow="0" w:lastRow="0" w:firstColumn="0" w:lastColumn="0" w:oddVBand="0" w:evenVBand="0" w:oddHBand="1" w:evenHBand="0" w:firstRowFirstColumn="0" w:firstRowLastColumn="0" w:lastRowFirstColumn="0" w:lastRowLastColumn="0"/>
            </w:pPr>
            <w:r w:rsidRPr="00E91002">
              <w:t>$70</w:t>
            </w:r>
          </w:p>
        </w:tc>
      </w:tr>
      <w:tr w:rsidR="00412D53" w:rsidRPr="00E91002" w14:paraId="542B8F66" w14:textId="77777777" w:rsidTr="00DA49F2">
        <w:trPr>
          <w:trHeight w:val="291"/>
        </w:trPr>
        <w:tc>
          <w:tcPr>
            <w:cnfStyle w:val="001000000000" w:firstRow="0" w:lastRow="0" w:firstColumn="1" w:lastColumn="0" w:oddVBand="0" w:evenVBand="0" w:oddHBand="0" w:evenHBand="0" w:firstRowFirstColumn="0" w:firstRowLastColumn="0" w:lastRowFirstColumn="0" w:lastRowLastColumn="0"/>
            <w:tcW w:w="1585" w:type="pct"/>
          </w:tcPr>
          <w:p w14:paraId="63453E89" w14:textId="77777777" w:rsidR="00412D53" w:rsidRPr="00E91002" w:rsidRDefault="00412D53" w:rsidP="00DA49F2">
            <w:pPr>
              <w:pStyle w:val="Tabletext1"/>
            </w:pPr>
            <w:r w:rsidRPr="00E91002">
              <w:t>TOTAL</w:t>
            </w:r>
          </w:p>
        </w:tc>
        <w:tc>
          <w:tcPr>
            <w:tcW w:w="1138" w:type="pct"/>
            <w:noWrap/>
          </w:tcPr>
          <w:p w14:paraId="727D0A4C" w14:textId="77777777" w:rsidR="00412D53" w:rsidRPr="00E91002" w:rsidRDefault="00412D53" w:rsidP="00DA49F2">
            <w:pPr>
              <w:pStyle w:val="Tabletext1"/>
              <w:jc w:val="right"/>
              <w:cnfStyle w:val="000000000000" w:firstRow="0" w:lastRow="0" w:firstColumn="0" w:lastColumn="0" w:oddVBand="0" w:evenVBand="0" w:oddHBand="0" w:evenHBand="0" w:firstRowFirstColumn="0" w:firstRowLastColumn="0" w:lastRowFirstColumn="0" w:lastRowLastColumn="0"/>
            </w:pPr>
            <w:r w:rsidRPr="00E91002">
              <w:t>$64,278</w:t>
            </w:r>
          </w:p>
        </w:tc>
        <w:tc>
          <w:tcPr>
            <w:tcW w:w="1138" w:type="pct"/>
            <w:noWrap/>
          </w:tcPr>
          <w:p w14:paraId="42010177" w14:textId="77777777" w:rsidR="00412D53" w:rsidRPr="00E91002" w:rsidRDefault="00412D53" w:rsidP="00DA49F2">
            <w:pPr>
              <w:pStyle w:val="Tabletext1"/>
              <w:jc w:val="right"/>
              <w:cnfStyle w:val="000000000000" w:firstRow="0" w:lastRow="0" w:firstColumn="0" w:lastColumn="0" w:oddVBand="0" w:evenVBand="0" w:oddHBand="0" w:evenHBand="0" w:firstRowFirstColumn="0" w:firstRowLastColumn="0" w:lastRowFirstColumn="0" w:lastRowLastColumn="0"/>
            </w:pPr>
            <w:r w:rsidRPr="00E91002">
              <w:t>$62,437</w:t>
            </w:r>
          </w:p>
        </w:tc>
        <w:tc>
          <w:tcPr>
            <w:tcW w:w="1138" w:type="pct"/>
          </w:tcPr>
          <w:p w14:paraId="3BA215D0" w14:textId="77777777" w:rsidR="00412D53" w:rsidRPr="00E91002" w:rsidRDefault="00412D53" w:rsidP="00DA49F2">
            <w:pPr>
              <w:pStyle w:val="Tabletext1"/>
              <w:jc w:val="right"/>
              <w:cnfStyle w:val="000000000000" w:firstRow="0" w:lastRow="0" w:firstColumn="0" w:lastColumn="0" w:oddVBand="0" w:evenVBand="0" w:oddHBand="0" w:evenHBand="0" w:firstRowFirstColumn="0" w:firstRowLastColumn="0" w:lastRowFirstColumn="0" w:lastRowLastColumn="0"/>
            </w:pPr>
            <w:r w:rsidRPr="00E91002">
              <w:t>$1,841</w:t>
            </w:r>
          </w:p>
        </w:tc>
      </w:tr>
    </w:tbl>
    <w:p w14:paraId="2428819A" w14:textId="3A854C27" w:rsidR="00E91002" w:rsidRPr="00895946" w:rsidRDefault="00E91002" w:rsidP="00897C5B">
      <w:pPr>
        <w:pStyle w:val="Caption"/>
      </w:pPr>
      <w:r w:rsidRPr="00A648B6">
        <w:t>Table</w:t>
      </w:r>
      <w:r w:rsidR="00A648B6">
        <w:t xml:space="preserve"> D-13</w:t>
      </w:r>
      <w:r w:rsidRPr="00A648B6">
        <w:t>:</w:t>
      </w:r>
      <w:r w:rsidRPr="00895946">
        <w:t xml:space="preserve"> Average healthcare costs per patient over 12 months for each study arm (</w:t>
      </w:r>
      <w:r>
        <w:t>adjusted trial-based cost analysis):</w:t>
      </w:r>
      <w:r w:rsidRPr="00895946">
        <w:t xml:space="preserve"> base case</w:t>
      </w:r>
      <w:r>
        <w:t xml:space="preserve"> </w:t>
      </w:r>
    </w:p>
    <w:p w14:paraId="115C4251" w14:textId="1E1DA479" w:rsidR="00412D53" w:rsidRDefault="00412D53" w:rsidP="007501B9">
      <w:r>
        <w:t>The trial-based economic analysis adjusted for differences in baseline costs and survival differences, does not show a reduction in total healthcare costs associated with the intervention</w:t>
      </w:r>
      <w:r w:rsidR="007501B9">
        <w:t xml:space="preserve">. </w:t>
      </w:r>
      <w:r>
        <w:t xml:space="preserve">However, </w:t>
      </w:r>
      <w:proofErr w:type="gramStart"/>
      <w:r>
        <w:t>with the exception of</w:t>
      </w:r>
      <w:proofErr w:type="gramEnd"/>
      <w:r>
        <w:t xml:space="preserve"> the cost of the proposed pharmacist service, none of the differences in other resource costs were statistically significant, and it is likely that random differences in underlying health conditions between residents in each arm at the time of randomisation contributed to the difference in overall healthcare costs and confounded the results</w:t>
      </w:r>
      <w:r w:rsidR="007501B9">
        <w:t xml:space="preserve">. </w:t>
      </w:r>
      <w:r>
        <w:t>This explanation is also consistent with the increased number of deaths, unrelated to the intervention, that were observed in the intervention arm</w:t>
      </w:r>
      <w:r w:rsidR="007501B9">
        <w:t xml:space="preserve">. </w:t>
      </w:r>
      <w:r>
        <w:t xml:space="preserve">It is not likely that the differences observed in MBS costs, hospitalisation, ACFI subsidy were </w:t>
      </w:r>
      <w:r w:rsidR="00E8095F">
        <w:t>unrelated to</w:t>
      </w:r>
      <w:r>
        <w:t xml:space="preserve"> the pharmacist intervention.</w:t>
      </w:r>
      <w:r w:rsidR="003D14C3">
        <w:t xml:space="preserve"> </w:t>
      </w:r>
    </w:p>
    <w:p w14:paraId="661D4519" w14:textId="6FA41253" w:rsidR="00412D53" w:rsidRDefault="00412D53" w:rsidP="007501B9">
      <w:proofErr w:type="gramStart"/>
      <w:r>
        <w:t>However</w:t>
      </w:r>
      <w:proofErr w:type="gramEnd"/>
      <w:r>
        <w:t xml:space="preserve"> it is noted that the observed difference in pharmaceutical costs was in the opposite direction to all other resource use, and showed reduced pharmaceutical costs in the intervention arm</w:t>
      </w:r>
      <w:r w:rsidR="007501B9">
        <w:t xml:space="preserve">. </w:t>
      </w:r>
      <w:r>
        <w:t>This finding is consistent with the findings of previous studies and may possibly be directly associated with the intervention, given pharmacist recommendations on medication</w:t>
      </w:r>
      <w:r w:rsidR="003D14C3">
        <w:t>s</w:t>
      </w:r>
      <w:r>
        <w:t xml:space="preserve"> included suggestions to cease some medications and to reduce the dose of some medications</w:t>
      </w:r>
      <w:r w:rsidR="00E91002">
        <w:t>.</w:t>
      </w:r>
    </w:p>
    <w:p w14:paraId="331329EB" w14:textId="77777777" w:rsidR="00E8095F" w:rsidRPr="00183E4D" w:rsidRDefault="00E8095F" w:rsidP="00897C5B">
      <w:pPr>
        <w:pStyle w:val="Heading3"/>
      </w:pPr>
      <w:bookmarkStart w:id="250" w:name="_Toc117758276"/>
      <w:r>
        <w:t>Exploratory cost-effectiveness analysis</w:t>
      </w:r>
      <w:bookmarkEnd w:id="250"/>
    </w:p>
    <w:p w14:paraId="013BED00" w14:textId="70568F57" w:rsidR="00E8095F" w:rsidRDefault="00E8095F" w:rsidP="007501B9">
      <w:r>
        <w:t>As calculated in Section D4.2, based on the results of the clinical trial, for every 8.33 resident years of intervention</w:t>
      </w:r>
      <w:r w:rsidR="003D14C3">
        <w:t>,</w:t>
      </w:r>
      <w:r>
        <w:t xml:space="preserve"> one resident avoids a clinically significant decline in cognition</w:t>
      </w:r>
      <w:r w:rsidR="007501B9">
        <w:t xml:space="preserve">. </w:t>
      </w:r>
      <w:r w:rsidRPr="000E3D77">
        <w:t xml:space="preserve">For the base case analysis, the </w:t>
      </w:r>
      <w:r>
        <w:t xml:space="preserve">observed </w:t>
      </w:r>
      <w:r w:rsidRPr="000E3D77">
        <w:t xml:space="preserve">average per </w:t>
      </w:r>
      <w:r>
        <w:t>resident incremental healthcare cost adjusted to reflect one year</w:t>
      </w:r>
      <w:r w:rsidRPr="000E3D77">
        <w:t xml:space="preserve"> </w:t>
      </w:r>
      <w:r>
        <w:t>was $1,841. For 8.33 residents, the incremental cost is $15,342.</w:t>
      </w:r>
    </w:p>
    <w:p w14:paraId="72FFB731" w14:textId="77777777" w:rsidR="00E8095F" w:rsidRDefault="00E8095F" w:rsidP="007501B9">
      <w:r w:rsidRPr="00E15B01">
        <w:t>This equates to a trial-based incremental cost-effectiveness ratio of $15,342 per resident avoiding clinically significant cognitive decline</w:t>
      </w:r>
      <w:r>
        <w:t>.</w:t>
      </w:r>
    </w:p>
    <w:p w14:paraId="351FB455" w14:textId="04FC93EB" w:rsidR="00E8095F" w:rsidRPr="00412D53" w:rsidRDefault="00E8095F" w:rsidP="007501B9">
      <w:r>
        <w:t>This analysis is highly uncertain given the study was not adequately powered to show statistical significance for this outcome analysis (although the difference in average cognitive decline between groups was statistically significant), and the cost differences were not statistically significant and appeared to be highly confounded by residents’ unrelated health conditions.</w:t>
      </w:r>
    </w:p>
    <w:p w14:paraId="04CFC8B9" w14:textId="3E2E6C37" w:rsidR="002B236B" w:rsidRDefault="00E46ADF" w:rsidP="00903BC5">
      <w:pPr>
        <w:pStyle w:val="Heading2-SectionD"/>
      </w:pPr>
      <w:bookmarkStart w:id="251" w:name="_Toc117758277"/>
      <w:r>
        <w:lastRenderedPageBreak/>
        <w:t>Sensitivity Analysis</w:t>
      </w:r>
      <w:bookmarkEnd w:id="251"/>
    </w:p>
    <w:p w14:paraId="1F46D954" w14:textId="77777777" w:rsidR="00E46ADF" w:rsidRPr="00E46ADF" w:rsidRDefault="00E46ADF" w:rsidP="00897C5B">
      <w:pPr>
        <w:pStyle w:val="Heading3"/>
      </w:pPr>
      <w:bookmarkStart w:id="252" w:name="_Toc117758278"/>
      <w:bookmarkStart w:id="253" w:name="_Ref379457727"/>
      <w:r w:rsidRPr="00E46ADF">
        <w:t>Considering only pharmacist and pharmaceutical costs</w:t>
      </w:r>
      <w:bookmarkEnd w:id="252"/>
    </w:p>
    <w:p w14:paraId="77E2A9E2" w14:textId="193EF3E3" w:rsidR="00E46ADF" w:rsidRPr="00E46ADF" w:rsidRDefault="00E46ADF" w:rsidP="007501B9">
      <w:r w:rsidRPr="00E46ADF">
        <w:t xml:space="preserve">If the observed differences in other resource use are attributed to confounding due to underlying health differences between the study arms and excluded, but pharmaceutical expenditure is considered most likely to be directly affected by the intervention, then it is noted the difference in average </w:t>
      </w:r>
      <w:proofErr w:type="gramStart"/>
      <w:r w:rsidRPr="00E46ADF">
        <w:t>12 month</w:t>
      </w:r>
      <w:proofErr w:type="gramEnd"/>
      <w:r w:rsidRPr="00E46ADF">
        <w:t xml:space="preserve"> pharmaceutical expenditure between arms was greater than the cost of the pharmacist intervention. </w:t>
      </w:r>
      <w:proofErr w:type="gramStart"/>
      <w:r w:rsidR="0004349F" w:rsidRPr="00E46ADF">
        <w:t>I.e</w:t>
      </w:r>
      <w:r w:rsidR="00155108" w:rsidRPr="00E46ADF">
        <w:t>.</w:t>
      </w:r>
      <w:proofErr w:type="gramEnd"/>
      <w:r w:rsidRPr="00E46ADF">
        <w:t xml:space="preserve"> the intervention (after paying for itself) potentially saves an additional $77.92 per patient per </w:t>
      </w:r>
      <w:r w:rsidRPr="00A648B6">
        <w:t xml:space="preserve">year (Table </w:t>
      </w:r>
      <w:r w:rsidR="00A648B6" w:rsidRPr="00A648B6">
        <w:t>D-14</w:t>
      </w:r>
      <w:r w:rsidRPr="00A648B6">
        <w:t>)</w:t>
      </w:r>
      <w:r w:rsidR="007501B9">
        <w:t xml:space="preserve">. </w:t>
      </w:r>
      <w:r w:rsidRPr="00A648B6">
        <w:t>This</w:t>
      </w:r>
      <w:r w:rsidRPr="00E46ADF">
        <w:t xml:space="preserve"> may be an underestimate of the cost-saving if confounding due to differences in underlying health between the arms was increasing pharmaceutical costs in the intervention arm, consistent with other medical costs.</w:t>
      </w:r>
    </w:p>
    <w:tbl>
      <w:tblPr>
        <w:tblStyle w:val="ListTable3"/>
        <w:tblW w:w="4950" w:type="pct"/>
        <w:tblLayout w:type="fixed"/>
        <w:tblLook w:val="04A0" w:firstRow="1" w:lastRow="0" w:firstColumn="1" w:lastColumn="0" w:noHBand="0" w:noVBand="1"/>
        <w:tblCaption w:val="Average healthcare costs per patient over 12 months for each study arm (adjusted trial-based cost analysis): base case "/>
        <w:tblDescription w:val="Average healthcare costs per patient over 12 months for each study arm (adjusted trial-based cost analysis): base case "/>
      </w:tblPr>
      <w:tblGrid>
        <w:gridCol w:w="2830"/>
        <w:gridCol w:w="2032"/>
        <w:gridCol w:w="2032"/>
        <w:gridCol w:w="2032"/>
      </w:tblGrid>
      <w:tr w:rsidR="00E46ADF" w:rsidRPr="00DA49F2" w14:paraId="77E2140B" w14:textId="77777777" w:rsidTr="00DA49F2">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1585" w:type="pct"/>
          </w:tcPr>
          <w:p w14:paraId="4D9C3405" w14:textId="77777777" w:rsidR="00E46ADF" w:rsidRPr="00DA49F2" w:rsidRDefault="00E46ADF" w:rsidP="00DA49F2">
            <w:pPr>
              <w:pStyle w:val="TableHeader"/>
              <w:rPr>
                <w:b/>
                <w:bCs w:val="0"/>
              </w:rPr>
            </w:pPr>
            <w:bookmarkStart w:id="254" w:name="ColumnTitle_2953"/>
            <w:r w:rsidRPr="00DA49F2">
              <w:rPr>
                <w:b/>
                <w:bCs w:val="0"/>
              </w:rPr>
              <w:t>Descriptor</w:t>
            </w:r>
            <w:bookmarkStart w:id="255" w:name="ColumnTitle_30"/>
            <w:bookmarkEnd w:id="255"/>
          </w:p>
        </w:tc>
        <w:tc>
          <w:tcPr>
            <w:tcW w:w="1138" w:type="pct"/>
            <w:noWrap/>
          </w:tcPr>
          <w:p w14:paraId="7C847376" w14:textId="7796D101" w:rsidR="00E46ADF" w:rsidRPr="00DA49F2" w:rsidRDefault="00E46ADF" w:rsidP="00DA49F2">
            <w:pPr>
              <w:pStyle w:val="TableHeader"/>
              <w:cnfStyle w:val="100000000000" w:firstRow="1" w:lastRow="0" w:firstColumn="0" w:lastColumn="0" w:oddVBand="0" w:evenVBand="0" w:oddHBand="0" w:evenHBand="0" w:firstRowFirstColumn="0" w:firstRowLastColumn="0" w:lastRowFirstColumn="0" w:lastRowLastColumn="0"/>
              <w:rPr>
                <w:b/>
                <w:bCs w:val="0"/>
              </w:rPr>
            </w:pPr>
            <w:r w:rsidRPr="00DA49F2">
              <w:rPr>
                <w:b/>
                <w:bCs w:val="0"/>
              </w:rPr>
              <w:t>Intervention</w:t>
            </w:r>
          </w:p>
        </w:tc>
        <w:tc>
          <w:tcPr>
            <w:tcW w:w="1138" w:type="pct"/>
            <w:noWrap/>
          </w:tcPr>
          <w:p w14:paraId="004E794C" w14:textId="55714390" w:rsidR="00E46ADF" w:rsidRPr="00DA49F2" w:rsidRDefault="00E46ADF" w:rsidP="00DA49F2">
            <w:pPr>
              <w:pStyle w:val="TableHeader"/>
              <w:cnfStyle w:val="100000000000" w:firstRow="1" w:lastRow="0" w:firstColumn="0" w:lastColumn="0" w:oddVBand="0" w:evenVBand="0" w:oddHBand="0" w:evenHBand="0" w:firstRowFirstColumn="0" w:firstRowLastColumn="0" w:lastRowFirstColumn="0" w:lastRowLastColumn="0"/>
              <w:rPr>
                <w:b/>
                <w:bCs w:val="0"/>
              </w:rPr>
            </w:pPr>
            <w:r w:rsidRPr="00DA49F2">
              <w:rPr>
                <w:b/>
                <w:bCs w:val="0"/>
              </w:rPr>
              <w:t>Control</w:t>
            </w:r>
          </w:p>
        </w:tc>
        <w:tc>
          <w:tcPr>
            <w:tcW w:w="1138" w:type="pct"/>
          </w:tcPr>
          <w:p w14:paraId="5D8FFCCC" w14:textId="77777777" w:rsidR="00E46ADF" w:rsidRPr="00DA49F2" w:rsidRDefault="00E46ADF" w:rsidP="00DA49F2">
            <w:pPr>
              <w:pStyle w:val="TableHeader"/>
              <w:cnfStyle w:val="100000000000" w:firstRow="1" w:lastRow="0" w:firstColumn="0" w:lastColumn="0" w:oddVBand="0" w:evenVBand="0" w:oddHBand="0" w:evenHBand="0" w:firstRowFirstColumn="0" w:firstRowLastColumn="0" w:lastRowFirstColumn="0" w:lastRowLastColumn="0"/>
              <w:rPr>
                <w:b/>
                <w:bCs w:val="0"/>
              </w:rPr>
            </w:pPr>
            <w:r w:rsidRPr="00DA49F2">
              <w:rPr>
                <w:b/>
                <w:bCs w:val="0"/>
              </w:rPr>
              <w:t>Increment</w:t>
            </w:r>
          </w:p>
        </w:tc>
      </w:tr>
      <w:bookmarkEnd w:id="254"/>
      <w:tr w:rsidR="00E46ADF" w:rsidRPr="00E46ADF" w14:paraId="0F88CDF1" w14:textId="77777777" w:rsidTr="00DA49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5" w:type="pct"/>
          </w:tcPr>
          <w:p w14:paraId="3727F4D7" w14:textId="77777777" w:rsidR="00E46ADF" w:rsidRPr="00DA49F2" w:rsidRDefault="00E46ADF" w:rsidP="00DA49F2">
            <w:pPr>
              <w:pStyle w:val="Tabletext1"/>
              <w:rPr>
                <w:b w:val="0"/>
                <w:bCs w:val="0"/>
              </w:rPr>
            </w:pPr>
            <w:r w:rsidRPr="00DA49F2">
              <w:rPr>
                <w:b w:val="0"/>
                <w:bCs w:val="0"/>
              </w:rPr>
              <w:t>Proposed pharmacist review</w:t>
            </w:r>
          </w:p>
        </w:tc>
        <w:tc>
          <w:tcPr>
            <w:tcW w:w="1138" w:type="pct"/>
            <w:noWrap/>
          </w:tcPr>
          <w:p w14:paraId="12E8A5EA" w14:textId="77777777" w:rsidR="00E46ADF" w:rsidRPr="00E46ADF" w:rsidRDefault="00E46ADF" w:rsidP="00DA49F2">
            <w:pPr>
              <w:pStyle w:val="Tabletext1"/>
              <w:jc w:val="right"/>
              <w:cnfStyle w:val="000000100000" w:firstRow="0" w:lastRow="0" w:firstColumn="0" w:lastColumn="0" w:oddVBand="0" w:evenVBand="0" w:oddHBand="1" w:evenHBand="0" w:firstRowFirstColumn="0" w:firstRowLastColumn="0" w:lastRowFirstColumn="0" w:lastRowLastColumn="0"/>
            </w:pPr>
            <w:r w:rsidRPr="00E46ADF">
              <w:t>$586</w:t>
            </w:r>
          </w:p>
        </w:tc>
        <w:tc>
          <w:tcPr>
            <w:tcW w:w="1138" w:type="pct"/>
            <w:noWrap/>
          </w:tcPr>
          <w:p w14:paraId="0231B244" w14:textId="77777777" w:rsidR="00E46ADF" w:rsidRPr="00E46ADF" w:rsidRDefault="00E46ADF" w:rsidP="00DA49F2">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rPr>
            </w:pPr>
          </w:p>
        </w:tc>
        <w:tc>
          <w:tcPr>
            <w:tcW w:w="1138" w:type="pct"/>
          </w:tcPr>
          <w:p w14:paraId="47908D48" w14:textId="77777777" w:rsidR="00E46ADF" w:rsidRPr="00E46ADF" w:rsidRDefault="00E46ADF" w:rsidP="00DA49F2">
            <w:pPr>
              <w:pStyle w:val="Tabletext1"/>
              <w:jc w:val="right"/>
              <w:cnfStyle w:val="000000100000" w:firstRow="0" w:lastRow="0" w:firstColumn="0" w:lastColumn="0" w:oddVBand="0" w:evenVBand="0" w:oddHBand="1" w:evenHBand="0" w:firstRowFirstColumn="0" w:firstRowLastColumn="0" w:lastRowFirstColumn="0" w:lastRowLastColumn="0"/>
            </w:pPr>
            <w:r w:rsidRPr="00E46ADF">
              <w:t>$586</w:t>
            </w:r>
          </w:p>
        </w:tc>
      </w:tr>
      <w:tr w:rsidR="00E46ADF" w:rsidRPr="00E46ADF" w14:paraId="50458F2A" w14:textId="77777777" w:rsidTr="00DA49F2">
        <w:trPr>
          <w:trHeight w:val="300"/>
        </w:trPr>
        <w:tc>
          <w:tcPr>
            <w:cnfStyle w:val="001000000000" w:firstRow="0" w:lastRow="0" w:firstColumn="1" w:lastColumn="0" w:oddVBand="0" w:evenVBand="0" w:oddHBand="0" w:evenHBand="0" w:firstRowFirstColumn="0" w:firstRowLastColumn="0" w:lastRowFirstColumn="0" w:lastRowLastColumn="0"/>
            <w:tcW w:w="1585" w:type="pct"/>
          </w:tcPr>
          <w:p w14:paraId="0E51454F" w14:textId="77777777" w:rsidR="00E46ADF" w:rsidRPr="00DA49F2" w:rsidRDefault="00E46ADF" w:rsidP="00DA49F2">
            <w:pPr>
              <w:pStyle w:val="Tabletext1"/>
              <w:rPr>
                <w:b w:val="0"/>
                <w:bCs w:val="0"/>
              </w:rPr>
            </w:pPr>
            <w:r w:rsidRPr="00DA49F2">
              <w:rPr>
                <w:b w:val="0"/>
                <w:bCs w:val="0"/>
              </w:rPr>
              <w:t>Pharmaceuticals (PBS costs)</w:t>
            </w:r>
          </w:p>
        </w:tc>
        <w:tc>
          <w:tcPr>
            <w:tcW w:w="1138" w:type="pct"/>
            <w:noWrap/>
          </w:tcPr>
          <w:p w14:paraId="5EDCA85C" w14:textId="77777777" w:rsidR="00E46ADF" w:rsidRPr="00E46ADF" w:rsidRDefault="00E46ADF" w:rsidP="00DA49F2">
            <w:pPr>
              <w:pStyle w:val="Tabletext1"/>
              <w:jc w:val="right"/>
              <w:cnfStyle w:val="000000000000" w:firstRow="0" w:lastRow="0" w:firstColumn="0" w:lastColumn="0" w:oddVBand="0" w:evenVBand="0" w:oddHBand="0" w:evenHBand="0" w:firstRowFirstColumn="0" w:firstRowLastColumn="0" w:lastRowFirstColumn="0" w:lastRowLastColumn="0"/>
            </w:pPr>
            <w:r w:rsidRPr="00E46ADF">
              <w:t>$2,840</w:t>
            </w:r>
          </w:p>
        </w:tc>
        <w:tc>
          <w:tcPr>
            <w:tcW w:w="1138" w:type="pct"/>
            <w:noWrap/>
          </w:tcPr>
          <w:p w14:paraId="5233C842" w14:textId="77777777" w:rsidR="00E46ADF" w:rsidRPr="00E46ADF" w:rsidRDefault="00E46ADF" w:rsidP="00DA49F2">
            <w:pPr>
              <w:pStyle w:val="Tabletext1"/>
              <w:jc w:val="right"/>
              <w:cnfStyle w:val="000000000000" w:firstRow="0" w:lastRow="0" w:firstColumn="0" w:lastColumn="0" w:oddVBand="0" w:evenVBand="0" w:oddHBand="0" w:evenHBand="0" w:firstRowFirstColumn="0" w:firstRowLastColumn="0" w:lastRowFirstColumn="0" w:lastRowLastColumn="0"/>
            </w:pPr>
            <w:r w:rsidRPr="00E46ADF">
              <w:t>$3,504</w:t>
            </w:r>
          </w:p>
        </w:tc>
        <w:tc>
          <w:tcPr>
            <w:tcW w:w="1138" w:type="pct"/>
          </w:tcPr>
          <w:p w14:paraId="279668F7" w14:textId="77777777" w:rsidR="00E46ADF" w:rsidRPr="00E46ADF" w:rsidRDefault="00E46ADF" w:rsidP="00DA49F2">
            <w:pPr>
              <w:pStyle w:val="Tabletext1"/>
              <w:jc w:val="right"/>
              <w:cnfStyle w:val="000000000000" w:firstRow="0" w:lastRow="0" w:firstColumn="0" w:lastColumn="0" w:oddVBand="0" w:evenVBand="0" w:oddHBand="0" w:evenHBand="0" w:firstRowFirstColumn="0" w:firstRowLastColumn="0" w:lastRowFirstColumn="0" w:lastRowLastColumn="0"/>
            </w:pPr>
            <w:r w:rsidRPr="00E46ADF">
              <w:t>-$664</w:t>
            </w:r>
          </w:p>
        </w:tc>
      </w:tr>
      <w:tr w:rsidR="00E46ADF" w:rsidRPr="00E46ADF" w14:paraId="5F395024" w14:textId="77777777" w:rsidTr="00DA49F2">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85" w:type="pct"/>
          </w:tcPr>
          <w:p w14:paraId="17922A62" w14:textId="77777777" w:rsidR="00E46ADF" w:rsidRPr="00E46ADF" w:rsidRDefault="00E46ADF" w:rsidP="00DA49F2">
            <w:pPr>
              <w:pStyle w:val="Tabletext1"/>
            </w:pPr>
            <w:r w:rsidRPr="00E46ADF">
              <w:t>TOTAL</w:t>
            </w:r>
          </w:p>
        </w:tc>
        <w:tc>
          <w:tcPr>
            <w:tcW w:w="1138" w:type="pct"/>
            <w:noWrap/>
          </w:tcPr>
          <w:p w14:paraId="5D70A932" w14:textId="77777777" w:rsidR="00E46ADF" w:rsidRPr="00DA49F2" w:rsidRDefault="00E46ADF" w:rsidP="00DA49F2">
            <w:pPr>
              <w:pStyle w:val="Tabletext1"/>
              <w:jc w:val="right"/>
              <w:cnfStyle w:val="000000100000" w:firstRow="0" w:lastRow="0" w:firstColumn="0" w:lastColumn="0" w:oddVBand="0" w:evenVBand="0" w:oddHBand="1" w:evenHBand="0" w:firstRowFirstColumn="0" w:firstRowLastColumn="0" w:lastRowFirstColumn="0" w:lastRowLastColumn="0"/>
              <w:rPr>
                <w:b/>
                <w:bCs/>
              </w:rPr>
            </w:pPr>
            <w:r w:rsidRPr="00DA49F2">
              <w:rPr>
                <w:b/>
                <w:bCs/>
              </w:rPr>
              <w:t>$3,426</w:t>
            </w:r>
          </w:p>
        </w:tc>
        <w:tc>
          <w:tcPr>
            <w:tcW w:w="1138" w:type="pct"/>
            <w:noWrap/>
          </w:tcPr>
          <w:p w14:paraId="4617DAD3" w14:textId="77777777" w:rsidR="00E46ADF" w:rsidRPr="00DA49F2" w:rsidRDefault="00E46ADF" w:rsidP="00DA49F2">
            <w:pPr>
              <w:pStyle w:val="Tabletext1"/>
              <w:jc w:val="right"/>
              <w:cnfStyle w:val="000000100000" w:firstRow="0" w:lastRow="0" w:firstColumn="0" w:lastColumn="0" w:oddVBand="0" w:evenVBand="0" w:oddHBand="1" w:evenHBand="0" w:firstRowFirstColumn="0" w:firstRowLastColumn="0" w:lastRowFirstColumn="0" w:lastRowLastColumn="0"/>
              <w:rPr>
                <w:b/>
                <w:bCs/>
              </w:rPr>
            </w:pPr>
            <w:r w:rsidRPr="00DA49F2">
              <w:rPr>
                <w:b/>
                <w:bCs/>
              </w:rPr>
              <w:t>$3,504</w:t>
            </w:r>
          </w:p>
        </w:tc>
        <w:tc>
          <w:tcPr>
            <w:tcW w:w="1138" w:type="pct"/>
          </w:tcPr>
          <w:p w14:paraId="1C32AD91" w14:textId="77777777" w:rsidR="00E46ADF" w:rsidRPr="00DA49F2" w:rsidRDefault="00E46ADF" w:rsidP="00DA49F2">
            <w:pPr>
              <w:pStyle w:val="Tabletext1"/>
              <w:jc w:val="right"/>
              <w:cnfStyle w:val="000000100000" w:firstRow="0" w:lastRow="0" w:firstColumn="0" w:lastColumn="0" w:oddVBand="0" w:evenVBand="0" w:oddHBand="1" w:evenHBand="0" w:firstRowFirstColumn="0" w:firstRowLastColumn="0" w:lastRowFirstColumn="0" w:lastRowLastColumn="0"/>
              <w:rPr>
                <w:b/>
                <w:bCs/>
              </w:rPr>
            </w:pPr>
            <w:r w:rsidRPr="00DA49F2">
              <w:rPr>
                <w:b/>
                <w:bCs/>
              </w:rPr>
              <w:t>-$78</w:t>
            </w:r>
          </w:p>
        </w:tc>
      </w:tr>
    </w:tbl>
    <w:p w14:paraId="77DA1401" w14:textId="6DA3318E" w:rsidR="00E46ADF" w:rsidRPr="00E46ADF" w:rsidRDefault="00E46ADF" w:rsidP="00897C5B">
      <w:pPr>
        <w:pStyle w:val="Caption"/>
      </w:pPr>
      <w:r w:rsidRPr="00A648B6">
        <w:t>Table</w:t>
      </w:r>
      <w:r w:rsidR="00A648B6">
        <w:t>D-14</w:t>
      </w:r>
      <w:r>
        <w:t>:</w:t>
      </w:r>
      <w:r w:rsidRPr="00E46ADF">
        <w:t xml:space="preserve"> Average healthcare costs per patient over 12 months for each study arm (adjusted trial-based cost analysis): base case </w:t>
      </w:r>
    </w:p>
    <w:p w14:paraId="6D6FD85F" w14:textId="46C6D254" w:rsidR="00E46ADF" w:rsidRPr="00E46ADF" w:rsidRDefault="00E46ADF" w:rsidP="007501B9">
      <w:r w:rsidRPr="00E46ADF">
        <w:t>The finding of cost-savings in pharmaceuticals associated with pharmacist review is consistent with the literature, however it is acknowledged that, given the apparent imbalance in costs generally between arms, any conclusion or attribution of effect is highly uncertain.</w:t>
      </w:r>
    </w:p>
    <w:bookmarkEnd w:id="253"/>
    <w:p w14:paraId="2634101C" w14:textId="19B368CF" w:rsidR="00E8095F" w:rsidRPr="0086632E" w:rsidRDefault="00E8095F" w:rsidP="007501B9">
      <w:r w:rsidRPr="0086632E">
        <w:t>If the exploratory cost-effectiveness analysis only considers pharmacist and pharmaceutical costs the intervention would be considered dominant, as it has a positive health outcome; preventing a clinically significant cognitive decline in one resident for each 8.33 residents assessed regularly over a year, while concurrently delive</w:t>
      </w:r>
      <w:r>
        <w:t>ring a net cost-saving of $650.</w:t>
      </w:r>
    </w:p>
    <w:p w14:paraId="365ABEF1" w14:textId="77777777" w:rsidR="00E8095F" w:rsidRDefault="00E8095F" w:rsidP="00897C5B">
      <w:pPr>
        <w:pStyle w:val="Heading3"/>
      </w:pPr>
      <w:bookmarkStart w:id="256" w:name="_Toc117758279"/>
      <w:proofErr w:type="gramStart"/>
      <w:r>
        <w:t>Other</w:t>
      </w:r>
      <w:proofErr w:type="gramEnd"/>
      <w:r>
        <w:t xml:space="preserve"> trial-based scenario analysis</w:t>
      </w:r>
      <w:bookmarkEnd w:id="256"/>
    </w:p>
    <w:p w14:paraId="525BE2F0" w14:textId="27ABED84" w:rsidR="00E8095F" w:rsidRPr="00E46ADF" w:rsidRDefault="00E8095F" w:rsidP="007501B9">
      <w:pPr>
        <w:rPr>
          <w:rFonts w:ascii="Arial Narrow" w:hAnsi="Arial Narrow"/>
          <w:b/>
          <w:bCs/>
          <w:snapToGrid w:val="0"/>
          <w:sz w:val="20"/>
          <w:szCs w:val="16"/>
          <w:lang w:eastAsia="en-US"/>
        </w:rPr>
      </w:pPr>
      <w:r w:rsidRPr="00A648B6">
        <w:t xml:space="preserve">Additional scenario analysis of cost differences between arms in the trial-based data are presented below in </w:t>
      </w:r>
      <w:r w:rsidR="00A648B6" w:rsidRPr="00A648B6">
        <w:t>Table D-15</w:t>
      </w:r>
      <w:r w:rsidRPr="00A648B6">
        <w:t>.</w:t>
      </w:r>
    </w:p>
    <w:tbl>
      <w:tblPr>
        <w:tblStyle w:val="ListTable3"/>
        <w:tblW w:w="5000" w:type="pct"/>
        <w:tblLook w:val="04A0" w:firstRow="1" w:lastRow="0" w:firstColumn="1" w:lastColumn="0" w:noHBand="0" w:noVBand="1"/>
        <w:tblCaption w:val="Scenario analysis of the trial-based analysis"/>
        <w:tblDescription w:val="This table describes what factors and assumptions in the economic model affect the incremental cost-effectiveness to the greatest extent."/>
      </w:tblPr>
      <w:tblGrid>
        <w:gridCol w:w="4090"/>
        <w:gridCol w:w="1829"/>
        <w:gridCol w:w="1829"/>
        <w:gridCol w:w="1268"/>
      </w:tblGrid>
      <w:tr w:rsidR="00E46ADF" w:rsidRPr="00DA49F2" w14:paraId="1FEAEB24" w14:textId="77777777" w:rsidTr="00DA49F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77" w:type="pct"/>
          </w:tcPr>
          <w:p w14:paraId="4914D4F5" w14:textId="77777777" w:rsidR="00E46ADF" w:rsidRPr="00DA49F2" w:rsidRDefault="00E46ADF" w:rsidP="00DA49F2">
            <w:pPr>
              <w:pStyle w:val="TableHeader"/>
              <w:keepNext/>
              <w:rPr>
                <w:b/>
                <w:bCs w:val="0"/>
                <w:snapToGrid w:val="0"/>
              </w:rPr>
            </w:pPr>
            <w:bookmarkStart w:id="257" w:name="ColumnTitle_3053"/>
            <w:r w:rsidRPr="00DA49F2">
              <w:rPr>
                <w:b/>
                <w:bCs w:val="0"/>
                <w:snapToGrid w:val="0"/>
              </w:rPr>
              <w:lastRenderedPageBreak/>
              <w:t>Description</w:t>
            </w:r>
            <w:bookmarkStart w:id="258" w:name="ColumnTitle_31"/>
            <w:bookmarkEnd w:id="258"/>
          </w:p>
        </w:tc>
        <w:tc>
          <w:tcPr>
            <w:tcW w:w="1023" w:type="pct"/>
          </w:tcPr>
          <w:p w14:paraId="2A2FD974" w14:textId="77777777" w:rsidR="00E46ADF" w:rsidRPr="00DA49F2" w:rsidRDefault="00E46ADF" w:rsidP="00DA49F2">
            <w:pPr>
              <w:pStyle w:val="TableHeader"/>
              <w:keepNext/>
              <w:cnfStyle w:val="100000000000" w:firstRow="1" w:lastRow="0" w:firstColumn="0" w:lastColumn="0" w:oddVBand="0" w:evenVBand="0" w:oddHBand="0" w:evenHBand="0" w:firstRowFirstColumn="0" w:firstRowLastColumn="0" w:lastRowFirstColumn="0" w:lastRowLastColumn="0"/>
              <w:rPr>
                <w:b/>
                <w:bCs w:val="0"/>
                <w:snapToGrid w:val="0"/>
              </w:rPr>
            </w:pPr>
            <w:r w:rsidRPr="00DA49F2">
              <w:rPr>
                <w:b/>
                <w:bCs w:val="0"/>
                <w:snapToGrid w:val="0"/>
              </w:rPr>
              <w:t>Intervention,</w:t>
            </w:r>
          </w:p>
          <w:p w14:paraId="3F3A9D76" w14:textId="0F14C0A9" w:rsidR="00E46ADF" w:rsidRPr="00DA49F2" w:rsidRDefault="00E46ADF" w:rsidP="00DA49F2">
            <w:pPr>
              <w:pStyle w:val="TableHeader"/>
              <w:keepNext/>
              <w:cnfStyle w:val="100000000000" w:firstRow="1" w:lastRow="0" w:firstColumn="0" w:lastColumn="0" w:oddVBand="0" w:evenVBand="0" w:oddHBand="0" w:evenHBand="0" w:firstRowFirstColumn="0" w:firstRowLastColumn="0" w:lastRowFirstColumn="0" w:lastRowLastColumn="0"/>
              <w:rPr>
                <w:b/>
                <w:bCs w:val="0"/>
                <w:snapToGrid w:val="0"/>
              </w:rPr>
            </w:pPr>
            <w:r w:rsidRPr="00DA49F2">
              <w:rPr>
                <w:b/>
                <w:bCs w:val="0"/>
                <w:snapToGrid w:val="0"/>
              </w:rPr>
              <w:t xml:space="preserve"> total costs</w:t>
            </w:r>
          </w:p>
        </w:tc>
        <w:tc>
          <w:tcPr>
            <w:tcW w:w="1023" w:type="pct"/>
          </w:tcPr>
          <w:p w14:paraId="0A2F2370" w14:textId="0B31E68F" w:rsidR="00E46ADF" w:rsidRPr="00DA49F2" w:rsidRDefault="00E46ADF" w:rsidP="00DA49F2">
            <w:pPr>
              <w:pStyle w:val="TableHeader"/>
              <w:keepNext/>
              <w:cnfStyle w:val="100000000000" w:firstRow="1" w:lastRow="0" w:firstColumn="0" w:lastColumn="0" w:oddVBand="0" w:evenVBand="0" w:oddHBand="0" w:evenHBand="0" w:firstRowFirstColumn="0" w:firstRowLastColumn="0" w:lastRowFirstColumn="0" w:lastRowLastColumn="0"/>
              <w:rPr>
                <w:b/>
                <w:bCs w:val="0"/>
                <w:snapToGrid w:val="0"/>
              </w:rPr>
            </w:pPr>
            <w:r w:rsidRPr="00DA49F2">
              <w:rPr>
                <w:b/>
                <w:bCs w:val="0"/>
                <w:snapToGrid w:val="0"/>
              </w:rPr>
              <w:t>Control,</w:t>
            </w:r>
          </w:p>
          <w:p w14:paraId="46B78545" w14:textId="712DEECD" w:rsidR="00E46ADF" w:rsidRPr="00DA49F2" w:rsidRDefault="00E46ADF" w:rsidP="00DA49F2">
            <w:pPr>
              <w:pStyle w:val="TableHeader"/>
              <w:keepNext/>
              <w:cnfStyle w:val="100000000000" w:firstRow="1" w:lastRow="0" w:firstColumn="0" w:lastColumn="0" w:oddVBand="0" w:evenVBand="0" w:oddHBand="0" w:evenHBand="0" w:firstRowFirstColumn="0" w:firstRowLastColumn="0" w:lastRowFirstColumn="0" w:lastRowLastColumn="0"/>
              <w:rPr>
                <w:b/>
                <w:bCs w:val="0"/>
                <w:snapToGrid w:val="0"/>
              </w:rPr>
            </w:pPr>
            <w:r w:rsidRPr="00DA49F2">
              <w:rPr>
                <w:b/>
                <w:bCs w:val="0"/>
                <w:snapToGrid w:val="0"/>
              </w:rPr>
              <w:t>r total costs</w:t>
            </w:r>
          </w:p>
        </w:tc>
        <w:tc>
          <w:tcPr>
            <w:tcW w:w="677" w:type="pct"/>
          </w:tcPr>
          <w:p w14:paraId="098073E6" w14:textId="77777777" w:rsidR="00E46ADF" w:rsidRPr="00DA49F2" w:rsidRDefault="00E46ADF" w:rsidP="00DA49F2">
            <w:pPr>
              <w:pStyle w:val="TableHeader"/>
              <w:keepNext/>
              <w:cnfStyle w:val="100000000000" w:firstRow="1" w:lastRow="0" w:firstColumn="0" w:lastColumn="0" w:oddVBand="0" w:evenVBand="0" w:oddHBand="0" w:evenHBand="0" w:firstRowFirstColumn="0" w:firstRowLastColumn="0" w:lastRowFirstColumn="0" w:lastRowLastColumn="0"/>
              <w:rPr>
                <w:b/>
                <w:bCs w:val="0"/>
                <w:snapToGrid w:val="0"/>
              </w:rPr>
            </w:pPr>
            <w:r w:rsidRPr="00DA49F2">
              <w:rPr>
                <w:b/>
                <w:bCs w:val="0"/>
                <w:snapToGrid w:val="0"/>
              </w:rPr>
              <w:t>Increment</w:t>
            </w:r>
          </w:p>
        </w:tc>
      </w:tr>
      <w:bookmarkEnd w:id="257"/>
      <w:tr w:rsidR="00E46ADF" w:rsidRPr="00E46ADF" w14:paraId="784BDB04" w14:textId="77777777" w:rsidTr="00DA49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7" w:type="pct"/>
          </w:tcPr>
          <w:p w14:paraId="124B7A7B" w14:textId="77777777" w:rsidR="00E46ADF" w:rsidRPr="00DA49F2" w:rsidRDefault="00E46ADF" w:rsidP="00DA49F2">
            <w:pPr>
              <w:pStyle w:val="Tabletext1"/>
              <w:keepNext/>
              <w:rPr>
                <w:b w:val="0"/>
                <w:bCs w:val="0"/>
                <w:snapToGrid w:val="0"/>
                <w:lang w:eastAsia="en-US"/>
              </w:rPr>
            </w:pPr>
            <w:r w:rsidRPr="00DA49F2">
              <w:rPr>
                <w:b w:val="0"/>
                <w:bCs w:val="0"/>
                <w:snapToGrid w:val="0"/>
                <w:lang w:eastAsia="en-US"/>
              </w:rPr>
              <w:t>Including only MBS and PBS costs</w:t>
            </w:r>
          </w:p>
        </w:tc>
        <w:tc>
          <w:tcPr>
            <w:tcW w:w="1023" w:type="pct"/>
          </w:tcPr>
          <w:p w14:paraId="74A66F36" w14:textId="77777777" w:rsidR="00E46ADF" w:rsidRPr="00E46ADF" w:rsidRDefault="00E46ADF" w:rsidP="00DA49F2">
            <w:pPr>
              <w:pStyle w:val="Tabletext1"/>
              <w:keepNext/>
              <w:jc w:val="right"/>
              <w:cnfStyle w:val="000000100000" w:firstRow="0" w:lastRow="0" w:firstColumn="0" w:lastColumn="0" w:oddVBand="0" w:evenVBand="0" w:oddHBand="1" w:evenHBand="0" w:firstRowFirstColumn="0" w:firstRowLastColumn="0" w:lastRowFirstColumn="0" w:lastRowLastColumn="0"/>
              <w:rPr>
                <w:snapToGrid w:val="0"/>
                <w:lang w:eastAsia="en-US"/>
              </w:rPr>
            </w:pPr>
            <w:r w:rsidRPr="00E46ADF">
              <w:t>$6,063</w:t>
            </w:r>
          </w:p>
        </w:tc>
        <w:tc>
          <w:tcPr>
            <w:tcW w:w="1023" w:type="pct"/>
          </w:tcPr>
          <w:p w14:paraId="3005631A" w14:textId="77777777" w:rsidR="00E46ADF" w:rsidRPr="00E46ADF" w:rsidRDefault="00E46ADF" w:rsidP="00DA49F2">
            <w:pPr>
              <w:pStyle w:val="Tabletext1"/>
              <w:keepNext/>
              <w:jc w:val="right"/>
              <w:cnfStyle w:val="000000100000" w:firstRow="0" w:lastRow="0" w:firstColumn="0" w:lastColumn="0" w:oddVBand="0" w:evenVBand="0" w:oddHBand="1" w:evenHBand="0" w:firstRowFirstColumn="0" w:firstRowLastColumn="0" w:lastRowFirstColumn="0" w:lastRowLastColumn="0"/>
              <w:rPr>
                <w:snapToGrid w:val="0"/>
                <w:lang w:eastAsia="en-US"/>
              </w:rPr>
            </w:pPr>
            <w:r w:rsidRPr="00E46ADF">
              <w:t>$5,861</w:t>
            </w:r>
          </w:p>
        </w:tc>
        <w:tc>
          <w:tcPr>
            <w:tcW w:w="677" w:type="pct"/>
          </w:tcPr>
          <w:p w14:paraId="59B7B948" w14:textId="77777777" w:rsidR="00E46ADF" w:rsidRPr="00E46ADF" w:rsidRDefault="00E46ADF" w:rsidP="00DA49F2">
            <w:pPr>
              <w:pStyle w:val="Tabletext1"/>
              <w:keepNext/>
              <w:jc w:val="right"/>
              <w:cnfStyle w:val="000000100000" w:firstRow="0" w:lastRow="0" w:firstColumn="0" w:lastColumn="0" w:oddVBand="0" w:evenVBand="0" w:oddHBand="1" w:evenHBand="0" w:firstRowFirstColumn="0" w:firstRowLastColumn="0" w:lastRowFirstColumn="0" w:lastRowLastColumn="0"/>
              <w:rPr>
                <w:snapToGrid w:val="0"/>
                <w:lang w:eastAsia="en-US"/>
              </w:rPr>
            </w:pPr>
            <w:r w:rsidRPr="00E46ADF">
              <w:t>$202</w:t>
            </w:r>
          </w:p>
        </w:tc>
      </w:tr>
      <w:tr w:rsidR="00E46ADF" w:rsidRPr="00E46ADF" w14:paraId="51567BC1" w14:textId="77777777" w:rsidTr="00DA49F2">
        <w:tc>
          <w:tcPr>
            <w:cnfStyle w:val="001000000000" w:firstRow="0" w:lastRow="0" w:firstColumn="1" w:lastColumn="0" w:oddVBand="0" w:evenVBand="0" w:oddHBand="0" w:evenHBand="0" w:firstRowFirstColumn="0" w:firstRowLastColumn="0" w:lastRowFirstColumn="0" w:lastRowLastColumn="0"/>
            <w:tcW w:w="2277" w:type="pct"/>
          </w:tcPr>
          <w:p w14:paraId="111E1CD2" w14:textId="77777777" w:rsidR="00E46ADF" w:rsidRPr="00DA49F2" w:rsidRDefault="00E46ADF" w:rsidP="00DA49F2">
            <w:pPr>
              <w:pStyle w:val="Tabletext1"/>
              <w:keepNext/>
              <w:rPr>
                <w:b w:val="0"/>
                <w:bCs w:val="0"/>
                <w:snapToGrid w:val="0"/>
                <w:lang w:eastAsia="en-US"/>
              </w:rPr>
            </w:pPr>
            <w:bookmarkStart w:id="259" w:name="OLE_LINK1"/>
            <w:r w:rsidRPr="00DA49F2">
              <w:rPr>
                <w:b w:val="0"/>
                <w:bCs w:val="0"/>
                <w:snapToGrid w:val="0"/>
                <w:lang w:eastAsia="en-US"/>
              </w:rPr>
              <w:t>Including all base case costs + SA Hospital cost data excluding outlier</w:t>
            </w:r>
            <w:bookmarkEnd w:id="259"/>
          </w:p>
        </w:tc>
        <w:tc>
          <w:tcPr>
            <w:tcW w:w="1023" w:type="pct"/>
          </w:tcPr>
          <w:p w14:paraId="4B445B36" w14:textId="77777777" w:rsidR="00E46ADF" w:rsidRPr="00E46ADF" w:rsidRDefault="00E46ADF" w:rsidP="00DA49F2">
            <w:pPr>
              <w:pStyle w:val="Tabletext1"/>
              <w:keepNext/>
              <w:jc w:val="right"/>
              <w:cnfStyle w:val="000000000000" w:firstRow="0" w:lastRow="0" w:firstColumn="0" w:lastColumn="0" w:oddVBand="0" w:evenVBand="0" w:oddHBand="0" w:evenHBand="0" w:firstRowFirstColumn="0" w:firstRowLastColumn="0" w:lastRowFirstColumn="0" w:lastRowLastColumn="0"/>
            </w:pPr>
            <w:r w:rsidRPr="00E46ADF">
              <w:t>$63,131</w:t>
            </w:r>
          </w:p>
        </w:tc>
        <w:tc>
          <w:tcPr>
            <w:tcW w:w="1023" w:type="pct"/>
          </w:tcPr>
          <w:p w14:paraId="186C05EE" w14:textId="77777777" w:rsidR="00E46ADF" w:rsidRPr="00E46ADF" w:rsidRDefault="00E46ADF" w:rsidP="00DA49F2">
            <w:pPr>
              <w:pStyle w:val="Tabletext1"/>
              <w:keepNext/>
              <w:jc w:val="right"/>
              <w:cnfStyle w:val="000000000000" w:firstRow="0" w:lastRow="0" w:firstColumn="0" w:lastColumn="0" w:oddVBand="0" w:evenVBand="0" w:oddHBand="0" w:evenHBand="0" w:firstRowFirstColumn="0" w:firstRowLastColumn="0" w:lastRowFirstColumn="0" w:lastRowLastColumn="0"/>
            </w:pPr>
            <w:r w:rsidRPr="00E46ADF">
              <w:t>$62,437</w:t>
            </w:r>
          </w:p>
        </w:tc>
        <w:tc>
          <w:tcPr>
            <w:tcW w:w="677" w:type="pct"/>
          </w:tcPr>
          <w:p w14:paraId="032C30BD" w14:textId="77777777" w:rsidR="00E46ADF" w:rsidRPr="00E46ADF" w:rsidRDefault="00E46ADF" w:rsidP="00DA49F2">
            <w:pPr>
              <w:pStyle w:val="Tabletext1"/>
              <w:keepNext/>
              <w:jc w:val="right"/>
              <w:cnfStyle w:val="000000000000" w:firstRow="0" w:lastRow="0" w:firstColumn="0" w:lastColumn="0" w:oddVBand="0" w:evenVBand="0" w:oddHBand="0" w:evenHBand="0" w:firstRowFirstColumn="0" w:firstRowLastColumn="0" w:lastRowFirstColumn="0" w:lastRowLastColumn="0"/>
            </w:pPr>
            <w:r w:rsidRPr="00E46ADF">
              <w:t>$694</w:t>
            </w:r>
          </w:p>
        </w:tc>
      </w:tr>
      <w:tr w:rsidR="00E46ADF" w:rsidRPr="00E46ADF" w14:paraId="70B339AD" w14:textId="77777777" w:rsidTr="00DA49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7" w:type="pct"/>
          </w:tcPr>
          <w:p w14:paraId="7DD684B0" w14:textId="77777777" w:rsidR="00E46ADF" w:rsidRPr="00DA49F2" w:rsidRDefault="00E46ADF" w:rsidP="00DA49F2">
            <w:pPr>
              <w:pStyle w:val="Tabletext1"/>
              <w:keepNext/>
              <w:rPr>
                <w:b w:val="0"/>
                <w:bCs w:val="0"/>
                <w:snapToGrid w:val="0"/>
                <w:lang w:eastAsia="en-US"/>
              </w:rPr>
            </w:pPr>
            <w:r w:rsidRPr="00DA49F2">
              <w:rPr>
                <w:b w:val="0"/>
                <w:bCs w:val="0"/>
                <w:snapToGrid w:val="0"/>
                <w:lang w:eastAsia="en-US"/>
              </w:rPr>
              <w:t>Including all base case costs +Allied Health Costs</w:t>
            </w:r>
          </w:p>
        </w:tc>
        <w:tc>
          <w:tcPr>
            <w:tcW w:w="1023" w:type="pct"/>
          </w:tcPr>
          <w:p w14:paraId="29AD4229" w14:textId="77777777" w:rsidR="00E46ADF" w:rsidRPr="00E46ADF" w:rsidRDefault="00E46ADF" w:rsidP="00DA49F2">
            <w:pPr>
              <w:pStyle w:val="Tabletext1"/>
              <w:keepNext/>
              <w:jc w:val="right"/>
              <w:cnfStyle w:val="000000100000" w:firstRow="0" w:lastRow="0" w:firstColumn="0" w:lastColumn="0" w:oddVBand="0" w:evenVBand="0" w:oddHBand="1" w:evenHBand="0" w:firstRowFirstColumn="0" w:firstRowLastColumn="0" w:lastRowFirstColumn="0" w:lastRowLastColumn="0"/>
            </w:pPr>
            <w:r w:rsidRPr="00E46ADF">
              <w:t>$64,538</w:t>
            </w:r>
          </w:p>
        </w:tc>
        <w:tc>
          <w:tcPr>
            <w:tcW w:w="1023" w:type="pct"/>
          </w:tcPr>
          <w:p w14:paraId="76CFD9DC" w14:textId="77777777" w:rsidR="00E46ADF" w:rsidRPr="00E46ADF" w:rsidRDefault="00E46ADF" w:rsidP="00DA49F2">
            <w:pPr>
              <w:pStyle w:val="Tabletext1"/>
              <w:keepNext/>
              <w:jc w:val="right"/>
              <w:cnfStyle w:val="000000100000" w:firstRow="0" w:lastRow="0" w:firstColumn="0" w:lastColumn="0" w:oddVBand="0" w:evenVBand="0" w:oddHBand="1" w:evenHBand="0" w:firstRowFirstColumn="0" w:firstRowLastColumn="0" w:lastRowFirstColumn="0" w:lastRowLastColumn="0"/>
            </w:pPr>
            <w:r w:rsidRPr="00E46ADF">
              <w:t>$62,582</w:t>
            </w:r>
          </w:p>
        </w:tc>
        <w:tc>
          <w:tcPr>
            <w:tcW w:w="677" w:type="pct"/>
          </w:tcPr>
          <w:p w14:paraId="1EE5CB41" w14:textId="77777777" w:rsidR="00E46ADF" w:rsidRPr="00E46ADF" w:rsidRDefault="00E46ADF" w:rsidP="00DA49F2">
            <w:pPr>
              <w:pStyle w:val="Tabletext1"/>
              <w:keepNext/>
              <w:jc w:val="right"/>
              <w:cnfStyle w:val="000000100000" w:firstRow="0" w:lastRow="0" w:firstColumn="0" w:lastColumn="0" w:oddVBand="0" w:evenVBand="0" w:oddHBand="1" w:evenHBand="0" w:firstRowFirstColumn="0" w:firstRowLastColumn="0" w:lastRowFirstColumn="0" w:lastRowLastColumn="0"/>
            </w:pPr>
            <w:r w:rsidRPr="00E46ADF">
              <w:t>$1,956</w:t>
            </w:r>
          </w:p>
        </w:tc>
      </w:tr>
      <w:tr w:rsidR="00E46ADF" w:rsidRPr="00E46ADF" w14:paraId="0AEC72BB" w14:textId="77777777" w:rsidTr="00DA49F2">
        <w:tc>
          <w:tcPr>
            <w:cnfStyle w:val="001000000000" w:firstRow="0" w:lastRow="0" w:firstColumn="1" w:lastColumn="0" w:oddVBand="0" w:evenVBand="0" w:oddHBand="0" w:evenHBand="0" w:firstRowFirstColumn="0" w:firstRowLastColumn="0" w:lastRowFirstColumn="0" w:lastRowLastColumn="0"/>
            <w:tcW w:w="2277" w:type="pct"/>
          </w:tcPr>
          <w:p w14:paraId="26B8A37A" w14:textId="77777777" w:rsidR="00E46ADF" w:rsidRPr="00DA49F2" w:rsidRDefault="00E46ADF" w:rsidP="00DA49F2">
            <w:pPr>
              <w:pStyle w:val="Tabletext1"/>
              <w:rPr>
                <w:b w:val="0"/>
                <w:bCs w:val="0"/>
                <w:snapToGrid w:val="0"/>
                <w:vanish/>
                <w:color w:val="C00000"/>
                <w:lang w:eastAsia="en-US"/>
              </w:rPr>
            </w:pPr>
            <w:r w:rsidRPr="00DA49F2">
              <w:rPr>
                <w:b w:val="0"/>
                <w:bCs w:val="0"/>
                <w:snapToGrid w:val="0"/>
                <w:lang w:eastAsia="en-US"/>
              </w:rPr>
              <w:t>Including all base case costs + All Hospital cost data</w:t>
            </w:r>
          </w:p>
        </w:tc>
        <w:tc>
          <w:tcPr>
            <w:tcW w:w="1023" w:type="pct"/>
          </w:tcPr>
          <w:p w14:paraId="14643C17" w14:textId="77777777" w:rsidR="00E46ADF" w:rsidRPr="00E46ADF" w:rsidRDefault="00E46ADF" w:rsidP="00DA49F2">
            <w:pPr>
              <w:pStyle w:val="Tabletext1"/>
              <w:jc w:val="right"/>
              <w:cnfStyle w:val="000000000000" w:firstRow="0" w:lastRow="0" w:firstColumn="0" w:lastColumn="0" w:oddVBand="0" w:evenVBand="0" w:oddHBand="0" w:evenHBand="0" w:firstRowFirstColumn="0" w:firstRowLastColumn="0" w:lastRowFirstColumn="0" w:lastRowLastColumn="0"/>
            </w:pPr>
            <w:r w:rsidRPr="00E46ADF">
              <w:t>$65,423</w:t>
            </w:r>
          </w:p>
        </w:tc>
        <w:tc>
          <w:tcPr>
            <w:tcW w:w="1023" w:type="pct"/>
          </w:tcPr>
          <w:p w14:paraId="6461FDBE" w14:textId="77777777" w:rsidR="00E46ADF" w:rsidRPr="00E46ADF" w:rsidRDefault="00E46ADF" w:rsidP="00DA49F2">
            <w:pPr>
              <w:pStyle w:val="Tabletext1"/>
              <w:jc w:val="right"/>
              <w:cnfStyle w:val="000000000000" w:firstRow="0" w:lastRow="0" w:firstColumn="0" w:lastColumn="0" w:oddVBand="0" w:evenVBand="0" w:oddHBand="0" w:evenHBand="0" w:firstRowFirstColumn="0" w:firstRowLastColumn="0" w:lastRowFirstColumn="0" w:lastRowLastColumn="0"/>
            </w:pPr>
            <w:r w:rsidRPr="00E46ADF">
              <w:t>$62,634</w:t>
            </w:r>
          </w:p>
        </w:tc>
        <w:tc>
          <w:tcPr>
            <w:tcW w:w="677" w:type="pct"/>
          </w:tcPr>
          <w:p w14:paraId="1E50557E" w14:textId="77777777" w:rsidR="00E46ADF" w:rsidRPr="00E46ADF" w:rsidRDefault="00E46ADF" w:rsidP="00DA49F2">
            <w:pPr>
              <w:pStyle w:val="Tabletext1"/>
              <w:jc w:val="right"/>
              <w:cnfStyle w:val="000000000000" w:firstRow="0" w:lastRow="0" w:firstColumn="0" w:lastColumn="0" w:oddVBand="0" w:evenVBand="0" w:oddHBand="0" w:evenHBand="0" w:firstRowFirstColumn="0" w:firstRowLastColumn="0" w:lastRowFirstColumn="0" w:lastRowLastColumn="0"/>
            </w:pPr>
            <w:r w:rsidRPr="00E46ADF">
              <w:t>$2,789</w:t>
            </w:r>
          </w:p>
        </w:tc>
      </w:tr>
    </w:tbl>
    <w:p w14:paraId="2BFA2D00" w14:textId="1601442E" w:rsidR="00E46ADF" w:rsidRDefault="00E46ADF" w:rsidP="00897C5B">
      <w:pPr>
        <w:pStyle w:val="Caption"/>
      </w:pPr>
      <w:r w:rsidRPr="00A648B6">
        <w:t>Table</w:t>
      </w:r>
      <w:r w:rsidR="00A648B6">
        <w:t xml:space="preserve"> D-15</w:t>
      </w:r>
      <w:r w:rsidRPr="00E46ADF">
        <w:t>: Scenario analysis of the trial-based analysis</w:t>
      </w:r>
    </w:p>
    <w:p w14:paraId="12794FC9" w14:textId="36B7978F" w:rsidR="00683A3A" w:rsidRDefault="00683A3A" w:rsidP="007501B9">
      <w:pPr>
        <w:rPr>
          <w:rFonts w:ascii="Arial Narrow" w:eastAsiaTheme="minorHAnsi" w:hAnsi="Arial Narrow"/>
          <w:sz w:val="20"/>
          <w:lang w:eastAsia="en-US"/>
        </w:rPr>
      </w:pPr>
      <w:r>
        <w:br w:type="page"/>
      </w:r>
    </w:p>
    <w:p w14:paraId="5D724188" w14:textId="77777777" w:rsidR="00A56EE2" w:rsidRPr="00F42B1D" w:rsidRDefault="00A56EE2" w:rsidP="00391CFD">
      <w:pPr>
        <w:pStyle w:val="Heading1"/>
      </w:pPr>
      <w:bookmarkStart w:id="260" w:name="_Toc117758280"/>
      <w:r w:rsidRPr="00F42B1D">
        <w:lastRenderedPageBreak/>
        <w:t>Section E</w:t>
      </w:r>
      <w:r w:rsidRPr="00F42B1D">
        <w:tab/>
        <w:t>Financial Implications</w:t>
      </w:r>
      <w:bookmarkEnd w:id="260"/>
    </w:p>
    <w:p w14:paraId="4B70EB0B" w14:textId="19BEAB0A" w:rsidR="002A25FD" w:rsidRDefault="002A25FD" w:rsidP="007501B9">
      <w:bookmarkStart w:id="261" w:name="_Toc214091269"/>
      <w:bookmarkStart w:id="262" w:name="_Toc341796089"/>
      <w:r w:rsidRPr="00183E4D">
        <w:t xml:space="preserve">An epidemiological approach has been used to estimate the financial implications of the introduction of </w:t>
      </w:r>
      <w:r w:rsidR="003D1EFD">
        <w:t xml:space="preserve">a </w:t>
      </w:r>
      <w:r>
        <w:t>pharmacist-led intervention among</w:t>
      </w:r>
      <w:r w:rsidRPr="00A541EB">
        <w:t xml:space="preserve"> residents in aged care facilities</w:t>
      </w:r>
      <w:r w:rsidRPr="00183E4D">
        <w:t>.</w:t>
      </w:r>
    </w:p>
    <w:p w14:paraId="216DEE8B" w14:textId="65B365E2" w:rsidR="00A56EE2" w:rsidRDefault="00A56EE2" w:rsidP="0084765B">
      <w:pPr>
        <w:pStyle w:val="Heading2-SectionE"/>
      </w:pPr>
      <w:bookmarkStart w:id="263" w:name="_Toc117758281"/>
      <w:r w:rsidRPr="00F42B1D">
        <w:t>Justification of the Selection of Sources of Data</w:t>
      </w:r>
      <w:bookmarkEnd w:id="261"/>
      <w:bookmarkEnd w:id="262"/>
      <w:bookmarkEnd w:id="263"/>
    </w:p>
    <w:p w14:paraId="7F282BC8" w14:textId="5807D736" w:rsidR="002A25FD" w:rsidRPr="002A25FD" w:rsidRDefault="00A648B6" w:rsidP="007501B9">
      <w:bookmarkStart w:id="264" w:name="_Ref379274614"/>
      <w:r>
        <w:t>Table E-1</w:t>
      </w:r>
      <w:r w:rsidR="002A25FD" w:rsidRPr="002A25FD">
        <w:t xml:space="preserve"> summarises the parameters and data sources used in the financial analysis.</w:t>
      </w:r>
    </w:p>
    <w:tbl>
      <w:tblPr>
        <w:tblStyle w:val="ListTable3"/>
        <w:tblW w:w="5000" w:type="pct"/>
        <w:tblLook w:val="04A0" w:firstRow="1" w:lastRow="0" w:firstColumn="1" w:lastColumn="0" w:noHBand="0" w:noVBand="1"/>
        <w:tblCaption w:val="Data and sources used in the financial analysis"/>
        <w:tblDescription w:val="Data and sources used in the financial analysis"/>
      </w:tblPr>
      <w:tblGrid>
        <w:gridCol w:w="3507"/>
        <w:gridCol w:w="1779"/>
        <w:gridCol w:w="3730"/>
      </w:tblGrid>
      <w:tr w:rsidR="002A25FD" w:rsidRPr="00DA49F2" w14:paraId="2A7AAD87" w14:textId="77777777" w:rsidTr="00DA49F2">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023" w:type="pct"/>
          </w:tcPr>
          <w:p w14:paraId="4324922A" w14:textId="77777777" w:rsidR="002A25FD" w:rsidRPr="00DA49F2" w:rsidRDefault="002A25FD" w:rsidP="00DA49F2">
            <w:pPr>
              <w:pStyle w:val="TableHeader"/>
              <w:rPr>
                <w:b/>
                <w:bCs w:val="0"/>
              </w:rPr>
            </w:pPr>
            <w:bookmarkStart w:id="265" w:name="ColumnTitle_3154" w:colFirst="0" w:colLast="0"/>
            <w:r w:rsidRPr="00DA49F2">
              <w:rPr>
                <w:b/>
                <w:bCs w:val="0"/>
              </w:rPr>
              <w:t>Description</w:t>
            </w:r>
            <w:bookmarkStart w:id="266" w:name="ColumnTitle_32"/>
            <w:bookmarkEnd w:id="266"/>
          </w:p>
        </w:tc>
        <w:tc>
          <w:tcPr>
            <w:tcW w:w="831" w:type="pct"/>
          </w:tcPr>
          <w:p w14:paraId="6D082E7F" w14:textId="77777777" w:rsidR="002A25FD" w:rsidRPr="00DA49F2" w:rsidRDefault="002A25FD" w:rsidP="00DA49F2">
            <w:pPr>
              <w:pStyle w:val="TableHeader"/>
              <w:cnfStyle w:val="100000000000" w:firstRow="1" w:lastRow="0" w:firstColumn="0" w:lastColumn="0" w:oddVBand="0" w:evenVBand="0" w:oddHBand="0" w:evenHBand="0" w:firstRowFirstColumn="0" w:firstRowLastColumn="0" w:lastRowFirstColumn="0" w:lastRowLastColumn="0"/>
              <w:rPr>
                <w:b/>
                <w:bCs w:val="0"/>
              </w:rPr>
            </w:pPr>
            <w:r w:rsidRPr="00DA49F2">
              <w:rPr>
                <w:b/>
                <w:bCs w:val="0"/>
              </w:rPr>
              <w:t>Value used</w:t>
            </w:r>
          </w:p>
        </w:tc>
        <w:tc>
          <w:tcPr>
            <w:tcW w:w="2146" w:type="pct"/>
          </w:tcPr>
          <w:p w14:paraId="6DECA4C9" w14:textId="77777777" w:rsidR="002A25FD" w:rsidRPr="00DA49F2" w:rsidRDefault="002A25FD" w:rsidP="00DA49F2">
            <w:pPr>
              <w:pStyle w:val="TableHeader"/>
              <w:cnfStyle w:val="100000000000" w:firstRow="1" w:lastRow="0" w:firstColumn="0" w:lastColumn="0" w:oddVBand="0" w:evenVBand="0" w:oddHBand="0" w:evenHBand="0" w:firstRowFirstColumn="0" w:firstRowLastColumn="0" w:lastRowFirstColumn="0" w:lastRowLastColumn="0"/>
              <w:rPr>
                <w:b/>
                <w:bCs w:val="0"/>
              </w:rPr>
            </w:pPr>
            <w:r w:rsidRPr="00DA49F2">
              <w:rPr>
                <w:b/>
                <w:bCs w:val="0"/>
              </w:rPr>
              <w:t>Source</w:t>
            </w:r>
          </w:p>
        </w:tc>
      </w:tr>
      <w:bookmarkEnd w:id="265"/>
      <w:tr w:rsidR="002A25FD" w:rsidRPr="002A25FD" w14:paraId="4A470FFB" w14:textId="77777777" w:rsidTr="00DA49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3" w:type="pct"/>
          </w:tcPr>
          <w:p w14:paraId="5E30DE31" w14:textId="1E7853AA" w:rsidR="002A25FD" w:rsidRPr="00686F31" w:rsidRDefault="002A25FD" w:rsidP="00DA49F2">
            <w:pPr>
              <w:pStyle w:val="Tabletext1"/>
              <w:rPr>
                <w:b w:val="0"/>
                <w:bCs w:val="0"/>
              </w:rPr>
            </w:pPr>
            <w:r w:rsidRPr="00686F31">
              <w:rPr>
                <w:b w:val="0"/>
                <w:bCs w:val="0"/>
              </w:rPr>
              <w:t>Number of people who received permanent residential aged care 2015-16 – 2019-20</w:t>
            </w:r>
          </w:p>
        </w:tc>
        <w:tc>
          <w:tcPr>
            <w:tcW w:w="831" w:type="pct"/>
          </w:tcPr>
          <w:p w14:paraId="13C8EF65" w14:textId="77777777" w:rsidR="002A25FD" w:rsidRPr="002A25FD" w:rsidRDefault="002A25FD" w:rsidP="00686F31">
            <w:pPr>
              <w:pStyle w:val="Tabletext1"/>
              <w:jc w:val="center"/>
              <w:cnfStyle w:val="000000100000" w:firstRow="0" w:lastRow="0" w:firstColumn="0" w:lastColumn="0" w:oddVBand="0" w:evenVBand="0" w:oddHBand="1" w:evenHBand="0" w:firstRowFirstColumn="0" w:firstRowLastColumn="0" w:lastRowFirstColumn="0" w:lastRowLastColumn="0"/>
            </w:pPr>
            <w:r w:rsidRPr="002A25FD">
              <w:t>239,379−244,363</w:t>
            </w:r>
          </w:p>
        </w:tc>
        <w:tc>
          <w:tcPr>
            <w:tcW w:w="2146" w:type="pct"/>
          </w:tcPr>
          <w:p w14:paraId="1E94B742" w14:textId="77777777" w:rsidR="002A25FD" w:rsidRPr="002A25FD" w:rsidRDefault="002A25FD" w:rsidP="00DA49F2">
            <w:pPr>
              <w:pStyle w:val="Tabletext1"/>
              <w:cnfStyle w:val="000000100000" w:firstRow="0" w:lastRow="0" w:firstColumn="0" w:lastColumn="0" w:oddVBand="0" w:evenVBand="0" w:oddHBand="1" w:evenHBand="0" w:firstRowFirstColumn="0" w:firstRowLastColumn="0" w:lastRowFirstColumn="0" w:lastRowLastColumn="0"/>
            </w:pPr>
            <w:r w:rsidRPr="002A25FD">
              <w:t xml:space="preserve">Reports on the Operation of the </w:t>
            </w:r>
            <w:r w:rsidRPr="002A25FD">
              <w:rPr>
                <w:i/>
              </w:rPr>
              <w:t>Aged Care Act 1997</w:t>
            </w:r>
            <w:r w:rsidRPr="002A25FD">
              <w:t>, (2015-16, 2016-17, 2017-18, 2018-19, 2019-20)</w:t>
            </w:r>
          </w:p>
        </w:tc>
      </w:tr>
      <w:tr w:rsidR="002A25FD" w:rsidRPr="002A25FD" w14:paraId="6A8B484C" w14:textId="77777777" w:rsidTr="00DA49F2">
        <w:tc>
          <w:tcPr>
            <w:cnfStyle w:val="001000000000" w:firstRow="0" w:lastRow="0" w:firstColumn="1" w:lastColumn="0" w:oddVBand="0" w:evenVBand="0" w:oddHBand="0" w:evenHBand="0" w:firstRowFirstColumn="0" w:firstRowLastColumn="0" w:lastRowFirstColumn="0" w:lastRowLastColumn="0"/>
            <w:tcW w:w="2023" w:type="pct"/>
          </w:tcPr>
          <w:p w14:paraId="233CE215" w14:textId="5DFF5903" w:rsidR="002A25FD" w:rsidRPr="00686F31" w:rsidRDefault="002A25FD" w:rsidP="00DA49F2">
            <w:pPr>
              <w:pStyle w:val="Tabletext1"/>
              <w:rPr>
                <w:b w:val="0"/>
                <w:bCs w:val="0"/>
              </w:rPr>
            </w:pPr>
            <w:r w:rsidRPr="00686F31">
              <w:rPr>
                <w:b w:val="0"/>
                <w:bCs w:val="0"/>
              </w:rPr>
              <w:t>Number of people who received permanent residential aged care 2020-21 – 2025-26</w:t>
            </w:r>
          </w:p>
        </w:tc>
        <w:tc>
          <w:tcPr>
            <w:tcW w:w="831" w:type="pct"/>
          </w:tcPr>
          <w:p w14:paraId="71BA078F" w14:textId="77777777" w:rsidR="002A25FD" w:rsidRPr="002A25FD" w:rsidRDefault="002A25FD" w:rsidP="00686F31">
            <w:pPr>
              <w:pStyle w:val="Tabletext1"/>
              <w:jc w:val="center"/>
              <w:cnfStyle w:val="000000000000" w:firstRow="0" w:lastRow="0" w:firstColumn="0" w:lastColumn="0" w:oddVBand="0" w:evenVBand="0" w:oddHBand="0" w:evenHBand="0" w:firstRowFirstColumn="0" w:firstRowLastColumn="0" w:lastRowFirstColumn="0" w:lastRowLastColumn="0"/>
            </w:pPr>
            <w:r w:rsidRPr="002A25FD">
              <w:t>247,231−258,280</w:t>
            </w:r>
          </w:p>
        </w:tc>
        <w:tc>
          <w:tcPr>
            <w:tcW w:w="2146" w:type="pct"/>
          </w:tcPr>
          <w:p w14:paraId="08C0E12E" w14:textId="02C4AC7F" w:rsidR="002A25FD" w:rsidRPr="002A25FD" w:rsidRDefault="002A25FD" w:rsidP="00DA49F2">
            <w:pPr>
              <w:pStyle w:val="Tabletext1"/>
              <w:cnfStyle w:val="000000000000" w:firstRow="0" w:lastRow="0" w:firstColumn="0" w:lastColumn="0" w:oddVBand="0" w:evenVBand="0" w:oddHBand="0" w:evenHBand="0" w:firstRowFirstColumn="0" w:firstRowLastColumn="0" w:lastRowFirstColumn="0" w:lastRowLastColumn="0"/>
            </w:pPr>
            <w:r w:rsidRPr="002A25FD">
              <w:t>Projections based on a linear extrapolation of the 2015-16 to 2019-20 data</w:t>
            </w:r>
            <w:r>
              <w:t>.</w:t>
            </w:r>
          </w:p>
        </w:tc>
      </w:tr>
      <w:tr w:rsidR="002A25FD" w:rsidRPr="002A25FD" w14:paraId="754D5749" w14:textId="77777777" w:rsidTr="00DA49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3" w:type="pct"/>
          </w:tcPr>
          <w:p w14:paraId="7C617A5A" w14:textId="77777777" w:rsidR="002A25FD" w:rsidRPr="00686F31" w:rsidRDefault="002A25FD" w:rsidP="00DA49F2">
            <w:pPr>
              <w:pStyle w:val="Tabletext1"/>
              <w:rPr>
                <w:b w:val="0"/>
                <w:bCs w:val="0"/>
              </w:rPr>
            </w:pPr>
            <w:r w:rsidRPr="00686F31">
              <w:rPr>
                <w:b w:val="0"/>
                <w:bCs w:val="0"/>
              </w:rPr>
              <w:t xml:space="preserve">Proportion of residents meeting eligibility criteria </w:t>
            </w:r>
          </w:p>
        </w:tc>
        <w:tc>
          <w:tcPr>
            <w:tcW w:w="831" w:type="pct"/>
          </w:tcPr>
          <w:p w14:paraId="429FBA5E" w14:textId="77777777" w:rsidR="002A25FD" w:rsidRPr="002A25FD" w:rsidRDefault="002A25FD" w:rsidP="00686F31">
            <w:pPr>
              <w:pStyle w:val="Tabletext1"/>
              <w:jc w:val="center"/>
              <w:cnfStyle w:val="000000100000" w:firstRow="0" w:lastRow="0" w:firstColumn="0" w:lastColumn="0" w:oddVBand="0" w:evenVBand="0" w:oddHBand="1" w:evenHBand="0" w:firstRowFirstColumn="0" w:firstRowLastColumn="0" w:lastRowFirstColumn="0" w:lastRowLastColumn="0"/>
            </w:pPr>
            <w:r w:rsidRPr="002A25FD">
              <w:t>7.7%</w:t>
            </w:r>
          </w:p>
        </w:tc>
        <w:tc>
          <w:tcPr>
            <w:tcW w:w="2146" w:type="pct"/>
          </w:tcPr>
          <w:p w14:paraId="04BD82BE" w14:textId="77777777" w:rsidR="002A25FD" w:rsidRPr="002A25FD" w:rsidRDefault="002A25FD" w:rsidP="00DA49F2">
            <w:pPr>
              <w:pStyle w:val="Tabletext1"/>
              <w:cnfStyle w:val="000000100000" w:firstRow="0" w:lastRow="0" w:firstColumn="0" w:lastColumn="0" w:oddVBand="0" w:evenVBand="0" w:oddHBand="1" w:evenHBand="0" w:firstRowFirstColumn="0" w:firstRowLastColumn="0" w:lastRowFirstColumn="0" w:lastRowLastColumn="0"/>
            </w:pPr>
            <w:r w:rsidRPr="002A25FD">
              <w:t>282 of 3,646 residents screened were eligible for study participation, as per Section B.4 of this report.</w:t>
            </w:r>
          </w:p>
        </w:tc>
      </w:tr>
      <w:tr w:rsidR="002A25FD" w:rsidRPr="002A25FD" w14:paraId="457E1F2F" w14:textId="77777777" w:rsidTr="00DA49F2">
        <w:tc>
          <w:tcPr>
            <w:cnfStyle w:val="001000000000" w:firstRow="0" w:lastRow="0" w:firstColumn="1" w:lastColumn="0" w:oddVBand="0" w:evenVBand="0" w:oddHBand="0" w:evenHBand="0" w:firstRowFirstColumn="0" w:firstRowLastColumn="0" w:lastRowFirstColumn="0" w:lastRowLastColumn="0"/>
            <w:tcW w:w="2023" w:type="pct"/>
          </w:tcPr>
          <w:p w14:paraId="331A886D" w14:textId="77777777" w:rsidR="002A25FD" w:rsidRPr="00686F31" w:rsidRDefault="002A25FD" w:rsidP="00DA49F2">
            <w:pPr>
              <w:pStyle w:val="Tabletext1"/>
              <w:rPr>
                <w:b w:val="0"/>
                <w:bCs w:val="0"/>
              </w:rPr>
            </w:pPr>
            <w:r w:rsidRPr="00686F31">
              <w:rPr>
                <w:b w:val="0"/>
                <w:bCs w:val="0"/>
              </w:rPr>
              <w:t>Uptake of pharmacist review by aged care residents</w:t>
            </w:r>
          </w:p>
        </w:tc>
        <w:tc>
          <w:tcPr>
            <w:tcW w:w="831" w:type="pct"/>
          </w:tcPr>
          <w:p w14:paraId="1BF08FA6" w14:textId="77777777" w:rsidR="002A25FD" w:rsidRPr="002A25FD" w:rsidRDefault="002A25FD" w:rsidP="00686F31">
            <w:pPr>
              <w:pStyle w:val="Tabletext1"/>
              <w:jc w:val="center"/>
              <w:cnfStyle w:val="000000000000" w:firstRow="0" w:lastRow="0" w:firstColumn="0" w:lastColumn="0" w:oddVBand="0" w:evenVBand="0" w:oddHBand="0" w:evenHBand="0" w:firstRowFirstColumn="0" w:firstRowLastColumn="0" w:lastRowFirstColumn="0" w:lastRowLastColumn="0"/>
            </w:pPr>
            <w:r w:rsidRPr="002A25FD">
              <w:t>50%</w:t>
            </w:r>
          </w:p>
        </w:tc>
        <w:tc>
          <w:tcPr>
            <w:tcW w:w="2146" w:type="pct"/>
          </w:tcPr>
          <w:p w14:paraId="76C382CE" w14:textId="77777777" w:rsidR="002A25FD" w:rsidRPr="002A25FD" w:rsidRDefault="002A25FD" w:rsidP="00DA49F2">
            <w:pPr>
              <w:pStyle w:val="Tabletext1"/>
              <w:cnfStyle w:val="000000000000" w:firstRow="0" w:lastRow="0" w:firstColumn="0" w:lastColumn="0" w:oddVBand="0" w:evenVBand="0" w:oddHBand="0" w:evenHBand="0" w:firstRowFirstColumn="0" w:firstRowLastColumn="0" w:lastRowFirstColumn="0" w:lastRowLastColumn="0"/>
            </w:pPr>
            <w:r w:rsidRPr="002A25FD">
              <w:t>Assumption</w:t>
            </w:r>
          </w:p>
        </w:tc>
      </w:tr>
      <w:tr w:rsidR="002A25FD" w:rsidRPr="002A25FD" w14:paraId="516B1252" w14:textId="77777777" w:rsidTr="00DA49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3" w:type="pct"/>
          </w:tcPr>
          <w:p w14:paraId="127F1BC7" w14:textId="77777777" w:rsidR="002A25FD" w:rsidRPr="00686F31" w:rsidRDefault="002A25FD" w:rsidP="00DA49F2">
            <w:pPr>
              <w:pStyle w:val="Tabletext1"/>
              <w:rPr>
                <w:b w:val="0"/>
                <w:bCs w:val="0"/>
              </w:rPr>
            </w:pPr>
            <w:r w:rsidRPr="00686F31">
              <w:rPr>
                <w:b w:val="0"/>
                <w:bCs w:val="0"/>
              </w:rPr>
              <w:t>Number of pharmacist reviews per eligible resident</w:t>
            </w:r>
          </w:p>
        </w:tc>
        <w:tc>
          <w:tcPr>
            <w:tcW w:w="831" w:type="pct"/>
          </w:tcPr>
          <w:p w14:paraId="315962A2" w14:textId="77777777" w:rsidR="002A25FD" w:rsidRPr="002A25FD" w:rsidRDefault="002A25FD" w:rsidP="00686F31">
            <w:pPr>
              <w:pStyle w:val="Tabletext1"/>
              <w:jc w:val="center"/>
              <w:cnfStyle w:val="000000100000" w:firstRow="0" w:lastRow="0" w:firstColumn="0" w:lastColumn="0" w:oddVBand="0" w:evenVBand="0" w:oddHBand="1" w:evenHBand="0" w:firstRowFirstColumn="0" w:firstRowLastColumn="0" w:lastRowFirstColumn="0" w:lastRowLastColumn="0"/>
            </w:pPr>
            <w:r w:rsidRPr="002A25FD">
              <w:t>5</w:t>
            </w:r>
          </w:p>
        </w:tc>
        <w:tc>
          <w:tcPr>
            <w:tcW w:w="2146" w:type="pct"/>
          </w:tcPr>
          <w:p w14:paraId="4D29A350" w14:textId="77777777" w:rsidR="002A25FD" w:rsidRPr="002A25FD" w:rsidRDefault="002A25FD" w:rsidP="00DA49F2">
            <w:pPr>
              <w:pStyle w:val="Tabletext1"/>
              <w:cnfStyle w:val="000000100000" w:firstRow="0" w:lastRow="0" w:firstColumn="0" w:lastColumn="0" w:oddVBand="0" w:evenVBand="0" w:oddHBand="1" w:evenHBand="0" w:firstRowFirstColumn="0" w:firstRowLastColumn="0" w:lastRowFirstColumn="0" w:lastRowLastColumn="0"/>
            </w:pPr>
            <w:r w:rsidRPr="002A25FD">
              <w:t xml:space="preserve">Observed average number of services per resident in the </w:t>
            </w:r>
            <w:proofErr w:type="spellStart"/>
            <w:r w:rsidRPr="002A25FD">
              <w:t>ReMInDAR</w:t>
            </w:r>
            <w:proofErr w:type="spellEnd"/>
            <w:r w:rsidRPr="002A25FD">
              <w:t xml:space="preserve"> trial</w:t>
            </w:r>
          </w:p>
        </w:tc>
      </w:tr>
      <w:tr w:rsidR="002A25FD" w:rsidRPr="002A25FD" w14:paraId="0AC43C10" w14:textId="77777777" w:rsidTr="00DA49F2">
        <w:tc>
          <w:tcPr>
            <w:cnfStyle w:val="001000000000" w:firstRow="0" w:lastRow="0" w:firstColumn="1" w:lastColumn="0" w:oddVBand="0" w:evenVBand="0" w:oddHBand="0" w:evenHBand="0" w:firstRowFirstColumn="0" w:firstRowLastColumn="0" w:lastRowFirstColumn="0" w:lastRowLastColumn="0"/>
            <w:tcW w:w="2023" w:type="pct"/>
          </w:tcPr>
          <w:p w14:paraId="13AAC0F6" w14:textId="77777777" w:rsidR="002A25FD" w:rsidRPr="00686F31" w:rsidRDefault="002A25FD" w:rsidP="00DA49F2">
            <w:pPr>
              <w:pStyle w:val="Tabletext1"/>
              <w:rPr>
                <w:b w:val="0"/>
                <w:bCs w:val="0"/>
              </w:rPr>
            </w:pPr>
            <w:r w:rsidRPr="00686F31">
              <w:rPr>
                <w:b w:val="0"/>
                <w:bCs w:val="0"/>
              </w:rPr>
              <w:t>Cost per pharmacist review</w:t>
            </w:r>
          </w:p>
        </w:tc>
        <w:tc>
          <w:tcPr>
            <w:tcW w:w="831" w:type="pct"/>
          </w:tcPr>
          <w:p w14:paraId="18B969CC" w14:textId="77777777" w:rsidR="002A25FD" w:rsidRPr="002A25FD" w:rsidRDefault="002A25FD" w:rsidP="00686F31">
            <w:pPr>
              <w:pStyle w:val="Tabletext1"/>
              <w:jc w:val="center"/>
              <w:cnfStyle w:val="000000000000" w:firstRow="0" w:lastRow="0" w:firstColumn="0" w:lastColumn="0" w:oddVBand="0" w:evenVBand="0" w:oddHBand="0" w:evenHBand="0" w:firstRowFirstColumn="0" w:firstRowLastColumn="0" w:lastRowFirstColumn="0" w:lastRowLastColumn="0"/>
            </w:pPr>
            <w:r w:rsidRPr="002A25FD">
              <w:t>$107.07</w:t>
            </w:r>
          </w:p>
        </w:tc>
        <w:tc>
          <w:tcPr>
            <w:tcW w:w="2146" w:type="pct"/>
          </w:tcPr>
          <w:p w14:paraId="1C1C7514" w14:textId="7D4EBC56" w:rsidR="002A25FD" w:rsidRPr="002A25FD" w:rsidRDefault="002A25FD" w:rsidP="00DA49F2">
            <w:pPr>
              <w:pStyle w:val="Tabletext1"/>
              <w:cnfStyle w:val="000000000000" w:firstRow="0" w:lastRow="0" w:firstColumn="0" w:lastColumn="0" w:oddVBand="0" w:evenVBand="0" w:oddHBand="0" w:evenHBand="0" w:firstRowFirstColumn="0" w:firstRowLastColumn="0" w:lastRowFirstColumn="0" w:lastRowLastColumn="0"/>
            </w:pPr>
            <w:r w:rsidRPr="002A25FD">
              <w:t xml:space="preserve">Section D.4 </w:t>
            </w:r>
            <w:r w:rsidR="00686F31">
              <w:t>–</w:t>
            </w:r>
            <w:r w:rsidRPr="002A25FD">
              <w:t xml:space="preserve"> Approximate estimate – further negotiation re fees and payment methods would be required with key stakeholders.</w:t>
            </w:r>
          </w:p>
        </w:tc>
      </w:tr>
      <w:tr w:rsidR="002A25FD" w:rsidRPr="002A25FD" w14:paraId="61D160C6" w14:textId="77777777" w:rsidTr="00DA49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3" w:type="pct"/>
          </w:tcPr>
          <w:p w14:paraId="2540E358" w14:textId="77777777" w:rsidR="002A25FD" w:rsidRPr="00686F31" w:rsidRDefault="002A25FD" w:rsidP="00DA49F2">
            <w:pPr>
              <w:pStyle w:val="Tabletext1"/>
              <w:rPr>
                <w:b w:val="0"/>
                <w:bCs w:val="0"/>
              </w:rPr>
            </w:pPr>
            <w:r w:rsidRPr="00686F31">
              <w:rPr>
                <w:b w:val="0"/>
                <w:bCs w:val="0"/>
              </w:rPr>
              <w:t>Change in PBS costs per patient who takes up pharmacist review</w:t>
            </w:r>
          </w:p>
        </w:tc>
        <w:tc>
          <w:tcPr>
            <w:tcW w:w="831" w:type="pct"/>
          </w:tcPr>
          <w:p w14:paraId="455E5CEB" w14:textId="77777777" w:rsidR="002A25FD" w:rsidRPr="002A25FD" w:rsidRDefault="002A25FD" w:rsidP="00686F31">
            <w:pPr>
              <w:pStyle w:val="Tabletext1"/>
              <w:jc w:val="center"/>
              <w:cnfStyle w:val="000000100000" w:firstRow="0" w:lastRow="0" w:firstColumn="0" w:lastColumn="0" w:oddVBand="0" w:evenVBand="0" w:oddHBand="1" w:evenHBand="0" w:firstRowFirstColumn="0" w:firstRowLastColumn="0" w:lastRowFirstColumn="0" w:lastRowLastColumn="0"/>
            </w:pPr>
            <w:r w:rsidRPr="002A25FD">
              <w:t>−$664.00</w:t>
            </w:r>
          </w:p>
        </w:tc>
        <w:tc>
          <w:tcPr>
            <w:tcW w:w="2146" w:type="pct"/>
          </w:tcPr>
          <w:p w14:paraId="501F74D1" w14:textId="77777777" w:rsidR="002A25FD" w:rsidRPr="002A25FD" w:rsidRDefault="002A25FD" w:rsidP="00DA49F2">
            <w:pPr>
              <w:pStyle w:val="Tabletext1"/>
              <w:cnfStyle w:val="000000100000" w:firstRow="0" w:lastRow="0" w:firstColumn="0" w:lastColumn="0" w:oddVBand="0" w:evenVBand="0" w:oddHBand="1" w:evenHBand="0" w:firstRowFirstColumn="0" w:firstRowLastColumn="0" w:lastRowFirstColumn="0" w:lastRowLastColumn="0"/>
            </w:pPr>
            <w:r w:rsidRPr="002A25FD">
              <w:t>Section D.5</w:t>
            </w:r>
          </w:p>
        </w:tc>
      </w:tr>
    </w:tbl>
    <w:p w14:paraId="2E58845E" w14:textId="07F4861B" w:rsidR="002A25FD" w:rsidRPr="002A25FD" w:rsidRDefault="002A25FD" w:rsidP="00897C5B">
      <w:pPr>
        <w:pStyle w:val="Caption"/>
      </w:pPr>
      <w:r w:rsidRPr="00A648B6">
        <w:t>Table</w:t>
      </w:r>
      <w:r w:rsidR="00A648B6">
        <w:t xml:space="preserve"> E-1</w:t>
      </w:r>
      <w:r w:rsidRPr="00A648B6">
        <w:t>:</w:t>
      </w:r>
      <w:r>
        <w:t xml:space="preserve"> </w:t>
      </w:r>
      <w:r w:rsidRPr="002A25FD">
        <w:t>Data and sources used in the financial analysis</w:t>
      </w:r>
    </w:p>
    <w:p w14:paraId="116518A7" w14:textId="5FD72772" w:rsidR="00A56EE2" w:rsidRDefault="00A56EE2" w:rsidP="0084765B">
      <w:pPr>
        <w:pStyle w:val="Heading2-SectionE"/>
      </w:pPr>
      <w:bookmarkStart w:id="267" w:name="_Toc214091270"/>
      <w:bookmarkStart w:id="268" w:name="_Toc341796094"/>
      <w:bookmarkStart w:id="269" w:name="_Toc117758282"/>
      <w:bookmarkStart w:id="270" w:name="_Toc379118300"/>
      <w:bookmarkStart w:id="271" w:name="_Toc381796483"/>
      <w:bookmarkStart w:id="272" w:name="_Toc379118089"/>
      <w:bookmarkEnd w:id="264"/>
      <w:r w:rsidRPr="00F42B1D">
        <w:t xml:space="preserve">Use and Costs of </w:t>
      </w:r>
      <w:bookmarkEnd w:id="267"/>
      <w:bookmarkEnd w:id="268"/>
      <w:proofErr w:type="spellStart"/>
      <w:r w:rsidR="00FF0CB9" w:rsidRPr="00F42B1D">
        <w:t>ReMInDAR</w:t>
      </w:r>
      <w:bookmarkEnd w:id="269"/>
      <w:proofErr w:type="spellEnd"/>
    </w:p>
    <w:p w14:paraId="2F268687" w14:textId="62E9F116" w:rsidR="002A25FD" w:rsidRPr="00B35E47" w:rsidRDefault="002A25FD" w:rsidP="007501B9">
      <w:r>
        <w:t>The number of people who received permanent residential aged care in Australia is reported annuall</w:t>
      </w:r>
      <w:r w:rsidR="00A648B6">
        <w:t>y by the Department of Health</w:t>
      </w:r>
      <w:r w:rsidR="007501B9">
        <w:t xml:space="preserve">. </w:t>
      </w:r>
      <w:r w:rsidR="00A648B6">
        <w:t>Table E-2</w:t>
      </w:r>
      <w:r w:rsidR="003D1EFD">
        <w:t xml:space="preserve"> </w:t>
      </w:r>
      <w:r>
        <w:t>presents the number of people who received permanent residential aged care in Australia in 2015-16 to 2019-20</w:t>
      </w:r>
      <w:r w:rsidR="007501B9">
        <w:t xml:space="preserve">. </w:t>
      </w:r>
      <w:r w:rsidRPr="002A25FD">
        <w:rPr>
          <w:snapToGrid w:val="0"/>
          <w:lang w:eastAsia="en-US"/>
        </w:rPr>
        <w:t xml:space="preserve">A linear projection of this data </w:t>
      </w:r>
      <w:r w:rsidR="003D1EFD">
        <w:rPr>
          <w:snapToGrid w:val="0"/>
          <w:lang w:eastAsia="en-US"/>
        </w:rPr>
        <w:t>was</w:t>
      </w:r>
      <w:r w:rsidRPr="002A25FD">
        <w:rPr>
          <w:snapToGrid w:val="0"/>
          <w:lang w:eastAsia="en-US"/>
        </w:rPr>
        <w:t xml:space="preserve"> used to estimate the number of people estimated to receive permanent residential aged care to 2025</w:t>
      </w:r>
      <w:r w:rsidRPr="00A648B6">
        <w:rPr>
          <w:snapToGrid w:val="0"/>
          <w:lang w:eastAsia="en-US"/>
        </w:rPr>
        <w:t>-26 (</w:t>
      </w:r>
      <w:r w:rsidR="008A7B2A">
        <w:rPr>
          <w:snapToGrid w:val="0"/>
          <w:lang w:eastAsia="en-US"/>
        </w:rPr>
        <w:t>Figure E-1</w:t>
      </w:r>
      <w:r w:rsidRPr="00A648B6">
        <w:rPr>
          <w:snapToGrid w:val="0"/>
          <w:lang w:eastAsia="en-US"/>
        </w:rPr>
        <w:t>).</w:t>
      </w:r>
    </w:p>
    <w:tbl>
      <w:tblPr>
        <w:tblStyle w:val="ListTable3"/>
        <w:tblW w:w="5000" w:type="pct"/>
        <w:tblLayout w:type="fixed"/>
        <w:tblLook w:val="04A0" w:firstRow="1" w:lastRow="0" w:firstColumn="1" w:lastColumn="0" w:noHBand="0" w:noVBand="1"/>
        <w:tblCaption w:val="Number of people who received permanent residential aged care, 2015-16 to 2019-20"/>
        <w:tblDescription w:val="Number of people who received permanent residential aged care, 2015-16 to 2019-20&#10;Source: Reports on the Operation of the Aged Care Act 1997, (2016-17, 2017-18, 2018-19, 2019-20)&#10;"/>
      </w:tblPr>
      <w:tblGrid>
        <w:gridCol w:w="4249"/>
        <w:gridCol w:w="940"/>
        <w:gridCol w:w="957"/>
        <w:gridCol w:w="957"/>
        <w:gridCol w:w="957"/>
        <w:gridCol w:w="956"/>
      </w:tblGrid>
      <w:tr w:rsidR="00686F31" w:rsidRPr="00686F31" w14:paraId="0F8C11D4" w14:textId="77777777" w:rsidTr="00686F31">
        <w:trPr>
          <w:cnfStyle w:val="100000000000" w:firstRow="1" w:lastRow="0" w:firstColumn="0" w:lastColumn="0" w:oddVBand="0" w:evenVBand="0" w:oddHBand="0" w:evenHBand="0" w:firstRowFirstColumn="0" w:firstRowLastColumn="0" w:lastRowFirstColumn="0" w:lastRowLastColumn="0"/>
          <w:trHeight w:val="297"/>
        </w:trPr>
        <w:tc>
          <w:tcPr>
            <w:cnfStyle w:val="001000000100" w:firstRow="0" w:lastRow="0" w:firstColumn="1" w:lastColumn="0" w:oddVBand="0" w:evenVBand="0" w:oddHBand="0" w:evenHBand="0" w:firstRowFirstColumn="1" w:firstRowLastColumn="0" w:lastRowFirstColumn="0" w:lastRowLastColumn="0"/>
            <w:tcW w:w="2356" w:type="pct"/>
            <w:noWrap/>
            <w:hideMark/>
          </w:tcPr>
          <w:p w14:paraId="7403AD00" w14:textId="77777777" w:rsidR="002A25FD" w:rsidRPr="00686F31" w:rsidRDefault="002A25FD" w:rsidP="00686F31">
            <w:pPr>
              <w:pStyle w:val="TableHeader"/>
              <w:rPr>
                <w:b/>
                <w:bCs w:val="0"/>
                <w:sz w:val="18"/>
                <w:szCs w:val="18"/>
              </w:rPr>
            </w:pPr>
            <w:bookmarkStart w:id="273" w:name="ColumnTitle_3256"/>
            <w:r w:rsidRPr="00686F31">
              <w:rPr>
                <w:b/>
                <w:bCs w:val="0"/>
                <w:sz w:val="18"/>
                <w:szCs w:val="18"/>
              </w:rPr>
              <w:t>Description</w:t>
            </w:r>
            <w:bookmarkStart w:id="274" w:name="ColumnTitle_33"/>
            <w:bookmarkEnd w:id="274"/>
          </w:p>
        </w:tc>
        <w:tc>
          <w:tcPr>
            <w:tcW w:w="521" w:type="pct"/>
          </w:tcPr>
          <w:p w14:paraId="4C10CF89" w14:textId="77777777" w:rsidR="002A25FD" w:rsidRPr="00686F31" w:rsidRDefault="002A25FD" w:rsidP="00686F31">
            <w:pPr>
              <w:pStyle w:val="TableHeader"/>
              <w:cnfStyle w:val="100000000000" w:firstRow="1" w:lastRow="0" w:firstColumn="0" w:lastColumn="0" w:oddVBand="0" w:evenVBand="0" w:oddHBand="0" w:evenHBand="0" w:firstRowFirstColumn="0" w:firstRowLastColumn="0" w:lastRowFirstColumn="0" w:lastRowLastColumn="0"/>
              <w:rPr>
                <w:b/>
                <w:bCs w:val="0"/>
                <w:sz w:val="18"/>
                <w:szCs w:val="18"/>
              </w:rPr>
            </w:pPr>
            <w:r w:rsidRPr="00686F31">
              <w:rPr>
                <w:b/>
                <w:bCs w:val="0"/>
                <w:sz w:val="18"/>
                <w:szCs w:val="18"/>
              </w:rPr>
              <w:t>2015–16</w:t>
            </w:r>
          </w:p>
        </w:tc>
        <w:tc>
          <w:tcPr>
            <w:tcW w:w="531" w:type="pct"/>
            <w:noWrap/>
            <w:hideMark/>
          </w:tcPr>
          <w:p w14:paraId="3BF6A265" w14:textId="77777777" w:rsidR="002A25FD" w:rsidRPr="00686F31" w:rsidRDefault="002A25FD" w:rsidP="00686F31">
            <w:pPr>
              <w:pStyle w:val="TableHeader"/>
              <w:cnfStyle w:val="100000000000" w:firstRow="1" w:lastRow="0" w:firstColumn="0" w:lastColumn="0" w:oddVBand="0" w:evenVBand="0" w:oddHBand="0" w:evenHBand="0" w:firstRowFirstColumn="0" w:firstRowLastColumn="0" w:lastRowFirstColumn="0" w:lastRowLastColumn="0"/>
              <w:rPr>
                <w:b/>
                <w:bCs w:val="0"/>
                <w:sz w:val="18"/>
                <w:szCs w:val="18"/>
              </w:rPr>
            </w:pPr>
            <w:r w:rsidRPr="00686F31">
              <w:rPr>
                <w:b/>
                <w:bCs w:val="0"/>
                <w:sz w:val="18"/>
                <w:szCs w:val="18"/>
              </w:rPr>
              <w:t>2016–17</w:t>
            </w:r>
          </w:p>
        </w:tc>
        <w:tc>
          <w:tcPr>
            <w:tcW w:w="531" w:type="pct"/>
            <w:noWrap/>
            <w:hideMark/>
          </w:tcPr>
          <w:p w14:paraId="7FC0DE8B" w14:textId="77777777" w:rsidR="002A25FD" w:rsidRPr="00686F31" w:rsidRDefault="002A25FD" w:rsidP="00686F31">
            <w:pPr>
              <w:pStyle w:val="TableHeader"/>
              <w:cnfStyle w:val="100000000000" w:firstRow="1" w:lastRow="0" w:firstColumn="0" w:lastColumn="0" w:oddVBand="0" w:evenVBand="0" w:oddHBand="0" w:evenHBand="0" w:firstRowFirstColumn="0" w:firstRowLastColumn="0" w:lastRowFirstColumn="0" w:lastRowLastColumn="0"/>
              <w:rPr>
                <w:b/>
                <w:bCs w:val="0"/>
                <w:sz w:val="18"/>
                <w:szCs w:val="18"/>
              </w:rPr>
            </w:pPr>
            <w:r w:rsidRPr="00686F31">
              <w:rPr>
                <w:b/>
                <w:bCs w:val="0"/>
                <w:sz w:val="18"/>
                <w:szCs w:val="18"/>
              </w:rPr>
              <w:t>2017–18</w:t>
            </w:r>
          </w:p>
        </w:tc>
        <w:tc>
          <w:tcPr>
            <w:tcW w:w="531" w:type="pct"/>
            <w:noWrap/>
            <w:hideMark/>
          </w:tcPr>
          <w:p w14:paraId="2526833E" w14:textId="77777777" w:rsidR="002A25FD" w:rsidRPr="00686F31" w:rsidRDefault="002A25FD" w:rsidP="00686F31">
            <w:pPr>
              <w:pStyle w:val="TableHeader"/>
              <w:cnfStyle w:val="100000000000" w:firstRow="1" w:lastRow="0" w:firstColumn="0" w:lastColumn="0" w:oddVBand="0" w:evenVBand="0" w:oddHBand="0" w:evenHBand="0" w:firstRowFirstColumn="0" w:firstRowLastColumn="0" w:lastRowFirstColumn="0" w:lastRowLastColumn="0"/>
              <w:rPr>
                <w:b/>
                <w:bCs w:val="0"/>
                <w:sz w:val="18"/>
                <w:szCs w:val="18"/>
              </w:rPr>
            </w:pPr>
            <w:r w:rsidRPr="00686F31">
              <w:rPr>
                <w:b/>
                <w:bCs w:val="0"/>
                <w:sz w:val="18"/>
                <w:szCs w:val="18"/>
              </w:rPr>
              <w:t>2018–19</w:t>
            </w:r>
          </w:p>
        </w:tc>
        <w:tc>
          <w:tcPr>
            <w:tcW w:w="531" w:type="pct"/>
            <w:noWrap/>
            <w:hideMark/>
          </w:tcPr>
          <w:p w14:paraId="5185A808" w14:textId="77777777" w:rsidR="002A25FD" w:rsidRPr="00686F31" w:rsidRDefault="002A25FD" w:rsidP="00686F31">
            <w:pPr>
              <w:pStyle w:val="TableHeader"/>
              <w:cnfStyle w:val="100000000000" w:firstRow="1" w:lastRow="0" w:firstColumn="0" w:lastColumn="0" w:oddVBand="0" w:evenVBand="0" w:oddHBand="0" w:evenHBand="0" w:firstRowFirstColumn="0" w:firstRowLastColumn="0" w:lastRowFirstColumn="0" w:lastRowLastColumn="0"/>
              <w:rPr>
                <w:b/>
                <w:bCs w:val="0"/>
                <w:sz w:val="18"/>
                <w:szCs w:val="18"/>
              </w:rPr>
            </w:pPr>
            <w:r w:rsidRPr="00686F31">
              <w:rPr>
                <w:b/>
                <w:bCs w:val="0"/>
                <w:sz w:val="18"/>
                <w:szCs w:val="18"/>
              </w:rPr>
              <w:t>2019–20</w:t>
            </w:r>
          </w:p>
        </w:tc>
      </w:tr>
      <w:bookmarkEnd w:id="273"/>
      <w:tr w:rsidR="002A25FD" w:rsidRPr="00686F31" w14:paraId="61F17A12" w14:textId="77777777" w:rsidTr="00686F3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56" w:type="pct"/>
            <w:noWrap/>
          </w:tcPr>
          <w:p w14:paraId="0B949A1B" w14:textId="77777777" w:rsidR="002A25FD" w:rsidRPr="00686F31" w:rsidRDefault="002A25FD" w:rsidP="00C00BFC">
            <w:pPr>
              <w:pStyle w:val="Tabletext1"/>
              <w:rPr>
                <w:b w:val="0"/>
                <w:bCs w:val="0"/>
                <w:sz w:val="18"/>
                <w:szCs w:val="18"/>
                <w:lang w:eastAsia="en-US"/>
              </w:rPr>
            </w:pPr>
            <w:r w:rsidRPr="00686F31">
              <w:rPr>
                <w:b w:val="0"/>
                <w:bCs w:val="0"/>
                <w:sz w:val="18"/>
                <w:szCs w:val="18"/>
                <w:lang w:eastAsia="en-US"/>
              </w:rPr>
              <w:t>People who received permanent residential aged care</w:t>
            </w:r>
          </w:p>
        </w:tc>
        <w:tc>
          <w:tcPr>
            <w:tcW w:w="521" w:type="pct"/>
          </w:tcPr>
          <w:p w14:paraId="5EE8B81A" w14:textId="77777777" w:rsidR="002A25FD" w:rsidRPr="00686F31" w:rsidRDefault="002A25FD" w:rsidP="00C00BFC">
            <w:pPr>
              <w:pStyle w:val="Tabletext1"/>
              <w:jc w:val="center"/>
              <w:cnfStyle w:val="000000100000" w:firstRow="0" w:lastRow="0" w:firstColumn="0" w:lastColumn="0" w:oddVBand="0" w:evenVBand="0" w:oddHBand="1" w:evenHBand="0" w:firstRowFirstColumn="0" w:firstRowLastColumn="0" w:lastRowFirstColumn="0" w:lastRowLastColumn="0"/>
              <w:rPr>
                <w:sz w:val="18"/>
                <w:szCs w:val="18"/>
                <w:lang w:eastAsia="en-US"/>
              </w:rPr>
            </w:pPr>
            <w:r w:rsidRPr="00686F31">
              <w:rPr>
                <w:sz w:val="18"/>
                <w:szCs w:val="18"/>
                <w:lang w:eastAsia="en-US"/>
              </w:rPr>
              <w:t>234,931</w:t>
            </w:r>
          </w:p>
        </w:tc>
        <w:tc>
          <w:tcPr>
            <w:tcW w:w="531" w:type="pct"/>
            <w:noWrap/>
          </w:tcPr>
          <w:p w14:paraId="20EBA36D" w14:textId="77777777" w:rsidR="002A25FD" w:rsidRPr="00686F31" w:rsidRDefault="002A25FD" w:rsidP="00C00BFC">
            <w:pPr>
              <w:pStyle w:val="Tabletext1"/>
              <w:jc w:val="center"/>
              <w:cnfStyle w:val="000000100000" w:firstRow="0" w:lastRow="0" w:firstColumn="0" w:lastColumn="0" w:oddVBand="0" w:evenVBand="0" w:oddHBand="1" w:evenHBand="0" w:firstRowFirstColumn="0" w:firstRowLastColumn="0" w:lastRowFirstColumn="0" w:lastRowLastColumn="0"/>
              <w:rPr>
                <w:sz w:val="18"/>
                <w:szCs w:val="18"/>
                <w:lang w:eastAsia="en-US"/>
              </w:rPr>
            </w:pPr>
            <w:r w:rsidRPr="00686F31">
              <w:rPr>
                <w:sz w:val="18"/>
                <w:szCs w:val="18"/>
                <w:lang w:eastAsia="en-US"/>
              </w:rPr>
              <w:t>239,379</w:t>
            </w:r>
          </w:p>
        </w:tc>
        <w:tc>
          <w:tcPr>
            <w:tcW w:w="531" w:type="pct"/>
            <w:noWrap/>
          </w:tcPr>
          <w:p w14:paraId="0AE9483F" w14:textId="77777777" w:rsidR="002A25FD" w:rsidRPr="00686F31" w:rsidRDefault="002A25FD" w:rsidP="00C00BFC">
            <w:pPr>
              <w:pStyle w:val="Tabletext1"/>
              <w:jc w:val="center"/>
              <w:cnfStyle w:val="000000100000" w:firstRow="0" w:lastRow="0" w:firstColumn="0" w:lastColumn="0" w:oddVBand="0" w:evenVBand="0" w:oddHBand="1" w:evenHBand="0" w:firstRowFirstColumn="0" w:firstRowLastColumn="0" w:lastRowFirstColumn="0" w:lastRowLastColumn="0"/>
              <w:rPr>
                <w:sz w:val="18"/>
                <w:szCs w:val="18"/>
                <w:lang w:eastAsia="en-US"/>
              </w:rPr>
            </w:pPr>
            <w:r w:rsidRPr="00686F31">
              <w:rPr>
                <w:sz w:val="18"/>
                <w:szCs w:val="18"/>
                <w:lang w:eastAsia="en-US"/>
              </w:rPr>
              <w:t>241,723</w:t>
            </w:r>
          </w:p>
        </w:tc>
        <w:tc>
          <w:tcPr>
            <w:tcW w:w="531" w:type="pct"/>
            <w:noWrap/>
          </w:tcPr>
          <w:p w14:paraId="32853C7B" w14:textId="77777777" w:rsidR="002A25FD" w:rsidRPr="00686F31" w:rsidRDefault="002A25FD" w:rsidP="00C00BFC">
            <w:pPr>
              <w:pStyle w:val="Tabletext1"/>
              <w:jc w:val="center"/>
              <w:cnfStyle w:val="000000100000" w:firstRow="0" w:lastRow="0" w:firstColumn="0" w:lastColumn="0" w:oddVBand="0" w:evenVBand="0" w:oddHBand="1" w:evenHBand="0" w:firstRowFirstColumn="0" w:firstRowLastColumn="0" w:lastRowFirstColumn="0" w:lastRowLastColumn="0"/>
              <w:rPr>
                <w:sz w:val="18"/>
                <w:szCs w:val="18"/>
                <w:lang w:eastAsia="en-US"/>
              </w:rPr>
            </w:pPr>
            <w:r w:rsidRPr="00686F31">
              <w:rPr>
                <w:sz w:val="18"/>
                <w:szCs w:val="18"/>
                <w:lang w:eastAsia="en-US"/>
              </w:rPr>
              <w:t>242,612</w:t>
            </w:r>
          </w:p>
        </w:tc>
        <w:tc>
          <w:tcPr>
            <w:tcW w:w="531" w:type="pct"/>
            <w:noWrap/>
          </w:tcPr>
          <w:p w14:paraId="3C6DF8E0" w14:textId="77777777" w:rsidR="002A25FD" w:rsidRPr="00686F31" w:rsidRDefault="002A25FD" w:rsidP="00C00BFC">
            <w:pPr>
              <w:pStyle w:val="Tabletext1"/>
              <w:jc w:val="center"/>
              <w:cnfStyle w:val="000000100000" w:firstRow="0" w:lastRow="0" w:firstColumn="0" w:lastColumn="0" w:oddVBand="0" w:evenVBand="0" w:oddHBand="1" w:evenHBand="0" w:firstRowFirstColumn="0" w:firstRowLastColumn="0" w:lastRowFirstColumn="0" w:lastRowLastColumn="0"/>
              <w:rPr>
                <w:sz w:val="18"/>
                <w:szCs w:val="18"/>
                <w:lang w:eastAsia="en-US"/>
              </w:rPr>
            </w:pPr>
            <w:r w:rsidRPr="00686F31">
              <w:rPr>
                <w:sz w:val="18"/>
                <w:szCs w:val="18"/>
                <w:lang w:eastAsia="en-US"/>
              </w:rPr>
              <w:t>244,363</w:t>
            </w:r>
          </w:p>
        </w:tc>
      </w:tr>
    </w:tbl>
    <w:p w14:paraId="10A00F72" w14:textId="1E5E0E9C" w:rsidR="00C327D6" w:rsidRDefault="002A25FD" w:rsidP="00897C5B">
      <w:pPr>
        <w:pStyle w:val="Caption"/>
      </w:pPr>
      <w:r w:rsidRPr="00A648B6">
        <w:t xml:space="preserve">Table </w:t>
      </w:r>
      <w:r w:rsidR="00A648B6">
        <w:t>E-</w:t>
      </w:r>
      <w:r w:rsidR="008A7B2A">
        <w:t>1</w:t>
      </w:r>
      <w:r w:rsidR="00C327D6">
        <w:t xml:space="preserve">: </w:t>
      </w:r>
      <w:r w:rsidRPr="00BE2A05">
        <w:t>Number of people who receive</w:t>
      </w:r>
      <w:r>
        <w:t>d</w:t>
      </w:r>
      <w:r w:rsidRPr="00BE2A05">
        <w:t xml:space="preserve"> </w:t>
      </w:r>
      <w:r>
        <w:t xml:space="preserve">permanent </w:t>
      </w:r>
      <w:r w:rsidRPr="00BE2A05">
        <w:t>residential aged care, 2015-16 to 2019-20</w:t>
      </w:r>
    </w:p>
    <w:p w14:paraId="07E4F66F" w14:textId="0FDD6BF4" w:rsidR="00C327D6" w:rsidRPr="00A648B6" w:rsidRDefault="002A25FD" w:rsidP="00686F31">
      <w:pPr>
        <w:pStyle w:val="CommentText"/>
      </w:pPr>
      <w:r w:rsidRPr="00A648B6">
        <w:t>Source: Reports on the Operation of the Aged Care Act 1997, (2016-17, 2017-18, 2018-19, 2019-20)</w:t>
      </w:r>
    </w:p>
    <w:p w14:paraId="75CEB765" w14:textId="42A6F974" w:rsidR="002A25FD" w:rsidRDefault="002A25FD" w:rsidP="00897C5B">
      <w:pPr>
        <w:pStyle w:val="Caption"/>
      </w:pPr>
      <w:bookmarkStart w:id="275" w:name="_Ref65851650"/>
      <w:r w:rsidRPr="00A648B6">
        <w:lastRenderedPageBreak/>
        <w:t xml:space="preserve">Figure </w:t>
      </w:r>
      <w:r w:rsidR="00A648B6">
        <w:t>E-</w:t>
      </w:r>
      <w:bookmarkEnd w:id="275"/>
      <w:r w:rsidR="008A7B2A">
        <w:t>1</w:t>
      </w:r>
      <w:r w:rsidR="00C327D6" w:rsidRPr="00A648B6">
        <w:t xml:space="preserve">: </w:t>
      </w:r>
      <w:r w:rsidRPr="00A648B6">
        <w:t>Number</w:t>
      </w:r>
      <w:r w:rsidR="00C327D6" w:rsidRPr="00A648B6">
        <w:t>*</w:t>
      </w:r>
      <w:r w:rsidRPr="00A648B6">
        <w:t xml:space="preserve"> of people in permanent residential aged care, projected to 2025-26.</w:t>
      </w:r>
    </w:p>
    <w:p w14:paraId="165E8AF1" w14:textId="77777777" w:rsidR="002A25FD" w:rsidRDefault="002A25FD" w:rsidP="00C327D6">
      <w:pPr>
        <w:pStyle w:val="ListParagraph"/>
        <w:spacing w:after="0"/>
        <w:ind w:left="1134"/>
      </w:pPr>
      <w:r>
        <w:rPr>
          <w:noProof/>
        </w:rPr>
        <w:drawing>
          <wp:inline distT="0" distB="0" distL="0" distR="0" wp14:anchorId="4A1E659F" wp14:editId="3A0D77B5">
            <wp:extent cx="4842966" cy="3238500"/>
            <wp:effectExtent l="0" t="0" r="0" b="0"/>
            <wp:docPr id="11" name="Picture 11" descr="Observed data from Reports on the Operation of the Aged Care Act 1997, (2016-17, 2017-18, 2018-19, 2019-20), projections created using linear extrapolation for this analysis. From real data of 235,000 in 2015-16 to 245,000 in 20019-20. Then projected from 247,500 in 2020-21 out to 257,500 in 2025-26." title="Number of people in permanent residential aged care, projected to 20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48379" cy="3242119"/>
                    </a:xfrm>
                    <a:prstGeom prst="rect">
                      <a:avLst/>
                    </a:prstGeom>
                    <a:noFill/>
                  </pic:spPr>
                </pic:pic>
              </a:graphicData>
            </a:graphic>
          </wp:inline>
        </w:drawing>
      </w:r>
    </w:p>
    <w:p w14:paraId="4404ECBC" w14:textId="19CBE2F9" w:rsidR="002A25FD" w:rsidRPr="00A648B6" w:rsidRDefault="00C327D6" w:rsidP="00427BFF">
      <w:pPr>
        <w:pStyle w:val="CommentText"/>
      </w:pPr>
      <w:r w:rsidRPr="00A648B6">
        <w:t>*</w:t>
      </w:r>
      <w:r w:rsidR="002A25FD" w:rsidRPr="00A648B6">
        <w:t>Source: Observed data from Reports on the Operation of the Aged Care Act 1997, (2016-17, 2017-18, 2018-19, 2019-20), projections created using linear extrapolation for this analysis.</w:t>
      </w:r>
    </w:p>
    <w:p w14:paraId="0BFAB015" w14:textId="42B004DB" w:rsidR="002A25FD" w:rsidRDefault="002A25FD" w:rsidP="007501B9">
      <w:r w:rsidRPr="00464B16">
        <w:t xml:space="preserve">Based on the rate of eligibility of aged care residents to enter the clinical trial, approximately </w:t>
      </w:r>
      <w:r>
        <w:t>7.7% of aged care r</w:t>
      </w:r>
      <w:r w:rsidRPr="00464B16">
        <w:t xml:space="preserve">esidents would </w:t>
      </w:r>
      <w:r>
        <w:t xml:space="preserve">be expected to </w:t>
      </w:r>
      <w:r w:rsidRPr="00464B16">
        <w:t>meet the cognitive and frailty criteria required for eligibility for the pharmacist review</w:t>
      </w:r>
      <w:r w:rsidR="007501B9">
        <w:t xml:space="preserve">. </w:t>
      </w:r>
      <w:r>
        <w:t>Of those meeting the eligibility criteria, the likely uptake of the proposed service is highly uncertain, but for the purposes of this report is estimated at approximately 50%</w:t>
      </w:r>
      <w:r w:rsidR="007501B9">
        <w:t xml:space="preserve">. </w:t>
      </w:r>
      <w:r>
        <w:t>Each resident that takes up the pharmacist-led intervention is assumed to receive five services per year, based on the average number of services observed in the clinical trial</w:t>
      </w:r>
      <w:r w:rsidR="007501B9">
        <w:t xml:space="preserve">. </w:t>
      </w:r>
      <w:r>
        <w:t>The average cost per service was estimated to be approximately $107.07 during the clinical trial, however this value is approximate and the exact funding methods and costs would require further consultation with key stakeholders</w:t>
      </w:r>
      <w:r w:rsidR="007501B9">
        <w:t xml:space="preserve">. </w:t>
      </w:r>
      <w:r>
        <w:t xml:space="preserve">For the purposes of this report, </w:t>
      </w:r>
      <w:r w:rsidR="003D1EFD">
        <w:t xml:space="preserve">the </w:t>
      </w:r>
      <w:r>
        <w:t xml:space="preserve">cost per service </w:t>
      </w:r>
      <w:r w:rsidR="00155108">
        <w:t xml:space="preserve">of $107.07 </w:t>
      </w:r>
      <w:r w:rsidR="003D1EFD">
        <w:t>wa</w:t>
      </w:r>
      <w:r>
        <w:t>s used to estimate total government expenditure if the service was to be government funded.</w:t>
      </w:r>
    </w:p>
    <w:p w14:paraId="15DE21B5" w14:textId="23FD67F6" w:rsidR="00155108" w:rsidRDefault="002A25FD" w:rsidP="007501B9">
      <w:r>
        <w:t xml:space="preserve">The number of people estimated to uptake pharmacist review, the expected number of services and cost to the MBS is presented </w:t>
      </w:r>
      <w:r w:rsidR="003D1EFD">
        <w:t xml:space="preserve">in </w:t>
      </w:r>
      <w:r w:rsidR="00A648B6">
        <w:t>Table E-3</w:t>
      </w:r>
      <w:r w:rsidR="003D1EFD">
        <w:t>.</w:t>
      </w:r>
    </w:p>
    <w:p w14:paraId="4B8A02BC" w14:textId="77777777" w:rsidR="00155108" w:rsidRDefault="00155108" w:rsidP="007501B9">
      <w:r>
        <w:br w:type="page"/>
      </w:r>
    </w:p>
    <w:tbl>
      <w:tblPr>
        <w:tblStyle w:val="ListTable3"/>
        <w:tblW w:w="5172" w:type="pct"/>
        <w:tblLayout w:type="fixed"/>
        <w:tblLook w:val="04A0" w:firstRow="1" w:lastRow="0" w:firstColumn="1" w:lastColumn="0" w:noHBand="0" w:noVBand="1"/>
        <w:tblCaption w:val="Projected people in residential aged care who would be eligible for the proposed pharmacist review over five years"/>
        <w:tblDescription w:val="Projected people in residential aged care who would be eligible for the proposed pharmacist review over five years"/>
      </w:tblPr>
      <w:tblGrid>
        <w:gridCol w:w="3090"/>
        <w:gridCol w:w="1248"/>
        <w:gridCol w:w="1248"/>
        <w:gridCol w:w="1248"/>
        <w:gridCol w:w="1248"/>
        <w:gridCol w:w="1244"/>
      </w:tblGrid>
      <w:tr w:rsidR="00427BFF" w:rsidRPr="00427BFF" w14:paraId="65AC490F" w14:textId="77777777" w:rsidTr="00786955">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1657" w:type="pct"/>
            <w:noWrap/>
            <w:hideMark/>
          </w:tcPr>
          <w:p w14:paraId="05BFDD6C" w14:textId="77777777" w:rsidR="002A25FD" w:rsidRPr="00427BFF" w:rsidRDefault="002A25FD" w:rsidP="00427BFF">
            <w:pPr>
              <w:pStyle w:val="TableHeader"/>
              <w:rPr>
                <w:b/>
                <w:bCs w:val="0"/>
              </w:rPr>
            </w:pPr>
            <w:bookmarkStart w:id="276" w:name="Title_34"/>
            <w:bookmarkStart w:id="277" w:name="Title_33" w:colFirst="0" w:colLast="0"/>
            <w:bookmarkEnd w:id="276"/>
          </w:p>
        </w:tc>
        <w:tc>
          <w:tcPr>
            <w:tcW w:w="669" w:type="pct"/>
            <w:noWrap/>
            <w:hideMark/>
          </w:tcPr>
          <w:p w14:paraId="2C9E2258" w14:textId="77777777" w:rsidR="002A25FD" w:rsidRPr="00427BFF" w:rsidRDefault="002A25FD" w:rsidP="00427BFF">
            <w:pPr>
              <w:pStyle w:val="TableHeader"/>
              <w:cnfStyle w:val="100000000000" w:firstRow="1" w:lastRow="0" w:firstColumn="0" w:lastColumn="0" w:oddVBand="0" w:evenVBand="0" w:oddHBand="0" w:evenHBand="0" w:firstRowFirstColumn="0" w:firstRowLastColumn="0" w:lastRowFirstColumn="0" w:lastRowLastColumn="0"/>
              <w:rPr>
                <w:rFonts w:cs="Calibri"/>
                <w:b/>
                <w:bCs w:val="0"/>
              </w:rPr>
            </w:pPr>
            <w:r w:rsidRPr="00427BFF">
              <w:rPr>
                <w:rFonts w:cs="Calibri"/>
                <w:b/>
                <w:bCs w:val="0"/>
              </w:rPr>
              <w:t>2021-22</w:t>
            </w:r>
          </w:p>
        </w:tc>
        <w:tc>
          <w:tcPr>
            <w:tcW w:w="669" w:type="pct"/>
            <w:noWrap/>
            <w:hideMark/>
          </w:tcPr>
          <w:p w14:paraId="499866F4" w14:textId="77777777" w:rsidR="002A25FD" w:rsidRPr="00427BFF" w:rsidRDefault="002A25FD" w:rsidP="00427BFF">
            <w:pPr>
              <w:pStyle w:val="TableHeader"/>
              <w:cnfStyle w:val="100000000000" w:firstRow="1" w:lastRow="0" w:firstColumn="0" w:lastColumn="0" w:oddVBand="0" w:evenVBand="0" w:oddHBand="0" w:evenHBand="0" w:firstRowFirstColumn="0" w:firstRowLastColumn="0" w:lastRowFirstColumn="0" w:lastRowLastColumn="0"/>
              <w:rPr>
                <w:rFonts w:cs="Calibri"/>
                <w:b/>
                <w:bCs w:val="0"/>
              </w:rPr>
            </w:pPr>
            <w:r w:rsidRPr="00427BFF">
              <w:rPr>
                <w:rFonts w:cs="Calibri"/>
                <w:b/>
                <w:bCs w:val="0"/>
              </w:rPr>
              <w:t>2022-23</w:t>
            </w:r>
          </w:p>
        </w:tc>
        <w:tc>
          <w:tcPr>
            <w:tcW w:w="669" w:type="pct"/>
            <w:noWrap/>
            <w:hideMark/>
          </w:tcPr>
          <w:p w14:paraId="76B28870" w14:textId="77777777" w:rsidR="002A25FD" w:rsidRPr="00427BFF" w:rsidRDefault="002A25FD" w:rsidP="00427BFF">
            <w:pPr>
              <w:pStyle w:val="TableHeader"/>
              <w:cnfStyle w:val="100000000000" w:firstRow="1" w:lastRow="0" w:firstColumn="0" w:lastColumn="0" w:oddVBand="0" w:evenVBand="0" w:oddHBand="0" w:evenHBand="0" w:firstRowFirstColumn="0" w:firstRowLastColumn="0" w:lastRowFirstColumn="0" w:lastRowLastColumn="0"/>
              <w:rPr>
                <w:rFonts w:cs="Calibri"/>
                <w:b/>
                <w:bCs w:val="0"/>
              </w:rPr>
            </w:pPr>
            <w:r w:rsidRPr="00427BFF">
              <w:rPr>
                <w:rFonts w:cs="Calibri"/>
                <w:b/>
                <w:bCs w:val="0"/>
              </w:rPr>
              <w:t>2023-24</w:t>
            </w:r>
          </w:p>
        </w:tc>
        <w:tc>
          <w:tcPr>
            <w:tcW w:w="669" w:type="pct"/>
            <w:noWrap/>
            <w:hideMark/>
          </w:tcPr>
          <w:p w14:paraId="3A291CCF" w14:textId="77777777" w:rsidR="002A25FD" w:rsidRPr="00427BFF" w:rsidRDefault="002A25FD" w:rsidP="00427BFF">
            <w:pPr>
              <w:pStyle w:val="TableHeader"/>
              <w:cnfStyle w:val="100000000000" w:firstRow="1" w:lastRow="0" w:firstColumn="0" w:lastColumn="0" w:oddVBand="0" w:evenVBand="0" w:oddHBand="0" w:evenHBand="0" w:firstRowFirstColumn="0" w:firstRowLastColumn="0" w:lastRowFirstColumn="0" w:lastRowLastColumn="0"/>
              <w:rPr>
                <w:rFonts w:cs="Calibri"/>
                <w:b/>
                <w:bCs w:val="0"/>
              </w:rPr>
            </w:pPr>
            <w:r w:rsidRPr="00427BFF">
              <w:rPr>
                <w:rFonts w:cs="Calibri"/>
                <w:b/>
                <w:bCs w:val="0"/>
              </w:rPr>
              <w:t>2024-25</w:t>
            </w:r>
          </w:p>
        </w:tc>
        <w:tc>
          <w:tcPr>
            <w:tcW w:w="669" w:type="pct"/>
            <w:noWrap/>
            <w:hideMark/>
          </w:tcPr>
          <w:p w14:paraId="56430F3C" w14:textId="77777777" w:rsidR="002A25FD" w:rsidRPr="00427BFF" w:rsidRDefault="002A25FD" w:rsidP="00427BFF">
            <w:pPr>
              <w:pStyle w:val="TableHeader"/>
              <w:cnfStyle w:val="100000000000" w:firstRow="1" w:lastRow="0" w:firstColumn="0" w:lastColumn="0" w:oddVBand="0" w:evenVBand="0" w:oddHBand="0" w:evenHBand="0" w:firstRowFirstColumn="0" w:firstRowLastColumn="0" w:lastRowFirstColumn="0" w:lastRowLastColumn="0"/>
              <w:rPr>
                <w:rFonts w:cs="Calibri"/>
                <w:b/>
                <w:bCs w:val="0"/>
              </w:rPr>
            </w:pPr>
            <w:r w:rsidRPr="00427BFF">
              <w:rPr>
                <w:rFonts w:cs="Calibri"/>
                <w:b/>
                <w:bCs w:val="0"/>
              </w:rPr>
              <w:t>2025-26</w:t>
            </w:r>
          </w:p>
        </w:tc>
      </w:tr>
      <w:bookmarkEnd w:id="277"/>
      <w:tr w:rsidR="00427BFF" w:rsidRPr="00427BFF" w14:paraId="20516A65" w14:textId="77777777" w:rsidTr="00427B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7" w:type="pct"/>
            <w:noWrap/>
            <w:hideMark/>
          </w:tcPr>
          <w:p w14:paraId="1D7BC39B" w14:textId="2D7DD044" w:rsidR="002A25FD" w:rsidRPr="00427BFF" w:rsidRDefault="002A25FD" w:rsidP="00427BFF">
            <w:pPr>
              <w:pStyle w:val="Tabletext1"/>
              <w:rPr>
                <w:b w:val="0"/>
                <w:bCs w:val="0"/>
              </w:rPr>
            </w:pPr>
            <w:r w:rsidRPr="00427BFF">
              <w:rPr>
                <w:b w:val="0"/>
                <w:bCs w:val="0"/>
              </w:rPr>
              <w:t>No. people in residential aged care (</w:t>
            </w:r>
            <w:r w:rsidRPr="00427BFF">
              <w:fldChar w:fldCharType="begin"/>
            </w:r>
            <w:r w:rsidRPr="00427BFF">
              <w:rPr>
                <w:b w:val="0"/>
                <w:bCs w:val="0"/>
              </w:rPr>
              <w:instrText xml:space="preserve"> REF _Ref65851650 \h </w:instrText>
            </w:r>
            <w:r w:rsidR="00C327D6" w:rsidRPr="00427BFF">
              <w:rPr>
                <w:b w:val="0"/>
                <w:bCs w:val="0"/>
              </w:rPr>
              <w:instrText xml:space="preserve"> \* MERGEFORMAT </w:instrText>
            </w:r>
            <w:r w:rsidRPr="00427BFF">
              <w:fldChar w:fldCharType="separate"/>
            </w:r>
            <w:r w:rsidR="00164214" w:rsidRPr="00427BFF">
              <w:rPr>
                <w:b w:val="0"/>
                <w:bCs w:val="0"/>
              </w:rPr>
              <w:t>Figure E-2</w:t>
            </w:r>
            <w:r w:rsidRPr="00427BFF">
              <w:fldChar w:fldCharType="end"/>
            </w:r>
            <w:r w:rsidRPr="00427BFF">
              <w:rPr>
                <w:b w:val="0"/>
                <w:bCs w:val="0"/>
              </w:rPr>
              <w:t>)</w:t>
            </w:r>
          </w:p>
        </w:tc>
        <w:tc>
          <w:tcPr>
            <w:tcW w:w="669" w:type="pct"/>
            <w:noWrap/>
            <w:hideMark/>
          </w:tcPr>
          <w:p w14:paraId="300BCE27" w14:textId="77777777" w:rsidR="002A25FD" w:rsidRPr="00427BFF" w:rsidRDefault="002A25FD" w:rsidP="00427BFF">
            <w:pPr>
              <w:pStyle w:val="Tabletext1"/>
              <w:jc w:val="right"/>
              <w:cnfStyle w:val="000000100000" w:firstRow="0" w:lastRow="0" w:firstColumn="0" w:lastColumn="0" w:oddVBand="0" w:evenVBand="0" w:oddHBand="1" w:evenHBand="0" w:firstRowFirstColumn="0" w:firstRowLastColumn="0" w:lastRowFirstColumn="0" w:lastRowLastColumn="0"/>
            </w:pPr>
            <w:r w:rsidRPr="00427BFF">
              <w:t>249,441</w:t>
            </w:r>
          </w:p>
        </w:tc>
        <w:tc>
          <w:tcPr>
            <w:tcW w:w="669" w:type="pct"/>
            <w:noWrap/>
            <w:hideMark/>
          </w:tcPr>
          <w:p w14:paraId="4FF07486" w14:textId="77777777" w:rsidR="002A25FD" w:rsidRPr="00427BFF" w:rsidRDefault="002A25FD" w:rsidP="00427BFF">
            <w:pPr>
              <w:pStyle w:val="Tabletext1"/>
              <w:jc w:val="right"/>
              <w:cnfStyle w:val="000000100000" w:firstRow="0" w:lastRow="0" w:firstColumn="0" w:lastColumn="0" w:oddVBand="0" w:evenVBand="0" w:oddHBand="1" w:evenHBand="0" w:firstRowFirstColumn="0" w:firstRowLastColumn="0" w:lastRowFirstColumn="0" w:lastRowLastColumn="0"/>
            </w:pPr>
            <w:r w:rsidRPr="00427BFF">
              <w:t>251,651</w:t>
            </w:r>
          </w:p>
        </w:tc>
        <w:tc>
          <w:tcPr>
            <w:tcW w:w="669" w:type="pct"/>
            <w:noWrap/>
            <w:hideMark/>
          </w:tcPr>
          <w:p w14:paraId="56B32806" w14:textId="77777777" w:rsidR="002A25FD" w:rsidRPr="00427BFF" w:rsidRDefault="002A25FD" w:rsidP="00427BFF">
            <w:pPr>
              <w:pStyle w:val="Tabletext1"/>
              <w:jc w:val="right"/>
              <w:cnfStyle w:val="000000100000" w:firstRow="0" w:lastRow="0" w:firstColumn="0" w:lastColumn="0" w:oddVBand="0" w:evenVBand="0" w:oddHBand="1" w:evenHBand="0" w:firstRowFirstColumn="0" w:firstRowLastColumn="0" w:lastRowFirstColumn="0" w:lastRowLastColumn="0"/>
            </w:pPr>
            <w:r w:rsidRPr="00427BFF">
              <w:t>253,860</w:t>
            </w:r>
          </w:p>
        </w:tc>
        <w:tc>
          <w:tcPr>
            <w:tcW w:w="669" w:type="pct"/>
            <w:noWrap/>
            <w:hideMark/>
          </w:tcPr>
          <w:p w14:paraId="321344DF" w14:textId="77777777" w:rsidR="002A25FD" w:rsidRPr="00427BFF" w:rsidRDefault="002A25FD" w:rsidP="00427BFF">
            <w:pPr>
              <w:pStyle w:val="Tabletext1"/>
              <w:jc w:val="right"/>
              <w:cnfStyle w:val="000000100000" w:firstRow="0" w:lastRow="0" w:firstColumn="0" w:lastColumn="0" w:oddVBand="0" w:evenVBand="0" w:oddHBand="1" w:evenHBand="0" w:firstRowFirstColumn="0" w:firstRowLastColumn="0" w:lastRowFirstColumn="0" w:lastRowLastColumn="0"/>
            </w:pPr>
            <w:r w:rsidRPr="00427BFF">
              <w:t>256,070</w:t>
            </w:r>
          </w:p>
        </w:tc>
        <w:tc>
          <w:tcPr>
            <w:tcW w:w="669" w:type="pct"/>
            <w:noWrap/>
            <w:hideMark/>
          </w:tcPr>
          <w:p w14:paraId="2845FEEC" w14:textId="77777777" w:rsidR="002A25FD" w:rsidRPr="00427BFF" w:rsidRDefault="002A25FD" w:rsidP="00427BFF">
            <w:pPr>
              <w:pStyle w:val="Tabletext1"/>
              <w:jc w:val="right"/>
              <w:cnfStyle w:val="000000100000" w:firstRow="0" w:lastRow="0" w:firstColumn="0" w:lastColumn="0" w:oddVBand="0" w:evenVBand="0" w:oddHBand="1" w:evenHBand="0" w:firstRowFirstColumn="0" w:firstRowLastColumn="0" w:lastRowFirstColumn="0" w:lastRowLastColumn="0"/>
            </w:pPr>
            <w:r w:rsidRPr="00427BFF">
              <w:t>258,280</w:t>
            </w:r>
          </w:p>
        </w:tc>
      </w:tr>
      <w:tr w:rsidR="00427BFF" w:rsidRPr="00427BFF" w14:paraId="71D6A263" w14:textId="77777777" w:rsidTr="00427BFF">
        <w:trPr>
          <w:trHeight w:val="300"/>
        </w:trPr>
        <w:tc>
          <w:tcPr>
            <w:cnfStyle w:val="001000000000" w:firstRow="0" w:lastRow="0" w:firstColumn="1" w:lastColumn="0" w:oddVBand="0" w:evenVBand="0" w:oddHBand="0" w:evenHBand="0" w:firstRowFirstColumn="0" w:firstRowLastColumn="0" w:lastRowFirstColumn="0" w:lastRowLastColumn="0"/>
            <w:tcW w:w="1657" w:type="pct"/>
            <w:noWrap/>
            <w:hideMark/>
          </w:tcPr>
          <w:p w14:paraId="6E6B632E" w14:textId="46E10F97" w:rsidR="002A25FD" w:rsidRPr="00427BFF" w:rsidRDefault="002A25FD" w:rsidP="00427BFF">
            <w:pPr>
              <w:pStyle w:val="Tabletext1"/>
              <w:rPr>
                <w:b w:val="0"/>
                <w:bCs w:val="0"/>
              </w:rPr>
            </w:pPr>
            <w:r w:rsidRPr="00427BFF">
              <w:rPr>
                <w:b w:val="0"/>
                <w:bCs w:val="0"/>
              </w:rPr>
              <w:t>No. people eligi</w:t>
            </w:r>
            <w:r w:rsidR="003D1EFD" w:rsidRPr="00427BFF">
              <w:rPr>
                <w:b w:val="0"/>
                <w:bCs w:val="0"/>
              </w:rPr>
              <w:t xml:space="preserve">ble </w:t>
            </w:r>
            <w:proofErr w:type="gramStart"/>
            <w:r w:rsidR="003D1EFD" w:rsidRPr="00427BFF">
              <w:rPr>
                <w:b w:val="0"/>
                <w:bCs w:val="0"/>
              </w:rPr>
              <w:t>on the basis of</w:t>
            </w:r>
            <w:proofErr w:type="gramEnd"/>
            <w:r w:rsidR="003D1EFD" w:rsidRPr="00427BFF">
              <w:rPr>
                <w:b w:val="0"/>
                <w:bCs w:val="0"/>
              </w:rPr>
              <w:t xml:space="preserve"> medications, frailty </w:t>
            </w:r>
            <w:r w:rsidRPr="00427BFF">
              <w:rPr>
                <w:b w:val="0"/>
                <w:bCs w:val="0"/>
              </w:rPr>
              <w:t>and cognition (7.7%)</w:t>
            </w:r>
          </w:p>
        </w:tc>
        <w:tc>
          <w:tcPr>
            <w:tcW w:w="669" w:type="pct"/>
            <w:noWrap/>
            <w:hideMark/>
          </w:tcPr>
          <w:p w14:paraId="28C8C849" w14:textId="77777777" w:rsidR="002A25FD" w:rsidRPr="00427BFF" w:rsidRDefault="002A25FD" w:rsidP="00427BFF">
            <w:pPr>
              <w:pStyle w:val="Tabletext1"/>
              <w:jc w:val="right"/>
              <w:cnfStyle w:val="000000000000" w:firstRow="0" w:lastRow="0" w:firstColumn="0" w:lastColumn="0" w:oddVBand="0" w:evenVBand="0" w:oddHBand="0" w:evenHBand="0" w:firstRowFirstColumn="0" w:firstRowLastColumn="0" w:lastRowFirstColumn="0" w:lastRowLastColumn="0"/>
            </w:pPr>
            <w:r w:rsidRPr="00427BFF">
              <w:t>19,293</w:t>
            </w:r>
          </w:p>
        </w:tc>
        <w:tc>
          <w:tcPr>
            <w:tcW w:w="669" w:type="pct"/>
            <w:noWrap/>
            <w:hideMark/>
          </w:tcPr>
          <w:p w14:paraId="39B853A3" w14:textId="77777777" w:rsidR="002A25FD" w:rsidRPr="00427BFF" w:rsidRDefault="002A25FD" w:rsidP="00427BFF">
            <w:pPr>
              <w:pStyle w:val="Tabletext1"/>
              <w:jc w:val="right"/>
              <w:cnfStyle w:val="000000000000" w:firstRow="0" w:lastRow="0" w:firstColumn="0" w:lastColumn="0" w:oddVBand="0" w:evenVBand="0" w:oddHBand="0" w:evenHBand="0" w:firstRowFirstColumn="0" w:firstRowLastColumn="0" w:lastRowFirstColumn="0" w:lastRowLastColumn="0"/>
            </w:pPr>
            <w:r w:rsidRPr="00427BFF">
              <w:t>19,464</w:t>
            </w:r>
          </w:p>
        </w:tc>
        <w:tc>
          <w:tcPr>
            <w:tcW w:w="669" w:type="pct"/>
            <w:noWrap/>
            <w:hideMark/>
          </w:tcPr>
          <w:p w14:paraId="6F6D7A1D" w14:textId="77777777" w:rsidR="002A25FD" w:rsidRPr="00427BFF" w:rsidRDefault="002A25FD" w:rsidP="00427BFF">
            <w:pPr>
              <w:pStyle w:val="Tabletext1"/>
              <w:jc w:val="right"/>
              <w:cnfStyle w:val="000000000000" w:firstRow="0" w:lastRow="0" w:firstColumn="0" w:lastColumn="0" w:oddVBand="0" w:evenVBand="0" w:oddHBand="0" w:evenHBand="0" w:firstRowFirstColumn="0" w:firstRowLastColumn="0" w:lastRowFirstColumn="0" w:lastRowLastColumn="0"/>
            </w:pPr>
            <w:r w:rsidRPr="00427BFF">
              <w:t>19,635</w:t>
            </w:r>
          </w:p>
        </w:tc>
        <w:tc>
          <w:tcPr>
            <w:tcW w:w="669" w:type="pct"/>
            <w:noWrap/>
            <w:hideMark/>
          </w:tcPr>
          <w:p w14:paraId="55F2ABEF" w14:textId="77777777" w:rsidR="002A25FD" w:rsidRPr="00427BFF" w:rsidRDefault="002A25FD" w:rsidP="00427BFF">
            <w:pPr>
              <w:pStyle w:val="Tabletext1"/>
              <w:jc w:val="right"/>
              <w:cnfStyle w:val="000000000000" w:firstRow="0" w:lastRow="0" w:firstColumn="0" w:lastColumn="0" w:oddVBand="0" w:evenVBand="0" w:oddHBand="0" w:evenHBand="0" w:firstRowFirstColumn="0" w:firstRowLastColumn="0" w:lastRowFirstColumn="0" w:lastRowLastColumn="0"/>
            </w:pPr>
            <w:r w:rsidRPr="00427BFF">
              <w:t>19,806</w:t>
            </w:r>
          </w:p>
        </w:tc>
        <w:tc>
          <w:tcPr>
            <w:tcW w:w="669" w:type="pct"/>
            <w:noWrap/>
            <w:hideMark/>
          </w:tcPr>
          <w:p w14:paraId="59BAE456" w14:textId="77777777" w:rsidR="002A25FD" w:rsidRPr="00427BFF" w:rsidRDefault="002A25FD" w:rsidP="00427BFF">
            <w:pPr>
              <w:pStyle w:val="Tabletext1"/>
              <w:jc w:val="right"/>
              <w:cnfStyle w:val="000000000000" w:firstRow="0" w:lastRow="0" w:firstColumn="0" w:lastColumn="0" w:oddVBand="0" w:evenVBand="0" w:oddHBand="0" w:evenHBand="0" w:firstRowFirstColumn="0" w:firstRowLastColumn="0" w:lastRowFirstColumn="0" w:lastRowLastColumn="0"/>
            </w:pPr>
            <w:r w:rsidRPr="00427BFF">
              <w:t>19,977</w:t>
            </w:r>
          </w:p>
        </w:tc>
      </w:tr>
      <w:tr w:rsidR="00427BFF" w:rsidRPr="00427BFF" w14:paraId="52609B03" w14:textId="77777777" w:rsidTr="00427B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7" w:type="pct"/>
            <w:noWrap/>
            <w:hideMark/>
          </w:tcPr>
          <w:p w14:paraId="5220A66D" w14:textId="77777777" w:rsidR="002A25FD" w:rsidRPr="00427BFF" w:rsidRDefault="002A25FD" w:rsidP="00427BFF">
            <w:pPr>
              <w:pStyle w:val="Tabletext1"/>
              <w:rPr>
                <w:b w:val="0"/>
                <w:bCs w:val="0"/>
              </w:rPr>
            </w:pPr>
            <w:r w:rsidRPr="00427BFF">
              <w:rPr>
                <w:b w:val="0"/>
                <w:bCs w:val="0"/>
              </w:rPr>
              <w:t>No. people that uptake proposed pharmacist review (50%)</w:t>
            </w:r>
          </w:p>
        </w:tc>
        <w:tc>
          <w:tcPr>
            <w:tcW w:w="669" w:type="pct"/>
            <w:noWrap/>
            <w:hideMark/>
          </w:tcPr>
          <w:p w14:paraId="499D842E" w14:textId="77777777" w:rsidR="002A25FD" w:rsidRPr="00427BFF" w:rsidRDefault="002A25FD" w:rsidP="00427BFF">
            <w:pPr>
              <w:pStyle w:val="Tabletext1"/>
              <w:jc w:val="right"/>
              <w:cnfStyle w:val="000000100000" w:firstRow="0" w:lastRow="0" w:firstColumn="0" w:lastColumn="0" w:oddVBand="0" w:evenVBand="0" w:oddHBand="1" w:evenHBand="0" w:firstRowFirstColumn="0" w:firstRowLastColumn="0" w:lastRowFirstColumn="0" w:lastRowLastColumn="0"/>
            </w:pPr>
            <w:r w:rsidRPr="00427BFF">
              <w:t>9,647</w:t>
            </w:r>
          </w:p>
        </w:tc>
        <w:tc>
          <w:tcPr>
            <w:tcW w:w="669" w:type="pct"/>
            <w:noWrap/>
            <w:hideMark/>
          </w:tcPr>
          <w:p w14:paraId="3AE4B7B8" w14:textId="77777777" w:rsidR="002A25FD" w:rsidRPr="00427BFF" w:rsidRDefault="002A25FD" w:rsidP="00427BFF">
            <w:pPr>
              <w:pStyle w:val="Tabletext1"/>
              <w:jc w:val="right"/>
              <w:cnfStyle w:val="000000100000" w:firstRow="0" w:lastRow="0" w:firstColumn="0" w:lastColumn="0" w:oddVBand="0" w:evenVBand="0" w:oddHBand="1" w:evenHBand="0" w:firstRowFirstColumn="0" w:firstRowLastColumn="0" w:lastRowFirstColumn="0" w:lastRowLastColumn="0"/>
            </w:pPr>
            <w:r w:rsidRPr="00427BFF">
              <w:t>9,732</w:t>
            </w:r>
          </w:p>
        </w:tc>
        <w:tc>
          <w:tcPr>
            <w:tcW w:w="669" w:type="pct"/>
            <w:noWrap/>
            <w:hideMark/>
          </w:tcPr>
          <w:p w14:paraId="7368F3F8" w14:textId="77777777" w:rsidR="002A25FD" w:rsidRPr="00427BFF" w:rsidRDefault="002A25FD" w:rsidP="00427BFF">
            <w:pPr>
              <w:pStyle w:val="Tabletext1"/>
              <w:jc w:val="right"/>
              <w:cnfStyle w:val="000000100000" w:firstRow="0" w:lastRow="0" w:firstColumn="0" w:lastColumn="0" w:oddVBand="0" w:evenVBand="0" w:oddHBand="1" w:evenHBand="0" w:firstRowFirstColumn="0" w:firstRowLastColumn="0" w:lastRowFirstColumn="0" w:lastRowLastColumn="0"/>
            </w:pPr>
            <w:r w:rsidRPr="00427BFF">
              <w:t>9,818</w:t>
            </w:r>
          </w:p>
        </w:tc>
        <w:tc>
          <w:tcPr>
            <w:tcW w:w="669" w:type="pct"/>
            <w:noWrap/>
            <w:hideMark/>
          </w:tcPr>
          <w:p w14:paraId="1C64610A" w14:textId="77777777" w:rsidR="002A25FD" w:rsidRPr="00427BFF" w:rsidRDefault="002A25FD" w:rsidP="00427BFF">
            <w:pPr>
              <w:pStyle w:val="Tabletext1"/>
              <w:jc w:val="right"/>
              <w:cnfStyle w:val="000000100000" w:firstRow="0" w:lastRow="0" w:firstColumn="0" w:lastColumn="0" w:oddVBand="0" w:evenVBand="0" w:oddHBand="1" w:evenHBand="0" w:firstRowFirstColumn="0" w:firstRowLastColumn="0" w:lastRowFirstColumn="0" w:lastRowLastColumn="0"/>
            </w:pPr>
            <w:r w:rsidRPr="00427BFF">
              <w:t>9,903</w:t>
            </w:r>
          </w:p>
        </w:tc>
        <w:tc>
          <w:tcPr>
            <w:tcW w:w="669" w:type="pct"/>
            <w:noWrap/>
            <w:hideMark/>
          </w:tcPr>
          <w:p w14:paraId="51EB7E7E" w14:textId="77777777" w:rsidR="002A25FD" w:rsidRPr="00427BFF" w:rsidRDefault="002A25FD" w:rsidP="00427BFF">
            <w:pPr>
              <w:pStyle w:val="Tabletext1"/>
              <w:jc w:val="right"/>
              <w:cnfStyle w:val="000000100000" w:firstRow="0" w:lastRow="0" w:firstColumn="0" w:lastColumn="0" w:oddVBand="0" w:evenVBand="0" w:oddHBand="1" w:evenHBand="0" w:firstRowFirstColumn="0" w:firstRowLastColumn="0" w:lastRowFirstColumn="0" w:lastRowLastColumn="0"/>
            </w:pPr>
            <w:r w:rsidRPr="00427BFF">
              <w:t>9,989</w:t>
            </w:r>
          </w:p>
        </w:tc>
      </w:tr>
      <w:tr w:rsidR="00427BFF" w:rsidRPr="00427BFF" w14:paraId="3D1C3F38" w14:textId="77777777" w:rsidTr="00427BFF">
        <w:trPr>
          <w:trHeight w:val="300"/>
        </w:trPr>
        <w:tc>
          <w:tcPr>
            <w:cnfStyle w:val="001000000000" w:firstRow="0" w:lastRow="0" w:firstColumn="1" w:lastColumn="0" w:oddVBand="0" w:evenVBand="0" w:oddHBand="0" w:evenHBand="0" w:firstRowFirstColumn="0" w:firstRowLastColumn="0" w:lastRowFirstColumn="0" w:lastRowLastColumn="0"/>
            <w:tcW w:w="1657" w:type="pct"/>
            <w:noWrap/>
            <w:hideMark/>
          </w:tcPr>
          <w:p w14:paraId="5F27A9DD" w14:textId="77777777" w:rsidR="002A25FD" w:rsidRPr="00427BFF" w:rsidRDefault="002A25FD" w:rsidP="00427BFF">
            <w:pPr>
              <w:pStyle w:val="Tabletext1"/>
              <w:rPr>
                <w:b w:val="0"/>
                <w:bCs w:val="0"/>
              </w:rPr>
            </w:pPr>
            <w:r w:rsidRPr="00427BFF">
              <w:rPr>
                <w:b w:val="0"/>
                <w:bCs w:val="0"/>
              </w:rPr>
              <w:t>Estimated number of services (5 per patient)</w:t>
            </w:r>
          </w:p>
        </w:tc>
        <w:tc>
          <w:tcPr>
            <w:tcW w:w="669" w:type="pct"/>
            <w:noWrap/>
            <w:hideMark/>
          </w:tcPr>
          <w:p w14:paraId="0FAC7315" w14:textId="77777777" w:rsidR="002A25FD" w:rsidRPr="00427BFF" w:rsidRDefault="002A25FD" w:rsidP="00427BFF">
            <w:pPr>
              <w:pStyle w:val="Tabletext1"/>
              <w:jc w:val="right"/>
              <w:cnfStyle w:val="000000000000" w:firstRow="0" w:lastRow="0" w:firstColumn="0" w:lastColumn="0" w:oddVBand="0" w:evenVBand="0" w:oddHBand="0" w:evenHBand="0" w:firstRowFirstColumn="0" w:firstRowLastColumn="0" w:lastRowFirstColumn="0" w:lastRowLastColumn="0"/>
            </w:pPr>
            <w:r w:rsidRPr="00427BFF">
              <w:t>48,233</w:t>
            </w:r>
          </w:p>
        </w:tc>
        <w:tc>
          <w:tcPr>
            <w:tcW w:w="669" w:type="pct"/>
            <w:noWrap/>
            <w:hideMark/>
          </w:tcPr>
          <w:p w14:paraId="65C7A067" w14:textId="77777777" w:rsidR="002A25FD" w:rsidRPr="00427BFF" w:rsidRDefault="002A25FD" w:rsidP="00427BFF">
            <w:pPr>
              <w:pStyle w:val="Tabletext1"/>
              <w:jc w:val="right"/>
              <w:cnfStyle w:val="000000000000" w:firstRow="0" w:lastRow="0" w:firstColumn="0" w:lastColumn="0" w:oddVBand="0" w:evenVBand="0" w:oddHBand="0" w:evenHBand="0" w:firstRowFirstColumn="0" w:firstRowLastColumn="0" w:lastRowFirstColumn="0" w:lastRowLastColumn="0"/>
            </w:pPr>
            <w:r w:rsidRPr="00427BFF">
              <w:t>48,660</w:t>
            </w:r>
          </w:p>
        </w:tc>
        <w:tc>
          <w:tcPr>
            <w:tcW w:w="669" w:type="pct"/>
            <w:noWrap/>
            <w:hideMark/>
          </w:tcPr>
          <w:p w14:paraId="36617CF7" w14:textId="77777777" w:rsidR="002A25FD" w:rsidRPr="00427BFF" w:rsidRDefault="002A25FD" w:rsidP="00427BFF">
            <w:pPr>
              <w:pStyle w:val="Tabletext1"/>
              <w:jc w:val="right"/>
              <w:cnfStyle w:val="000000000000" w:firstRow="0" w:lastRow="0" w:firstColumn="0" w:lastColumn="0" w:oddVBand="0" w:evenVBand="0" w:oddHBand="0" w:evenHBand="0" w:firstRowFirstColumn="0" w:firstRowLastColumn="0" w:lastRowFirstColumn="0" w:lastRowLastColumn="0"/>
            </w:pPr>
            <w:r w:rsidRPr="00427BFF">
              <w:t>49,088</w:t>
            </w:r>
          </w:p>
        </w:tc>
        <w:tc>
          <w:tcPr>
            <w:tcW w:w="669" w:type="pct"/>
            <w:noWrap/>
            <w:hideMark/>
          </w:tcPr>
          <w:p w14:paraId="5503D8A2" w14:textId="77777777" w:rsidR="002A25FD" w:rsidRPr="00427BFF" w:rsidRDefault="002A25FD" w:rsidP="00427BFF">
            <w:pPr>
              <w:pStyle w:val="Tabletext1"/>
              <w:jc w:val="right"/>
              <w:cnfStyle w:val="000000000000" w:firstRow="0" w:lastRow="0" w:firstColumn="0" w:lastColumn="0" w:oddVBand="0" w:evenVBand="0" w:oddHBand="0" w:evenHBand="0" w:firstRowFirstColumn="0" w:firstRowLastColumn="0" w:lastRowFirstColumn="0" w:lastRowLastColumn="0"/>
            </w:pPr>
            <w:r w:rsidRPr="00427BFF">
              <w:t>49,515</w:t>
            </w:r>
          </w:p>
        </w:tc>
        <w:tc>
          <w:tcPr>
            <w:tcW w:w="669" w:type="pct"/>
            <w:noWrap/>
            <w:hideMark/>
          </w:tcPr>
          <w:p w14:paraId="0F9AB4F1" w14:textId="77777777" w:rsidR="002A25FD" w:rsidRPr="00427BFF" w:rsidRDefault="002A25FD" w:rsidP="00427BFF">
            <w:pPr>
              <w:pStyle w:val="Tabletext1"/>
              <w:jc w:val="right"/>
              <w:cnfStyle w:val="000000000000" w:firstRow="0" w:lastRow="0" w:firstColumn="0" w:lastColumn="0" w:oddVBand="0" w:evenVBand="0" w:oddHBand="0" w:evenHBand="0" w:firstRowFirstColumn="0" w:firstRowLastColumn="0" w:lastRowFirstColumn="0" w:lastRowLastColumn="0"/>
            </w:pPr>
            <w:r w:rsidRPr="00427BFF">
              <w:t>49,943</w:t>
            </w:r>
          </w:p>
        </w:tc>
      </w:tr>
      <w:tr w:rsidR="00427BFF" w:rsidRPr="00427BFF" w14:paraId="3256349C" w14:textId="77777777" w:rsidTr="00427B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7" w:type="pct"/>
            <w:noWrap/>
            <w:hideMark/>
          </w:tcPr>
          <w:p w14:paraId="7FB20D9F" w14:textId="24FCE93F" w:rsidR="002A25FD" w:rsidRPr="00427BFF" w:rsidRDefault="002A25FD" w:rsidP="00427BFF">
            <w:pPr>
              <w:pStyle w:val="Tabletext1"/>
            </w:pPr>
            <w:r w:rsidRPr="00427BFF">
              <w:t>Estimated government pharmacist expenditure</w:t>
            </w:r>
          </w:p>
          <w:p w14:paraId="6CC19B7F" w14:textId="77777777" w:rsidR="002A25FD" w:rsidRPr="00427BFF" w:rsidRDefault="002A25FD" w:rsidP="00427BFF">
            <w:pPr>
              <w:pStyle w:val="Tabletext1"/>
            </w:pPr>
            <w:r w:rsidRPr="00427BFF">
              <w:t>($107.07 per service)</w:t>
            </w:r>
          </w:p>
        </w:tc>
        <w:tc>
          <w:tcPr>
            <w:tcW w:w="669" w:type="pct"/>
            <w:noWrap/>
            <w:hideMark/>
          </w:tcPr>
          <w:p w14:paraId="5A775863" w14:textId="77777777" w:rsidR="002A25FD" w:rsidRPr="00786955" w:rsidRDefault="002A25FD" w:rsidP="00427BFF">
            <w:pPr>
              <w:pStyle w:val="Tabletext1"/>
              <w:jc w:val="right"/>
              <w:cnfStyle w:val="000000100000" w:firstRow="0" w:lastRow="0" w:firstColumn="0" w:lastColumn="0" w:oddVBand="0" w:evenVBand="0" w:oddHBand="1" w:evenHBand="0" w:firstRowFirstColumn="0" w:firstRowLastColumn="0" w:lastRowFirstColumn="0" w:lastRowLastColumn="0"/>
              <w:rPr>
                <w:b/>
                <w:bCs/>
              </w:rPr>
            </w:pPr>
            <w:r w:rsidRPr="00786955">
              <w:rPr>
                <w:b/>
                <w:bCs/>
              </w:rPr>
              <w:t>$5,164,254</w:t>
            </w:r>
          </w:p>
        </w:tc>
        <w:tc>
          <w:tcPr>
            <w:tcW w:w="669" w:type="pct"/>
            <w:noWrap/>
            <w:hideMark/>
          </w:tcPr>
          <w:p w14:paraId="2F86B48B" w14:textId="77777777" w:rsidR="002A25FD" w:rsidRPr="00786955" w:rsidRDefault="002A25FD" w:rsidP="00427BFF">
            <w:pPr>
              <w:pStyle w:val="Tabletext1"/>
              <w:jc w:val="right"/>
              <w:cnfStyle w:val="000000100000" w:firstRow="0" w:lastRow="0" w:firstColumn="0" w:lastColumn="0" w:oddVBand="0" w:evenVBand="0" w:oddHBand="1" w:evenHBand="0" w:firstRowFirstColumn="0" w:firstRowLastColumn="0" w:lastRowFirstColumn="0" w:lastRowLastColumn="0"/>
              <w:rPr>
                <w:b/>
                <w:bCs/>
              </w:rPr>
            </w:pPr>
            <w:r w:rsidRPr="00786955">
              <w:rPr>
                <w:b/>
                <w:bCs/>
              </w:rPr>
              <w:t>$5,210,026</w:t>
            </w:r>
          </w:p>
        </w:tc>
        <w:tc>
          <w:tcPr>
            <w:tcW w:w="669" w:type="pct"/>
            <w:noWrap/>
            <w:hideMark/>
          </w:tcPr>
          <w:p w14:paraId="5DC90585" w14:textId="77777777" w:rsidR="002A25FD" w:rsidRPr="00786955" w:rsidRDefault="002A25FD" w:rsidP="00427BFF">
            <w:pPr>
              <w:pStyle w:val="Tabletext1"/>
              <w:jc w:val="right"/>
              <w:cnfStyle w:val="000000100000" w:firstRow="0" w:lastRow="0" w:firstColumn="0" w:lastColumn="0" w:oddVBand="0" w:evenVBand="0" w:oddHBand="1" w:evenHBand="0" w:firstRowFirstColumn="0" w:firstRowLastColumn="0" w:lastRowFirstColumn="0" w:lastRowLastColumn="0"/>
              <w:rPr>
                <w:b/>
                <w:bCs/>
              </w:rPr>
            </w:pPr>
            <w:r w:rsidRPr="00786955">
              <w:rPr>
                <w:b/>
                <w:bCs/>
              </w:rPr>
              <w:t>$5,255,799</w:t>
            </w:r>
          </w:p>
        </w:tc>
        <w:tc>
          <w:tcPr>
            <w:tcW w:w="669" w:type="pct"/>
            <w:noWrap/>
            <w:hideMark/>
          </w:tcPr>
          <w:p w14:paraId="03E5B508" w14:textId="77777777" w:rsidR="002A25FD" w:rsidRPr="00786955" w:rsidRDefault="002A25FD" w:rsidP="00427BFF">
            <w:pPr>
              <w:pStyle w:val="Tabletext1"/>
              <w:jc w:val="right"/>
              <w:cnfStyle w:val="000000100000" w:firstRow="0" w:lastRow="0" w:firstColumn="0" w:lastColumn="0" w:oddVBand="0" w:evenVBand="0" w:oddHBand="1" w:evenHBand="0" w:firstRowFirstColumn="0" w:firstRowLastColumn="0" w:lastRowFirstColumn="0" w:lastRowLastColumn="0"/>
              <w:rPr>
                <w:b/>
                <w:bCs/>
              </w:rPr>
            </w:pPr>
            <w:r w:rsidRPr="00786955">
              <w:rPr>
                <w:b/>
                <w:bCs/>
              </w:rPr>
              <w:t>$5,301,571</w:t>
            </w:r>
          </w:p>
        </w:tc>
        <w:tc>
          <w:tcPr>
            <w:tcW w:w="669" w:type="pct"/>
            <w:noWrap/>
            <w:hideMark/>
          </w:tcPr>
          <w:p w14:paraId="1E5EB519" w14:textId="77777777" w:rsidR="002A25FD" w:rsidRPr="00786955" w:rsidRDefault="002A25FD" w:rsidP="00427BFF">
            <w:pPr>
              <w:pStyle w:val="Tabletext1"/>
              <w:jc w:val="right"/>
              <w:cnfStyle w:val="000000100000" w:firstRow="0" w:lastRow="0" w:firstColumn="0" w:lastColumn="0" w:oddVBand="0" w:evenVBand="0" w:oddHBand="1" w:evenHBand="0" w:firstRowFirstColumn="0" w:firstRowLastColumn="0" w:lastRowFirstColumn="0" w:lastRowLastColumn="0"/>
              <w:rPr>
                <w:b/>
                <w:bCs/>
              </w:rPr>
            </w:pPr>
            <w:r w:rsidRPr="00786955">
              <w:rPr>
                <w:b/>
                <w:bCs/>
              </w:rPr>
              <w:t>$5,347,343</w:t>
            </w:r>
          </w:p>
        </w:tc>
      </w:tr>
    </w:tbl>
    <w:p w14:paraId="5C112544" w14:textId="655E8990" w:rsidR="002A25FD" w:rsidRPr="002A25FD" w:rsidRDefault="00C327D6" w:rsidP="00897C5B">
      <w:pPr>
        <w:pStyle w:val="Caption"/>
      </w:pPr>
      <w:r w:rsidRPr="00A648B6">
        <w:t xml:space="preserve">Table </w:t>
      </w:r>
      <w:r w:rsidR="00A648B6">
        <w:t>E-3</w:t>
      </w:r>
      <w:r>
        <w:t>:</w:t>
      </w:r>
      <w:r w:rsidR="006A30D9">
        <w:t xml:space="preserve"> </w:t>
      </w:r>
      <w:r>
        <w:t>Projected people in residential aged care who would be eligible for the proposed pharmacist review over five years</w:t>
      </w:r>
    </w:p>
    <w:p w14:paraId="6E6F7417" w14:textId="3954CEFB" w:rsidR="003C431B" w:rsidRDefault="00991ED7" w:rsidP="0084765B">
      <w:pPr>
        <w:pStyle w:val="Heading2-SectionE"/>
      </w:pPr>
      <w:bookmarkStart w:id="278" w:name="_Toc379118301"/>
      <w:bookmarkStart w:id="279" w:name="_Toc381796484"/>
      <w:bookmarkStart w:id="280" w:name="_Toc117758283"/>
      <w:bookmarkEnd w:id="270"/>
      <w:bookmarkEnd w:id="271"/>
      <w:r w:rsidRPr="00F42B1D">
        <w:t>Changes in Use and C</w:t>
      </w:r>
      <w:r w:rsidR="003C431B" w:rsidRPr="00F42B1D">
        <w:t>ost of</w:t>
      </w:r>
      <w:bookmarkEnd w:id="278"/>
      <w:bookmarkEnd w:id="279"/>
      <w:r w:rsidRPr="00F42B1D">
        <w:t xml:space="preserve"> Other Medical Services</w:t>
      </w:r>
      <w:bookmarkEnd w:id="280"/>
      <w:r w:rsidRPr="00F42B1D">
        <w:t xml:space="preserve"> </w:t>
      </w:r>
    </w:p>
    <w:p w14:paraId="0595489B" w14:textId="0D8CDA1C" w:rsidR="00C327D6" w:rsidRPr="00C327D6" w:rsidRDefault="00C327D6" w:rsidP="007501B9">
      <w:r w:rsidRPr="00C327D6">
        <w:t>Although the clinical trial-based cost analysis identified differences in annual MBS costs across the different arms of the study, it concluded that these are unlikely to be associated with the intervention</w:t>
      </w:r>
      <w:r w:rsidR="007501B9">
        <w:t xml:space="preserve">. </w:t>
      </w:r>
      <w:r w:rsidRPr="00C327D6">
        <w:t>Therefore</w:t>
      </w:r>
      <w:r w:rsidR="003D1EFD">
        <w:t>,</w:t>
      </w:r>
      <w:r w:rsidRPr="00C327D6">
        <w:t xml:space="preserve"> these are not included in the base-case financial analysis and no real change to MBS expenditure </w:t>
      </w:r>
      <w:proofErr w:type="gramStart"/>
      <w:r w:rsidRPr="00C327D6">
        <w:t>as a result of</w:t>
      </w:r>
      <w:proofErr w:type="gramEnd"/>
      <w:r w:rsidRPr="00C327D6">
        <w:t xml:space="preserve"> the pharmacist intervention is anticipated.</w:t>
      </w:r>
    </w:p>
    <w:p w14:paraId="685C3E14" w14:textId="77777777" w:rsidR="00C550C1" w:rsidRPr="00F42B1D" w:rsidRDefault="00C550C1" w:rsidP="0084765B">
      <w:pPr>
        <w:pStyle w:val="Heading2-SectionE"/>
      </w:pPr>
      <w:bookmarkStart w:id="281" w:name="_Toc117758284"/>
      <w:r w:rsidRPr="00F42B1D">
        <w:t>Financial Implications for Government Health Budgets</w:t>
      </w:r>
      <w:bookmarkEnd w:id="281"/>
      <w:r w:rsidRPr="00F42B1D">
        <w:t xml:space="preserve"> </w:t>
      </w:r>
    </w:p>
    <w:p w14:paraId="7B1DF3D3" w14:textId="38B90E03" w:rsidR="006A30D9" w:rsidRPr="0068759F" w:rsidRDefault="006A30D9" w:rsidP="007501B9">
      <w:r>
        <w:t>The clinical trial-based economic evaluation did identify a difference in PBS expenditure that was considered possibly associated with the intervention, as PBS expenditure was more likely to be directly influenced by pharmacist recommendations, and the finding of reduced pharmaceutical expenditure was consistent with previous studies reported in the literature</w:t>
      </w:r>
      <w:r w:rsidR="007501B9">
        <w:t xml:space="preserve">. </w:t>
      </w:r>
      <w:r>
        <w:t>Therefore</w:t>
      </w:r>
      <w:r w:rsidR="003D1EFD">
        <w:t>,</w:t>
      </w:r>
      <w:r>
        <w:t xml:space="preserve"> the financial analysis assumes that a reduction of PBS pharmaceutical expenditure of $664 per person, as observed in the trial may be associated with the intervention.</w:t>
      </w:r>
    </w:p>
    <w:p w14:paraId="2BFBA8BE" w14:textId="15D41E94" w:rsidR="006A30D9" w:rsidRDefault="006A30D9" w:rsidP="007501B9">
      <w:r w:rsidRPr="00183E4D">
        <w:t xml:space="preserve">The financial implications to </w:t>
      </w:r>
      <w:r>
        <w:t>Commonwealth health budgets</w:t>
      </w:r>
      <w:r w:rsidRPr="00183E4D">
        <w:t xml:space="preserve"> resulting from the proposed listing of </w:t>
      </w:r>
      <w:r>
        <w:t>pharmacist intervention</w:t>
      </w:r>
      <w:r w:rsidRPr="00183E4D">
        <w:t xml:space="preserve"> are summarised </w:t>
      </w:r>
      <w:r w:rsidR="003D1EFD">
        <w:t xml:space="preserve">in </w:t>
      </w:r>
      <w:r w:rsidR="00A648B6">
        <w:t>Table E-4</w:t>
      </w:r>
      <w:r w:rsidR="00BA4AFC">
        <w:t>.</w:t>
      </w:r>
    </w:p>
    <w:tbl>
      <w:tblPr>
        <w:tblStyle w:val="ListTable3"/>
        <w:tblW w:w="4904" w:type="pct"/>
        <w:tblLayout w:type="fixed"/>
        <w:tblLook w:val="04A0" w:firstRow="1" w:lastRow="0" w:firstColumn="1" w:lastColumn="0" w:noHBand="0" w:noVBand="1"/>
        <w:tblCaption w:val="Total costs to Commonwealth health budgets associated with pharmacist intervention"/>
        <w:tblDescription w:val="Total costs to Commonwealth health budgets associated with pharmacist intervention"/>
      </w:tblPr>
      <w:tblGrid>
        <w:gridCol w:w="2040"/>
        <w:gridCol w:w="1362"/>
        <w:gridCol w:w="1364"/>
        <w:gridCol w:w="1364"/>
        <w:gridCol w:w="1358"/>
        <w:gridCol w:w="1355"/>
      </w:tblGrid>
      <w:tr w:rsidR="00786955" w:rsidRPr="00786955" w14:paraId="4988CB64" w14:textId="77777777" w:rsidTr="00786955">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154" w:type="pct"/>
            <w:noWrap/>
            <w:hideMark/>
          </w:tcPr>
          <w:p w14:paraId="708539F7" w14:textId="77777777" w:rsidR="006A30D9" w:rsidRPr="00786955" w:rsidRDefault="006A30D9" w:rsidP="00786955">
            <w:pPr>
              <w:pStyle w:val="TableHeader"/>
              <w:keepNext/>
            </w:pPr>
            <w:bookmarkStart w:id="282" w:name="Title_35"/>
            <w:bookmarkStart w:id="283" w:name="Title_3457" w:colFirst="0" w:colLast="0"/>
            <w:bookmarkEnd w:id="282"/>
          </w:p>
        </w:tc>
        <w:tc>
          <w:tcPr>
            <w:tcW w:w="770" w:type="pct"/>
            <w:noWrap/>
            <w:hideMark/>
          </w:tcPr>
          <w:p w14:paraId="420DBABB" w14:textId="77777777" w:rsidR="006A30D9" w:rsidRPr="00786955" w:rsidRDefault="006A30D9" w:rsidP="00786955">
            <w:pPr>
              <w:pStyle w:val="TableHeader"/>
              <w:keepNext/>
              <w:cnfStyle w:val="100000000000" w:firstRow="1" w:lastRow="0" w:firstColumn="0" w:lastColumn="0" w:oddVBand="0" w:evenVBand="0" w:oddHBand="0" w:evenHBand="0" w:firstRowFirstColumn="0" w:firstRowLastColumn="0" w:lastRowFirstColumn="0" w:lastRowLastColumn="0"/>
              <w:rPr>
                <w:rFonts w:cs="Calibri"/>
                <w:b/>
                <w:bCs w:val="0"/>
              </w:rPr>
            </w:pPr>
            <w:r w:rsidRPr="00786955">
              <w:rPr>
                <w:rFonts w:cs="Calibri"/>
                <w:b/>
                <w:bCs w:val="0"/>
              </w:rPr>
              <w:t>2021-22</w:t>
            </w:r>
          </w:p>
        </w:tc>
        <w:tc>
          <w:tcPr>
            <w:tcW w:w="771" w:type="pct"/>
            <w:noWrap/>
            <w:hideMark/>
          </w:tcPr>
          <w:p w14:paraId="23C17778" w14:textId="77777777" w:rsidR="006A30D9" w:rsidRPr="00786955" w:rsidRDefault="006A30D9" w:rsidP="00786955">
            <w:pPr>
              <w:pStyle w:val="TableHeader"/>
              <w:keepNext/>
              <w:cnfStyle w:val="100000000000" w:firstRow="1" w:lastRow="0" w:firstColumn="0" w:lastColumn="0" w:oddVBand="0" w:evenVBand="0" w:oddHBand="0" w:evenHBand="0" w:firstRowFirstColumn="0" w:firstRowLastColumn="0" w:lastRowFirstColumn="0" w:lastRowLastColumn="0"/>
              <w:rPr>
                <w:rFonts w:cs="Calibri"/>
                <w:b/>
                <w:bCs w:val="0"/>
              </w:rPr>
            </w:pPr>
            <w:r w:rsidRPr="00786955">
              <w:rPr>
                <w:rFonts w:cs="Calibri"/>
                <w:b/>
                <w:bCs w:val="0"/>
              </w:rPr>
              <w:t>2022-23</w:t>
            </w:r>
          </w:p>
        </w:tc>
        <w:tc>
          <w:tcPr>
            <w:tcW w:w="771" w:type="pct"/>
            <w:noWrap/>
            <w:hideMark/>
          </w:tcPr>
          <w:p w14:paraId="501100C6" w14:textId="77777777" w:rsidR="006A30D9" w:rsidRPr="00786955" w:rsidRDefault="006A30D9" w:rsidP="00786955">
            <w:pPr>
              <w:pStyle w:val="TableHeader"/>
              <w:keepNext/>
              <w:cnfStyle w:val="100000000000" w:firstRow="1" w:lastRow="0" w:firstColumn="0" w:lastColumn="0" w:oddVBand="0" w:evenVBand="0" w:oddHBand="0" w:evenHBand="0" w:firstRowFirstColumn="0" w:firstRowLastColumn="0" w:lastRowFirstColumn="0" w:lastRowLastColumn="0"/>
              <w:rPr>
                <w:rFonts w:cs="Calibri"/>
                <w:b/>
                <w:bCs w:val="0"/>
              </w:rPr>
            </w:pPr>
            <w:r w:rsidRPr="00786955">
              <w:rPr>
                <w:rFonts w:cs="Calibri"/>
                <w:b/>
                <w:bCs w:val="0"/>
              </w:rPr>
              <w:t>2023-24</w:t>
            </w:r>
          </w:p>
        </w:tc>
        <w:tc>
          <w:tcPr>
            <w:tcW w:w="768" w:type="pct"/>
            <w:noWrap/>
            <w:hideMark/>
          </w:tcPr>
          <w:p w14:paraId="37577F07" w14:textId="77777777" w:rsidR="006A30D9" w:rsidRPr="00786955" w:rsidRDefault="006A30D9" w:rsidP="00786955">
            <w:pPr>
              <w:pStyle w:val="TableHeader"/>
              <w:keepNext/>
              <w:cnfStyle w:val="100000000000" w:firstRow="1" w:lastRow="0" w:firstColumn="0" w:lastColumn="0" w:oddVBand="0" w:evenVBand="0" w:oddHBand="0" w:evenHBand="0" w:firstRowFirstColumn="0" w:firstRowLastColumn="0" w:lastRowFirstColumn="0" w:lastRowLastColumn="0"/>
              <w:rPr>
                <w:rFonts w:cs="Calibri"/>
                <w:b/>
                <w:bCs w:val="0"/>
              </w:rPr>
            </w:pPr>
            <w:r w:rsidRPr="00786955">
              <w:rPr>
                <w:rFonts w:cs="Calibri"/>
                <w:b/>
                <w:bCs w:val="0"/>
              </w:rPr>
              <w:t>2024-25</w:t>
            </w:r>
          </w:p>
        </w:tc>
        <w:tc>
          <w:tcPr>
            <w:tcW w:w="767" w:type="pct"/>
            <w:noWrap/>
            <w:hideMark/>
          </w:tcPr>
          <w:p w14:paraId="32B0F3E1" w14:textId="77777777" w:rsidR="006A30D9" w:rsidRPr="00786955" w:rsidRDefault="006A30D9" w:rsidP="00786955">
            <w:pPr>
              <w:pStyle w:val="TableHeader"/>
              <w:keepNext/>
              <w:cnfStyle w:val="100000000000" w:firstRow="1" w:lastRow="0" w:firstColumn="0" w:lastColumn="0" w:oddVBand="0" w:evenVBand="0" w:oddHBand="0" w:evenHBand="0" w:firstRowFirstColumn="0" w:firstRowLastColumn="0" w:lastRowFirstColumn="0" w:lastRowLastColumn="0"/>
              <w:rPr>
                <w:rFonts w:cs="Calibri"/>
                <w:b/>
                <w:bCs w:val="0"/>
              </w:rPr>
            </w:pPr>
            <w:r w:rsidRPr="00786955">
              <w:rPr>
                <w:rFonts w:cs="Calibri"/>
                <w:b/>
                <w:bCs w:val="0"/>
              </w:rPr>
              <w:t>2025-26</w:t>
            </w:r>
          </w:p>
        </w:tc>
      </w:tr>
      <w:bookmarkEnd w:id="283"/>
      <w:tr w:rsidR="00786955" w:rsidRPr="00786955" w14:paraId="0038BB29" w14:textId="77777777" w:rsidTr="007869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54" w:type="pct"/>
            <w:noWrap/>
            <w:hideMark/>
          </w:tcPr>
          <w:p w14:paraId="1FEF8E33" w14:textId="77777777" w:rsidR="006A30D9" w:rsidRPr="00786955" w:rsidRDefault="006A30D9" w:rsidP="00786955">
            <w:pPr>
              <w:pStyle w:val="Tabletext1"/>
              <w:keepNext/>
              <w:rPr>
                <w:b w:val="0"/>
              </w:rPr>
            </w:pPr>
            <w:r w:rsidRPr="00786955">
              <w:rPr>
                <w:b w:val="0"/>
              </w:rPr>
              <w:t>No. people that uptake proposed pharmacist review</w:t>
            </w:r>
          </w:p>
        </w:tc>
        <w:tc>
          <w:tcPr>
            <w:tcW w:w="770" w:type="pct"/>
            <w:noWrap/>
            <w:hideMark/>
          </w:tcPr>
          <w:p w14:paraId="442F1052" w14:textId="77777777" w:rsidR="006A30D9" w:rsidRPr="00786955" w:rsidRDefault="006A30D9" w:rsidP="00786955">
            <w:pPr>
              <w:pStyle w:val="Tabletext1"/>
              <w:keepNext/>
              <w:cnfStyle w:val="000000100000" w:firstRow="0" w:lastRow="0" w:firstColumn="0" w:lastColumn="0" w:oddVBand="0" w:evenVBand="0" w:oddHBand="1" w:evenHBand="0" w:firstRowFirstColumn="0" w:firstRowLastColumn="0" w:lastRowFirstColumn="0" w:lastRowLastColumn="0"/>
            </w:pPr>
            <w:r w:rsidRPr="00786955">
              <w:t>9,647</w:t>
            </w:r>
          </w:p>
        </w:tc>
        <w:tc>
          <w:tcPr>
            <w:tcW w:w="771" w:type="pct"/>
            <w:noWrap/>
            <w:hideMark/>
          </w:tcPr>
          <w:p w14:paraId="5C91F2CD" w14:textId="77777777" w:rsidR="006A30D9" w:rsidRPr="00786955" w:rsidRDefault="006A30D9" w:rsidP="00786955">
            <w:pPr>
              <w:pStyle w:val="Tabletext1"/>
              <w:keepNext/>
              <w:cnfStyle w:val="000000100000" w:firstRow="0" w:lastRow="0" w:firstColumn="0" w:lastColumn="0" w:oddVBand="0" w:evenVBand="0" w:oddHBand="1" w:evenHBand="0" w:firstRowFirstColumn="0" w:firstRowLastColumn="0" w:lastRowFirstColumn="0" w:lastRowLastColumn="0"/>
            </w:pPr>
            <w:r w:rsidRPr="00786955">
              <w:t>9,732</w:t>
            </w:r>
          </w:p>
        </w:tc>
        <w:tc>
          <w:tcPr>
            <w:tcW w:w="771" w:type="pct"/>
            <w:noWrap/>
            <w:hideMark/>
          </w:tcPr>
          <w:p w14:paraId="661C9A95" w14:textId="77777777" w:rsidR="006A30D9" w:rsidRPr="00786955" w:rsidRDefault="006A30D9" w:rsidP="00786955">
            <w:pPr>
              <w:pStyle w:val="Tabletext1"/>
              <w:keepNext/>
              <w:cnfStyle w:val="000000100000" w:firstRow="0" w:lastRow="0" w:firstColumn="0" w:lastColumn="0" w:oddVBand="0" w:evenVBand="0" w:oddHBand="1" w:evenHBand="0" w:firstRowFirstColumn="0" w:firstRowLastColumn="0" w:lastRowFirstColumn="0" w:lastRowLastColumn="0"/>
            </w:pPr>
            <w:r w:rsidRPr="00786955">
              <w:t>9,818</w:t>
            </w:r>
          </w:p>
        </w:tc>
        <w:tc>
          <w:tcPr>
            <w:tcW w:w="768" w:type="pct"/>
            <w:noWrap/>
            <w:hideMark/>
          </w:tcPr>
          <w:p w14:paraId="7263267C" w14:textId="77777777" w:rsidR="006A30D9" w:rsidRPr="00786955" w:rsidRDefault="006A30D9" w:rsidP="00786955">
            <w:pPr>
              <w:pStyle w:val="Tabletext1"/>
              <w:keepNext/>
              <w:cnfStyle w:val="000000100000" w:firstRow="0" w:lastRow="0" w:firstColumn="0" w:lastColumn="0" w:oddVBand="0" w:evenVBand="0" w:oddHBand="1" w:evenHBand="0" w:firstRowFirstColumn="0" w:firstRowLastColumn="0" w:lastRowFirstColumn="0" w:lastRowLastColumn="0"/>
            </w:pPr>
            <w:r w:rsidRPr="00786955">
              <w:t>9,903</w:t>
            </w:r>
          </w:p>
        </w:tc>
        <w:tc>
          <w:tcPr>
            <w:tcW w:w="767" w:type="pct"/>
            <w:noWrap/>
            <w:hideMark/>
          </w:tcPr>
          <w:p w14:paraId="60C85383" w14:textId="77777777" w:rsidR="006A30D9" w:rsidRPr="00786955" w:rsidRDefault="006A30D9" w:rsidP="00786955">
            <w:pPr>
              <w:pStyle w:val="Tabletext1"/>
              <w:keepNext/>
              <w:cnfStyle w:val="000000100000" w:firstRow="0" w:lastRow="0" w:firstColumn="0" w:lastColumn="0" w:oddVBand="0" w:evenVBand="0" w:oddHBand="1" w:evenHBand="0" w:firstRowFirstColumn="0" w:firstRowLastColumn="0" w:lastRowFirstColumn="0" w:lastRowLastColumn="0"/>
            </w:pPr>
            <w:r w:rsidRPr="00786955">
              <w:t>9,989</w:t>
            </w:r>
          </w:p>
        </w:tc>
      </w:tr>
      <w:tr w:rsidR="00786955" w:rsidRPr="00786955" w14:paraId="688BE1E6" w14:textId="77777777" w:rsidTr="00786955">
        <w:trPr>
          <w:trHeight w:val="300"/>
        </w:trPr>
        <w:tc>
          <w:tcPr>
            <w:cnfStyle w:val="001000000000" w:firstRow="0" w:lastRow="0" w:firstColumn="1" w:lastColumn="0" w:oddVBand="0" w:evenVBand="0" w:oddHBand="0" w:evenHBand="0" w:firstRowFirstColumn="0" w:firstRowLastColumn="0" w:lastRowFirstColumn="0" w:lastRowLastColumn="0"/>
            <w:tcW w:w="1154" w:type="pct"/>
            <w:noWrap/>
            <w:hideMark/>
          </w:tcPr>
          <w:p w14:paraId="1B70BCF5" w14:textId="77777777" w:rsidR="006A30D9" w:rsidRPr="00786955" w:rsidRDefault="006A30D9" w:rsidP="00786955">
            <w:pPr>
              <w:pStyle w:val="Tabletext1"/>
              <w:rPr>
                <w:bCs w:val="0"/>
              </w:rPr>
            </w:pPr>
            <w:r w:rsidRPr="00786955">
              <w:rPr>
                <w:bCs w:val="0"/>
              </w:rPr>
              <w:t>Net cost of pharmacist intervention program</w:t>
            </w:r>
          </w:p>
        </w:tc>
        <w:tc>
          <w:tcPr>
            <w:tcW w:w="770" w:type="pct"/>
            <w:noWrap/>
            <w:hideMark/>
          </w:tcPr>
          <w:p w14:paraId="4F0DCB29" w14:textId="77777777" w:rsidR="006A30D9" w:rsidRPr="00786955" w:rsidRDefault="006A30D9" w:rsidP="00786955">
            <w:pPr>
              <w:pStyle w:val="Tabletext1"/>
              <w:cnfStyle w:val="000000000000" w:firstRow="0" w:lastRow="0" w:firstColumn="0" w:lastColumn="0" w:oddVBand="0" w:evenVBand="0" w:oddHBand="0" w:evenHBand="0" w:firstRowFirstColumn="0" w:firstRowLastColumn="0" w:lastRowFirstColumn="0" w:lastRowLastColumn="0"/>
              <w:rPr>
                <w:b/>
              </w:rPr>
            </w:pPr>
            <w:r w:rsidRPr="00786955">
              <w:rPr>
                <w:b/>
              </w:rPr>
              <w:t>$5,164,254</w:t>
            </w:r>
          </w:p>
        </w:tc>
        <w:tc>
          <w:tcPr>
            <w:tcW w:w="771" w:type="pct"/>
            <w:noWrap/>
            <w:hideMark/>
          </w:tcPr>
          <w:p w14:paraId="5F37C90C" w14:textId="77777777" w:rsidR="006A30D9" w:rsidRPr="00786955" w:rsidRDefault="006A30D9" w:rsidP="00786955">
            <w:pPr>
              <w:pStyle w:val="Tabletext1"/>
              <w:cnfStyle w:val="000000000000" w:firstRow="0" w:lastRow="0" w:firstColumn="0" w:lastColumn="0" w:oddVBand="0" w:evenVBand="0" w:oddHBand="0" w:evenHBand="0" w:firstRowFirstColumn="0" w:firstRowLastColumn="0" w:lastRowFirstColumn="0" w:lastRowLastColumn="0"/>
              <w:rPr>
                <w:b/>
              </w:rPr>
            </w:pPr>
            <w:r w:rsidRPr="00786955">
              <w:rPr>
                <w:b/>
              </w:rPr>
              <w:t>$5,210,026</w:t>
            </w:r>
          </w:p>
        </w:tc>
        <w:tc>
          <w:tcPr>
            <w:tcW w:w="771" w:type="pct"/>
            <w:noWrap/>
            <w:hideMark/>
          </w:tcPr>
          <w:p w14:paraId="7A28B370" w14:textId="77777777" w:rsidR="006A30D9" w:rsidRPr="00786955" w:rsidRDefault="006A30D9" w:rsidP="00786955">
            <w:pPr>
              <w:pStyle w:val="Tabletext1"/>
              <w:cnfStyle w:val="000000000000" w:firstRow="0" w:lastRow="0" w:firstColumn="0" w:lastColumn="0" w:oddVBand="0" w:evenVBand="0" w:oddHBand="0" w:evenHBand="0" w:firstRowFirstColumn="0" w:firstRowLastColumn="0" w:lastRowFirstColumn="0" w:lastRowLastColumn="0"/>
              <w:rPr>
                <w:b/>
              </w:rPr>
            </w:pPr>
            <w:r w:rsidRPr="00786955">
              <w:rPr>
                <w:b/>
              </w:rPr>
              <w:t>$5,255,799</w:t>
            </w:r>
          </w:p>
        </w:tc>
        <w:tc>
          <w:tcPr>
            <w:tcW w:w="768" w:type="pct"/>
            <w:noWrap/>
            <w:hideMark/>
          </w:tcPr>
          <w:p w14:paraId="0678C6FA" w14:textId="77777777" w:rsidR="006A30D9" w:rsidRPr="00786955" w:rsidRDefault="006A30D9" w:rsidP="00786955">
            <w:pPr>
              <w:pStyle w:val="Tabletext1"/>
              <w:cnfStyle w:val="000000000000" w:firstRow="0" w:lastRow="0" w:firstColumn="0" w:lastColumn="0" w:oddVBand="0" w:evenVBand="0" w:oddHBand="0" w:evenHBand="0" w:firstRowFirstColumn="0" w:firstRowLastColumn="0" w:lastRowFirstColumn="0" w:lastRowLastColumn="0"/>
              <w:rPr>
                <w:b/>
              </w:rPr>
            </w:pPr>
            <w:r w:rsidRPr="00786955">
              <w:rPr>
                <w:b/>
              </w:rPr>
              <w:t>$5,301,571</w:t>
            </w:r>
          </w:p>
        </w:tc>
        <w:tc>
          <w:tcPr>
            <w:tcW w:w="767" w:type="pct"/>
            <w:noWrap/>
            <w:hideMark/>
          </w:tcPr>
          <w:p w14:paraId="62761EE3" w14:textId="77777777" w:rsidR="006A30D9" w:rsidRPr="00786955" w:rsidRDefault="006A30D9" w:rsidP="00786955">
            <w:pPr>
              <w:pStyle w:val="Tabletext1"/>
              <w:cnfStyle w:val="000000000000" w:firstRow="0" w:lastRow="0" w:firstColumn="0" w:lastColumn="0" w:oddVBand="0" w:evenVBand="0" w:oddHBand="0" w:evenHBand="0" w:firstRowFirstColumn="0" w:firstRowLastColumn="0" w:lastRowFirstColumn="0" w:lastRowLastColumn="0"/>
              <w:rPr>
                <w:b/>
              </w:rPr>
            </w:pPr>
            <w:r w:rsidRPr="00786955">
              <w:rPr>
                <w:b/>
              </w:rPr>
              <w:t>$5,347,343</w:t>
            </w:r>
          </w:p>
        </w:tc>
      </w:tr>
      <w:tr w:rsidR="00786955" w:rsidRPr="00786955" w14:paraId="052E0A4E" w14:textId="77777777" w:rsidTr="007869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54" w:type="pct"/>
            <w:noWrap/>
            <w:hideMark/>
          </w:tcPr>
          <w:p w14:paraId="596622EC" w14:textId="77777777" w:rsidR="006A30D9" w:rsidRPr="00786955" w:rsidRDefault="006A30D9" w:rsidP="00786955">
            <w:pPr>
              <w:pStyle w:val="Tabletext1"/>
              <w:rPr>
                <w:b w:val="0"/>
              </w:rPr>
            </w:pPr>
            <w:r w:rsidRPr="00786955">
              <w:rPr>
                <w:b w:val="0"/>
              </w:rPr>
              <w:t>Change in use of other affected Commonwealth services</w:t>
            </w:r>
          </w:p>
        </w:tc>
        <w:tc>
          <w:tcPr>
            <w:tcW w:w="770" w:type="pct"/>
            <w:noWrap/>
            <w:hideMark/>
          </w:tcPr>
          <w:p w14:paraId="3E56A6EE" w14:textId="77777777" w:rsidR="006A30D9" w:rsidRPr="00786955" w:rsidRDefault="006A30D9" w:rsidP="00786955">
            <w:pPr>
              <w:pStyle w:val="Tabletext1"/>
              <w:cnfStyle w:val="000000100000" w:firstRow="0" w:lastRow="0" w:firstColumn="0" w:lastColumn="0" w:oddVBand="0" w:evenVBand="0" w:oddHBand="1" w:evenHBand="0" w:firstRowFirstColumn="0" w:firstRowLastColumn="0" w:lastRowFirstColumn="0" w:lastRowLastColumn="0"/>
            </w:pPr>
          </w:p>
        </w:tc>
        <w:tc>
          <w:tcPr>
            <w:tcW w:w="771" w:type="pct"/>
            <w:noWrap/>
            <w:hideMark/>
          </w:tcPr>
          <w:p w14:paraId="1D4EC138" w14:textId="77777777" w:rsidR="006A30D9" w:rsidRPr="00786955" w:rsidRDefault="006A30D9" w:rsidP="00786955">
            <w:pPr>
              <w:pStyle w:val="Tabletext1"/>
              <w:cnfStyle w:val="000000100000" w:firstRow="0" w:lastRow="0" w:firstColumn="0" w:lastColumn="0" w:oddVBand="0" w:evenVBand="0" w:oddHBand="1" w:evenHBand="0" w:firstRowFirstColumn="0" w:firstRowLastColumn="0" w:lastRowFirstColumn="0" w:lastRowLastColumn="0"/>
            </w:pPr>
          </w:p>
        </w:tc>
        <w:tc>
          <w:tcPr>
            <w:tcW w:w="771" w:type="pct"/>
            <w:noWrap/>
            <w:hideMark/>
          </w:tcPr>
          <w:p w14:paraId="71574321" w14:textId="77777777" w:rsidR="006A30D9" w:rsidRPr="00786955" w:rsidRDefault="006A30D9" w:rsidP="00786955">
            <w:pPr>
              <w:pStyle w:val="Tabletext1"/>
              <w:cnfStyle w:val="000000100000" w:firstRow="0" w:lastRow="0" w:firstColumn="0" w:lastColumn="0" w:oddVBand="0" w:evenVBand="0" w:oddHBand="1" w:evenHBand="0" w:firstRowFirstColumn="0" w:firstRowLastColumn="0" w:lastRowFirstColumn="0" w:lastRowLastColumn="0"/>
            </w:pPr>
          </w:p>
        </w:tc>
        <w:tc>
          <w:tcPr>
            <w:tcW w:w="768" w:type="pct"/>
            <w:noWrap/>
            <w:hideMark/>
          </w:tcPr>
          <w:p w14:paraId="3BB73543" w14:textId="77777777" w:rsidR="006A30D9" w:rsidRPr="00786955" w:rsidRDefault="006A30D9" w:rsidP="00786955">
            <w:pPr>
              <w:pStyle w:val="Tabletext1"/>
              <w:cnfStyle w:val="000000100000" w:firstRow="0" w:lastRow="0" w:firstColumn="0" w:lastColumn="0" w:oddVBand="0" w:evenVBand="0" w:oddHBand="1" w:evenHBand="0" w:firstRowFirstColumn="0" w:firstRowLastColumn="0" w:lastRowFirstColumn="0" w:lastRowLastColumn="0"/>
            </w:pPr>
          </w:p>
        </w:tc>
        <w:tc>
          <w:tcPr>
            <w:tcW w:w="767" w:type="pct"/>
            <w:noWrap/>
            <w:hideMark/>
          </w:tcPr>
          <w:p w14:paraId="7E8310F2" w14:textId="77777777" w:rsidR="006A30D9" w:rsidRPr="00786955" w:rsidRDefault="006A30D9" w:rsidP="00786955">
            <w:pPr>
              <w:pStyle w:val="Tabletext1"/>
              <w:cnfStyle w:val="000000100000" w:firstRow="0" w:lastRow="0" w:firstColumn="0" w:lastColumn="0" w:oddVBand="0" w:evenVBand="0" w:oddHBand="1" w:evenHBand="0" w:firstRowFirstColumn="0" w:firstRowLastColumn="0" w:lastRowFirstColumn="0" w:lastRowLastColumn="0"/>
            </w:pPr>
          </w:p>
        </w:tc>
      </w:tr>
      <w:tr w:rsidR="00786955" w:rsidRPr="00786955" w14:paraId="39E323DA" w14:textId="77777777" w:rsidTr="00786955">
        <w:trPr>
          <w:trHeight w:val="300"/>
        </w:trPr>
        <w:tc>
          <w:tcPr>
            <w:cnfStyle w:val="001000000000" w:firstRow="0" w:lastRow="0" w:firstColumn="1" w:lastColumn="0" w:oddVBand="0" w:evenVBand="0" w:oddHBand="0" w:evenHBand="0" w:firstRowFirstColumn="0" w:firstRowLastColumn="0" w:lastRowFirstColumn="0" w:lastRowLastColumn="0"/>
            <w:tcW w:w="1154" w:type="pct"/>
            <w:noWrap/>
            <w:hideMark/>
          </w:tcPr>
          <w:p w14:paraId="524E0583" w14:textId="77777777" w:rsidR="006A30D9" w:rsidRPr="00786955" w:rsidRDefault="006A30D9" w:rsidP="00786955">
            <w:pPr>
              <w:pStyle w:val="Tabletext1"/>
              <w:rPr>
                <w:b w:val="0"/>
              </w:rPr>
            </w:pPr>
            <w:r w:rsidRPr="00786955">
              <w:rPr>
                <w:b w:val="0"/>
              </w:rPr>
              <w:t xml:space="preserve">Change in PBS expenditure </w:t>
            </w:r>
          </w:p>
          <w:p w14:paraId="16364EC1" w14:textId="77777777" w:rsidR="006A30D9" w:rsidRPr="00786955" w:rsidRDefault="006A30D9" w:rsidP="00786955">
            <w:pPr>
              <w:pStyle w:val="Tabletext1"/>
              <w:rPr>
                <w:b w:val="0"/>
              </w:rPr>
            </w:pPr>
            <w:r w:rsidRPr="00786955">
              <w:rPr>
                <w:b w:val="0"/>
              </w:rPr>
              <w:t>(−$664 per person)</w:t>
            </w:r>
          </w:p>
        </w:tc>
        <w:tc>
          <w:tcPr>
            <w:tcW w:w="770" w:type="pct"/>
            <w:noWrap/>
            <w:hideMark/>
          </w:tcPr>
          <w:p w14:paraId="3C7805A0" w14:textId="77777777" w:rsidR="006A30D9" w:rsidRPr="00786955" w:rsidRDefault="006A30D9" w:rsidP="00786955">
            <w:pPr>
              <w:pStyle w:val="Tabletext1"/>
              <w:cnfStyle w:val="000000000000" w:firstRow="0" w:lastRow="0" w:firstColumn="0" w:lastColumn="0" w:oddVBand="0" w:evenVBand="0" w:oddHBand="0" w:evenHBand="0" w:firstRowFirstColumn="0" w:firstRowLastColumn="0" w:lastRowFirstColumn="0" w:lastRowLastColumn="0"/>
            </w:pPr>
            <w:r w:rsidRPr="00786955">
              <w:t>−$6,405,276</w:t>
            </w:r>
          </w:p>
        </w:tc>
        <w:tc>
          <w:tcPr>
            <w:tcW w:w="771" w:type="pct"/>
            <w:noWrap/>
            <w:hideMark/>
          </w:tcPr>
          <w:p w14:paraId="637C97DA" w14:textId="77777777" w:rsidR="006A30D9" w:rsidRPr="00786955" w:rsidRDefault="006A30D9" w:rsidP="00786955">
            <w:pPr>
              <w:pStyle w:val="Tabletext1"/>
              <w:cnfStyle w:val="000000000000" w:firstRow="0" w:lastRow="0" w:firstColumn="0" w:lastColumn="0" w:oddVBand="0" w:evenVBand="0" w:oddHBand="0" w:evenHBand="0" w:firstRowFirstColumn="0" w:firstRowLastColumn="0" w:lastRowFirstColumn="0" w:lastRowLastColumn="0"/>
            </w:pPr>
            <w:r w:rsidRPr="00786955">
              <w:t>−$6,462,048</w:t>
            </w:r>
          </w:p>
        </w:tc>
        <w:tc>
          <w:tcPr>
            <w:tcW w:w="771" w:type="pct"/>
            <w:noWrap/>
            <w:hideMark/>
          </w:tcPr>
          <w:p w14:paraId="3DDA6009" w14:textId="77777777" w:rsidR="006A30D9" w:rsidRPr="00786955" w:rsidRDefault="006A30D9" w:rsidP="00786955">
            <w:pPr>
              <w:pStyle w:val="Tabletext1"/>
              <w:cnfStyle w:val="000000000000" w:firstRow="0" w:lastRow="0" w:firstColumn="0" w:lastColumn="0" w:oddVBand="0" w:evenVBand="0" w:oddHBand="0" w:evenHBand="0" w:firstRowFirstColumn="0" w:firstRowLastColumn="0" w:lastRowFirstColumn="0" w:lastRowLastColumn="0"/>
            </w:pPr>
            <w:r w:rsidRPr="00786955">
              <w:t>−$6,518,820</w:t>
            </w:r>
          </w:p>
        </w:tc>
        <w:tc>
          <w:tcPr>
            <w:tcW w:w="768" w:type="pct"/>
            <w:noWrap/>
            <w:hideMark/>
          </w:tcPr>
          <w:p w14:paraId="7DA30AF0" w14:textId="77777777" w:rsidR="006A30D9" w:rsidRPr="00786955" w:rsidRDefault="006A30D9" w:rsidP="00786955">
            <w:pPr>
              <w:pStyle w:val="Tabletext1"/>
              <w:cnfStyle w:val="000000000000" w:firstRow="0" w:lastRow="0" w:firstColumn="0" w:lastColumn="0" w:oddVBand="0" w:evenVBand="0" w:oddHBand="0" w:evenHBand="0" w:firstRowFirstColumn="0" w:firstRowLastColumn="0" w:lastRowFirstColumn="0" w:lastRowLastColumn="0"/>
            </w:pPr>
            <w:r w:rsidRPr="00786955">
              <w:t>−$6,575,592</w:t>
            </w:r>
          </w:p>
        </w:tc>
        <w:tc>
          <w:tcPr>
            <w:tcW w:w="767" w:type="pct"/>
            <w:noWrap/>
            <w:hideMark/>
          </w:tcPr>
          <w:p w14:paraId="72E798F0" w14:textId="77777777" w:rsidR="006A30D9" w:rsidRPr="00786955" w:rsidRDefault="006A30D9" w:rsidP="00786955">
            <w:pPr>
              <w:pStyle w:val="Tabletext1"/>
              <w:cnfStyle w:val="000000000000" w:firstRow="0" w:lastRow="0" w:firstColumn="0" w:lastColumn="0" w:oddVBand="0" w:evenVBand="0" w:oddHBand="0" w:evenHBand="0" w:firstRowFirstColumn="0" w:firstRowLastColumn="0" w:lastRowFirstColumn="0" w:lastRowLastColumn="0"/>
            </w:pPr>
            <w:r w:rsidRPr="00786955">
              <w:t>−$6,632,364</w:t>
            </w:r>
          </w:p>
        </w:tc>
      </w:tr>
      <w:tr w:rsidR="00786955" w:rsidRPr="00786955" w14:paraId="4225F6CF" w14:textId="77777777" w:rsidTr="007869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54" w:type="pct"/>
            <w:noWrap/>
            <w:hideMark/>
          </w:tcPr>
          <w:p w14:paraId="59E334FD" w14:textId="77777777" w:rsidR="006A30D9" w:rsidRPr="00786955" w:rsidRDefault="006A30D9" w:rsidP="00786955">
            <w:pPr>
              <w:pStyle w:val="Tabletext1"/>
              <w:rPr>
                <w:bCs w:val="0"/>
              </w:rPr>
            </w:pPr>
            <w:r w:rsidRPr="00786955">
              <w:rPr>
                <w:bCs w:val="0"/>
              </w:rPr>
              <w:t>Net cost to Commonwealth health services</w:t>
            </w:r>
          </w:p>
        </w:tc>
        <w:tc>
          <w:tcPr>
            <w:tcW w:w="770" w:type="pct"/>
            <w:noWrap/>
            <w:hideMark/>
          </w:tcPr>
          <w:p w14:paraId="7C74C318" w14:textId="77777777" w:rsidR="006A30D9" w:rsidRPr="00786955" w:rsidRDefault="006A30D9" w:rsidP="00786955">
            <w:pPr>
              <w:pStyle w:val="Tabletext1"/>
              <w:cnfStyle w:val="000000100000" w:firstRow="0" w:lastRow="0" w:firstColumn="0" w:lastColumn="0" w:oddVBand="0" w:evenVBand="0" w:oddHBand="1" w:evenHBand="0" w:firstRowFirstColumn="0" w:firstRowLastColumn="0" w:lastRowFirstColumn="0" w:lastRowLastColumn="0"/>
              <w:rPr>
                <w:b/>
              </w:rPr>
            </w:pPr>
            <w:r w:rsidRPr="00786955">
              <w:rPr>
                <w:b/>
              </w:rPr>
              <w:t>−$1,241,022</w:t>
            </w:r>
          </w:p>
        </w:tc>
        <w:tc>
          <w:tcPr>
            <w:tcW w:w="771" w:type="pct"/>
            <w:noWrap/>
            <w:hideMark/>
          </w:tcPr>
          <w:p w14:paraId="266D7338" w14:textId="77777777" w:rsidR="006A30D9" w:rsidRPr="00786955" w:rsidRDefault="006A30D9" w:rsidP="00786955">
            <w:pPr>
              <w:pStyle w:val="Tabletext1"/>
              <w:cnfStyle w:val="000000100000" w:firstRow="0" w:lastRow="0" w:firstColumn="0" w:lastColumn="0" w:oddVBand="0" w:evenVBand="0" w:oddHBand="1" w:evenHBand="0" w:firstRowFirstColumn="0" w:firstRowLastColumn="0" w:lastRowFirstColumn="0" w:lastRowLastColumn="0"/>
              <w:rPr>
                <w:b/>
              </w:rPr>
            </w:pPr>
            <w:r w:rsidRPr="00786955">
              <w:rPr>
                <w:b/>
              </w:rPr>
              <w:t>−$1,252,022</w:t>
            </w:r>
          </w:p>
        </w:tc>
        <w:tc>
          <w:tcPr>
            <w:tcW w:w="771" w:type="pct"/>
            <w:noWrap/>
            <w:hideMark/>
          </w:tcPr>
          <w:p w14:paraId="4FE9FCCA" w14:textId="77777777" w:rsidR="006A30D9" w:rsidRPr="00786955" w:rsidRDefault="006A30D9" w:rsidP="00786955">
            <w:pPr>
              <w:pStyle w:val="Tabletext1"/>
              <w:cnfStyle w:val="000000100000" w:firstRow="0" w:lastRow="0" w:firstColumn="0" w:lastColumn="0" w:oddVBand="0" w:evenVBand="0" w:oddHBand="1" w:evenHBand="0" w:firstRowFirstColumn="0" w:firstRowLastColumn="0" w:lastRowFirstColumn="0" w:lastRowLastColumn="0"/>
              <w:rPr>
                <w:b/>
              </w:rPr>
            </w:pPr>
            <w:r w:rsidRPr="00786955">
              <w:rPr>
                <w:b/>
              </w:rPr>
              <w:t>−$1,263,021</w:t>
            </w:r>
          </w:p>
        </w:tc>
        <w:tc>
          <w:tcPr>
            <w:tcW w:w="768" w:type="pct"/>
            <w:noWrap/>
            <w:hideMark/>
          </w:tcPr>
          <w:p w14:paraId="5E93BC3B" w14:textId="77777777" w:rsidR="006A30D9" w:rsidRPr="00786955" w:rsidRDefault="006A30D9" w:rsidP="00786955">
            <w:pPr>
              <w:pStyle w:val="Tabletext1"/>
              <w:cnfStyle w:val="000000100000" w:firstRow="0" w:lastRow="0" w:firstColumn="0" w:lastColumn="0" w:oddVBand="0" w:evenVBand="0" w:oddHBand="1" w:evenHBand="0" w:firstRowFirstColumn="0" w:firstRowLastColumn="0" w:lastRowFirstColumn="0" w:lastRowLastColumn="0"/>
              <w:rPr>
                <w:b/>
              </w:rPr>
            </w:pPr>
            <w:r w:rsidRPr="00786955">
              <w:rPr>
                <w:b/>
              </w:rPr>
              <w:t>−$1,274,021</w:t>
            </w:r>
          </w:p>
        </w:tc>
        <w:tc>
          <w:tcPr>
            <w:tcW w:w="767" w:type="pct"/>
            <w:noWrap/>
            <w:hideMark/>
          </w:tcPr>
          <w:p w14:paraId="64A8FE05" w14:textId="77777777" w:rsidR="006A30D9" w:rsidRPr="00786955" w:rsidRDefault="006A30D9" w:rsidP="00786955">
            <w:pPr>
              <w:pStyle w:val="Tabletext1"/>
              <w:cnfStyle w:val="000000100000" w:firstRow="0" w:lastRow="0" w:firstColumn="0" w:lastColumn="0" w:oddVBand="0" w:evenVBand="0" w:oddHBand="1" w:evenHBand="0" w:firstRowFirstColumn="0" w:firstRowLastColumn="0" w:lastRowFirstColumn="0" w:lastRowLastColumn="0"/>
              <w:rPr>
                <w:b/>
              </w:rPr>
            </w:pPr>
            <w:r w:rsidRPr="00786955">
              <w:rPr>
                <w:b/>
              </w:rPr>
              <w:t>−$1,285,021</w:t>
            </w:r>
          </w:p>
        </w:tc>
      </w:tr>
    </w:tbl>
    <w:p w14:paraId="457A39BE" w14:textId="1693F5F3" w:rsidR="006A30D9" w:rsidRDefault="006A30D9" w:rsidP="00897C5B">
      <w:pPr>
        <w:pStyle w:val="Caption"/>
      </w:pPr>
      <w:r w:rsidRPr="00A648B6">
        <w:t>Table</w:t>
      </w:r>
      <w:r w:rsidR="00A648B6">
        <w:t>E-4</w:t>
      </w:r>
      <w:r>
        <w:t xml:space="preserve">: </w:t>
      </w:r>
      <w:r w:rsidRPr="00183E4D">
        <w:t xml:space="preserve">Total costs to </w:t>
      </w:r>
      <w:r>
        <w:t>Commonwealth health budgets</w:t>
      </w:r>
      <w:r w:rsidRPr="00183E4D">
        <w:t xml:space="preserve"> associated with </w:t>
      </w:r>
      <w:r>
        <w:t>pharmacist intervention</w:t>
      </w:r>
    </w:p>
    <w:p w14:paraId="4AC7C1E0" w14:textId="4CFC841F" w:rsidR="005D0B1E" w:rsidRDefault="00B5410C" w:rsidP="0084765B">
      <w:pPr>
        <w:pStyle w:val="Heading2-SectionE"/>
      </w:pPr>
      <w:bookmarkStart w:id="284" w:name="_Toc117758285"/>
      <w:r w:rsidRPr="00F42B1D">
        <w:t>Identification, Estimation and Reduction of Uncertainty</w:t>
      </w:r>
      <w:bookmarkEnd w:id="284"/>
    </w:p>
    <w:p w14:paraId="1B59A798" w14:textId="0D1FA511" w:rsidR="006A30D9" w:rsidRDefault="006A30D9" w:rsidP="007501B9">
      <w:r w:rsidRPr="0028283F">
        <w:t xml:space="preserve">The uncertainty associated with various parameters is assessed in the sensitivity analyses presented </w:t>
      </w:r>
      <w:r w:rsidRPr="00D66295">
        <w:t>(</w:t>
      </w:r>
      <w:r w:rsidR="00A648B6" w:rsidRPr="00D66295">
        <w:t>Table E-5)</w:t>
      </w:r>
      <w:r w:rsidRPr="00D66295">
        <w:t>.</w:t>
      </w:r>
    </w:p>
    <w:tbl>
      <w:tblPr>
        <w:tblStyle w:val="ListTable3"/>
        <w:tblW w:w="5000" w:type="pct"/>
        <w:tblLayout w:type="fixed"/>
        <w:tblLook w:val="04A0" w:firstRow="1" w:lastRow="0" w:firstColumn="1" w:lastColumn="0" w:noHBand="0" w:noVBand="1"/>
        <w:tblCaption w:val="Sensitivity analyses around the financial implications to the MBS and Commonwealth health budgets"/>
        <w:tblDescription w:val="Sensitivity analyses around the financial implications to the MBS and Commonwealth health budgets"/>
      </w:tblPr>
      <w:tblGrid>
        <w:gridCol w:w="1288"/>
        <w:gridCol w:w="1407"/>
        <w:gridCol w:w="1178"/>
        <w:gridCol w:w="1287"/>
        <w:gridCol w:w="1287"/>
        <w:gridCol w:w="1287"/>
        <w:gridCol w:w="1282"/>
      </w:tblGrid>
      <w:tr w:rsidR="00D66295" w:rsidRPr="00B630EF" w14:paraId="49674C89" w14:textId="77777777" w:rsidTr="00B630E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714" w:type="pct"/>
          </w:tcPr>
          <w:p w14:paraId="4AE5905B" w14:textId="77777777" w:rsidR="00D66295" w:rsidRPr="00B630EF" w:rsidRDefault="00D66295" w:rsidP="007501B9">
            <w:pPr>
              <w:rPr>
                <w:rFonts w:ascii="Arial Narrow" w:hAnsi="Arial Narrow"/>
                <w:sz w:val="20"/>
                <w:szCs w:val="20"/>
              </w:rPr>
            </w:pPr>
            <w:bookmarkStart w:id="285" w:name="Title_39" w:colFirst="0" w:colLast="0"/>
            <w:r w:rsidRPr="00B630EF">
              <w:rPr>
                <w:rFonts w:ascii="Arial Narrow" w:hAnsi="Arial Narrow"/>
                <w:sz w:val="20"/>
                <w:szCs w:val="20"/>
              </w:rPr>
              <w:t>Scenario</w:t>
            </w:r>
            <w:bookmarkStart w:id="286" w:name="Title_40"/>
            <w:bookmarkEnd w:id="286"/>
          </w:p>
        </w:tc>
        <w:tc>
          <w:tcPr>
            <w:tcW w:w="780" w:type="pct"/>
            <w:noWrap/>
            <w:hideMark/>
          </w:tcPr>
          <w:p w14:paraId="63DFDD4E" w14:textId="77777777" w:rsidR="00D66295" w:rsidRPr="00B630EF" w:rsidRDefault="00D66295" w:rsidP="007501B9">
            <w:pP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B630EF">
              <w:rPr>
                <w:rFonts w:ascii="Arial Narrow" w:hAnsi="Arial Narrow"/>
                <w:sz w:val="20"/>
                <w:szCs w:val="20"/>
              </w:rPr>
              <w:t>Costing</w:t>
            </w:r>
          </w:p>
        </w:tc>
        <w:tc>
          <w:tcPr>
            <w:tcW w:w="653" w:type="pct"/>
            <w:noWrap/>
            <w:hideMark/>
          </w:tcPr>
          <w:p w14:paraId="1E39E8E8" w14:textId="77777777" w:rsidR="00D66295" w:rsidRPr="00B630EF" w:rsidRDefault="00D66295" w:rsidP="007501B9">
            <w:pP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B630EF">
              <w:rPr>
                <w:rFonts w:ascii="Arial Narrow" w:hAnsi="Arial Narrow"/>
                <w:sz w:val="20"/>
                <w:szCs w:val="20"/>
              </w:rPr>
              <w:t>2021-22</w:t>
            </w:r>
          </w:p>
        </w:tc>
        <w:tc>
          <w:tcPr>
            <w:tcW w:w="714" w:type="pct"/>
            <w:noWrap/>
            <w:hideMark/>
          </w:tcPr>
          <w:p w14:paraId="2EA8D184" w14:textId="77777777" w:rsidR="00D66295" w:rsidRPr="00B630EF" w:rsidRDefault="00D66295" w:rsidP="007501B9">
            <w:pP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B630EF">
              <w:rPr>
                <w:rFonts w:ascii="Arial Narrow" w:hAnsi="Arial Narrow"/>
                <w:sz w:val="20"/>
                <w:szCs w:val="20"/>
              </w:rPr>
              <w:t>2022-23</w:t>
            </w:r>
          </w:p>
        </w:tc>
        <w:tc>
          <w:tcPr>
            <w:tcW w:w="714" w:type="pct"/>
            <w:noWrap/>
            <w:hideMark/>
          </w:tcPr>
          <w:p w14:paraId="1D7A8880" w14:textId="77777777" w:rsidR="00D66295" w:rsidRPr="00B630EF" w:rsidRDefault="00D66295" w:rsidP="007501B9">
            <w:pP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B630EF">
              <w:rPr>
                <w:rFonts w:ascii="Arial Narrow" w:hAnsi="Arial Narrow"/>
                <w:sz w:val="20"/>
                <w:szCs w:val="20"/>
              </w:rPr>
              <w:t>2023-24</w:t>
            </w:r>
          </w:p>
        </w:tc>
        <w:tc>
          <w:tcPr>
            <w:tcW w:w="714" w:type="pct"/>
            <w:noWrap/>
            <w:hideMark/>
          </w:tcPr>
          <w:p w14:paraId="00D35E49" w14:textId="77777777" w:rsidR="00D66295" w:rsidRPr="00B630EF" w:rsidRDefault="00D66295" w:rsidP="007501B9">
            <w:pP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B630EF">
              <w:rPr>
                <w:rFonts w:ascii="Arial Narrow" w:hAnsi="Arial Narrow"/>
                <w:sz w:val="20"/>
                <w:szCs w:val="20"/>
              </w:rPr>
              <w:t>2024-25</w:t>
            </w:r>
          </w:p>
        </w:tc>
        <w:tc>
          <w:tcPr>
            <w:tcW w:w="711" w:type="pct"/>
            <w:noWrap/>
            <w:hideMark/>
          </w:tcPr>
          <w:p w14:paraId="47D4CA72" w14:textId="77777777" w:rsidR="00D66295" w:rsidRPr="00B630EF" w:rsidRDefault="00D66295" w:rsidP="007501B9">
            <w:pP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B630EF">
              <w:rPr>
                <w:rFonts w:ascii="Arial Narrow" w:hAnsi="Arial Narrow"/>
                <w:sz w:val="20"/>
                <w:szCs w:val="20"/>
              </w:rPr>
              <w:t>2025-26</w:t>
            </w:r>
          </w:p>
        </w:tc>
      </w:tr>
      <w:bookmarkEnd w:id="285"/>
      <w:tr w:rsidR="00824394" w:rsidRPr="00B630EF" w14:paraId="3532B086" w14:textId="77777777" w:rsidTr="00B630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vMerge w:val="restart"/>
          </w:tcPr>
          <w:p w14:paraId="1AEFEFE6" w14:textId="77777777" w:rsidR="00824394" w:rsidRPr="00B630EF" w:rsidRDefault="00824394" w:rsidP="00824394">
            <w:pPr>
              <w:pStyle w:val="Tabletext1"/>
              <w:rPr>
                <w:rFonts w:ascii="Arial Narrow" w:hAnsi="Arial Narrow"/>
                <w:color w:val="000000"/>
                <w:szCs w:val="20"/>
              </w:rPr>
            </w:pPr>
            <w:r w:rsidRPr="00B630EF">
              <w:rPr>
                <w:rFonts w:ascii="Arial Narrow" w:hAnsi="Arial Narrow"/>
                <w:szCs w:val="20"/>
              </w:rPr>
              <w:t>Base case</w:t>
            </w:r>
          </w:p>
        </w:tc>
        <w:tc>
          <w:tcPr>
            <w:tcW w:w="780" w:type="pct"/>
            <w:noWrap/>
            <w:hideMark/>
          </w:tcPr>
          <w:p w14:paraId="01D31304" w14:textId="77777777" w:rsidR="00824394" w:rsidRPr="00B630EF" w:rsidRDefault="00824394" w:rsidP="00824394">
            <w:pPr>
              <w:pStyle w:val="Tabletext1"/>
              <w:cnfStyle w:val="000000100000" w:firstRow="0" w:lastRow="0" w:firstColumn="0" w:lastColumn="0" w:oddVBand="0" w:evenVBand="0" w:oddHBand="1" w:evenHBand="0" w:firstRowFirstColumn="0" w:firstRowLastColumn="0" w:lastRowFirstColumn="0" w:lastRowLastColumn="0"/>
              <w:rPr>
                <w:rFonts w:ascii="Arial Narrow" w:hAnsi="Arial Narrow"/>
                <w:b/>
                <w:bCs/>
                <w:szCs w:val="20"/>
              </w:rPr>
            </w:pPr>
            <w:r w:rsidRPr="00B630EF">
              <w:rPr>
                <w:rFonts w:ascii="Arial Narrow" w:hAnsi="Arial Narrow"/>
                <w:b/>
                <w:bCs/>
                <w:szCs w:val="20"/>
              </w:rPr>
              <w:t>Net cost of pharmacist intervention program</w:t>
            </w:r>
          </w:p>
        </w:tc>
        <w:tc>
          <w:tcPr>
            <w:tcW w:w="653" w:type="pct"/>
            <w:noWrap/>
            <w:hideMark/>
          </w:tcPr>
          <w:p w14:paraId="198D265F" w14:textId="77777777" w:rsidR="00824394" w:rsidRPr="00B630EF" w:rsidRDefault="00824394" w:rsidP="00824394">
            <w:pPr>
              <w:pStyle w:val="Tabletext1"/>
              <w:cnfStyle w:val="000000100000" w:firstRow="0" w:lastRow="0" w:firstColumn="0" w:lastColumn="0" w:oddVBand="0" w:evenVBand="0" w:oddHBand="1" w:evenHBand="0" w:firstRowFirstColumn="0" w:firstRowLastColumn="0" w:lastRowFirstColumn="0" w:lastRowLastColumn="0"/>
              <w:rPr>
                <w:rFonts w:ascii="Arial Narrow" w:hAnsi="Arial Narrow"/>
                <w:b/>
                <w:bCs/>
                <w:szCs w:val="20"/>
              </w:rPr>
            </w:pPr>
            <w:r w:rsidRPr="00B630EF">
              <w:rPr>
                <w:rFonts w:ascii="Arial Narrow" w:hAnsi="Arial Narrow"/>
                <w:b/>
                <w:bCs/>
                <w:szCs w:val="20"/>
              </w:rPr>
              <w:t>$5,164,254</w:t>
            </w:r>
          </w:p>
        </w:tc>
        <w:tc>
          <w:tcPr>
            <w:tcW w:w="714" w:type="pct"/>
            <w:noWrap/>
            <w:hideMark/>
          </w:tcPr>
          <w:p w14:paraId="5705BA8B" w14:textId="77777777" w:rsidR="00824394" w:rsidRPr="00B630EF" w:rsidRDefault="00824394" w:rsidP="00824394">
            <w:pPr>
              <w:pStyle w:val="Tabletext1"/>
              <w:cnfStyle w:val="000000100000" w:firstRow="0" w:lastRow="0" w:firstColumn="0" w:lastColumn="0" w:oddVBand="0" w:evenVBand="0" w:oddHBand="1" w:evenHBand="0" w:firstRowFirstColumn="0" w:firstRowLastColumn="0" w:lastRowFirstColumn="0" w:lastRowLastColumn="0"/>
              <w:rPr>
                <w:rFonts w:ascii="Arial Narrow" w:hAnsi="Arial Narrow"/>
                <w:b/>
                <w:bCs/>
                <w:szCs w:val="20"/>
              </w:rPr>
            </w:pPr>
            <w:r w:rsidRPr="00B630EF">
              <w:rPr>
                <w:rFonts w:ascii="Arial Narrow" w:hAnsi="Arial Narrow"/>
                <w:b/>
                <w:bCs/>
                <w:szCs w:val="20"/>
              </w:rPr>
              <w:t>$5,210,026</w:t>
            </w:r>
          </w:p>
        </w:tc>
        <w:tc>
          <w:tcPr>
            <w:tcW w:w="714" w:type="pct"/>
            <w:noWrap/>
            <w:hideMark/>
          </w:tcPr>
          <w:p w14:paraId="11D2418A" w14:textId="77777777" w:rsidR="00824394" w:rsidRPr="00B630EF" w:rsidRDefault="00824394" w:rsidP="00824394">
            <w:pPr>
              <w:pStyle w:val="Tabletext1"/>
              <w:cnfStyle w:val="000000100000" w:firstRow="0" w:lastRow="0" w:firstColumn="0" w:lastColumn="0" w:oddVBand="0" w:evenVBand="0" w:oddHBand="1" w:evenHBand="0" w:firstRowFirstColumn="0" w:firstRowLastColumn="0" w:lastRowFirstColumn="0" w:lastRowLastColumn="0"/>
              <w:rPr>
                <w:rFonts w:ascii="Arial Narrow" w:hAnsi="Arial Narrow"/>
                <w:b/>
                <w:bCs/>
                <w:szCs w:val="20"/>
              </w:rPr>
            </w:pPr>
            <w:r w:rsidRPr="00B630EF">
              <w:rPr>
                <w:rFonts w:ascii="Arial Narrow" w:hAnsi="Arial Narrow"/>
                <w:b/>
                <w:bCs/>
                <w:szCs w:val="20"/>
              </w:rPr>
              <w:t>$5,255,799</w:t>
            </w:r>
          </w:p>
        </w:tc>
        <w:tc>
          <w:tcPr>
            <w:tcW w:w="714" w:type="pct"/>
            <w:noWrap/>
            <w:hideMark/>
          </w:tcPr>
          <w:p w14:paraId="4A28F2D8" w14:textId="77777777" w:rsidR="00824394" w:rsidRPr="00B630EF" w:rsidRDefault="00824394" w:rsidP="00824394">
            <w:pPr>
              <w:pStyle w:val="Tabletext1"/>
              <w:cnfStyle w:val="000000100000" w:firstRow="0" w:lastRow="0" w:firstColumn="0" w:lastColumn="0" w:oddVBand="0" w:evenVBand="0" w:oddHBand="1" w:evenHBand="0" w:firstRowFirstColumn="0" w:firstRowLastColumn="0" w:lastRowFirstColumn="0" w:lastRowLastColumn="0"/>
              <w:rPr>
                <w:rFonts w:ascii="Arial Narrow" w:hAnsi="Arial Narrow"/>
                <w:b/>
                <w:bCs/>
                <w:szCs w:val="20"/>
              </w:rPr>
            </w:pPr>
            <w:r w:rsidRPr="00B630EF">
              <w:rPr>
                <w:rFonts w:ascii="Arial Narrow" w:hAnsi="Arial Narrow"/>
                <w:b/>
                <w:bCs/>
                <w:szCs w:val="20"/>
              </w:rPr>
              <w:t>$5,301,571</w:t>
            </w:r>
          </w:p>
        </w:tc>
        <w:tc>
          <w:tcPr>
            <w:tcW w:w="711" w:type="pct"/>
            <w:noWrap/>
            <w:hideMark/>
          </w:tcPr>
          <w:p w14:paraId="1FF92CA6" w14:textId="77777777" w:rsidR="00824394" w:rsidRPr="00B630EF" w:rsidRDefault="00824394" w:rsidP="00824394">
            <w:pPr>
              <w:pStyle w:val="Tabletext1"/>
              <w:cnfStyle w:val="000000100000" w:firstRow="0" w:lastRow="0" w:firstColumn="0" w:lastColumn="0" w:oddVBand="0" w:evenVBand="0" w:oddHBand="1" w:evenHBand="0" w:firstRowFirstColumn="0" w:firstRowLastColumn="0" w:lastRowFirstColumn="0" w:lastRowLastColumn="0"/>
              <w:rPr>
                <w:rFonts w:ascii="Arial Narrow" w:hAnsi="Arial Narrow"/>
                <w:b/>
                <w:bCs/>
                <w:szCs w:val="20"/>
              </w:rPr>
            </w:pPr>
            <w:r w:rsidRPr="00B630EF">
              <w:rPr>
                <w:rFonts w:ascii="Arial Narrow" w:hAnsi="Arial Narrow"/>
                <w:b/>
                <w:bCs/>
                <w:szCs w:val="20"/>
              </w:rPr>
              <w:t>$5,347,343</w:t>
            </w:r>
          </w:p>
        </w:tc>
      </w:tr>
      <w:tr w:rsidR="00824394" w:rsidRPr="00B630EF" w14:paraId="6810BCAB" w14:textId="77777777" w:rsidTr="00B630EF">
        <w:trPr>
          <w:trHeight w:val="300"/>
        </w:trPr>
        <w:tc>
          <w:tcPr>
            <w:cnfStyle w:val="001000000000" w:firstRow="0" w:lastRow="0" w:firstColumn="1" w:lastColumn="0" w:oddVBand="0" w:evenVBand="0" w:oddHBand="0" w:evenHBand="0" w:firstRowFirstColumn="0" w:firstRowLastColumn="0" w:lastRowFirstColumn="0" w:lastRowLastColumn="0"/>
            <w:tcW w:w="714" w:type="pct"/>
            <w:vMerge/>
          </w:tcPr>
          <w:p w14:paraId="74AAE4CF" w14:textId="2A9B9FDE" w:rsidR="00824394" w:rsidRPr="00B630EF" w:rsidRDefault="00824394" w:rsidP="00824394">
            <w:pPr>
              <w:pStyle w:val="Tabletext1"/>
              <w:rPr>
                <w:rFonts w:ascii="Arial Narrow" w:hAnsi="Arial Narrow" w:cs="Calibri"/>
                <w:b w:val="0"/>
                <w:bCs w:val="0"/>
                <w:color w:val="000000"/>
                <w:szCs w:val="20"/>
              </w:rPr>
            </w:pPr>
          </w:p>
        </w:tc>
        <w:tc>
          <w:tcPr>
            <w:tcW w:w="780" w:type="pct"/>
            <w:noWrap/>
            <w:hideMark/>
          </w:tcPr>
          <w:p w14:paraId="5B18DB20" w14:textId="77777777" w:rsidR="00824394" w:rsidRPr="00B630EF" w:rsidRDefault="00824394" w:rsidP="00824394">
            <w:pPr>
              <w:pStyle w:val="Tabletext1"/>
              <w:cnfStyle w:val="000000000000" w:firstRow="0" w:lastRow="0" w:firstColumn="0" w:lastColumn="0" w:oddVBand="0" w:evenVBand="0" w:oddHBand="0" w:evenHBand="0" w:firstRowFirstColumn="0" w:firstRowLastColumn="0" w:lastRowFirstColumn="0" w:lastRowLastColumn="0"/>
              <w:rPr>
                <w:rFonts w:ascii="Arial Narrow" w:hAnsi="Arial Narrow"/>
                <w:b/>
                <w:bCs/>
                <w:szCs w:val="20"/>
              </w:rPr>
            </w:pPr>
            <w:r w:rsidRPr="00B630EF">
              <w:rPr>
                <w:rFonts w:ascii="Arial Narrow" w:hAnsi="Arial Narrow"/>
                <w:b/>
                <w:bCs/>
                <w:szCs w:val="20"/>
              </w:rPr>
              <w:t>Net cost to Commonwealth health budgets</w:t>
            </w:r>
          </w:p>
        </w:tc>
        <w:tc>
          <w:tcPr>
            <w:tcW w:w="653" w:type="pct"/>
            <w:noWrap/>
            <w:hideMark/>
          </w:tcPr>
          <w:p w14:paraId="639B3343" w14:textId="77777777" w:rsidR="00824394" w:rsidRPr="00B630EF" w:rsidRDefault="00824394" w:rsidP="00824394">
            <w:pPr>
              <w:pStyle w:val="Tabletext1"/>
              <w:cnfStyle w:val="000000000000" w:firstRow="0" w:lastRow="0" w:firstColumn="0" w:lastColumn="0" w:oddVBand="0" w:evenVBand="0" w:oddHBand="0" w:evenHBand="0" w:firstRowFirstColumn="0" w:firstRowLastColumn="0" w:lastRowFirstColumn="0" w:lastRowLastColumn="0"/>
              <w:rPr>
                <w:rFonts w:ascii="Arial Narrow" w:hAnsi="Arial Narrow"/>
                <w:b/>
                <w:bCs/>
                <w:szCs w:val="20"/>
              </w:rPr>
            </w:pPr>
            <w:r w:rsidRPr="00B630EF">
              <w:rPr>
                <w:rFonts w:ascii="Arial Narrow" w:hAnsi="Arial Narrow"/>
                <w:b/>
                <w:bCs/>
                <w:szCs w:val="20"/>
              </w:rPr>
              <w:t>−$1,241,022</w:t>
            </w:r>
          </w:p>
        </w:tc>
        <w:tc>
          <w:tcPr>
            <w:tcW w:w="714" w:type="pct"/>
            <w:noWrap/>
            <w:hideMark/>
          </w:tcPr>
          <w:p w14:paraId="540A8CF8" w14:textId="77777777" w:rsidR="00824394" w:rsidRPr="00B630EF" w:rsidRDefault="00824394" w:rsidP="00824394">
            <w:pPr>
              <w:pStyle w:val="Tabletext1"/>
              <w:cnfStyle w:val="000000000000" w:firstRow="0" w:lastRow="0" w:firstColumn="0" w:lastColumn="0" w:oddVBand="0" w:evenVBand="0" w:oddHBand="0" w:evenHBand="0" w:firstRowFirstColumn="0" w:firstRowLastColumn="0" w:lastRowFirstColumn="0" w:lastRowLastColumn="0"/>
              <w:rPr>
                <w:rFonts w:ascii="Arial Narrow" w:hAnsi="Arial Narrow"/>
                <w:b/>
                <w:bCs/>
                <w:szCs w:val="20"/>
              </w:rPr>
            </w:pPr>
            <w:r w:rsidRPr="00B630EF">
              <w:rPr>
                <w:rFonts w:ascii="Arial Narrow" w:hAnsi="Arial Narrow"/>
                <w:b/>
                <w:bCs/>
                <w:szCs w:val="20"/>
              </w:rPr>
              <w:t>−$1,252,022</w:t>
            </w:r>
          </w:p>
        </w:tc>
        <w:tc>
          <w:tcPr>
            <w:tcW w:w="714" w:type="pct"/>
            <w:noWrap/>
            <w:hideMark/>
          </w:tcPr>
          <w:p w14:paraId="33CEFB0F" w14:textId="77777777" w:rsidR="00824394" w:rsidRPr="00B630EF" w:rsidRDefault="00824394" w:rsidP="00824394">
            <w:pPr>
              <w:pStyle w:val="Tabletext1"/>
              <w:cnfStyle w:val="000000000000" w:firstRow="0" w:lastRow="0" w:firstColumn="0" w:lastColumn="0" w:oddVBand="0" w:evenVBand="0" w:oddHBand="0" w:evenHBand="0" w:firstRowFirstColumn="0" w:firstRowLastColumn="0" w:lastRowFirstColumn="0" w:lastRowLastColumn="0"/>
              <w:rPr>
                <w:rFonts w:ascii="Arial Narrow" w:hAnsi="Arial Narrow"/>
                <w:b/>
                <w:bCs/>
                <w:szCs w:val="20"/>
              </w:rPr>
            </w:pPr>
            <w:r w:rsidRPr="00B630EF">
              <w:rPr>
                <w:rFonts w:ascii="Arial Narrow" w:hAnsi="Arial Narrow"/>
                <w:b/>
                <w:bCs/>
                <w:szCs w:val="20"/>
              </w:rPr>
              <w:t>−$1,263,021</w:t>
            </w:r>
          </w:p>
        </w:tc>
        <w:tc>
          <w:tcPr>
            <w:tcW w:w="714" w:type="pct"/>
            <w:noWrap/>
            <w:hideMark/>
          </w:tcPr>
          <w:p w14:paraId="268236AF" w14:textId="77777777" w:rsidR="00824394" w:rsidRPr="00B630EF" w:rsidRDefault="00824394" w:rsidP="00824394">
            <w:pPr>
              <w:pStyle w:val="Tabletext1"/>
              <w:cnfStyle w:val="000000000000" w:firstRow="0" w:lastRow="0" w:firstColumn="0" w:lastColumn="0" w:oddVBand="0" w:evenVBand="0" w:oddHBand="0" w:evenHBand="0" w:firstRowFirstColumn="0" w:firstRowLastColumn="0" w:lastRowFirstColumn="0" w:lastRowLastColumn="0"/>
              <w:rPr>
                <w:rFonts w:ascii="Arial Narrow" w:hAnsi="Arial Narrow"/>
                <w:b/>
                <w:bCs/>
                <w:szCs w:val="20"/>
              </w:rPr>
            </w:pPr>
            <w:r w:rsidRPr="00B630EF">
              <w:rPr>
                <w:rFonts w:ascii="Arial Narrow" w:hAnsi="Arial Narrow"/>
                <w:b/>
                <w:bCs/>
                <w:szCs w:val="20"/>
              </w:rPr>
              <w:t>−$1,274,021</w:t>
            </w:r>
          </w:p>
        </w:tc>
        <w:tc>
          <w:tcPr>
            <w:tcW w:w="711" w:type="pct"/>
            <w:noWrap/>
            <w:hideMark/>
          </w:tcPr>
          <w:p w14:paraId="6C788EF2" w14:textId="77777777" w:rsidR="00824394" w:rsidRPr="00B630EF" w:rsidRDefault="00824394" w:rsidP="00824394">
            <w:pPr>
              <w:pStyle w:val="Tabletext1"/>
              <w:cnfStyle w:val="000000000000" w:firstRow="0" w:lastRow="0" w:firstColumn="0" w:lastColumn="0" w:oddVBand="0" w:evenVBand="0" w:oddHBand="0" w:evenHBand="0" w:firstRowFirstColumn="0" w:firstRowLastColumn="0" w:lastRowFirstColumn="0" w:lastRowLastColumn="0"/>
              <w:rPr>
                <w:rFonts w:ascii="Arial Narrow" w:hAnsi="Arial Narrow"/>
                <w:b/>
                <w:bCs/>
                <w:szCs w:val="20"/>
              </w:rPr>
            </w:pPr>
            <w:r w:rsidRPr="00B630EF">
              <w:rPr>
                <w:rFonts w:ascii="Arial Narrow" w:hAnsi="Arial Narrow"/>
                <w:b/>
                <w:bCs/>
                <w:szCs w:val="20"/>
              </w:rPr>
              <w:t>−$1,285,021</w:t>
            </w:r>
          </w:p>
        </w:tc>
      </w:tr>
      <w:tr w:rsidR="00B630EF" w:rsidRPr="00B630EF" w14:paraId="3E9DD497" w14:textId="77777777" w:rsidTr="00B630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vMerge w:val="restart"/>
          </w:tcPr>
          <w:p w14:paraId="6522D58B" w14:textId="65C189F1" w:rsidR="00B630EF" w:rsidRPr="00B630EF" w:rsidRDefault="00B630EF" w:rsidP="00824394">
            <w:pPr>
              <w:pStyle w:val="Tabletext1"/>
              <w:rPr>
                <w:rFonts w:ascii="Arial Narrow" w:hAnsi="Arial Narrow"/>
                <w:color w:val="000000"/>
                <w:szCs w:val="20"/>
              </w:rPr>
            </w:pPr>
            <w:r w:rsidRPr="00B630EF">
              <w:rPr>
                <w:rFonts w:ascii="Arial Narrow" w:hAnsi="Arial Narrow"/>
                <w:szCs w:val="20"/>
              </w:rPr>
              <w:t xml:space="preserve">Proportion eligible </w:t>
            </w:r>
            <w:proofErr w:type="gramStart"/>
            <w:r w:rsidRPr="00B630EF">
              <w:rPr>
                <w:rFonts w:ascii="Arial Narrow" w:hAnsi="Arial Narrow"/>
                <w:szCs w:val="20"/>
              </w:rPr>
              <w:t>on the basis of</w:t>
            </w:r>
            <w:proofErr w:type="gramEnd"/>
            <w:r w:rsidRPr="00B630EF">
              <w:rPr>
                <w:rFonts w:ascii="Arial Narrow" w:hAnsi="Arial Narrow"/>
                <w:szCs w:val="20"/>
              </w:rPr>
              <w:t xml:space="preserve"> medications, frailty and cognition, 5% (base case: 7.7%)</w:t>
            </w:r>
          </w:p>
        </w:tc>
        <w:tc>
          <w:tcPr>
            <w:tcW w:w="780" w:type="pct"/>
            <w:noWrap/>
            <w:hideMark/>
          </w:tcPr>
          <w:p w14:paraId="04672525" w14:textId="77777777" w:rsidR="00B630EF" w:rsidRPr="00B630EF" w:rsidRDefault="00B630EF" w:rsidP="00824394">
            <w:pPr>
              <w:pStyle w:val="Tabletext1"/>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B630EF">
              <w:rPr>
                <w:rFonts w:ascii="Arial Narrow" w:hAnsi="Arial Narrow"/>
                <w:szCs w:val="20"/>
              </w:rPr>
              <w:t>Net cost of pharmacist intervention</w:t>
            </w:r>
          </w:p>
        </w:tc>
        <w:tc>
          <w:tcPr>
            <w:tcW w:w="653" w:type="pct"/>
            <w:noWrap/>
            <w:hideMark/>
          </w:tcPr>
          <w:p w14:paraId="0408A249" w14:textId="77777777" w:rsidR="00B630EF" w:rsidRPr="00B630EF" w:rsidRDefault="00B630EF" w:rsidP="00824394">
            <w:pPr>
              <w:pStyle w:val="Tabletext1"/>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B630EF">
              <w:rPr>
                <w:rFonts w:ascii="Arial Narrow" w:hAnsi="Arial Narrow"/>
                <w:szCs w:val="20"/>
              </w:rPr>
              <w:t>$3,338,443</w:t>
            </w:r>
          </w:p>
        </w:tc>
        <w:tc>
          <w:tcPr>
            <w:tcW w:w="714" w:type="pct"/>
            <w:noWrap/>
            <w:hideMark/>
          </w:tcPr>
          <w:p w14:paraId="5A467394" w14:textId="77777777" w:rsidR="00B630EF" w:rsidRPr="00B630EF" w:rsidRDefault="00B630EF" w:rsidP="00824394">
            <w:pPr>
              <w:pStyle w:val="Tabletext1"/>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B630EF">
              <w:rPr>
                <w:rFonts w:ascii="Arial Narrow" w:hAnsi="Arial Narrow"/>
                <w:szCs w:val="20"/>
              </w:rPr>
              <w:t>$3,368,155</w:t>
            </w:r>
          </w:p>
        </w:tc>
        <w:tc>
          <w:tcPr>
            <w:tcW w:w="714" w:type="pct"/>
            <w:noWrap/>
            <w:hideMark/>
          </w:tcPr>
          <w:p w14:paraId="5BCCE349" w14:textId="77777777" w:rsidR="00B630EF" w:rsidRPr="00B630EF" w:rsidRDefault="00B630EF" w:rsidP="00824394">
            <w:pPr>
              <w:pStyle w:val="Tabletext1"/>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B630EF">
              <w:rPr>
                <w:rFonts w:ascii="Arial Narrow" w:hAnsi="Arial Narrow"/>
                <w:szCs w:val="20"/>
              </w:rPr>
              <w:t>$3,397,599</w:t>
            </w:r>
          </w:p>
        </w:tc>
        <w:tc>
          <w:tcPr>
            <w:tcW w:w="714" w:type="pct"/>
            <w:noWrap/>
            <w:hideMark/>
          </w:tcPr>
          <w:p w14:paraId="5E383E49" w14:textId="77777777" w:rsidR="00B630EF" w:rsidRPr="00B630EF" w:rsidRDefault="00B630EF" w:rsidP="00824394">
            <w:pPr>
              <w:pStyle w:val="Tabletext1"/>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B630EF">
              <w:rPr>
                <w:rFonts w:ascii="Arial Narrow" w:hAnsi="Arial Narrow"/>
                <w:szCs w:val="20"/>
              </w:rPr>
              <w:t>$3,427,311</w:t>
            </w:r>
          </w:p>
        </w:tc>
        <w:tc>
          <w:tcPr>
            <w:tcW w:w="711" w:type="pct"/>
            <w:noWrap/>
            <w:hideMark/>
          </w:tcPr>
          <w:p w14:paraId="2EBA5D66" w14:textId="77777777" w:rsidR="00B630EF" w:rsidRPr="00B630EF" w:rsidRDefault="00B630EF" w:rsidP="00824394">
            <w:pPr>
              <w:pStyle w:val="Tabletext1"/>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B630EF">
              <w:rPr>
                <w:rFonts w:ascii="Arial Narrow" w:hAnsi="Arial Narrow"/>
                <w:szCs w:val="20"/>
              </w:rPr>
              <w:t>$3,456,755</w:t>
            </w:r>
          </w:p>
        </w:tc>
      </w:tr>
      <w:tr w:rsidR="00B630EF" w:rsidRPr="00B630EF" w14:paraId="33272C52" w14:textId="77777777" w:rsidTr="00B630EF">
        <w:trPr>
          <w:trHeight w:val="300"/>
        </w:trPr>
        <w:tc>
          <w:tcPr>
            <w:cnfStyle w:val="001000000000" w:firstRow="0" w:lastRow="0" w:firstColumn="1" w:lastColumn="0" w:oddVBand="0" w:evenVBand="0" w:oddHBand="0" w:evenHBand="0" w:firstRowFirstColumn="0" w:firstRowLastColumn="0" w:lastRowFirstColumn="0" w:lastRowLastColumn="0"/>
            <w:tcW w:w="714" w:type="pct"/>
            <w:vMerge/>
          </w:tcPr>
          <w:p w14:paraId="47F18A15" w14:textId="3035A56A" w:rsidR="00B630EF" w:rsidRPr="00B630EF" w:rsidRDefault="00B630EF" w:rsidP="00824394">
            <w:pPr>
              <w:pStyle w:val="Tabletext1"/>
              <w:rPr>
                <w:rFonts w:ascii="Arial Narrow" w:hAnsi="Arial Narrow" w:cs="Calibri"/>
                <w:color w:val="000000"/>
                <w:szCs w:val="20"/>
              </w:rPr>
            </w:pPr>
          </w:p>
        </w:tc>
        <w:tc>
          <w:tcPr>
            <w:tcW w:w="780" w:type="pct"/>
            <w:noWrap/>
            <w:hideMark/>
          </w:tcPr>
          <w:p w14:paraId="184B30AE" w14:textId="77777777" w:rsidR="00B630EF" w:rsidRPr="00B630EF" w:rsidRDefault="00B630EF" w:rsidP="00824394">
            <w:pPr>
              <w:pStyle w:val="Tabletext1"/>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B630EF">
              <w:rPr>
                <w:rFonts w:ascii="Arial Narrow" w:hAnsi="Arial Narrow"/>
                <w:szCs w:val="20"/>
              </w:rPr>
              <w:t>Net cost to Commonwealth health budgets</w:t>
            </w:r>
          </w:p>
        </w:tc>
        <w:tc>
          <w:tcPr>
            <w:tcW w:w="653" w:type="pct"/>
            <w:noWrap/>
            <w:hideMark/>
          </w:tcPr>
          <w:p w14:paraId="17975004" w14:textId="77777777" w:rsidR="00B630EF" w:rsidRPr="00B630EF" w:rsidRDefault="00B630EF" w:rsidP="00824394">
            <w:pPr>
              <w:pStyle w:val="Tabletext1"/>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B630EF">
              <w:rPr>
                <w:rFonts w:ascii="Arial Narrow" w:hAnsi="Arial Narrow"/>
                <w:szCs w:val="20"/>
              </w:rPr>
              <w:t>−$802,261</w:t>
            </w:r>
          </w:p>
        </w:tc>
        <w:tc>
          <w:tcPr>
            <w:tcW w:w="714" w:type="pct"/>
            <w:noWrap/>
            <w:hideMark/>
          </w:tcPr>
          <w:p w14:paraId="22E563E6" w14:textId="77777777" w:rsidR="00B630EF" w:rsidRPr="00B630EF" w:rsidRDefault="00B630EF" w:rsidP="00824394">
            <w:pPr>
              <w:pStyle w:val="Tabletext1"/>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B630EF">
              <w:rPr>
                <w:rFonts w:ascii="Arial Narrow" w:hAnsi="Arial Narrow"/>
                <w:szCs w:val="20"/>
              </w:rPr>
              <w:t>−$809,401</w:t>
            </w:r>
          </w:p>
        </w:tc>
        <w:tc>
          <w:tcPr>
            <w:tcW w:w="714" w:type="pct"/>
            <w:noWrap/>
            <w:hideMark/>
          </w:tcPr>
          <w:p w14:paraId="55363C1B" w14:textId="77777777" w:rsidR="00B630EF" w:rsidRPr="00B630EF" w:rsidRDefault="00B630EF" w:rsidP="00824394">
            <w:pPr>
              <w:pStyle w:val="Tabletext1"/>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B630EF">
              <w:rPr>
                <w:rFonts w:ascii="Arial Narrow" w:hAnsi="Arial Narrow"/>
                <w:szCs w:val="20"/>
              </w:rPr>
              <w:t>−$816,477</w:t>
            </w:r>
          </w:p>
        </w:tc>
        <w:tc>
          <w:tcPr>
            <w:tcW w:w="714" w:type="pct"/>
            <w:noWrap/>
            <w:hideMark/>
          </w:tcPr>
          <w:p w14:paraId="1CACB193" w14:textId="77777777" w:rsidR="00B630EF" w:rsidRPr="00B630EF" w:rsidRDefault="00B630EF" w:rsidP="00824394">
            <w:pPr>
              <w:pStyle w:val="Tabletext1"/>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B630EF">
              <w:rPr>
                <w:rFonts w:ascii="Arial Narrow" w:hAnsi="Arial Narrow"/>
                <w:szCs w:val="20"/>
              </w:rPr>
              <w:t>−$823,617</w:t>
            </w:r>
          </w:p>
        </w:tc>
        <w:tc>
          <w:tcPr>
            <w:tcW w:w="711" w:type="pct"/>
            <w:noWrap/>
            <w:hideMark/>
          </w:tcPr>
          <w:p w14:paraId="28251F1C" w14:textId="77777777" w:rsidR="00B630EF" w:rsidRPr="00B630EF" w:rsidRDefault="00B630EF" w:rsidP="00824394">
            <w:pPr>
              <w:pStyle w:val="Tabletext1"/>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B630EF">
              <w:rPr>
                <w:rFonts w:ascii="Arial Narrow" w:hAnsi="Arial Narrow"/>
                <w:szCs w:val="20"/>
              </w:rPr>
              <w:t>−$830,693</w:t>
            </w:r>
          </w:p>
        </w:tc>
      </w:tr>
      <w:tr w:rsidR="00B630EF" w:rsidRPr="00B630EF" w14:paraId="41405BF5" w14:textId="77777777" w:rsidTr="00B630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vMerge w:val="restart"/>
          </w:tcPr>
          <w:p w14:paraId="00DC13A5" w14:textId="11DFAEFB" w:rsidR="00B630EF" w:rsidRPr="00B630EF" w:rsidRDefault="00B630EF" w:rsidP="00824394">
            <w:pPr>
              <w:pStyle w:val="Tabletext1"/>
              <w:rPr>
                <w:rFonts w:ascii="Arial Narrow" w:hAnsi="Arial Narrow"/>
                <w:szCs w:val="20"/>
              </w:rPr>
            </w:pPr>
            <w:r w:rsidRPr="00B630EF">
              <w:rPr>
                <w:rFonts w:ascii="Arial Narrow" w:hAnsi="Arial Narrow"/>
                <w:szCs w:val="20"/>
              </w:rPr>
              <w:t xml:space="preserve">Proportion eligible </w:t>
            </w:r>
            <w:proofErr w:type="gramStart"/>
            <w:r w:rsidRPr="00B630EF">
              <w:rPr>
                <w:rFonts w:ascii="Arial Narrow" w:hAnsi="Arial Narrow"/>
                <w:szCs w:val="20"/>
              </w:rPr>
              <w:t>on the basis of</w:t>
            </w:r>
            <w:proofErr w:type="gramEnd"/>
            <w:r w:rsidRPr="00B630EF">
              <w:rPr>
                <w:rFonts w:ascii="Arial Narrow" w:hAnsi="Arial Narrow"/>
                <w:szCs w:val="20"/>
              </w:rPr>
              <w:t xml:space="preserve"> medications, frailty and cognition, </w:t>
            </w:r>
            <w:r w:rsidRPr="00B630EF">
              <w:rPr>
                <w:rFonts w:ascii="Arial Narrow" w:hAnsi="Arial Narrow"/>
                <w:szCs w:val="20"/>
              </w:rPr>
              <w:lastRenderedPageBreak/>
              <w:t>10% (base case: 7.7%)</w:t>
            </w:r>
          </w:p>
        </w:tc>
        <w:tc>
          <w:tcPr>
            <w:tcW w:w="780" w:type="pct"/>
            <w:noWrap/>
            <w:hideMark/>
          </w:tcPr>
          <w:p w14:paraId="15EA49DB" w14:textId="77777777" w:rsidR="00B630EF" w:rsidRPr="00B630EF" w:rsidRDefault="00B630EF" w:rsidP="00824394">
            <w:pPr>
              <w:pStyle w:val="Tabletext1"/>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B630EF">
              <w:rPr>
                <w:rFonts w:ascii="Arial Narrow" w:hAnsi="Arial Narrow"/>
                <w:szCs w:val="20"/>
              </w:rPr>
              <w:lastRenderedPageBreak/>
              <w:t>Net cost of pharmacist intervention</w:t>
            </w:r>
          </w:p>
        </w:tc>
        <w:tc>
          <w:tcPr>
            <w:tcW w:w="653" w:type="pct"/>
            <w:noWrap/>
            <w:hideMark/>
          </w:tcPr>
          <w:p w14:paraId="582010C7" w14:textId="77777777" w:rsidR="00B630EF" w:rsidRPr="00B630EF" w:rsidRDefault="00B630EF" w:rsidP="00824394">
            <w:pPr>
              <w:pStyle w:val="Tabletext1"/>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B630EF">
              <w:rPr>
                <w:rFonts w:ascii="Arial Narrow" w:hAnsi="Arial Narrow"/>
                <w:szCs w:val="20"/>
              </w:rPr>
              <w:t>$6,676,885</w:t>
            </w:r>
          </w:p>
        </w:tc>
        <w:tc>
          <w:tcPr>
            <w:tcW w:w="714" w:type="pct"/>
            <w:noWrap/>
            <w:hideMark/>
          </w:tcPr>
          <w:p w14:paraId="61308CCD" w14:textId="77777777" w:rsidR="00B630EF" w:rsidRPr="00B630EF" w:rsidRDefault="00B630EF" w:rsidP="00824394">
            <w:pPr>
              <w:pStyle w:val="Tabletext1"/>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B630EF">
              <w:rPr>
                <w:rFonts w:ascii="Arial Narrow" w:hAnsi="Arial Narrow"/>
                <w:szCs w:val="20"/>
              </w:rPr>
              <w:t>$6,736,041</w:t>
            </w:r>
          </w:p>
        </w:tc>
        <w:tc>
          <w:tcPr>
            <w:tcW w:w="714" w:type="pct"/>
            <w:noWrap/>
            <w:hideMark/>
          </w:tcPr>
          <w:p w14:paraId="1E968937" w14:textId="77777777" w:rsidR="00B630EF" w:rsidRPr="00B630EF" w:rsidRDefault="00B630EF" w:rsidP="00824394">
            <w:pPr>
              <w:pStyle w:val="Tabletext1"/>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B630EF">
              <w:rPr>
                <w:rFonts w:ascii="Arial Narrow" w:hAnsi="Arial Narrow"/>
                <w:szCs w:val="20"/>
              </w:rPr>
              <w:t>$6,795,198</w:t>
            </w:r>
          </w:p>
        </w:tc>
        <w:tc>
          <w:tcPr>
            <w:tcW w:w="714" w:type="pct"/>
            <w:noWrap/>
            <w:hideMark/>
          </w:tcPr>
          <w:p w14:paraId="101AB64F" w14:textId="77777777" w:rsidR="00B630EF" w:rsidRPr="00B630EF" w:rsidRDefault="00B630EF" w:rsidP="00824394">
            <w:pPr>
              <w:pStyle w:val="Tabletext1"/>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B630EF">
              <w:rPr>
                <w:rFonts w:ascii="Arial Narrow" w:hAnsi="Arial Narrow"/>
                <w:szCs w:val="20"/>
              </w:rPr>
              <w:t>$6,854,354</w:t>
            </w:r>
          </w:p>
        </w:tc>
        <w:tc>
          <w:tcPr>
            <w:tcW w:w="711" w:type="pct"/>
            <w:noWrap/>
            <w:hideMark/>
          </w:tcPr>
          <w:p w14:paraId="6BD0B86F" w14:textId="77777777" w:rsidR="00B630EF" w:rsidRPr="00B630EF" w:rsidRDefault="00B630EF" w:rsidP="00824394">
            <w:pPr>
              <w:pStyle w:val="Tabletext1"/>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B630EF">
              <w:rPr>
                <w:rFonts w:ascii="Arial Narrow" w:hAnsi="Arial Narrow"/>
                <w:szCs w:val="20"/>
              </w:rPr>
              <w:t>$6,913,510</w:t>
            </w:r>
          </w:p>
        </w:tc>
      </w:tr>
      <w:tr w:rsidR="00B630EF" w:rsidRPr="00B630EF" w14:paraId="51D7524E" w14:textId="77777777" w:rsidTr="00B630EF">
        <w:trPr>
          <w:trHeight w:val="300"/>
        </w:trPr>
        <w:tc>
          <w:tcPr>
            <w:cnfStyle w:val="001000000000" w:firstRow="0" w:lastRow="0" w:firstColumn="1" w:lastColumn="0" w:oddVBand="0" w:evenVBand="0" w:oddHBand="0" w:evenHBand="0" w:firstRowFirstColumn="0" w:firstRowLastColumn="0" w:lastRowFirstColumn="0" w:lastRowLastColumn="0"/>
            <w:tcW w:w="714" w:type="pct"/>
            <w:vMerge/>
          </w:tcPr>
          <w:p w14:paraId="5D14938E" w14:textId="15179932" w:rsidR="00B630EF" w:rsidRPr="00B630EF" w:rsidRDefault="00B630EF" w:rsidP="00824394">
            <w:pPr>
              <w:pStyle w:val="Tabletext1"/>
              <w:rPr>
                <w:rFonts w:ascii="Arial Narrow" w:hAnsi="Arial Narrow" w:cs="Calibri"/>
                <w:color w:val="000000"/>
                <w:szCs w:val="20"/>
              </w:rPr>
            </w:pPr>
          </w:p>
        </w:tc>
        <w:tc>
          <w:tcPr>
            <w:tcW w:w="780" w:type="pct"/>
            <w:noWrap/>
            <w:hideMark/>
          </w:tcPr>
          <w:p w14:paraId="796D8859" w14:textId="77777777" w:rsidR="00B630EF" w:rsidRPr="00B630EF" w:rsidRDefault="00B630EF" w:rsidP="00824394">
            <w:pPr>
              <w:pStyle w:val="Tabletext1"/>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B630EF">
              <w:rPr>
                <w:rFonts w:ascii="Arial Narrow" w:hAnsi="Arial Narrow"/>
                <w:szCs w:val="20"/>
              </w:rPr>
              <w:t>Net cost to Commonwealth health budgets</w:t>
            </w:r>
          </w:p>
        </w:tc>
        <w:tc>
          <w:tcPr>
            <w:tcW w:w="653" w:type="pct"/>
            <w:noWrap/>
            <w:hideMark/>
          </w:tcPr>
          <w:p w14:paraId="7A14AF65" w14:textId="77777777" w:rsidR="00B630EF" w:rsidRPr="00B630EF" w:rsidRDefault="00B630EF" w:rsidP="00824394">
            <w:pPr>
              <w:pStyle w:val="Tabletext1"/>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B630EF">
              <w:rPr>
                <w:rFonts w:ascii="Arial Narrow" w:hAnsi="Arial Narrow"/>
                <w:szCs w:val="20"/>
              </w:rPr>
              <w:t>−$1,604,523</w:t>
            </w:r>
          </w:p>
        </w:tc>
        <w:tc>
          <w:tcPr>
            <w:tcW w:w="714" w:type="pct"/>
            <w:noWrap/>
            <w:hideMark/>
          </w:tcPr>
          <w:p w14:paraId="0699B9A5" w14:textId="77777777" w:rsidR="00B630EF" w:rsidRPr="00B630EF" w:rsidRDefault="00B630EF" w:rsidP="00824394">
            <w:pPr>
              <w:pStyle w:val="Tabletext1"/>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B630EF">
              <w:rPr>
                <w:rFonts w:ascii="Arial Narrow" w:hAnsi="Arial Narrow"/>
                <w:szCs w:val="20"/>
              </w:rPr>
              <w:t>−$1,618,739</w:t>
            </w:r>
          </w:p>
        </w:tc>
        <w:tc>
          <w:tcPr>
            <w:tcW w:w="714" w:type="pct"/>
            <w:noWrap/>
            <w:hideMark/>
          </w:tcPr>
          <w:p w14:paraId="52739D79" w14:textId="77777777" w:rsidR="00B630EF" w:rsidRPr="00B630EF" w:rsidRDefault="00B630EF" w:rsidP="00824394">
            <w:pPr>
              <w:pStyle w:val="Tabletext1"/>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B630EF">
              <w:rPr>
                <w:rFonts w:ascii="Arial Narrow" w:hAnsi="Arial Narrow"/>
                <w:szCs w:val="20"/>
              </w:rPr>
              <w:t>−$1,632,954</w:t>
            </w:r>
          </w:p>
        </w:tc>
        <w:tc>
          <w:tcPr>
            <w:tcW w:w="714" w:type="pct"/>
            <w:noWrap/>
            <w:hideMark/>
          </w:tcPr>
          <w:p w14:paraId="386CFD14" w14:textId="77777777" w:rsidR="00B630EF" w:rsidRPr="00B630EF" w:rsidRDefault="00B630EF" w:rsidP="00824394">
            <w:pPr>
              <w:pStyle w:val="Tabletext1"/>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B630EF">
              <w:rPr>
                <w:rFonts w:ascii="Arial Narrow" w:hAnsi="Arial Narrow"/>
                <w:szCs w:val="20"/>
              </w:rPr>
              <w:t>−$1,647,170</w:t>
            </w:r>
          </w:p>
        </w:tc>
        <w:tc>
          <w:tcPr>
            <w:tcW w:w="711" w:type="pct"/>
            <w:noWrap/>
            <w:hideMark/>
          </w:tcPr>
          <w:p w14:paraId="4835C51A" w14:textId="77777777" w:rsidR="00B630EF" w:rsidRPr="00B630EF" w:rsidRDefault="00B630EF" w:rsidP="00824394">
            <w:pPr>
              <w:pStyle w:val="Tabletext1"/>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B630EF">
              <w:rPr>
                <w:rFonts w:ascii="Arial Narrow" w:hAnsi="Arial Narrow"/>
                <w:szCs w:val="20"/>
              </w:rPr>
              <w:t>−$1,661,386</w:t>
            </w:r>
          </w:p>
        </w:tc>
      </w:tr>
      <w:tr w:rsidR="00B630EF" w:rsidRPr="00B630EF" w14:paraId="58E62512" w14:textId="77777777" w:rsidTr="00B630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vMerge w:val="restart"/>
          </w:tcPr>
          <w:p w14:paraId="4C7D6EB3" w14:textId="77777777" w:rsidR="00B630EF" w:rsidRPr="00B630EF" w:rsidRDefault="00B630EF" w:rsidP="00824394">
            <w:pPr>
              <w:pStyle w:val="Tabletext1"/>
              <w:rPr>
                <w:rFonts w:ascii="Arial Narrow" w:hAnsi="Arial Narrow"/>
                <w:szCs w:val="20"/>
              </w:rPr>
            </w:pPr>
            <w:r w:rsidRPr="00B630EF">
              <w:rPr>
                <w:rFonts w:ascii="Arial Narrow" w:hAnsi="Arial Narrow"/>
                <w:szCs w:val="20"/>
              </w:rPr>
              <w:t>Proportion that uptake proposed pharmacist review, 40% (base case: 50%)</w:t>
            </w:r>
          </w:p>
        </w:tc>
        <w:tc>
          <w:tcPr>
            <w:tcW w:w="780" w:type="pct"/>
            <w:noWrap/>
            <w:hideMark/>
          </w:tcPr>
          <w:p w14:paraId="030CA63E" w14:textId="77777777" w:rsidR="00B630EF" w:rsidRPr="00B630EF" w:rsidRDefault="00B630EF" w:rsidP="00824394">
            <w:pPr>
              <w:pStyle w:val="Tabletext1"/>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B630EF">
              <w:rPr>
                <w:rFonts w:ascii="Arial Narrow" w:hAnsi="Arial Narrow"/>
                <w:szCs w:val="20"/>
              </w:rPr>
              <w:t>Net cost of pharmacist intervention</w:t>
            </w:r>
          </w:p>
        </w:tc>
        <w:tc>
          <w:tcPr>
            <w:tcW w:w="653" w:type="pct"/>
            <w:noWrap/>
            <w:hideMark/>
          </w:tcPr>
          <w:p w14:paraId="17524A81" w14:textId="77777777" w:rsidR="00B630EF" w:rsidRPr="00B630EF" w:rsidRDefault="00B630EF" w:rsidP="00824394">
            <w:pPr>
              <w:pStyle w:val="Tabletext1"/>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B630EF">
              <w:rPr>
                <w:rFonts w:ascii="Arial Narrow" w:hAnsi="Arial Narrow"/>
                <w:szCs w:val="20"/>
              </w:rPr>
              <w:t>$4,131,403</w:t>
            </w:r>
          </w:p>
        </w:tc>
        <w:tc>
          <w:tcPr>
            <w:tcW w:w="714" w:type="pct"/>
            <w:noWrap/>
            <w:hideMark/>
          </w:tcPr>
          <w:p w14:paraId="4B00F043" w14:textId="77777777" w:rsidR="00B630EF" w:rsidRPr="00B630EF" w:rsidRDefault="00B630EF" w:rsidP="00824394">
            <w:pPr>
              <w:pStyle w:val="Tabletext1"/>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B630EF">
              <w:rPr>
                <w:rFonts w:ascii="Arial Narrow" w:hAnsi="Arial Narrow"/>
                <w:szCs w:val="20"/>
              </w:rPr>
              <w:t>$4,168,021</w:t>
            </w:r>
          </w:p>
        </w:tc>
        <w:tc>
          <w:tcPr>
            <w:tcW w:w="714" w:type="pct"/>
            <w:noWrap/>
            <w:hideMark/>
          </w:tcPr>
          <w:p w14:paraId="7E0E0A0F" w14:textId="77777777" w:rsidR="00B630EF" w:rsidRPr="00B630EF" w:rsidRDefault="00B630EF" w:rsidP="00824394">
            <w:pPr>
              <w:pStyle w:val="Tabletext1"/>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B630EF">
              <w:rPr>
                <w:rFonts w:ascii="Arial Narrow" w:hAnsi="Arial Narrow"/>
                <w:szCs w:val="20"/>
              </w:rPr>
              <w:t>$4,204,639</w:t>
            </w:r>
          </w:p>
        </w:tc>
        <w:tc>
          <w:tcPr>
            <w:tcW w:w="714" w:type="pct"/>
            <w:noWrap/>
            <w:hideMark/>
          </w:tcPr>
          <w:p w14:paraId="7BA4EBD7" w14:textId="77777777" w:rsidR="00B630EF" w:rsidRPr="00B630EF" w:rsidRDefault="00B630EF" w:rsidP="00824394">
            <w:pPr>
              <w:pStyle w:val="Tabletext1"/>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B630EF">
              <w:rPr>
                <w:rFonts w:ascii="Arial Narrow" w:hAnsi="Arial Narrow"/>
                <w:szCs w:val="20"/>
              </w:rPr>
              <w:t>$4,241,257</w:t>
            </w:r>
          </w:p>
        </w:tc>
        <w:tc>
          <w:tcPr>
            <w:tcW w:w="711" w:type="pct"/>
            <w:noWrap/>
            <w:hideMark/>
          </w:tcPr>
          <w:p w14:paraId="00F883D5" w14:textId="77777777" w:rsidR="00B630EF" w:rsidRPr="00B630EF" w:rsidRDefault="00B630EF" w:rsidP="00824394">
            <w:pPr>
              <w:pStyle w:val="Tabletext1"/>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B630EF">
              <w:rPr>
                <w:rFonts w:ascii="Arial Narrow" w:hAnsi="Arial Narrow"/>
                <w:szCs w:val="20"/>
              </w:rPr>
              <w:t>$4,277,875</w:t>
            </w:r>
          </w:p>
        </w:tc>
      </w:tr>
      <w:tr w:rsidR="00B630EF" w:rsidRPr="00B630EF" w14:paraId="10843014" w14:textId="77777777" w:rsidTr="00B630EF">
        <w:trPr>
          <w:trHeight w:val="300"/>
        </w:trPr>
        <w:tc>
          <w:tcPr>
            <w:cnfStyle w:val="001000000000" w:firstRow="0" w:lastRow="0" w:firstColumn="1" w:lastColumn="0" w:oddVBand="0" w:evenVBand="0" w:oddHBand="0" w:evenHBand="0" w:firstRowFirstColumn="0" w:firstRowLastColumn="0" w:lastRowFirstColumn="0" w:lastRowLastColumn="0"/>
            <w:tcW w:w="714" w:type="pct"/>
            <w:vMerge/>
          </w:tcPr>
          <w:p w14:paraId="10290134" w14:textId="455CC3CB" w:rsidR="00B630EF" w:rsidRPr="00B630EF" w:rsidRDefault="00B630EF" w:rsidP="00824394">
            <w:pPr>
              <w:pStyle w:val="Tabletext1"/>
              <w:rPr>
                <w:rFonts w:ascii="Arial Narrow" w:hAnsi="Arial Narrow" w:cs="Calibri"/>
                <w:color w:val="000000"/>
                <w:szCs w:val="20"/>
              </w:rPr>
            </w:pPr>
          </w:p>
        </w:tc>
        <w:tc>
          <w:tcPr>
            <w:tcW w:w="780" w:type="pct"/>
            <w:noWrap/>
            <w:hideMark/>
          </w:tcPr>
          <w:p w14:paraId="101FE8C8" w14:textId="77777777" w:rsidR="00B630EF" w:rsidRPr="00B630EF" w:rsidRDefault="00B630EF" w:rsidP="00824394">
            <w:pPr>
              <w:pStyle w:val="Tabletext1"/>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B630EF">
              <w:rPr>
                <w:rFonts w:ascii="Arial Narrow" w:hAnsi="Arial Narrow"/>
                <w:szCs w:val="20"/>
              </w:rPr>
              <w:t>Net cost to Commonwealth health budgets</w:t>
            </w:r>
          </w:p>
        </w:tc>
        <w:tc>
          <w:tcPr>
            <w:tcW w:w="653" w:type="pct"/>
            <w:noWrap/>
            <w:hideMark/>
          </w:tcPr>
          <w:p w14:paraId="3331FFAC" w14:textId="77777777" w:rsidR="00B630EF" w:rsidRPr="00B630EF" w:rsidRDefault="00B630EF" w:rsidP="00824394">
            <w:pPr>
              <w:pStyle w:val="Tabletext1"/>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B630EF">
              <w:rPr>
                <w:rFonts w:ascii="Arial Narrow" w:hAnsi="Arial Narrow"/>
                <w:szCs w:val="20"/>
              </w:rPr>
              <w:t>−$992,818</w:t>
            </w:r>
          </w:p>
        </w:tc>
        <w:tc>
          <w:tcPr>
            <w:tcW w:w="714" w:type="pct"/>
            <w:noWrap/>
            <w:hideMark/>
          </w:tcPr>
          <w:p w14:paraId="202A3A1C" w14:textId="77777777" w:rsidR="00B630EF" w:rsidRPr="00B630EF" w:rsidRDefault="00B630EF" w:rsidP="00824394">
            <w:pPr>
              <w:pStyle w:val="Tabletext1"/>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B630EF">
              <w:rPr>
                <w:rFonts w:ascii="Arial Narrow" w:hAnsi="Arial Narrow"/>
                <w:szCs w:val="20"/>
              </w:rPr>
              <w:t>−$1,001,617</w:t>
            </w:r>
          </w:p>
        </w:tc>
        <w:tc>
          <w:tcPr>
            <w:tcW w:w="714" w:type="pct"/>
            <w:noWrap/>
            <w:hideMark/>
          </w:tcPr>
          <w:p w14:paraId="0F0408BC" w14:textId="77777777" w:rsidR="00B630EF" w:rsidRPr="00B630EF" w:rsidRDefault="00B630EF" w:rsidP="00824394">
            <w:pPr>
              <w:pStyle w:val="Tabletext1"/>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B630EF">
              <w:rPr>
                <w:rFonts w:ascii="Arial Narrow" w:hAnsi="Arial Narrow"/>
                <w:szCs w:val="20"/>
              </w:rPr>
              <w:t>−$1,010,417</w:t>
            </w:r>
          </w:p>
        </w:tc>
        <w:tc>
          <w:tcPr>
            <w:tcW w:w="714" w:type="pct"/>
            <w:noWrap/>
            <w:hideMark/>
          </w:tcPr>
          <w:p w14:paraId="28CFCF7E" w14:textId="77777777" w:rsidR="00B630EF" w:rsidRPr="00B630EF" w:rsidRDefault="00B630EF" w:rsidP="00824394">
            <w:pPr>
              <w:pStyle w:val="Tabletext1"/>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B630EF">
              <w:rPr>
                <w:rFonts w:ascii="Arial Narrow" w:hAnsi="Arial Narrow"/>
                <w:szCs w:val="20"/>
              </w:rPr>
              <w:t>−$1,019,217</w:t>
            </w:r>
          </w:p>
        </w:tc>
        <w:tc>
          <w:tcPr>
            <w:tcW w:w="711" w:type="pct"/>
            <w:noWrap/>
            <w:hideMark/>
          </w:tcPr>
          <w:p w14:paraId="4757DB48" w14:textId="77777777" w:rsidR="00B630EF" w:rsidRPr="00B630EF" w:rsidRDefault="00B630EF" w:rsidP="00824394">
            <w:pPr>
              <w:pStyle w:val="Tabletext1"/>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B630EF">
              <w:rPr>
                <w:rFonts w:ascii="Arial Narrow" w:hAnsi="Arial Narrow"/>
                <w:szCs w:val="20"/>
              </w:rPr>
              <w:t>−$1,028,016</w:t>
            </w:r>
          </w:p>
        </w:tc>
      </w:tr>
      <w:tr w:rsidR="00B630EF" w:rsidRPr="00B630EF" w14:paraId="41B5FCAE" w14:textId="77777777" w:rsidTr="00B630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vMerge w:val="restart"/>
          </w:tcPr>
          <w:p w14:paraId="3A35175A" w14:textId="77777777" w:rsidR="00B630EF" w:rsidRPr="00B630EF" w:rsidRDefault="00B630EF" w:rsidP="00824394">
            <w:pPr>
              <w:pStyle w:val="Tabletext1"/>
              <w:rPr>
                <w:rFonts w:ascii="Arial Narrow" w:hAnsi="Arial Narrow"/>
                <w:szCs w:val="20"/>
              </w:rPr>
            </w:pPr>
            <w:r w:rsidRPr="00B630EF">
              <w:rPr>
                <w:rFonts w:ascii="Arial Narrow" w:hAnsi="Arial Narrow"/>
                <w:szCs w:val="20"/>
              </w:rPr>
              <w:t>Proportion that uptake proposed pharmacist review, 60% (base case: 50%)</w:t>
            </w:r>
          </w:p>
        </w:tc>
        <w:tc>
          <w:tcPr>
            <w:tcW w:w="780" w:type="pct"/>
            <w:noWrap/>
            <w:hideMark/>
          </w:tcPr>
          <w:p w14:paraId="21CDB85B" w14:textId="77777777" w:rsidR="00B630EF" w:rsidRPr="00B630EF" w:rsidRDefault="00B630EF" w:rsidP="00824394">
            <w:pPr>
              <w:pStyle w:val="Tabletext1"/>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B630EF">
              <w:rPr>
                <w:rFonts w:ascii="Arial Narrow" w:hAnsi="Arial Narrow"/>
                <w:szCs w:val="20"/>
              </w:rPr>
              <w:t>Net cost of pharmacist intervention</w:t>
            </w:r>
          </w:p>
        </w:tc>
        <w:tc>
          <w:tcPr>
            <w:tcW w:w="653" w:type="pct"/>
            <w:noWrap/>
            <w:hideMark/>
          </w:tcPr>
          <w:p w14:paraId="6C263AAC" w14:textId="77777777" w:rsidR="00B630EF" w:rsidRPr="00B630EF" w:rsidRDefault="00B630EF" w:rsidP="00824394">
            <w:pPr>
              <w:pStyle w:val="Tabletext1"/>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B630EF">
              <w:rPr>
                <w:rFonts w:ascii="Arial Narrow" w:hAnsi="Arial Narrow"/>
                <w:szCs w:val="20"/>
              </w:rPr>
              <w:t>$6,197,105</w:t>
            </w:r>
          </w:p>
        </w:tc>
        <w:tc>
          <w:tcPr>
            <w:tcW w:w="714" w:type="pct"/>
            <w:noWrap/>
            <w:hideMark/>
          </w:tcPr>
          <w:p w14:paraId="11A5BA7E" w14:textId="77777777" w:rsidR="00B630EF" w:rsidRPr="00B630EF" w:rsidRDefault="00B630EF" w:rsidP="00824394">
            <w:pPr>
              <w:pStyle w:val="Tabletext1"/>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B630EF">
              <w:rPr>
                <w:rFonts w:ascii="Arial Narrow" w:hAnsi="Arial Narrow"/>
                <w:szCs w:val="20"/>
              </w:rPr>
              <w:t>$6,252,031</w:t>
            </w:r>
          </w:p>
        </w:tc>
        <w:tc>
          <w:tcPr>
            <w:tcW w:w="714" w:type="pct"/>
            <w:noWrap/>
            <w:hideMark/>
          </w:tcPr>
          <w:p w14:paraId="1DF03DBB" w14:textId="77777777" w:rsidR="00B630EF" w:rsidRPr="00B630EF" w:rsidRDefault="00B630EF" w:rsidP="00824394">
            <w:pPr>
              <w:pStyle w:val="Tabletext1"/>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B630EF">
              <w:rPr>
                <w:rFonts w:ascii="Arial Narrow" w:hAnsi="Arial Narrow"/>
                <w:szCs w:val="20"/>
              </w:rPr>
              <w:t>$6,306,958</w:t>
            </w:r>
          </w:p>
        </w:tc>
        <w:tc>
          <w:tcPr>
            <w:tcW w:w="714" w:type="pct"/>
            <w:noWrap/>
            <w:hideMark/>
          </w:tcPr>
          <w:p w14:paraId="247CED20" w14:textId="77777777" w:rsidR="00B630EF" w:rsidRPr="00B630EF" w:rsidRDefault="00B630EF" w:rsidP="00824394">
            <w:pPr>
              <w:pStyle w:val="Tabletext1"/>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B630EF">
              <w:rPr>
                <w:rFonts w:ascii="Arial Narrow" w:hAnsi="Arial Narrow"/>
                <w:szCs w:val="20"/>
              </w:rPr>
              <w:t>$6,361,885</w:t>
            </w:r>
          </w:p>
        </w:tc>
        <w:tc>
          <w:tcPr>
            <w:tcW w:w="711" w:type="pct"/>
            <w:noWrap/>
            <w:hideMark/>
          </w:tcPr>
          <w:p w14:paraId="67A1B552" w14:textId="77777777" w:rsidR="00B630EF" w:rsidRPr="00B630EF" w:rsidRDefault="00B630EF" w:rsidP="00824394">
            <w:pPr>
              <w:pStyle w:val="Tabletext1"/>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B630EF">
              <w:rPr>
                <w:rFonts w:ascii="Arial Narrow" w:hAnsi="Arial Narrow"/>
                <w:szCs w:val="20"/>
              </w:rPr>
              <w:t>$6,416,812</w:t>
            </w:r>
          </w:p>
        </w:tc>
      </w:tr>
      <w:tr w:rsidR="00B630EF" w:rsidRPr="00B630EF" w14:paraId="52991098" w14:textId="77777777" w:rsidTr="00B630EF">
        <w:trPr>
          <w:trHeight w:val="300"/>
        </w:trPr>
        <w:tc>
          <w:tcPr>
            <w:cnfStyle w:val="001000000000" w:firstRow="0" w:lastRow="0" w:firstColumn="1" w:lastColumn="0" w:oddVBand="0" w:evenVBand="0" w:oddHBand="0" w:evenHBand="0" w:firstRowFirstColumn="0" w:firstRowLastColumn="0" w:lastRowFirstColumn="0" w:lastRowLastColumn="0"/>
            <w:tcW w:w="714" w:type="pct"/>
            <w:vMerge/>
          </w:tcPr>
          <w:p w14:paraId="7DAB7CA5" w14:textId="12D0182B" w:rsidR="00B630EF" w:rsidRPr="00B630EF" w:rsidRDefault="00B630EF" w:rsidP="00824394">
            <w:pPr>
              <w:pStyle w:val="Tabletext1"/>
              <w:rPr>
                <w:rFonts w:ascii="Arial Narrow" w:hAnsi="Arial Narrow" w:cs="Calibri"/>
                <w:color w:val="000000"/>
                <w:szCs w:val="20"/>
              </w:rPr>
            </w:pPr>
          </w:p>
        </w:tc>
        <w:tc>
          <w:tcPr>
            <w:tcW w:w="780" w:type="pct"/>
            <w:noWrap/>
            <w:hideMark/>
          </w:tcPr>
          <w:p w14:paraId="36D9B330" w14:textId="77777777" w:rsidR="00B630EF" w:rsidRPr="00B630EF" w:rsidRDefault="00B630EF" w:rsidP="00824394">
            <w:pPr>
              <w:pStyle w:val="Tabletext1"/>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B630EF">
              <w:rPr>
                <w:rFonts w:ascii="Arial Narrow" w:hAnsi="Arial Narrow"/>
                <w:szCs w:val="20"/>
              </w:rPr>
              <w:t>Net cost to Commonwealth health budgets</w:t>
            </w:r>
          </w:p>
        </w:tc>
        <w:tc>
          <w:tcPr>
            <w:tcW w:w="653" w:type="pct"/>
            <w:noWrap/>
            <w:hideMark/>
          </w:tcPr>
          <w:p w14:paraId="58BC0BFB" w14:textId="77777777" w:rsidR="00B630EF" w:rsidRPr="00B630EF" w:rsidRDefault="00B630EF" w:rsidP="00824394">
            <w:pPr>
              <w:pStyle w:val="Tabletext1"/>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B630EF">
              <w:rPr>
                <w:rFonts w:ascii="Arial Narrow" w:hAnsi="Arial Narrow"/>
                <w:szCs w:val="20"/>
              </w:rPr>
              <w:t>−$1,489,227</w:t>
            </w:r>
          </w:p>
        </w:tc>
        <w:tc>
          <w:tcPr>
            <w:tcW w:w="714" w:type="pct"/>
            <w:noWrap/>
            <w:hideMark/>
          </w:tcPr>
          <w:p w14:paraId="41248A54" w14:textId="77777777" w:rsidR="00B630EF" w:rsidRPr="00B630EF" w:rsidRDefault="00B630EF" w:rsidP="00824394">
            <w:pPr>
              <w:pStyle w:val="Tabletext1"/>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B630EF">
              <w:rPr>
                <w:rFonts w:ascii="Arial Narrow" w:hAnsi="Arial Narrow"/>
                <w:szCs w:val="20"/>
              </w:rPr>
              <w:t>−$1,502,426</w:t>
            </w:r>
          </w:p>
        </w:tc>
        <w:tc>
          <w:tcPr>
            <w:tcW w:w="714" w:type="pct"/>
            <w:noWrap/>
            <w:hideMark/>
          </w:tcPr>
          <w:p w14:paraId="31DB92CE" w14:textId="77777777" w:rsidR="00B630EF" w:rsidRPr="00B630EF" w:rsidRDefault="00B630EF" w:rsidP="00824394">
            <w:pPr>
              <w:pStyle w:val="Tabletext1"/>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B630EF">
              <w:rPr>
                <w:rFonts w:ascii="Arial Narrow" w:hAnsi="Arial Narrow"/>
                <w:szCs w:val="20"/>
              </w:rPr>
              <w:t>−$1,515,626</w:t>
            </w:r>
          </w:p>
        </w:tc>
        <w:tc>
          <w:tcPr>
            <w:tcW w:w="714" w:type="pct"/>
            <w:noWrap/>
            <w:hideMark/>
          </w:tcPr>
          <w:p w14:paraId="4F9BBDF4" w14:textId="77777777" w:rsidR="00B630EF" w:rsidRPr="00B630EF" w:rsidRDefault="00B630EF" w:rsidP="00824394">
            <w:pPr>
              <w:pStyle w:val="Tabletext1"/>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B630EF">
              <w:rPr>
                <w:rFonts w:ascii="Arial Narrow" w:hAnsi="Arial Narrow"/>
                <w:szCs w:val="20"/>
              </w:rPr>
              <w:t>−$1,528,825</w:t>
            </w:r>
          </w:p>
        </w:tc>
        <w:tc>
          <w:tcPr>
            <w:tcW w:w="711" w:type="pct"/>
            <w:noWrap/>
            <w:hideMark/>
          </w:tcPr>
          <w:p w14:paraId="24D320AB" w14:textId="77777777" w:rsidR="00B630EF" w:rsidRPr="00B630EF" w:rsidRDefault="00B630EF" w:rsidP="00824394">
            <w:pPr>
              <w:pStyle w:val="Tabletext1"/>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B630EF">
              <w:rPr>
                <w:rFonts w:ascii="Arial Narrow" w:hAnsi="Arial Narrow"/>
                <w:szCs w:val="20"/>
              </w:rPr>
              <w:t>−$1,542,025</w:t>
            </w:r>
          </w:p>
        </w:tc>
      </w:tr>
      <w:tr w:rsidR="00B630EF" w:rsidRPr="00B630EF" w14:paraId="79657367" w14:textId="77777777" w:rsidTr="00B630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vMerge w:val="restart"/>
          </w:tcPr>
          <w:p w14:paraId="551E7434" w14:textId="77777777" w:rsidR="00B630EF" w:rsidRPr="00B630EF" w:rsidRDefault="00B630EF" w:rsidP="00824394">
            <w:pPr>
              <w:pStyle w:val="Tabletext1"/>
              <w:rPr>
                <w:rFonts w:ascii="Arial Narrow" w:hAnsi="Arial Narrow"/>
                <w:szCs w:val="20"/>
              </w:rPr>
            </w:pPr>
            <w:r w:rsidRPr="00B630EF">
              <w:rPr>
                <w:rFonts w:ascii="Arial Narrow" w:hAnsi="Arial Narrow"/>
                <w:szCs w:val="20"/>
              </w:rPr>
              <w:t>Number of pharmacist services per resident, 6 (base case: 5)</w:t>
            </w:r>
          </w:p>
        </w:tc>
        <w:tc>
          <w:tcPr>
            <w:tcW w:w="780" w:type="pct"/>
            <w:noWrap/>
            <w:hideMark/>
          </w:tcPr>
          <w:p w14:paraId="0C5CD8B1" w14:textId="77777777" w:rsidR="00B630EF" w:rsidRPr="00B630EF" w:rsidRDefault="00B630EF" w:rsidP="00824394">
            <w:pPr>
              <w:pStyle w:val="Tabletext1"/>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B630EF">
              <w:rPr>
                <w:rFonts w:ascii="Arial Narrow" w:hAnsi="Arial Narrow"/>
                <w:szCs w:val="20"/>
              </w:rPr>
              <w:t>Net cost of pharmacist intervention</w:t>
            </w:r>
          </w:p>
        </w:tc>
        <w:tc>
          <w:tcPr>
            <w:tcW w:w="653" w:type="pct"/>
            <w:noWrap/>
            <w:hideMark/>
          </w:tcPr>
          <w:p w14:paraId="60F1C40F" w14:textId="77777777" w:rsidR="00B630EF" w:rsidRPr="00B630EF" w:rsidRDefault="00B630EF" w:rsidP="00824394">
            <w:pPr>
              <w:pStyle w:val="Tabletext1"/>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B630EF">
              <w:rPr>
                <w:rFonts w:ascii="Arial Narrow" w:hAnsi="Arial Narrow"/>
                <w:szCs w:val="20"/>
              </w:rPr>
              <w:t>$6,197,105</w:t>
            </w:r>
          </w:p>
        </w:tc>
        <w:tc>
          <w:tcPr>
            <w:tcW w:w="714" w:type="pct"/>
            <w:noWrap/>
            <w:hideMark/>
          </w:tcPr>
          <w:p w14:paraId="35FB5169" w14:textId="77777777" w:rsidR="00B630EF" w:rsidRPr="00B630EF" w:rsidRDefault="00B630EF" w:rsidP="00824394">
            <w:pPr>
              <w:pStyle w:val="Tabletext1"/>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B630EF">
              <w:rPr>
                <w:rFonts w:ascii="Arial Narrow" w:hAnsi="Arial Narrow"/>
                <w:szCs w:val="20"/>
              </w:rPr>
              <w:t>$6,252,031</w:t>
            </w:r>
          </w:p>
        </w:tc>
        <w:tc>
          <w:tcPr>
            <w:tcW w:w="714" w:type="pct"/>
            <w:noWrap/>
            <w:hideMark/>
          </w:tcPr>
          <w:p w14:paraId="056EFA72" w14:textId="77777777" w:rsidR="00B630EF" w:rsidRPr="00B630EF" w:rsidRDefault="00B630EF" w:rsidP="00824394">
            <w:pPr>
              <w:pStyle w:val="Tabletext1"/>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B630EF">
              <w:rPr>
                <w:rFonts w:ascii="Arial Narrow" w:hAnsi="Arial Narrow"/>
                <w:szCs w:val="20"/>
              </w:rPr>
              <w:t>$6,306,958</w:t>
            </w:r>
          </w:p>
        </w:tc>
        <w:tc>
          <w:tcPr>
            <w:tcW w:w="714" w:type="pct"/>
            <w:noWrap/>
            <w:hideMark/>
          </w:tcPr>
          <w:p w14:paraId="0D8A9DF7" w14:textId="77777777" w:rsidR="00B630EF" w:rsidRPr="00B630EF" w:rsidRDefault="00B630EF" w:rsidP="00824394">
            <w:pPr>
              <w:pStyle w:val="Tabletext1"/>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B630EF">
              <w:rPr>
                <w:rFonts w:ascii="Arial Narrow" w:hAnsi="Arial Narrow"/>
                <w:szCs w:val="20"/>
              </w:rPr>
              <w:t>$6,361,885</w:t>
            </w:r>
          </w:p>
        </w:tc>
        <w:tc>
          <w:tcPr>
            <w:tcW w:w="711" w:type="pct"/>
            <w:noWrap/>
            <w:hideMark/>
          </w:tcPr>
          <w:p w14:paraId="19DAC933" w14:textId="77777777" w:rsidR="00B630EF" w:rsidRPr="00B630EF" w:rsidRDefault="00B630EF" w:rsidP="00824394">
            <w:pPr>
              <w:pStyle w:val="Tabletext1"/>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B630EF">
              <w:rPr>
                <w:rFonts w:ascii="Arial Narrow" w:hAnsi="Arial Narrow"/>
                <w:szCs w:val="20"/>
              </w:rPr>
              <w:t>$6,416,812</w:t>
            </w:r>
          </w:p>
        </w:tc>
      </w:tr>
      <w:tr w:rsidR="00B630EF" w:rsidRPr="00B630EF" w14:paraId="347D8FF6" w14:textId="77777777" w:rsidTr="00B630EF">
        <w:trPr>
          <w:trHeight w:val="300"/>
        </w:trPr>
        <w:tc>
          <w:tcPr>
            <w:cnfStyle w:val="001000000000" w:firstRow="0" w:lastRow="0" w:firstColumn="1" w:lastColumn="0" w:oddVBand="0" w:evenVBand="0" w:oddHBand="0" w:evenHBand="0" w:firstRowFirstColumn="0" w:firstRowLastColumn="0" w:lastRowFirstColumn="0" w:lastRowLastColumn="0"/>
            <w:tcW w:w="714" w:type="pct"/>
            <w:vMerge/>
          </w:tcPr>
          <w:p w14:paraId="44093A5E" w14:textId="543BDFCB" w:rsidR="00B630EF" w:rsidRPr="00B630EF" w:rsidRDefault="00B630EF" w:rsidP="00824394">
            <w:pPr>
              <w:pStyle w:val="Tabletext1"/>
              <w:rPr>
                <w:rFonts w:ascii="Arial Narrow" w:hAnsi="Arial Narrow" w:cs="Calibri"/>
                <w:color w:val="000000"/>
                <w:szCs w:val="20"/>
              </w:rPr>
            </w:pPr>
          </w:p>
        </w:tc>
        <w:tc>
          <w:tcPr>
            <w:tcW w:w="780" w:type="pct"/>
            <w:noWrap/>
            <w:hideMark/>
          </w:tcPr>
          <w:p w14:paraId="3110FD0B" w14:textId="77777777" w:rsidR="00B630EF" w:rsidRPr="00B630EF" w:rsidRDefault="00B630EF" w:rsidP="00824394">
            <w:pPr>
              <w:pStyle w:val="Tabletext1"/>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B630EF">
              <w:rPr>
                <w:rFonts w:ascii="Arial Narrow" w:hAnsi="Arial Narrow"/>
                <w:szCs w:val="20"/>
              </w:rPr>
              <w:t>Net cost to Commonwealth health budgets</w:t>
            </w:r>
          </w:p>
        </w:tc>
        <w:tc>
          <w:tcPr>
            <w:tcW w:w="653" w:type="pct"/>
            <w:noWrap/>
            <w:hideMark/>
          </w:tcPr>
          <w:p w14:paraId="73C8611D" w14:textId="77777777" w:rsidR="00B630EF" w:rsidRPr="00B630EF" w:rsidRDefault="00B630EF" w:rsidP="00824394">
            <w:pPr>
              <w:pStyle w:val="Tabletext1"/>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B630EF">
              <w:rPr>
                <w:rFonts w:ascii="Arial Narrow" w:hAnsi="Arial Narrow"/>
                <w:szCs w:val="20"/>
              </w:rPr>
              <w:t>−$208,171</w:t>
            </w:r>
          </w:p>
        </w:tc>
        <w:tc>
          <w:tcPr>
            <w:tcW w:w="714" w:type="pct"/>
            <w:noWrap/>
            <w:hideMark/>
          </w:tcPr>
          <w:p w14:paraId="694298BB" w14:textId="77777777" w:rsidR="00B630EF" w:rsidRPr="00B630EF" w:rsidRDefault="00B630EF" w:rsidP="00824394">
            <w:pPr>
              <w:pStyle w:val="Tabletext1"/>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B630EF">
              <w:rPr>
                <w:rFonts w:ascii="Arial Narrow" w:hAnsi="Arial Narrow"/>
                <w:szCs w:val="20"/>
              </w:rPr>
              <w:t>−$210,017</w:t>
            </w:r>
          </w:p>
        </w:tc>
        <w:tc>
          <w:tcPr>
            <w:tcW w:w="714" w:type="pct"/>
            <w:noWrap/>
            <w:hideMark/>
          </w:tcPr>
          <w:p w14:paraId="3AEA403C" w14:textId="77777777" w:rsidR="00B630EF" w:rsidRPr="00B630EF" w:rsidRDefault="00B630EF" w:rsidP="00824394">
            <w:pPr>
              <w:pStyle w:val="Tabletext1"/>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B630EF">
              <w:rPr>
                <w:rFonts w:ascii="Arial Narrow" w:hAnsi="Arial Narrow"/>
                <w:szCs w:val="20"/>
              </w:rPr>
              <w:t>−$211,862</w:t>
            </w:r>
          </w:p>
        </w:tc>
        <w:tc>
          <w:tcPr>
            <w:tcW w:w="714" w:type="pct"/>
            <w:noWrap/>
            <w:hideMark/>
          </w:tcPr>
          <w:p w14:paraId="47AF12C4" w14:textId="77777777" w:rsidR="00B630EF" w:rsidRPr="00B630EF" w:rsidRDefault="00B630EF" w:rsidP="00824394">
            <w:pPr>
              <w:pStyle w:val="Tabletext1"/>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B630EF">
              <w:rPr>
                <w:rFonts w:ascii="Arial Narrow" w:hAnsi="Arial Narrow"/>
                <w:szCs w:val="20"/>
              </w:rPr>
              <w:t>−$213,707</w:t>
            </w:r>
          </w:p>
        </w:tc>
        <w:tc>
          <w:tcPr>
            <w:tcW w:w="711" w:type="pct"/>
            <w:noWrap/>
            <w:hideMark/>
          </w:tcPr>
          <w:p w14:paraId="226FC24C" w14:textId="77777777" w:rsidR="00B630EF" w:rsidRPr="00B630EF" w:rsidRDefault="00B630EF" w:rsidP="00824394">
            <w:pPr>
              <w:pStyle w:val="Tabletext1"/>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B630EF">
              <w:rPr>
                <w:rFonts w:ascii="Arial Narrow" w:hAnsi="Arial Narrow"/>
                <w:szCs w:val="20"/>
              </w:rPr>
              <w:t>−$215,552</w:t>
            </w:r>
          </w:p>
        </w:tc>
      </w:tr>
      <w:tr w:rsidR="00B630EF" w:rsidRPr="00B630EF" w14:paraId="1742F3D1" w14:textId="77777777" w:rsidTr="00B630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vMerge w:val="restart"/>
          </w:tcPr>
          <w:p w14:paraId="5008AC9A" w14:textId="77777777" w:rsidR="00B630EF" w:rsidRPr="00B630EF" w:rsidRDefault="00B630EF" w:rsidP="00824394">
            <w:pPr>
              <w:pStyle w:val="Tabletext1"/>
              <w:rPr>
                <w:rFonts w:ascii="Arial Narrow" w:hAnsi="Arial Narrow"/>
                <w:szCs w:val="20"/>
              </w:rPr>
            </w:pPr>
            <w:r w:rsidRPr="00B630EF">
              <w:rPr>
                <w:rFonts w:ascii="Arial Narrow" w:hAnsi="Arial Narrow"/>
                <w:szCs w:val="20"/>
              </w:rPr>
              <w:t>Cost of per pharmacist review service, $117.20 (base case: $107.07)</w:t>
            </w:r>
          </w:p>
        </w:tc>
        <w:tc>
          <w:tcPr>
            <w:tcW w:w="780" w:type="pct"/>
            <w:noWrap/>
            <w:hideMark/>
          </w:tcPr>
          <w:p w14:paraId="77D280C9" w14:textId="77777777" w:rsidR="00B630EF" w:rsidRPr="00B630EF" w:rsidRDefault="00B630EF" w:rsidP="00824394">
            <w:pPr>
              <w:pStyle w:val="Tabletext1"/>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B630EF">
              <w:rPr>
                <w:rFonts w:ascii="Arial Narrow" w:hAnsi="Arial Narrow"/>
                <w:szCs w:val="20"/>
              </w:rPr>
              <w:t>Net cost of pharmacist intervention</w:t>
            </w:r>
          </w:p>
        </w:tc>
        <w:tc>
          <w:tcPr>
            <w:tcW w:w="653" w:type="pct"/>
            <w:noWrap/>
            <w:hideMark/>
          </w:tcPr>
          <w:p w14:paraId="61A38DFD" w14:textId="77777777" w:rsidR="00B630EF" w:rsidRPr="00B630EF" w:rsidRDefault="00B630EF" w:rsidP="00824394">
            <w:pPr>
              <w:pStyle w:val="Tabletext1"/>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B630EF">
              <w:rPr>
                <w:rFonts w:ascii="Arial Narrow" w:hAnsi="Arial Narrow"/>
                <w:szCs w:val="20"/>
              </w:rPr>
              <w:t>$5,652,849</w:t>
            </w:r>
          </w:p>
        </w:tc>
        <w:tc>
          <w:tcPr>
            <w:tcW w:w="714" w:type="pct"/>
            <w:noWrap/>
            <w:hideMark/>
          </w:tcPr>
          <w:p w14:paraId="5A8AFD33" w14:textId="77777777" w:rsidR="00B630EF" w:rsidRPr="00B630EF" w:rsidRDefault="00B630EF" w:rsidP="00824394">
            <w:pPr>
              <w:pStyle w:val="Tabletext1"/>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B630EF">
              <w:rPr>
                <w:rFonts w:ascii="Arial Narrow" w:hAnsi="Arial Narrow"/>
                <w:szCs w:val="20"/>
              </w:rPr>
              <w:t>$5,702,952</w:t>
            </w:r>
          </w:p>
        </w:tc>
        <w:tc>
          <w:tcPr>
            <w:tcW w:w="714" w:type="pct"/>
            <w:noWrap/>
            <w:hideMark/>
          </w:tcPr>
          <w:p w14:paraId="212062A6" w14:textId="77777777" w:rsidR="00B630EF" w:rsidRPr="00B630EF" w:rsidRDefault="00B630EF" w:rsidP="00824394">
            <w:pPr>
              <w:pStyle w:val="Tabletext1"/>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B630EF">
              <w:rPr>
                <w:rFonts w:ascii="Arial Narrow" w:hAnsi="Arial Narrow"/>
                <w:szCs w:val="20"/>
              </w:rPr>
              <w:t>$5,753,055</w:t>
            </w:r>
          </w:p>
        </w:tc>
        <w:tc>
          <w:tcPr>
            <w:tcW w:w="714" w:type="pct"/>
            <w:noWrap/>
            <w:hideMark/>
          </w:tcPr>
          <w:p w14:paraId="72753AF7" w14:textId="77777777" w:rsidR="00B630EF" w:rsidRPr="00B630EF" w:rsidRDefault="00B630EF" w:rsidP="00824394">
            <w:pPr>
              <w:pStyle w:val="Tabletext1"/>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B630EF">
              <w:rPr>
                <w:rFonts w:ascii="Arial Narrow" w:hAnsi="Arial Narrow"/>
                <w:szCs w:val="20"/>
              </w:rPr>
              <w:t>$5,803,158</w:t>
            </w:r>
          </w:p>
        </w:tc>
        <w:tc>
          <w:tcPr>
            <w:tcW w:w="711" w:type="pct"/>
            <w:noWrap/>
            <w:hideMark/>
          </w:tcPr>
          <w:p w14:paraId="16640C92" w14:textId="77777777" w:rsidR="00B630EF" w:rsidRPr="00B630EF" w:rsidRDefault="00B630EF" w:rsidP="00824394">
            <w:pPr>
              <w:pStyle w:val="Tabletext1"/>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B630EF">
              <w:rPr>
                <w:rFonts w:ascii="Arial Narrow" w:hAnsi="Arial Narrow"/>
                <w:szCs w:val="20"/>
              </w:rPr>
              <w:t>$5,853,261</w:t>
            </w:r>
          </w:p>
        </w:tc>
      </w:tr>
      <w:tr w:rsidR="00B630EF" w:rsidRPr="00B630EF" w14:paraId="22F8E0B1" w14:textId="77777777" w:rsidTr="00B630EF">
        <w:trPr>
          <w:trHeight w:val="300"/>
        </w:trPr>
        <w:tc>
          <w:tcPr>
            <w:cnfStyle w:val="001000000000" w:firstRow="0" w:lastRow="0" w:firstColumn="1" w:lastColumn="0" w:oddVBand="0" w:evenVBand="0" w:oddHBand="0" w:evenHBand="0" w:firstRowFirstColumn="0" w:firstRowLastColumn="0" w:lastRowFirstColumn="0" w:lastRowLastColumn="0"/>
            <w:tcW w:w="714" w:type="pct"/>
            <w:vMerge/>
          </w:tcPr>
          <w:p w14:paraId="7E9043EE" w14:textId="1805551A" w:rsidR="00B630EF" w:rsidRPr="00B630EF" w:rsidRDefault="00B630EF" w:rsidP="00824394">
            <w:pPr>
              <w:pStyle w:val="Tabletext1"/>
              <w:rPr>
                <w:rFonts w:ascii="Arial Narrow" w:hAnsi="Arial Narrow" w:cs="Calibri"/>
                <w:color w:val="000000"/>
                <w:szCs w:val="20"/>
              </w:rPr>
            </w:pPr>
          </w:p>
        </w:tc>
        <w:tc>
          <w:tcPr>
            <w:tcW w:w="780" w:type="pct"/>
            <w:noWrap/>
            <w:hideMark/>
          </w:tcPr>
          <w:p w14:paraId="7F8B0BB3" w14:textId="77777777" w:rsidR="00B630EF" w:rsidRPr="00B630EF" w:rsidRDefault="00B630EF" w:rsidP="00824394">
            <w:pPr>
              <w:pStyle w:val="Tabletext1"/>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B630EF">
              <w:rPr>
                <w:rFonts w:ascii="Arial Narrow" w:hAnsi="Arial Narrow"/>
                <w:szCs w:val="20"/>
              </w:rPr>
              <w:t>Net cost to Commonwealth health budgets</w:t>
            </w:r>
          </w:p>
        </w:tc>
        <w:tc>
          <w:tcPr>
            <w:tcW w:w="653" w:type="pct"/>
            <w:noWrap/>
            <w:hideMark/>
          </w:tcPr>
          <w:p w14:paraId="144CD72E" w14:textId="77777777" w:rsidR="00B630EF" w:rsidRPr="00B630EF" w:rsidRDefault="00B630EF" w:rsidP="00824394">
            <w:pPr>
              <w:pStyle w:val="Tabletext1"/>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B630EF">
              <w:rPr>
                <w:rFonts w:ascii="Arial Narrow" w:hAnsi="Arial Narrow"/>
                <w:szCs w:val="20"/>
              </w:rPr>
              <w:t>−$752,427</w:t>
            </w:r>
          </w:p>
        </w:tc>
        <w:tc>
          <w:tcPr>
            <w:tcW w:w="714" w:type="pct"/>
            <w:noWrap/>
            <w:hideMark/>
          </w:tcPr>
          <w:p w14:paraId="62E7AAA5" w14:textId="77777777" w:rsidR="00B630EF" w:rsidRPr="00B630EF" w:rsidRDefault="00B630EF" w:rsidP="00824394">
            <w:pPr>
              <w:pStyle w:val="Tabletext1"/>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B630EF">
              <w:rPr>
                <w:rFonts w:ascii="Arial Narrow" w:hAnsi="Arial Narrow"/>
                <w:szCs w:val="20"/>
              </w:rPr>
              <w:t>−$759,096</w:t>
            </w:r>
          </w:p>
        </w:tc>
        <w:tc>
          <w:tcPr>
            <w:tcW w:w="714" w:type="pct"/>
            <w:noWrap/>
            <w:hideMark/>
          </w:tcPr>
          <w:p w14:paraId="6C8A58DA" w14:textId="77777777" w:rsidR="00B630EF" w:rsidRPr="00B630EF" w:rsidRDefault="00B630EF" w:rsidP="00824394">
            <w:pPr>
              <w:pStyle w:val="Tabletext1"/>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B630EF">
              <w:rPr>
                <w:rFonts w:ascii="Arial Narrow" w:hAnsi="Arial Narrow"/>
                <w:szCs w:val="20"/>
              </w:rPr>
              <w:t>−$765,765</w:t>
            </w:r>
          </w:p>
        </w:tc>
        <w:tc>
          <w:tcPr>
            <w:tcW w:w="714" w:type="pct"/>
            <w:noWrap/>
            <w:hideMark/>
          </w:tcPr>
          <w:p w14:paraId="127F8607" w14:textId="77777777" w:rsidR="00B630EF" w:rsidRPr="00B630EF" w:rsidRDefault="00B630EF" w:rsidP="00824394">
            <w:pPr>
              <w:pStyle w:val="Tabletext1"/>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B630EF">
              <w:rPr>
                <w:rFonts w:ascii="Arial Narrow" w:hAnsi="Arial Narrow"/>
                <w:szCs w:val="20"/>
              </w:rPr>
              <w:t>−$772,434</w:t>
            </w:r>
          </w:p>
        </w:tc>
        <w:tc>
          <w:tcPr>
            <w:tcW w:w="711" w:type="pct"/>
            <w:noWrap/>
            <w:hideMark/>
          </w:tcPr>
          <w:p w14:paraId="4145847F" w14:textId="77777777" w:rsidR="00B630EF" w:rsidRPr="00B630EF" w:rsidRDefault="00B630EF" w:rsidP="00824394">
            <w:pPr>
              <w:pStyle w:val="Tabletext1"/>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B630EF">
              <w:rPr>
                <w:rFonts w:ascii="Arial Narrow" w:hAnsi="Arial Narrow"/>
                <w:szCs w:val="20"/>
              </w:rPr>
              <w:t>−$779,103</w:t>
            </w:r>
          </w:p>
        </w:tc>
      </w:tr>
      <w:tr w:rsidR="00B630EF" w:rsidRPr="00B630EF" w14:paraId="26E2A3BE" w14:textId="77777777" w:rsidTr="00B630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vMerge w:val="restart"/>
          </w:tcPr>
          <w:p w14:paraId="40D0B700" w14:textId="77777777" w:rsidR="00B630EF" w:rsidRPr="00B630EF" w:rsidRDefault="00B630EF" w:rsidP="00824394">
            <w:pPr>
              <w:pStyle w:val="Tabletext1"/>
              <w:rPr>
                <w:rFonts w:ascii="Arial Narrow" w:hAnsi="Arial Narrow"/>
                <w:szCs w:val="20"/>
              </w:rPr>
            </w:pPr>
            <w:r w:rsidRPr="00B630EF">
              <w:rPr>
                <w:rFonts w:ascii="Arial Narrow" w:hAnsi="Arial Narrow"/>
                <w:szCs w:val="20"/>
              </w:rPr>
              <w:t>Cost of per pharmacist review service, $91.01 (base case: $107.07)</w:t>
            </w:r>
          </w:p>
        </w:tc>
        <w:tc>
          <w:tcPr>
            <w:tcW w:w="780" w:type="pct"/>
            <w:noWrap/>
            <w:hideMark/>
          </w:tcPr>
          <w:p w14:paraId="22094688" w14:textId="77777777" w:rsidR="00B630EF" w:rsidRPr="00B630EF" w:rsidRDefault="00B630EF" w:rsidP="00824394">
            <w:pPr>
              <w:pStyle w:val="Tabletext1"/>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B630EF">
              <w:rPr>
                <w:rFonts w:ascii="Arial Narrow" w:hAnsi="Arial Narrow"/>
                <w:szCs w:val="20"/>
              </w:rPr>
              <w:t>Net cost of pharmacist intervention</w:t>
            </w:r>
          </w:p>
        </w:tc>
        <w:tc>
          <w:tcPr>
            <w:tcW w:w="653" w:type="pct"/>
            <w:noWrap/>
            <w:hideMark/>
          </w:tcPr>
          <w:p w14:paraId="58E3867A" w14:textId="77777777" w:rsidR="00B630EF" w:rsidRPr="00B630EF" w:rsidRDefault="00B630EF" w:rsidP="00824394">
            <w:pPr>
              <w:pStyle w:val="Tabletext1"/>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B630EF">
              <w:rPr>
                <w:rFonts w:ascii="Arial Narrow" w:hAnsi="Arial Narrow"/>
                <w:szCs w:val="20"/>
              </w:rPr>
              <w:t>$4,389,616</w:t>
            </w:r>
          </w:p>
        </w:tc>
        <w:tc>
          <w:tcPr>
            <w:tcW w:w="714" w:type="pct"/>
            <w:noWrap/>
            <w:hideMark/>
          </w:tcPr>
          <w:p w14:paraId="2BAAE391" w14:textId="77777777" w:rsidR="00B630EF" w:rsidRPr="00B630EF" w:rsidRDefault="00B630EF" w:rsidP="00824394">
            <w:pPr>
              <w:pStyle w:val="Tabletext1"/>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B630EF">
              <w:rPr>
                <w:rFonts w:ascii="Arial Narrow" w:hAnsi="Arial Narrow"/>
                <w:szCs w:val="20"/>
              </w:rPr>
              <w:t>$4,428,522</w:t>
            </w:r>
          </w:p>
        </w:tc>
        <w:tc>
          <w:tcPr>
            <w:tcW w:w="714" w:type="pct"/>
            <w:noWrap/>
            <w:hideMark/>
          </w:tcPr>
          <w:p w14:paraId="55E90512" w14:textId="77777777" w:rsidR="00B630EF" w:rsidRPr="00B630EF" w:rsidRDefault="00B630EF" w:rsidP="00824394">
            <w:pPr>
              <w:pStyle w:val="Tabletext1"/>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B630EF">
              <w:rPr>
                <w:rFonts w:ascii="Arial Narrow" w:hAnsi="Arial Narrow"/>
                <w:szCs w:val="20"/>
              </w:rPr>
              <w:t>$4,467,429</w:t>
            </w:r>
          </w:p>
        </w:tc>
        <w:tc>
          <w:tcPr>
            <w:tcW w:w="714" w:type="pct"/>
            <w:noWrap/>
            <w:hideMark/>
          </w:tcPr>
          <w:p w14:paraId="677463BF" w14:textId="77777777" w:rsidR="00B630EF" w:rsidRPr="00B630EF" w:rsidRDefault="00B630EF" w:rsidP="00824394">
            <w:pPr>
              <w:pStyle w:val="Tabletext1"/>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B630EF">
              <w:rPr>
                <w:rFonts w:ascii="Arial Narrow" w:hAnsi="Arial Narrow"/>
                <w:szCs w:val="20"/>
              </w:rPr>
              <w:t>$4,506,335</w:t>
            </w:r>
          </w:p>
        </w:tc>
        <w:tc>
          <w:tcPr>
            <w:tcW w:w="711" w:type="pct"/>
            <w:noWrap/>
            <w:hideMark/>
          </w:tcPr>
          <w:p w14:paraId="772378EA" w14:textId="77777777" w:rsidR="00B630EF" w:rsidRPr="00B630EF" w:rsidRDefault="00B630EF" w:rsidP="00824394">
            <w:pPr>
              <w:pStyle w:val="Tabletext1"/>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B630EF">
              <w:rPr>
                <w:rFonts w:ascii="Arial Narrow" w:hAnsi="Arial Narrow"/>
                <w:szCs w:val="20"/>
              </w:rPr>
              <w:t>$4,545,242</w:t>
            </w:r>
          </w:p>
        </w:tc>
      </w:tr>
      <w:tr w:rsidR="00B630EF" w:rsidRPr="00B630EF" w14:paraId="22CA51BC" w14:textId="77777777" w:rsidTr="00B630EF">
        <w:trPr>
          <w:trHeight w:val="300"/>
        </w:trPr>
        <w:tc>
          <w:tcPr>
            <w:cnfStyle w:val="001000000000" w:firstRow="0" w:lastRow="0" w:firstColumn="1" w:lastColumn="0" w:oddVBand="0" w:evenVBand="0" w:oddHBand="0" w:evenHBand="0" w:firstRowFirstColumn="0" w:firstRowLastColumn="0" w:lastRowFirstColumn="0" w:lastRowLastColumn="0"/>
            <w:tcW w:w="714" w:type="pct"/>
            <w:vMerge/>
          </w:tcPr>
          <w:p w14:paraId="5FB077E1" w14:textId="1F9E7E92" w:rsidR="00B630EF" w:rsidRPr="00B630EF" w:rsidRDefault="00B630EF" w:rsidP="00824394">
            <w:pPr>
              <w:pStyle w:val="Tabletext1"/>
              <w:rPr>
                <w:rFonts w:ascii="Arial Narrow" w:hAnsi="Arial Narrow" w:cs="Calibri"/>
                <w:color w:val="000000"/>
                <w:szCs w:val="20"/>
              </w:rPr>
            </w:pPr>
          </w:p>
        </w:tc>
        <w:tc>
          <w:tcPr>
            <w:tcW w:w="780" w:type="pct"/>
            <w:noWrap/>
            <w:hideMark/>
          </w:tcPr>
          <w:p w14:paraId="0FF3D400" w14:textId="77777777" w:rsidR="00B630EF" w:rsidRPr="00B630EF" w:rsidRDefault="00B630EF" w:rsidP="00824394">
            <w:pPr>
              <w:pStyle w:val="Tabletext1"/>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B630EF">
              <w:rPr>
                <w:rFonts w:ascii="Arial Narrow" w:hAnsi="Arial Narrow"/>
                <w:szCs w:val="20"/>
              </w:rPr>
              <w:t>Net cost to Commonwealth health budgets</w:t>
            </w:r>
          </w:p>
        </w:tc>
        <w:tc>
          <w:tcPr>
            <w:tcW w:w="653" w:type="pct"/>
            <w:noWrap/>
            <w:hideMark/>
          </w:tcPr>
          <w:p w14:paraId="1818AEA3" w14:textId="77777777" w:rsidR="00B630EF" w:rsidRPr="00B630EF" w:rsidRDefault="00B630EF" w:rsidP="00824394">
            <w:pPr>
              <w:pStyle w:val="Tabletext1"/>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B630EF">
              <w:rPr>
                <w:rFonts w:ascii="Arial Narrow" w:hAnsi="Arial Narrow"/>
                <w:szCs w:val="20"/>
              </w:rPr>
              <w:t>−$2,015,660</w:t>
            </w:r>
          </w:p>
        </w:tc>
        <w:tc>
          <w:tcPr>
            <w:tcW w:w="714" w:type="pct"/>
            <w:noWrap/>
            <w:hideMark/>
          </w:tcPr>
          <w:p w14:paraId="05F06442" w14:textId="77777777" w:rsidR="00B630EF" w:rsidRPr="00B630EF" w:rsidRDefault="00B630EF" w:rsidP="00824394">
            <w:pPr>
              <w:pStyle w:val="Tabletext1"/>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B630EF">
              <w:rPr>
                <w:rFonts w:ascii="Arial Narrow" w:hAnsi="Arial Narrow"/>
                <w:szCs w:val="20"/>
              </w:rPr>
              <w:t>−$2,033,526</w:t>
            </w:r>
          </w:p>
        </w:tc>
        <w:tc>
          <w:tcPr>
            <w:tcW w:w="714" w:type="pct"/>
            <w:noWrap/>
            <w:hideMark/>
          </w:tcPr>
          <w:p w14:paraId="7242DE90" w14:textId="77777777" w:rsidR="00B630EF" w:rsidRPr="00B630EF" w:rsidRDefault="00B630EF" w:rsidP="00824394">
            <w:pPr>
              <w:pStyle w:val="Tabletext1"/>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B630EF">
              <w:rPr>
                <w:rFonts w:ascii="Arial Narrow" w:hAnsi="Arial Narrow"/>
                <w:szCs w:val="20"/>
              </w:rPr>
              <w:t>−$2,051,391</w:t>
            </w:r>
          </w:p>
        </w:tc>
        <w:tc>
          <w:tcPr>
            <w:tcW w:w="714" w:type="pct"/>
            <w:noWrap/>
            <w:hideMark/>
          </w:tcPr>
          <w:p w14:paraId="0A61290F" w14:textId="77777777" w:rsidR="00B630EF" w:rsidRPr="00B630EF" w:rsidRDefault="00B630EF" w:rsidP="00824394">
            <w:pPr>
              <w:pStyle w:val="Tabletext1"/>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B630EF">
              <w:rPr>
                <w:rFonts w:ascii="Arial Narrow" w:hAnsi="Arial Narrow"/>
                <w:szCs w:val="20"/>
              </w:rPr>
              <w:t>−$2,069,257</w:t>
            </w:r>
          </w:p>
        </w:tc>
        <w:tc>
          <w:tcPr>
            <w:tcW w:w="711" w:type="pct"/>
            <w:noWrap/>
            <w:hideMark/>
          </w:tcPr>
          <w:p w14:paraId="4C70E9E8" w14:textId="77777777" w:rsidR="00B630EF" w:rsidRPr="00B630EF" w:rsidRDefault="00B630EF" w:rsidP="00824394">
            <w:pPr>
              <w:pStyle w:val="Tabletext1"/>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B630EF">
              <w:rPr>
                <w:rFonts w:ascii="Arial Narrow" w:hAnsi="Arial Narrow"/>
                <w:szCs w:val="20"/>
              </w:rPr>
              <w:t>−$2,087,122</w:t>
            </w:r>
          </w:p>
        </w:tc>
      </w:tr>
    </w:tbl>
    <w:p w14:paraId="6AA2CF17" w14:textId="4521EC5B" w:rsidR="006A30D9" w:rsidRDefault="006A30D9" w:rsidP="00897C5B">
      <w:pPr>
        <w:pStyle w:val="Caption"/>
      </w:pPr>
      <w:bookmarkStart w:id="287" w:name="_Ref65855483"/>
      <w:r>
        <w:t>Table</w:t>
      </w:r>
      <w:bookmarkEnd w:id="287"/>
      <w:r w:rsidR="00A648B6">
        <w:t xml:space="preserve"> E-</w:t>
      </w:r>
      <w:r w:rsidR="008A7B2A">
        <w:t>5</w:t>
      </w:r>
      <w:r w:rsidR="00B630EF">
        <w:t xml:space="preserve"> </w:t>
      </w:r>
      <w:r>
        <w:t>Sensitivity analyses around the financial implications to the MBS and Commonwealth health budgets</w:t>
      </w:r>
    </w:p>
    <w:p w14:paraId="0E6580D1" w14:textId="31AD448F" w:rsidR="00A648B6" w:rsidRDefault="006A30D9" w:rsidP="007501B9">
      <w:r>
        <w:t xml:space="preserve">The net costs of the potential pharmacist intervention program were moderately sensitive to the changes explored, </w:t>
      </w:r>
      <w:proofErr w:type="gramStart"/>
      <w:r>
        <w:t>in particular the</w:t>
      </w:r>
      <w:proofErr w:type="gramEnd"/>
      <w:r>
        <w:t xml:space="preserve"> proportion of residents considered eligible for the pharmacist-led intervention. The net costs to Commonwealth health budgets were similarly affected, however analyses exploring increases in cost of pharmacist-led interventions substantially reduced the estimated cost-savings, in particular the increase in the average number of services from five to six reduced the cost savings from $1.2 million per</w:t>
      </w:r>
      <w:r w:rsidR="00A648B6">
        <w:t xml:space="preserve"> year to $0.2 million per year.</w:t>
      </w:r>
    </w:p>
    <w:p w14:paraId="5F2BFF9C" w14:textId="77777777" w:rsidR="00A648B6" w:rsidRDefault="00A648B6" w:rsidP="007501B9">
      <w:r>
        <w:br w:type="page"/>
      </w:r>
    </w:p>
    <w:p w14:paraId="6C658570" w14:textId="2D7691F2" w:rsidR="0077418B" w:rsidRPr="00F42B1D" w:rsidRDefault="0077418B" w:rsidP="00391CFD">
      <w:pPr>
        <w:pStyle w:val="Heading1"/>
      </w:pPr>
      <w:bookmarkStart w:id="288" w:name="_Toc379118085"/>
      <w:bookmarkStart w:id="289" w:name="_Toc381796472"/>
      <w:bookmarkStart w:id="290" w:name="_Toc117758286"/>
      <w:bookmarkStart w:id="291" w:name="_Toc381796487"/>
      <w:r w:rsidRPr="00F42B1D">
        <w:lastRenderedPageBreak/>
        <w:t>Section F</w:t>
      </w:r>
      <w:r w:rsidRPr="00F42B1D">
        <w:tab/>
        <w:t>Other relevant considerations</w:t>
      </w:r>
      <w:bookmarkEnd w:id="288"/>
      <w:bookmarkEnd w:id="289"/>
      <w:bookmarkEnd w:id="290"/>
    </w:p>
    <w:p w14:paraId="4ECD9F10" w14:textId="24C38530" w:rsidR="005A70F1" w:rsidRPr="00F42B1D" w:rsidRDefault="00822D79" w:rsidP="0084765B">
      <w:pPr>
        <w:pStyle w:val="Heading2-SectionF"/>
      </w:pPr>
      <w:bookmarkStart w:id="292" w:name="_Toc117758287"/>
      <w:r w:rsidRPr="00F42B1D">
        <w:t>Case studies</w:t>
      </w:r>
      <w:bookmarkEnd w:id="292"/>
    </w:p>
    <w:p w14:paraId="415C1B61" w14:textId="02149FF7" w:rsidR="00F70E41" w:rsidRPr="00F42B1D" w:rsidRDefault="00F70E41" w:rsidP="007501B9">
      <w:r w:rsidRPr="00F42B1D">
        <w:t>Case studies have been produced with consent from trial participants</w:t>
      </w:r>
      <w:r w:rsidR="007501B9">
        <w:t xml:space="preserve">. </w:t>
      </w:r>
      <w:r w:rsidR="004469CB" w:rsidRPr="00F42B1D">
        <w:t>*</w:t>
      </w:r>
      <w:r w:rsidRPr="00F42B1D">
        <w:t xml:space="preserve">The clinical vignette represents each </w:t>
      </w:r>
      <w:proofErr w:type="gramStart"/>
      <w:r w:rsidRPr="00F42B1D">
        <w:t>case,</w:t>
      </w:r>
      <w:proofErr w:type="gramEnd"/>
      <w:r w:rsidRPr="00F42B1D">
        <w:t xml:space="preserve"> however, names and circumstances have been changed, </w:t>
      </w:r>
    </w:p>
    <w:p w14:paraId="059327AB" w14:textId="7BD94CEA" w:rsidR="005A70F1" w:rsidRPr="00A96C0F" w:rsidRDefault="005A70F1" w:rsidP="00897C5B">
      <w:pPr>
        <w:pStyle w:val="Heading3"/>
      </w:pPr>
      <w:bookmarkStart w:id="293" w:name="_Toc117758288"/>
      <w:r w:rsidRPr="00A96C0F">
        <w:t>Case study – Barbara*</w:t>
      </w:r>
      <w:bookmarkEnd w:id="293"/>
    </w:p>
    <w:p w14:paraId="79656CE9" w14:textId="77777777" w:rsidR="005A70F1" w:rsidRPr="003D1EFD" w:rsidRDefault="005A70F1" w:rsidP="007501B9">
      <w:r w:rsidRPr="003D1EFD">
        <w:t>“My medicines are making me ‘gag’!”</w:t>
      </w:r>
    </w:p>
    <w:p w14:paraId="431023C6" w14:textId="1F1FE53A" w:rsidR="005A70F1" w:rsidRPr="00F42B1D" w:rsidRDefault="005A70F1" w:rsidP="007501B9">
      <w:r w:rsidRPr="00F42B1D">
        <w:t>Barbara was born in regional Australia where she has lived most of her life</w:t>
      </w:r>
      <w:r w:rsidR="007501B9">
        <w:t xml:space="preserve">. </w:t>
      </w:r>
      <w:r w:rsidRPr="00F42B1D">
        <w:t xml:space="preserve">Barbara </w:t>
      </w:r>
      <w:r w:rsidR="003D1EFD">
        <w:t>n</w:t>
      </w:r>
      <w:r w:rsidR="003D1EFD" w:rsidRPr="00F42B1D">
        <w:t>ow</w:t>
      </w:r>
      <w:r w:rsidR="003D1EFD">
        <w:t xml:space="preserve"> </w:t>
      </w:r>
      <w:r w:rsidRPr="00F42B1D">
        <w:t xml:space="preserve">lives in the local residential </w:t>
      </w:r>
      <w:r w:rsidR="00812C48">
        <w:t>aged care</w:t>
      </w:r>
      <w:r w:rsidRPr="00F42B1D">
        <w:t xml:space="preserve"> facility</w:t>
      </w:r>
      <w:r w:rsidR="003D1EFD">
        <w:t>. S</w:t>
      </w:r>
      <w:r w:rsidRPr="00F42B1D">
        <w:t xml:space="preserve">he uses 11 regular medications to manage her multiple comorbidities including hyperlipidaemia, hypertension, diabetes, congestive heart failure, renal </w:t>
      </w:r>
      <w:proofErr w:type="gramStart"/>
      <w:r w:rsidRPr="00F42B1D">
        <w:t>failure</w:t>
      </w:r>
      <w:proofErr w:type="gramEnd"/>
      <w:r w:rsidRPr="00F42B1D">
        <w:t xml:space="preserve"> and depression</w:t>
      </w:r>
      <w:r w:rsidR="007501B9">
        <w:t xml:space="preserve">. </w:t>
      </w:r>
      <w:r w:rsidRPr="00F42B1D">
        <w:t>She also has 8 medicines prescribed for use when necessary</w:t>
      </w:r>
      <w:r w:rsidR="007501B9">
        <w:t xml:space="preserve">. </w:t>
      </w:r>
      <w:r w:rsidRPr="00F42B1D">
        <w:t>She has been a ver</w:t>
      </w:r>
      <w:r w:rsidR="00447D5F" w:rsidRPr="00F42B1D">
        <w:t xml:space="preserve">y active member of the facility, </w:t>
      </w:r>
      <w:r w:rsidRPr="00F42B1D">
        <w:t xml:space="preserve">an avid reader and </w:t>
      </w:r>
      <w:r w:rsidR="00447D5F" w:rsidRPr="00F42B1D">
        <w:t xml:space="preserve">is </w:t>
      </w:r>
      <w:r w:rsidRPr="00F42B1D">
        <w:t>passionate about completing cross words.</w:t>
      </w:r>
    </w:p>
    <w:p w14:paraId="5D3949F4" w14:textId="1F69D208" w:rsidR="005A70F1" w:rsidRPr="00F42B1D" w:rsidRDefault="005A70F1" w:rsidP="007501B9">
      <w:r w:rsidRPr="00F42B1D">
        <w:t xml:space="preserve">Barbara recently had a stroke and returned from the hospital with </w:t>
      </w:r>
      <w:proofErr w:type="gramStart"/>
      <w:r w:rsidRPr="00F42B1D">
        <w:t>a large number of</w:t>
      </w:r>
      <w:proofErr w:type="gramEnd"/>
      <w:r w:rsidRPr="00F42B1D">
        <w:t xml:space="preserve"> new medications</w:t>
      </w:r>
      <w:r w:rsidR="007501B9">
        <w:t xml:space="preserve">. </w:t>
      </w:r>
      <w:r w:rsidRPr="00F42B1D">
        <w:t>Despite being back in the facility,</w:t>
      </w:r>
      <w:r w:rsidRPr="00F42B1D">
        <w:rPr>
          <w:b/>
        </w:rPr>
        <w:t xml:space="preserve"> Barbara was still feeling very unwell after her stroke and could no longer complete the cognitive assessments for the </w:t>
      </w:r>
      <w:proofErr w:type="spellStart"/>
      <w:r w:rsidRPr="00F42B1D">
        <w:rPr>
          <w:b/>
        </w:rPr>
        <w:t>ReMInDAR</w:t>
      </w:r>
      <w:proofErr w:type="spellEnd"/>
      <w:r w:rsidRPr="00F42B1D">
        <w:rPr>
          <w:b/>
        </w:rPr>
        <w:t xml:space="preserve"> trial, which she had been able to complete prior to her stroke</w:t>
      </w:r>
      <w:r w:rsidR="007501B9">
        <w:t xml:space="preserve">. </w:t>
      </w:r>
      <w:r w:rsidRPr="00F42B1D">
        <w:t>Her mood was very low.</w:t>
      </w:r>
    </w:p>
    <w:p w14:paraId="4A06814E" w14:textId="4B13F57B" w:rsidR="005A70F1" w:rsidRPr="003D1EFD" w:rsidRDefault="005A70F1" w:rsidP="007501B9">
      <w:pPr>
        <w:rPr>
          <w:b/>
        </w:rPr>
      </w:pPr>
      <w:r w:rsidRPr="00F42B1D">
        <w:t xml:space="preserve">The pharmacist asked Barbara “What bothers you the most?” to which Barbara expressed real concern about her medications and said that all her medications were making her feel </w:t>
      </w:r>
      <w:proofErr w:type="gramStart"/>
      <w:r w:rsidRPr="00F42B1D">
        <w:t>really nauseous</w:t>
      </w:r>
      <w:proofErr w:type="gramEnd"/>
      <w:r w:rsidRPr="00F42B1D">
        <w:t xml:space="preserve">. Barbara said she was </w:t>
      </w:r>
      <w:r w:rsidRPr="003D1EFD">
        <w:rPr>
          <w:b/>
        </w:rPr>
        <w:t>“most terrified of the sound of the nurses pushing the medication trolley to her room each day”.</w:t>
      </w:r>
    </w:p>
    <w:p w14:paraId="45391F58" w14:textId="03466F95" w:rsidR="005A70F1" w:rsidRPr="00F42B1D" w:rsidRDefault="005A70F1" w:rsidP="007501B9">
      <w:r w:rsidRPr="00F42B1D">
        <w:t xml:space="preserve">As Barbara could not swallow her medications after her stroke, the nursing staff have been crushing the medications and the mixture was very </w:t>
      </w:r>
      <w:r w:rsidR="00447D5F" w:rsidRPr="00F42B1D">
        <w:t>unpalatable and made her “gag”.</w:t>
      </w:r>
      <w:r w:rsidR="003D1EFD">
        <w:t xml:space="preserve"> </w:t>
      </w:r>
      <w:r w:rsidRPr="00F42B1D">
        <w:t xml:space="preserve">The </w:t>
      </w:r>
      <w:proofErr w:type="spellStart"/>
      <w:r w:rsidRPr="00F42B1D">
        <w:t>ReMInDAR</w:t>
      </w:r>
      <w:proofErr w:type="spellEnd"/>
      <w:r w:rsidRPr="00F42B1D">
        <w:t xml:space="preserve"> pharmacist reviewed and reconciled Barbara’s medicine and identified medicines which had been ceased in the hospital but were still on the me</w:t>
      </w:r>
      <w:r w:rsidR="00447D5F" w:rsidRPr="00F42B1D">
        <w:t>dication chart in the facility.</w:t>
      </w:r>
    </w:p>
    <w:p w14:paraId="3B744CCF" w14:textId="5113F0F9" w:rsidR="005A70F1" w:rsidRPr="00F42B1D" w:rsidRDefault="005A70F1" w:rsidP="007501B9">
      <w:r w:rsidRPr="00F42B1D">
        <w:t xml:space="preserve">The pharmacist discussed Barbara’s concerns and the issue of gagging with her GP and as a result Barbara was taken off many of her tablets, the dose was reduced for some medications and some of her medications </w:t>
      </w:r>
      <w:r w:rsidR="00447D5F" w:rsidRPr="00F42B1D">
        <w:t>were changed to liquid forms.</w:t>
      </w:r>
    </w:p>
    <w:p w14:paraId="77B372DE" w14:textId="77777777" w:rsidR="005A70F1" w:rsidRPr="00656AC8" w:rsidRDefault="005A70F1" w:rsidP="007501B9">
      <w:r w:rsidRPr="00656AC8">
        <w:t xml:space="preserve">Barbara’s spirits </w:t>
      </w:r>
      <w:proofErr w:type="gramStart"/>
      <w:r w:rsidRPr="00656AC8">
        <w:t>improved,</w:t>
      </w:r>
      <w:proofErr w:type="gramEnd"/>
      <w:r w:rsidRPr="00656AC8">
        <w:t xml:space="preserve"> her cognition improved.</w:t>
      </w:r>
    </w:p>
    <w:p w14:paraId="3A4AAE67" w14:textId="6875613D" w:rsidR="005A70F1" w:rsidRPr="00F42B1D" w:rsidRDefault="005A70F1" w:rsidP="007501B9">
      <w:r w:rsidRPr="00F42B1D">
        <w:t xml:space="preserve">During subsequent pharmacist sessions, Barbara’s spirits had greatly </w:t>
      </w:r>
      <w:proofErr w:type="gramStart"/>
      <w:r w:rsidRPr="00F42B1D">
        <w:t>improved</w:t>
      </w:r>
      <w:proofErr w:type="gramEnd"/>
      <w:r w:rsidRPr="00F42B1D">
        <w:t xml:space="preserve"> and she was once again able to complete the </w:t>
      </w:r>
      <w:r w:rsidR="003D1EFD" w:rsidRPr="00F42B1D">
        <w:t>cognitive assessments</w:t>
      </w:r>
      <w:r w:rsidR="007501B9">
        <w:t xml:space="preserve">. </w:t>
      </w:r>
      <w:r w:rsidRPr="00F42B1D">
        <w:t xml:space="preserve">Barbara was visibly much happier </w:t>
      </w:r>
      <w:r w:rsidRPr="00F42B1D">
        <w:lastRenderedPageBreak/>
        <w:t>and was very grateful to the pharmacist for intervening on her behalf</w:t>
      </w:r>
      <w:r w:rsidR="007501B9">
        <w:t xml:space="preserve">. </w:t>
      </w:r>
      <w:r w:rsidRPr="00F42B1D">
        <w:t xml:space="preserve">The pharmacist’s </w:t>
      </w:r>
      <w:r w:rsidR="003D1EFD">
        <w:t>advocacy</w:t>
      </w:r>
      <w:r w:rsidRPr="00F42B1D">
        <w:t xml:space="preserve"> on her behalf significantly improved Barbara’s outlook and quality of life.</w:t>
      </w:r>
    </w:p>
    <w:p w14:paraId="62C1EAC0" w14:textId="055A4E2C" w:rsidR="00112049" w:rsidRPr="00A96C0F" w:rsidRDefault="005A70F1" w:rsidP="00897C5B">
      <w:pPr>
        <w:pStyle w:val="Heading3"/>
      </w:pPr>
      <w:bookmarkStart w:id="294" w:name="_Toc49353586"/>
      <w:bookmarkStart w:id="295" w:name="_Toc117758289"/>
      <w:r w:rsidRPr="00A96C0F">
        <w:t>Case study – Mary*</w:t>
      </w:r>
      <w:bookmarkEnd w:id="294"/>
      <w:bookmarkEnd w:id="295"/>
    </w:p>
    <w:p w14:paraId="5E912C90" w14:textId="015631D2" w:rsidR="00373959" w:rsidRPr="003D1EFD" w:rsidRDefault="00373959" w:rsidP="007501B9">
      <w:r w:rsidRPr="003D1EFD">
        <w:t>Too scared to say I’m bleeding</w:t>
      </w:r>
    </w:p>
    <w:p w14:paraId="02677E89" w14:textId="4272D5F0" w:rsidR="005A70F1" w:rsidRPr="00F42B1D" w:rsidRDefault="005A70F1" w:rsidP="007501B9">
      <w:r w:rsidRPr="00F42B1D">
        <w:t xml:space="preserve">88-year-old Mary has been living in residential </w:t>
      </w:r>
      <w:r w:rsidR="00812C48">
        <w:t>aged care</w:t>
      </w:r>
      <w:r w:rsidRPr="00F42B1D">
        <w:t xml:space="preserve"> for almost a year</w:t>
      </w:r>
      <w:r w:rsidR="007501B9">
        <w:t xml:space="preserve">. </w:t>
      </w:r>
      <w:r w:rsidRPr="00F42B1D">
        <w:t>Mary</w:t>
      </w:r>
      <w:r w:rsidR="00C72391">
        <w:t>,</w:t>
      </w:r>
      <w:r w:rsidRPr="00F42B1D">
        <w:t xml:space="preserve"> </w:t>
      </w:r>
      <w:r w:rsidR="00C72391" w:rsidRPr="00F42B1D">
        <w:t>who has several children</w:t>
      </w:r>
      <w:r w:rsidR="00C72391">
        <w:t>,</w:t>
      </w:r>
      <w:r w:rsidR="00C72391" w:rsidRPr="00F42B1D">
        <w:t xml:space="preserve"> </w:t>
      </w:r>
      <w:r w:rsidRPr="00F42B1D">
        <w:t>is a widow of many years</w:t>
      </w:r>
      <w:r w:rsidR="00C72391">
        <w:t>. She</w:t>
      </w:r>
      <w:r w:rsidRPr="00F42B1D">
        <w:t xml:space="preserve"> dotes on her grandchildren. </w:t>
      </w:r>
    </w:p>
    <w:p w14:paraId="576E08A9" w14:textId="2EFA9571" w:rsidR="005A70F1" w:rsidRPr="00F42B1D" w:rsidRDefault="005A70F1" w:rsidP="007501B9">
      <w:r w:rsidRPr="00F42B1D">
        <w:t>Mary is quite active, with a keen interest in craft. She is on medicines to manage her atrial fibrillation and hypertension</w:t>
      </w:r>
      <w:r w:rsidR="007501B9">
        <w:t xml:space="preserve">. </w:t>
      </w:r>
      <w:r w:rsidRPr="00F42B1D">
        <w:t>She has never smoked and doesn’t drink</w:t>
      </w:r>
      <w:r w:rsidR="007501B9">
        <w:t xml:space="preserve">. </w:t>
      </w:r>
      <w:r w:rsidRPr="00F42B1D">
        <w:t xml:space="preserve">She has cataracts which are affecting her ability to do craftwork. </w:t>
      </w:r>
    </w:p>
    <w:p w14:paraId="334F32C2" w14:textId="77777777" w:rsidR="005A70F1" w:rsidRPr="00656AC8" w:rsidRDefault="005A70F1" w:rsidP="007501B9">
      <w:r w:rsidRPr="00656AC8">
        <w:t>Mary feared the worst so kept her problems to herself.</w:t>
      </w:r>
    </w:p>
    <w:p w14:paraId="005B1486" w14:textId="41753A8C" w:rsidR="005A70F1" w:rsidRPr="00F42B1D" w:rsidRDefault="005A70F1" w:rsidP="007501B9">
      <w:r w:rsidRPr="00F42B1D">
        <w:t xml:space="preserve">The </w:t>
      </w:r>
      <w:proofErr w:type="spellStart"/>
      <w:r w:rsidRPr="00F42B1D">
        <w:t>ReMInDAR</w:t>
      </w:r>
      <w:proofErr w:type="spellEnd"/>
      <w:r w:rsidRPr="00F42B1D">
        <w:t xml:space="preserve"> pharmacist spent time with Mary, and during the first session discovered that Mary </w:t>
      </w:r>
      <w:r w:rsidR="00C72391">
        <w:t>was concerned</w:t>
      </w:r>
      <w:r w:rsidRPr="00F42B1D">
        <w:t xml:space="preserve"> that she sometimes has bright red blood in her stool</w:t>
      </w:r>
      <w:r w:rsidR="007501B9">
        <w:t xml:space="preserve">. </w:t>
      </w:r>
      <w:r w:rsidRPr="00F42B1D">
        <w:t xml:space="preserve">Mary had kept this to herself because she feared needing to undergo </w:t>
      </w:r>
      <w:r w:rsidR="00C72391">
        <w:t xml:space="preserve">a </w:t>
      </w:r>
      <w:r w:rsidRPr="00F42B1D">
        <w:t>colonoscopy and “suspected the worst”</w:t>
      </w:r>
      <w:r w:rsidR="007501B9">
        <w:t xml:space="preserve">. </w:t>
      </w:r>
      <w:r w:rsidRPr="00F42B1D">
        <w:t>However, based on a review of Mary’s medications, the pharmacist suspected the bleeding might be due to the apixaban (5mg twice daily)</w:t>
      </w:r>
      <w:r w:rsidR="007501B9">
        <w:t xml:space="preserve">. </w:t>
      </w:r>
      <w:r w:rsidRPr="00F42B1D">
        <w:t xml:space="preserve">The pharmacist notified the nurse regarding the blood in the stool and asked for </w:t>
      </w:r>
      <w:r w:rsidR="00C72391">
        <w:t xml:space="preserve">the </w:t>
      </w:r>
      <w:r w:rsidRPr="00F42B1D">
        <w:t xml:space="preserve">general practitioner (GP) </w:t>
      </w:r>
      <w:r w:rsidR="00C72391">
        <w:t xml:space="preserve">to </w:t>
      </w:r>
      <w:r w:rsidRPr="00F42B1D">
        <w:t>review.</w:t>
      </w:r>
    </w:p>
    <w:p w14:paraId="412EF634" w14:textId="1FC3D3B4" w:rsidR="005A70F1" w:rsidRPr="00F42B1D" w:rsidRDefault="005A70F1" w:rsidP="007501B9">
      <w:r w:rsidRPr="00F42B1D">
        <w:t>During subsequent visits, the pharmacist noted that Mary was still experiencing blood in her stool once or twice a week. Mary was not constipated or straining while using the toilet</w:t>
      </w:r>
      <w:r w:rsidR="007501B9">
        <w:t xml:space="preserve">. </w:t>
      </w:r>
      <w:r w:rsidRPr="00F42B1D">
        <w:t>It didn’t appear that a GP review to address Mary’s concern had been undertake</w:t>
      </w:r>
      <w:r w:rsidR="004469CB" w:rsidRPr="00F42B1D">
        <w:t>n</w:t>
      </w:r>
      <w:r w:rsidR="007501B9">
        <w:t xml:space="preserve">. </w:t>
      </w:r>
      <w:r w:rsidR="004469CB" w:rsidRPr="00F42B1D">
        <w:t>Mary’s vital signs including weight, age and laboratory results indicating kidney function (</w:t>
      </w:r>
      <w:proofErr w:type="spellStart"/>
      <w:r w:rsidR="004469CB" w:rsidRPr="00F42B1D">
        <w:t>CrCl</w:t>
      </w:r>
      <w:proofErr w:type="spellEnd"/>
      <w:r w:rsidR="004469CB" w:rsidRPr="00F42B1D">
        <w:t xml:space="preserve"> =0.66mg/dL) were checked by the pharmacist</w:t>
      </w:r>
      <w:r w:rsidR="007501B9">
        <w:t xml:space="preserve">. </w:t>
      </w:r>
      <w:r w:rsidR="004469CB" w:rsidRPr="00F42B1D">
        <w:t xml:space="preserve">Considering </w:t>
      </w:r>
      <w:r w:rsidR="0082676D" w:rsidRPr="00F42B1D">
        <w:t xml:space="preserve">Marys’ </w:t>
      </w:r>
      <w:r w:rsidR="004469CB" w:rsidRPr="00F42B1D">
        <w:t>weight (&lt;60kg) and age</w:t>
      </w:r>
      <w:r w:rsidR="0082676D" w:rsidRPr="00F42B1D">
        <w:t xml:space="preserve"> (&gt;80 years old)</w:t>
      </w:r>
      <w:r w:rsidR="004469CB" w:rsidRPr="00F42B1D">
        <w:t xml:space="preserve">, the pharmacist contacted the GP again and recommended </w:t>
      </w:r>
      <w:r w:rsidR="00C72391">
        <w:t xml:space="preserve">a </w:t>
      </w:r>
      <w:r w:rsidR="004469CB" w:rsidRPr="00F42B1D">
        <w:t xml:space="preserve">reduction in </w:t>
      </w:r>
      <w:r w:rsidR="00C72391">
        <w:t xml:space="preserve">the </w:t>
      </w:r>
      <w:r w:rsidR="004469CB" w:rsidRPr="00F42B1D">
        <w:t>apixaban dose to 2.5mg</w:t>
      </w:r>
      <w:r w:rsidR="007501B9">
        <w:t xml:space="preserve">. </w:t>
      </w:r>
      <w:r w:rsidR="004469CB" w:rsidRPr="00F42B1D">
        <w:t>The GP did not think that the bleeding could be due to apixaban and therefore no changes were made.</w:t>
      </w:r>
    </w:p>
    <w:p w14:paraId="41A7F219" w14:textId="77777777" w:rsidR="005A70F1" w:rsidRPr="00656AC8" w:rsidRDefault="005A70F1" w:rsidP="007501B9">
      <w:r w:rsidRPr="00656AC8">
        <w:t>Persistence in GP communications pays off.</w:t>
      </w:r>
    </w:p>
    <w:p w14:paraId="62FF7CB3" w14:textId="0EF1CB59" w:rsidR="005A70F1" w:rsidRPr="00F42B1D" w:rsidRDefault="005A70F1" w:rsidP="007501B9">
      <w:r w:rsidRPr="00F42B1D">
        <w:t xml:space="preserve">The pharmacist continued to stress </w:t>
      </w:r>
      <w:r w:rsidR="0082676D" w:rsidRPr="00F42B1D">
        <w:t>Mary’s</w:t>
      </w:r>
      <w:r w:rsidRPr="00F42B1D">
        <w:t xml:space="preserve"> concerns about the bleeding to the GP and by the fourth pharmacist session, the GP finally agreed to trial reducing apixaban </w:t>
      </w:r>
      <w:r w:rsidR="00C72391">
        <w:t xml:space="preserve">from </w:t>
      </w:r>
      <w:r w:rsidRPr="00F42B1D">
        <w:t>5mg tw</w:t>
      </w:r>
      <w:r w:rsidR="001A2CBA" w:rsidRPr="00F42B1D">
        <w:t>ice daily to 2.5mg twice daily.</w:t>
      </w:r>
    </w:p>
    <w:p w14:paraId="7E5FD423" w14:textId="60D3D991" w:rsidR="005A70F1" w:rsidRPr="00F42B1D" w:rsidRDefault="005A70F1" w:rsidP="007501B9">
      <w:r w:rsidRPr="00F42B1D">
        <w:t>During follow up at the fifth pharmacist session, Mary told the pharmacist that the blood in stool had stopped recently and that she no longer had bruising. By the sixth session, Mary confirmed that her bleeding pr</w:t>
      </w:r>
      <w:r w:rsidR="001A2CBA" w:rsidRPr="00F42B1D">
        <w:t>oblems had resolved completely.</w:t>
      </w:r>
    </w:p>
    <w:p w14:paraId="3D5A3F3F" w14:textId="49107632" w:rsidR="005A70F1" w:rsidRPr="00F42B1D" w:rsidRDefault="005A70F1" w:rsidP="007501B9">
      <w:r w:rsidRPr="00F42B1D">
        <w:t>In this case study, the pharmacist continued to serve as an</w:t>
      </w:r>
      <w:r w:rsidR="0082676D" w:rsidRPr="00F42B1D">
        <w:t xml:space="preserve"> advocate for Mary </w:t>
      </w:r>
      <w:r w:rsidRPr="00F42B1D">
        <w:t xml:space="preserve">and made sure that </w:t>
      </w:r>
      <w:r w:rsidR="0082676D" w:rsidRPr="00F42B1D">
        <w:t>her</w:t>
      </w:r>
      <w:r w:rsidRPr="00F42B1D">
        <w:t xml:space="preserve"> concerns about her condition were foll</w:t>
      </w:r>
      <w:r w:rsidR="001A2CBA" w:rsidRPr="00F42B1D">
        <w:t>owed up by the GP and resolved.</w:t>
      </w:r>
    </w:p>
    <w:p w14:paraId="0DFB117D" w14:textId="367A8AB3" w:rsidR="005A70F1" w:rsidRPr="00A96C0F" w:rsidRDefault="005A70F1" w:rsidP="00897C5B">
      <w:pPr>
        <w:pStyle w:val="Heading3"/>
      </w:pPr>
      <w:bookmarkStart w:id="296" w:name="_Toc117758290"/>
      <w:r w:rsidRPr="00A96C0F">
        <w:lastRenderedPageBreak/>
        <w:t>Case study – Harry*</w:t>
      </w:r>
      <w:bookmarkEnd w:id="296"/>
    </w:p>
    <w:p w14:paraId="73DA9C08" w14:textId="77777777" w:rsidR="005A70F1" w:rsidRPr="00656AC8" w:rsidRDefault="005A70F1" w:rsidP="007501B9">
      <w:r w:rsidRPr="00656AC8">
        <w:t>Finally in my own bed!</w:t>
      </w:r>
    </w:p>
    <w:p w14:paraId="24A0E4E1" w14:textId="4AE8EC47" w:rsidR="005A70F1" w:rsidRPr="00F42B1D" w:rsidRDefault="005A70F1" w:rsidP="007501B9">
      <w:r w:rsidRPr="00F42B1D">
        <w:t>Harry is a</w:t>
      </w:r>
      <w:r w:rsidR="00C72391">
        <w:t>n</w:t>
      </w:r>
      <w:r w:rsidRPr="00F42B1D">
        <w:t xml:space="preserve"> </w:t>
      </w:r>
      <w:r w:rsidR="00C72391">
        <w:t>8</w:t>
      </w:r>
      <w:r w:rsidRPr="00F42B1D">
        <w:t>2-year-old client of residential aged care</w:t>
      </w:r>
      <w:r w:rsidR="007501B9">
        <w:t xml:space="preserve">. </w:t>
      </w:r>
      <w:r w:rsidRPr="00F42B1D">
        <w:t xml:space="preserve">In his working life, he was a </w:t>
      </w:r>
      <w:r w:rsidRPr="00F42B1D">
        <w:rPr>
          <w:color w:val="333333"/>
          <w:spacing w:val="8"/>
        </w:rPr>
        <w:t>town planner for the local council, and an active chess player</w:t>
      </w:r>
      <w:r w:rsidR="007501B9">
        <w:t xml:space="preserve">. </w:t>
      </w:r>
      <w:r w:rsidRPr="00F42B1D">
        <w:t>He is married and enjoys visits from his wife and their beagle</w:t>
      </w:r>
      <w:r w:rsidR="007501B9">
        <w:t xml:space="preserve">. </w:t>
      </w:r>
      <w:r w:rsidRPr="00F42B1D">
        <w:t>H</w:t>
      </w:r>
      <w:r w:rsidR="004469CB" w:rsidRPr="00F42B1D">
        <w:t>arry</w:t>
      </w:r>
      <w:r w:rsidRPr="00F42B1D">
        <w:t xml:space="preserve"> moved into </w:t>
      </w:r>
      <w:r w:rsidR="00812C48">
        <w:t>aged care</w:t>
      </w:r>
      <w:r w:rsidRPr="00F42B1D">
        <w:t xml:space="preserve"> because of his illnesses, which include incontinence, osteoarthritis, amnesia, obesity, obstructive sleep </w:t>
      </w:r>
      <w:r w:rsidR="000F4509" w:rsidRPr="00F42B1D">
        <w:t>apnoea</w:t>
      </w:r>
      <w:r w:rsidRPr="00F42B1D">
        <w:t xml:space="preserve">, transient cerebral ischaemic attacks, atrial fibrillation, cancer, dementia, depression, </w:t>
      </w:r>
      <w:proofErr w:type="gramStart"/>
      <w:r w:rsidRPr="00F42B1D">
        <w:t>anxiety</w:t>
      </w:r>
      <w:proofErr w:type="gramEnd"/>
      <w:r w:rsidRPr="00F42B1D">
        <w:t xml:space="preserve"> and hypertension; he has also been experiencing </w:t>
      </w:r>
      <w:r w:rsidR="001A2CBA" w:rsidRPr="00F42B1D">
        <w:t>recurrent falls.</w:t>
      </w:r>
    </w:p>
    <w:p w14:paraId="4B795CE3" w14:textId="77777777" w:rsidR="005A70F1" w:rsidRPr="00656AC8" w:rsidRDefault="005A70F1" w:rsidP="007501B9">
      <w:r w:rsidRPr="00656AC8">
        <w:t>Harry has been sleeping in hi</w:t>
      </w:r>
      <w:r w:rsidR="00727BF3" w:rsidRPr="00656AC8">
        <w:t>s chair for the last six months</w:t>
      </w:r>
    </w:p>
    <w:p w14:paraId="09ED3F71" w14:textId="29A3247B" w:rsidR="005A70F1" w:rsidRPr="00F42B1D" w:rsidRDefault="005A70F1" w:rsidP="007501B9">
      <w:r w:rsidRPr="00F42B1D">
        <w:t xml:space="preserve">Harry has been sleeping in his </w:t>
      </w:r>
      <w:proofErr w:type="gramStart"/>
      <w:r w:rsidRPr="00F42B1D">
        <w:t>arm chair</w:t>
      </w:r>
      <w:proofErr w:type="gramEnd"/>
      <w:r w:rsidRPr="00F42B1D">
        <w:t xml:space="preserve"> for the last six months, as he found his bed was too narrow and </w:t>
      </w:r>
      <w:r w:rsidR="00C72391">
        <w:t xml:space="preserve">he </w:t>
      </w:r>
      <w:r w:rsidRPr="00F42B1D">
        <w:t>was fearful he would fall out</w:t>
      </w:r>
      <w:r w:rsidR="007501B9">
        <w:t xml:space="preserve">. </w:t>
      </w:r>
      <w:r w:rsidRPr="00F42B1D">
        <w:t>Harry had swollen ankles and back pain, which was most probably from sleeping in his chair</w:t>
      </w:r>
      <w:r w:rsidR="007501B9">
        <w:t xml:space="preserve">. </w:t>
      </w:r>
      <w:r w:rsidRPr="00F42B1D">
        <w:t>Harry also thought his speech and mobility were declining</w:t>
      </w:r>
      <w:r w:rsidR="007501B9">
        <w:t xml:space="preserve">. </w:t>
      </w:r>
      <w:r w:rsidRPr="00F42B1D">
        <w:t xml:space="preserve">Harry was on 18 regular and eight “when required” medicine, which he was unhappy about, particularly the </w:t>
      </w:r>
      <w:r w:rsidRPr="00C72391">
        <w:rPr>
          <w:b/>
        </w:rPr>
        <w:t xml:space="preserve">“big orange tablets that catch his throat and irritates him for </w:t>
      </w:r>
      <w:r w:rsidR="00C72391">
        <w:rPr>
          <w:b/>
        </w:rPr>
        <w:t xml:space="preserve">a </w:t>
      </w:r>
      <w:r w:rsidRPr="00C72391">
        <w:rPr>
          <w:b/>
        </w:rPr>
        <w:t>f</w:t>
      </w:r>
      <w:r w:rsidR="004469CB" w:rsidRPr="00C72391">
        <w:rPr>
          <w:b/>
        </w:rPr>
        <w:t>ew hours”</w:t>
      </w:r>
      <w:r w:rsidR="004469CB" w:rsidRPr="00F42B1D">
        <w:t xml:space="preserve"> (Allopurinol 300mg).</w:t>
      </w:r>
    </w:p>
    <w:p w14:paraId="6DA796C2" w14:textId="08E9394E" w:rsidR="005A70F1" w:rsidRPr="00F42B1D" w:rsidRDefault="005A70F1" w:rsidP="007501B9">
      <w:r w:rsidRPr="00F42B1D">
        <w:t>Harry didn’t like living in the aged care facility</w:t>
      </w:r>
      <w:r w:rsidR="007501B9">
        <w:t xml:space="preserve">. </w:t>
      </w:r>
      <w:r w:rsidRPr="00F42B1D">
        <w:t>He was bored</w:t>
      </w:r>
      <w:r w:rsidR="007501B9">
        <w:t xml:space="preserve">. </w:t>
      </w:r>
      <w:r w:rsidRPr="00F42B1D">
        <w:t xml:space="preserve">His mental health was </w:t>
      </w:r>
      <w:proofErr w:type="gramStart"/>
      <w:r w:rsidRPr="00F42B1D">
        <w:t>poor</w:t>
      </w:r>
      <w:proofErr w:type="gramEnd"/>
      <w:r w:rsidRPr="00F42B1D">
        <w:t xml:space="preserve"> and he spent almost </w:t>
      </w:r>
      <w:r w:rsidR="00C72391">
        <w:t>all</w:t>
      </w:r>
      <w:r w:rsidRPr="00F42B1D">
        <w:t xml:space="preserve"> day in the same arm chair</w:t>
      </w:r>
      <w:r w:rsidR="007501B9">
        <w:t xml:space="preserve">. </w:t>
      </w:r>
      <w:r w:rsidR="004469CB" w:rsidRPr="00F42B1D">
        <w:t>Harry</w:t>
      </w:r>
      <w:r w:rsidRPr="00F42B1D">
        <w:t xml:space="preserve"> appeared to willingly self-isolate; refusing to leave his </w:t>
      </w:r>
      <w:proofErr w:type="gramStart"/>
      <w:r w:rsidRPr="00F42B1D">
        <w:t>room, and</w:t>
      </w:r>
      <w:proofErr w:type="gramEnd"/>
      <w:r w:rsidRPr="00F42B1D">
        <w:t xml:space="preserve"> </w:t>
      </w:r>
      <w:r w:rsidR="00C72391">
        <w:t xml:space="preserve">did </w:t>
      </w:r>
      <w:r w:rsidRPr="00F42B1D">
        <w:t>not engage in any wellness or social activities because they were “not interesting”</w:t>
      </w:r>
      <w:r w:rsidR="007501B9">
        <w:t xml:space="preserve">. </w:t>
      </w:r>
      <w:r w:rsidRPr="00F42B1D">
        <w:t>He also did not engage with the facility care staff, but he did look forward to the visits from his wife and his dog.</w:t>
      </w:r>
    </w:p>
    <w:p w14:paraId="514F7FF8" w14:textId="1AC11FB5" w:rsidR="005A70F1" w:rsidRPr="00F42B1D" w:rsidRDefault="005A70F1" w:rsidP="007501B9">
      <w:r w:rsidRPr="00F42B1D">
        <w:t>The REMINDAR pharmacist spent time with Harry and reviewed his medicines</w:t>
      </w:r>
      <w:r w:rsidR="007501B9">
        <w:t xml:space="preserve">. </w:t>
      </w:r>
      <w:r w:rsidRPr="00F42B1D">
        <w:t xml:space="preserve">The pharmacist discussed Harry’s issues with his doctor </w:t>
      </w:r>
      <w:r w:rsidR="00C72391">
        <w:t>after</w:t>
      </w:r>
      <w:r w:rsidRPr="00F42B1D">
        <w:t xml:space="preserve"> the second session</w:t>
      </w:r>
      <w:r w:rsidR="007501B9">
        <w:t xml:space="preserve">. </w:t>
      </w:r>
      <w:r w:rsidRPr="00F42B1D">
        <w:t>Subsequently, some of Harry’s medicines were removed, or substituted for smaller alternatives and the dose was reduced for few medications</w:t>
      </w:r>
      <w:r w:rsidR="007501B9">
        <w:t xml:space="preserve">. </w:t>
      </w:r>
      <w:r w:rsidRPr="00F42B1D">
        <w:t xml:space="preserve">At the same time, based on concerns expressed to the staff by the pharmacist, the Lifestyle co-ordinator made additional weekly one on one visits to Harry to try and find activities to </w:t>
      </w:r>
      <w:r w:rsidR="00727BF3" w:rsidRPr="00F42B1D">
        <w:t xml:space="preserve">improve his social engagement. </w:t>
      </w:r>
    </w:p>
    <w:p w14:paraId="71ED31B8" w14:textId="3FD7FA62" w:rsidR="005A70F1" w:rsidRPr="00F42B1D" w:rsidRDefault="00D64714" w:rsidP="007501B9">
      <w:r w:rsidRPr="00F42B1D">
        <w:t>At the</w:t>
      </w:r>
      <w:r w:rsidR="005A70F1" w:rsidRPr="00F42B1D">
        <w:t xml:space="preserve"> </w:t>
      </w:r>
      <w:proofErr w:type="spellStart"/>
      <w:r w:rsidR="005A70F1" w:rsidRPr="00F42B1D">
        <w:t>ReMInDAR</w:t>
      </w:r>
      <w:proofErr w:type="spellEnd"/>
      <w:r w:rsidR="005A70F1" w:rsidRPr="00F42B1D">
        <w:t xml:space="preserve"> pharmacist’s third visit, Harry expressed pleasure with these outcomes, especially </w:t>
      </w:r>
      <w:r w:rsidR="005A70F1" w:rsidRPr="00C72391">
        <w:rPr>
          <w:b/>
        </w:rPr>
        <w:t>not having to take any more “orange pills”</w:t>
      </w:r>
      <w:r w:rsidR="005A70F1" w:rsidRPr="00F42B1D">
        <w:t>, however, he was still not leaving his room</w:t>
      </w:r>
      <w:r w:rsidR="007501B9">
        <w:t xml:space="preserve">. </w:t>
      </w:r>
      <w:r w:rsidRPr="00F42B1D">
        <w:t>Despite</w:t>
      </w:r>
      <w:r w:rsidR="005A70F1" w:rsidRPr="00F42B1D">
        <w:t xml:space="preserve"> this</w:t>
      </w:r>
      <w:r w:rsidRPr="00F42B1D">
        <w:t>, the</w:t>
      </w:r>
      <w:r w:rsidR="005A70F1" w:rsidRPr="00F42B1D">
        <w:t xml:space="preserve"> small ‘win’ by the pharmacist helped establish a new relationship</w:t>
      </w:r>
      <w:r w:rsidRPr="00F42B1D">
        <w:t xml:space="preserve"> based on trust</w:t>
      </w:r>
      <w:r w:rsidR="007501B9">
        <w:t xml:space="preserve">. </w:t>
      </w:r>
      <w:r w:rsidR="005A70F1" w:rsidRPr="00F42B1D">
        <w:t xml:space="preserve">Harry continued to </w:t>
      </w:r>
      <w:proofErr w:type="gramStart"/>
      <w:r w:rsidR="005A70F1" w:rsidRPr="00F42B1D">
        <w:t>open up</w:t>
      </w:r>
      <w:proofErr w:type="gramEnd"/>
      <w:r w:rsidR="005A70F1" w:rsidRPr="00F42B1D">
        <w:t xml:space="preserve"> to the pharmacist about his problems and revealed that he had previously fallen out of his bed (unreported to staff) hence his anxiety abou</w:t>
      </w:r>
      <w:r w:rsidRPr="00F42B1D">
        <w:t>t sleeping in the current bed.</w:t>
      </w:r>
    </w:p>
    <w:p w14:paraId="33995DE0" w14:textId="251E09C7" w:rsidR="005A70F1" w:rsidRPr="00F42B1D" w:rsidRDefault="005A70F1" w:rsidP="007501B9">
      <w:r w:rsidRPr="00F42B1D">
        <w:t xml:space="preserve">The pharmacist told Harry she was </w:t>
      </w:r>
      <w:r w:rsidRPr="00C72391">
        <w:rPr>
          <w:b/>
        </w:rPr>
        <w:t>“concerned for him and would talk with the staff about the issue of the bed</w:t>
      </w:r>
      <w:r w:rsidR="00D64714" w:rsidRPr="00C72391">
        <w:rPr>
          <w:b/>
        </w:rPr>
        <w:t>”</w:t>
      </w:r>
      <w:r w:rsidRPr="00F42B1D">
        <w:t xml:space="preserve"> and encouraged him to get out of his room</w:t>
      </w:r>
      <w:r w:rsidR="007501B9">
        <w:t xml:space="preserve">. </w:t>
      </w:r>
      <w:r w:rsidRPr="00F42B1D">
        <w:t xml:space="preserve">The pharmacist </w:t>
      </w:r>
      <w:r w:rsidRPr="00F42B1D">
        <w:lastRenderedPageBreak/>
        <w:t>continued to advocate with the facility staff on Harry’s behalf about the impor</w:t>
      </w:r>
      <w:r w:rsidR="00727BF3" w:rsidRPr="00F42B1D">
        <w:t>tance of getting him a new bed.</w:t>
      </w:r>
    </w:p>
    <w:p w14:paraId="7C299334" w14:textId="761E8200" w:rsidR="005A70F1" w:rsidRPr="00656AC8" w:rsidRDefault="005A70F1" w:rsidP="007501B9">
      <w:pPr>
        <w:rPr>
          <w:b/>
        </w:rPr>
      </w:pPr>
      <w:r w:rsidRPr="00F42B1D">
        <w:t>At the fourth pharmacy visit the pharmacist learned that Harry had purchased a recliner chair that enabled him to lay further back and elevate his feet; this red</w:t>
      </w:r>
      <w:r w:rsidR="00D64714" w:rsidRPr="00F42B1D">
        <w:t>uced the swelling in his legs.</w:t>
      </w:r>
      <w:r w:rsidR="00C72391">
        <w:t xml:space="preserve"> </w:t>
      </w:r>
      <w:r w:rsidRPr="00656AC8">
        <w:rPr>
          <w:b/>
        </w:rPr>
        <w:t xml:space="preserve">More promisingly a new </w:t>
      </w:r>
      <w:r w:rsidR="00727BF3" w:rsidRPr="00656AC8">
        <w:rPr>
          <w:b/>
        </w:rPr>
        <w:t>wider bed was on order for him.</w:t>
      </w:r>
    </w:p>
    <w:p w14:paraId="620139BC" w14:textId="3187210E" w:rsidR="005A70F1" w:rsidRPr="00F42B1D" w:rsidRDefault="005A70F1" w:rsidP="007501B9">
      <w:pPr>
        <w:rPr>
          <w:i/>
        </w:rPr>
      </w:pPr>
      <w:r w:rsidRPr="00F42B1D">
        <w:t xml:space="preserve">By the fifth session (conducted by phone during </w:t>
      </w:r>
      <w:r w:rsidR="006B0804">
        <w:t>COVID</w:t>
      </w:r>
      <w:r w:rsidRPr="00F42B1D">
        <w:t xml:space="preserve"> -19 access restrictions), the</w:t>
      </w:r>
      <w:r w:rsidR="00D64714" w:rsidRPr="00F42B1D">
        <w:t xml:space="preserve"> pharmacist noted that Harry had</w:t>
      </w:r>
      <w:r w:rsidRPr="00F42B1D">
        <w:t xml:space="preserve"> remarkably improved</w:t>
      </w:r>
      <w:r w:rsidR="007501B9">
        <w:t xml:space="preserve">. </w:t>
      </w:r>
      <w:r w:rsidRPr="00F42B1D">
        <w:t>“In the past he was negative about the nursing care he got but now seemed quite compl</w:t>
      </w:r>
      <w:r w:rsidR="00B630EF">
        <w:t>i</w:t>
      </w:r>
      <w:r w:rsidRPr="00F42B1D">
        <w:t>mentary about the staff</w:t>
      </w:r>
      <w:r w:rsidR="007501B9">
        <w:t xml:space="preserve">. </w:t>
      </w:r>
      <w:r w:rsidRPr="00F42B1D">
        <w:t>Even when talking about a fall, he didn’t want to dwell on it and look back</w:t>
      </w:r>
      <w:r w:rsidR="007501B9">
        <w:t xml:space="preserve">. </w:t>
      </w:r>
      <w:r w:rsidRPr="00F42B1D">
        <w:t>It seemed very different to his attitude on previous visits”.</w:t>
      </w:r>
    </w:p>
    <w:p w14:paraId="6410C746" w14:textId="77777777" w:rsidR="005A70F1" w:rsidRPr="00656AC8" w:rsidRDefault="005A70F1" w:rsidP="007501B9">
      <w:r w:rsidRPr="00656AC8">
        <w:t>Harry is now doing exercises by himself, and even goin</w:t>
      </w:r>
      <w:r w:rsidR="00727BF3" w:rsidRPr="00656AC8">
        <w:t>g for a walk down the corridor.</w:t>
      </w:r>
    </w:p>
    <w:p w14:paraId="72B9AA6F" w14:textId="7D28D0B8" w:rsidR="005A70F1" w:rsidRPr="00F42B1D" w:rsidRDefault="005A70F1" w:rsidP="007501B9">
      <w:r w:rsidRPr="00F42B1D">
        <w:t>Although the swelling in his legs has not improved significantly, he is able to sleep for longer blocks in the chair overnight</w:t>
      </w:r>
      <w:r w:rsidR="007501B9">
        <w:t xml:space="preserve">. </w:t>
      </w:r>
      <w:r w:rsidRPr="00F42B1D">
        <w:t>He is very much looking forward to being able to use his new bed.</w:t>
      </w:r>
    </w:p>
    <w:p w14:paraId="57CC54A4" w14:textId="0FED2079" w:rsidR="005A70F1" w:rsidRPr="00F42B1D" w:rsidRDefault="005A70F1" w:rsidP="007501B9">
      <w:r w:rsidRPr="00F42B1D">
        <w:t>The REMINDAR trial has shown that pharmacist’s engagement including communication and trust building was crucial to identify and imply necessary changes affecting Harry’s quality of life, not just in terms of his improved sleep, but also the positive impact on his mental health and engagement in social activities.</w:t>
      </w:r>
    </w:p>
    <w:p w14:paraId="54D7FC35" w14:textId="53894507" w:rsidR="005A70F1" w:rsidRPr="00A96C0F" w:rsidRDefault="00A648B6" w:rsidP="00897C5B">
      <w:pPr>
        <w:pStyle w:val="Heading3"/>
      </w:pPr>
      <w:bookmarkStart w:id="297" w:name="_Toc117758291"/>
      <w:r>
        <w:t>Case study</w:t>
      </w:r>
      <w:r w:rsidR="00A96C0F">
        <w:t xml:space="preserve"> – Jack*</w:t>
      </w:r>
      <w:bookmarkEnd w:id="297"/>
    </w:p>
    <w:p w14:paraId="7CF354EB" w14:textId="77777777" w:rsidR="005A70F1" w:rsidRPr="00656AC8" w:rsidRDefault="005A70F1" w:rsidP="007501B9">
      <w:r w:rsidRPr="00656AC8">
        <w:t>Now I know I have medicines for when I need them.</w:t>
      </w:r>
    </w:p>
    <w:p w14:paraId="1E0DA925" w14:textId="262B7A55" w:rsidR="005A70F1" w:rsidRPr="00F42B1D" w:rsidRDefault="005A70F1" w:rsidP="007501B9">
      <w:r w:rsidRPr="00F42B1D">
        <w:t xml:space="preserve">Jack is an 84-year-old </w:t>
      </w:r>
      <w:r w:rsidR="00D64714" w:rsidRPr="00F42B1D">
        <w:t>man who</w:t>
      </w:r>
      <w:r w:rsidRPr="00F42B1D">
        <w:t xml:space="preserve"> grew up in Tasmania</w:t>
      </w:r>
      <w:r w:rsidR="007501B9">
        <w:t xml:space="preserve">. </w:t>
      </w:r>
      <w:r w:rsidRPr="00F42B1D">
        <w:t xml:space="preserve">He moved into </w:t>
      </w:r>
      <w:r w:rsidR="00D64714" w:rsidRPr="00F42B1D">
        <w:t>his residential nursing</w:t>
      </w:r>
      <w:r w:rsidRPr="00F42B1D">
        <w:t xml:space="preserve"> home in October 2016 so that he could be around more people and </w:t>
      </w:r>
      <w:r w:rsidR="00C72391">
        <w:t>“</w:t>
      </w:r>
      <w:r w:rsidRPr="00F42B1D">
        <w:t>be taken care of</w:t>
      </w:r>
      <w:r w:rsidR="00C72391">
        <w:t>”</w:t>
      </w:r>
      <w:r w:rsidR="007501B9">
        <w:t xml:space="preserve">. </w:t>
      </w:r>
      <w:r w:rsidRPr="00F42B1D">
        <w:t>Jack’s wife visits him regularly</w:t>
      </w:r>
      <w:r w:rsidR="00D64714" w:rsidRPr="00F42B1D">
        <w:t>,</w:t>
      </w:r>
      <w:r w:rsidRPr="00F42B1D">
        <w:t xml:space="preserve"> and he enjoys participating in the wellness and social activities at the facility.</w:t>
      </w:r>
    </w:p>
    <w:p w14:paraId="0D1EA7F7" w14:textId="77777777" w:rsidR="005A70F1" w:rsidRPr="00656AC8" w:rsidRDefault="005A70F1" w:rsidP="007501B9">
      <w:r w:rsidRPr="00656AC8">
        <w:t>I just put up with it.</w:t>
      </w:r>
    </w:p>
    <w:p w14:paraId="6C1E790F" w14:textId="09568DCB" w:rsidR="005A70F1" w:rsidRPr="00F42B1D" w:rsidRDefault="005A70F1" w:rsidP="007501B9">
      <w:r w:rsidRPr="00F42B1D">
        <w:t>Jack has been experiencing episodes of vertigo following a stroke, which ha</w:t>
      </w:r>
      <w:r w:rsidR="00C72391">
        <w:t>d</w:t>
      </w:r>
      <w:r w:rsidRPr="00F42B1D">
        <w:t xml:space="preserve"> been an issue from time to time and </w:t>
      </w:r>
      <w:r w:rsidR="00C72391">
        <w:t>was</w:t>
      </w:r>
      <w:r w:rsidRPr="00F42B1D">
        <w:t xml:space="preserve"> something he just “puts up with”</w:t>
      </w:r>
      <w:r w:rsidR="00D64714" w:rsidRPr="00F42B1D">
        <w:t>.</w:t>
      </w:r>
    </w:p>
    <w:p w14:paraId="6817157B" w14:textId="0B44D791" w:rsidR="005A70F1" w:rsidRPr="00F42B1D" w:rsidRDefault="005A70F1" w:rsidP="007501B9">
      <w:r w:rsidRPr="00F42B1D">
        <w:t xml:space="preserve">The </w:t>
      </w:r>
      <w:proofErr w:type="spellStart"/>
      <w:r w:rsidRPr="00F42B1D">
        <w:t>ReMInDAR</w:t>
      </w:r>
      <w:proofErr w:type="spellEnd"/>
      <w:r w:rsidRPr="00F42B1D">
        <w:t xml:space="preserve"> pharmacist noted that GP had a </w:t>
      </w:r>
      <w:proofErr w:type="spellStart"/>
      <w:r w:rsidRPr="00F42B1D">
        <w:t>betahistine</w:t>
      </w:r>
      <w:proofErr w:type="spellEnd"/>
      <w:r w:rsidRPr="00F42B1D">
        <w:t xml:space="preserve"> order ‘when necessary’, however when the pharmacist asked Jack about it, Jack said that he had not heard of it, nor had he taken any</w:t>
      </w:r>
      <w:r w:rsidR="007501B9">
        <w:t xml:space="preserve">. </w:t>
      </w:r>
      <w:r w:rsidRPr="00F42B1D">
        <w:t>There were several other medications charted for use when required</w:t>
      </w:r>
      <w:r w:rsidR="007501B9">
        <w:t xml:space="preserve">. </w:t>
      </w:r>
      <w:r w:rsidRPr="00F42B1D">
        <w:t xml:space="preserve">Jack was not aware of any of them. Jack said, </w:t>
      </w:r>
      <w:r w:rsidR="00C72391" w:rsidRPr="00C72391">
        <w:rPr>
          <w:b/>
        </w:rPr>
        <w:t>“</w:t>
      </w:r>
      <w:r w:rsidRPr="00C72391">
        <w:rPr>
          <w:b/>
        </w:rPr>
        <w:t>the carers did not offer me anything when I complained of being dizzy”.</w:t>
      </w:r>
    </w:p>
    <w:p w14:paraId="67DD737C" w14:textId="1C0188C6" w:rsidR="00C72391" w:rsidRDefault="00C72391" w:rsidP="007501B9">
      <w:r>
        <w:lastRenderedPageBreak/>
        <w:t xml:space="preserve">During a </w:t>
      </w:r>
      <w:proofErr w:type="spellStart"/>
      <w:r>
        <w:t>ReMInDAR</w:t>
      </w:r>
      <w:proofErr w:type="spellEnd"/>
      <w:r>
        <w:t xml:space="preserve"> session</w:t>
      </w:r>
      <w:r w:rsidR="005A70F1" w:rsidRPr="00F42B1D">
        <w:t xml:space="preserve">, the pharmacist explained to Jack what each of his medications were and what he could ask to use when each </w:t>
      </w:r>
      <w:r>
        <w:t>symptom</w:t>
      </w:r>
      <w:r w:rsidR="005A70F1" w:rsidRPr="00F42B1D">
        <w:t xml:space="preserve"> occurred</w:t>
      </w:r>
      <w:r w:rsidR="007501B9">
        <w:t xml:space="preserve">. </w:t>
      </w:r>
      <w:r w:rsidR="005A70F1" w:rsidRPr="00F42B1D">
        <w:t>The pharmacist typed up a list of his medications for Jack and gave them to him as a reference (</w:t>
      </w:r>
      <w:proofErr w:type="spellStart"/>
      <w:r w:rsidR="005A70F1" w:rsidRPr="00F42B1D">
        <w:t>coloxyl</w:t>
      </w:r>
      <w:proofErr w:type="spellEnd"/>
      <w:r w:rsidR="005A70F1" w:rsidRPr="00F42B1D">
        <w:t xml:space="preserve"> and senna, </w:t>
      </w:r>
      <w:proofErr w:type="spellStart"/>
      <w:r w:rsidR="005A70F1" w:rsidRPr="00F42B1D">
        <w:t>maxolon</w:t>
      </w:r>
      <w:proofErr w:type="spellEnd"/>
      <w:r w:rsidR="005A70F1" w:rsidRPr="00F42B1D">
        <w:t xml:space="preserve">, </w:t>
      </w:r>
      <w:proofErr w:type="spellStart"/>
      <w:r w:rsidR="005A70F1" w:rsidRPr="00F42B1D">
        <w:t>movicol</w:t>
      </w:r>
      <w:proofErr w:type="spellEnd"/>
      <w:r w:rsidR="005A70F1" w:rsidRPr="00F42B1D">
        <w:t xml:space="preserve">, paracetamol, </w:t>
      </w:r>
      <w:proofErr w:type="spellStart"/>
      <w:r w:rsidR="005A70F1" w:rsidRPr="00F42B1D">
        <w:t>betahistine</w:t>
      </w:r>
      <w:proofErr w:type="spellEnd"/>
      <w:r w:rsidR="005A70F1" w:rsidRPr="00F42B1D">
        <w:t xml:space="preserve">, triamcinolone, ibuprofen and </w:t>
      </w:r>
      <w:proofErr w:type="spellStart"/>
      <w:r w:rsidR="005A70F1" w:rsidRPr="00F42B1D">
        <w:t>voltaren</w:t>
      </w:r>
      <w:proofErr w:type="spellEnd"/>
      <w:r w:rsidR="005A70F1" w:rsidRPr="00F42B1D">
        <w:t xml:space="preserve"> gel) with the names of the medications, their dose and explanation of what the medicines are used for</w:t>
      </w:r>
      <w:r w:rsidR="007501B9">
        <w:t xml:space="preserve">. </w:t>
      </w:r>
    </w:p>
    <w:p w14:paraId="589FF237" w14:textId="5CB4D5BE" w:rsidR="005A70F1" w:rsidRPr="00F42B1D" w:rsidRDefault="005A70F1" w:rsidP="007501B9">
      <w:r w:rsidRPr="00F42B1D">
        <w:t xml:space="preserve">Jack had an active mind and was very interested in the medicines and </w:t>
      </w:r>
      <w:r w:rsidRPr="00C72391">
        <w:rPr>
          <w:b/>
        </w:rPr>
        <w:t>felt empowered by knowing what was available to him</w:t>
      </w:r>
      <w:r w:rsidR="007501B9">
        <w:rPr>
          <w:b/>
        </w:rPr>
        <w:t xml:space="preserve">. </w:t>
      </w:r>
      <w:r w:rsidRPr="00F42B1D">
        <w:t xml:space="preserve">The pharmacist reminded Jack to ask the nursing staff for assistance if he required any of the "when required" medicines </w:t>
      </w:r>
      <w:proofErr w:type="gramStart"/>
      <w:r w:rsidRPr="00F42B1D">
        <w:t>and also</w:t>
      </w:r>
      <w:proofErr w:type="gramEnd"/>
      <w:r w:rsidRPr="00F42B1D">
        <w:t xml:space="preserve"> reminded the staff that Jack had prn orders for his conditions.</w:t>
      </w:r>
    </w:p>
    <w:p w14:paraId="0B1BFC5A" w14:textId="725ACB68" w:rsidR="00727BF3" w:rsidRPr="00A96C0F" w:rsidRDefault="00727BF3" w:rsidP="00897C5B">
      <w:pPr>
        <w:pStyle w:val="Heading3"/>
      </w:pPr>
      <w:bookmarkStart w:id="298" w:name="_Toc117758292"/>
      <w:r w:rsidRPr="00A96C0F">
        <w:t xml:space="preserve">Case Study </w:t>
      </w:r>
      <w:r w:rsidR="005A70F1" w:rsidRPr="00A96C0F">
        <w:t>– Grace*</w:t>
      </w:r>
      <w:bookmarkEnd w:id="298"/>
    </w:p>
    <w:p w14:paraId="3FC3D2BD" w14:textId="78E81C51" w:rsidR="005A70F1" w:rsidRPr="00F42B1D" w:rsidRDefault="00727BF3" w:rsidP="007501B9">
      <w:r w:rsidRPr="00F42B1D">
        <w:rPr>
          <w:b/>
        </w:rPr>
        <w:t>*</w:t>
      </w:r>
      <w:proofErr w:type="gramStart"/>
      <w:r w:rsidR="005A70F1" w:rsidRPr="00F42B1D">
        <w:t>withdrawn</w:t>
      </w:r>
      <w:proofErr w:type="gramEnd"/>
      <w:r w:rsidR="005A70F1" w:rsidRPr="00F42B1D">
        <w:t xml:space="preserve"> but specific permission from </w:t>
      </w:r>
      <w:r w:rsidR="0082676D" w:rsidRPr="00F42B1D">
        <w:t>participant</w:t>
      </w:r>
      <w:r w:rsidR="005A70F1" w:rsidRPr="00F42B1D">
        <w:t xml:space="preserve"> </w:t>
      </w:r>
      <w:r w:rsidR="003D46B9" w:rsidRPr="00F42B1D">
        <w:t xml:space="preserve">was given </w:t>
      </w:r>
      <w:r w:rsidR="005A70F1" w:rsidRPr="00F42B1D">
        <w:t>to use her case study despite her withdrawal.</w:t>
      </w:r>
    </w:p>
    <w:p w14:paraId="04211DC6" w14:textId="77777777" w:rsidR="00656AC8" w:rsidRPr="00656AC8" w:rsidRDefault="00656AC8" w:rsidP="007501B9">
      <w:r w:rsidRPr="00656AC8">
        <w:t>Don’t question the prescribing</w:t>
      </w:r>
    </w:p>
    <w:p w14:paraId="567875E6" w14:textId="76C08852" w:rsidR="005A70F1" w:rsidRPr="00F42B1D" w:rsidRDefault="005A70F1" w:rsidP="007501B9">
      <w:r w:rsidRPr="00F42B1D">
        <w:t>Grace is a</w:t>
      </w:r>
      <w:r w:rsidR="00373959" w:rsidRPr="00F42B1D">
        <w:t>n</w:t>
      </w:r>
      <w:r w:rsidR="00846197" w:rsidRPr="00F42B1D">
        <w:t xml:space="preserve"> active </w:t>
      </w:r>
      <w:proofErr w:type="gramStart"/>
      <w:r w:rsidR="00846197" w:rsidRPr="00F42B1D">
        <w:t>91-year old</w:t>
      </w:r>
      <w:proofErr w:type="gramEnd"/>
      <w:r w:rsidR="00846197" w:rsidRPr="00F42B1D">
        <w:t xml:space="preserve"> </w:t>
      </w:r>
      <w:r w:rsidRPr="00F42B1D">
        <w:t xml:space="preserve">who resides in a metropolitan aged care facility. She looked after her daughter as a </w:t>
      </w:r>
      <w:proofErr w:type="gramStart"/>
      <w:r w:rsidRPr="00F42B1D">
        <w:t>stay at home</w:t>
      </w:r>
      <w:proofErr w:type="gramEnd"/>
      <w:r w:rsidRPr="00F42B1D">
        <w:t xml:space="preserve"> mum, and still continues to ‘worry about her’ e</w:t>
      </w:r>
      <w:r w:rsidR="00D64714" w:rsidRPr="00F42B1D">
        <w:t>ven though she is grown up now.</w:t>
      </w:r>
    </w:p>
    <w:p w14:paraId="664FDF34" w14:textId="526804A6" w:rsidR="005A70F1" w:rsidRPr="00F42B1D" w:rsidRDefault="005A70F1" w:rsidP="007501B9">
      <w:r w:rsidRPr="00F42B1D">
        <w:t xml:space="preserve">Grace had a previous heart attack and coronary artery bypass graft surgery in the past. Grace currently suffers from </w:t>
      </w:r>
      <w:proofErr w:type="gramStart"/>
      <w:r w:rsidRPr="00F42B1D">
        <w:t>a number of</w:t>
      </w:r>
      <w:proofErr w:type="gramEnd"/>
      <w:r w:rsidRPr="00F42B1D">
        <w:t xml:space="preserve"> medical conditions, including cancer, diabetes, hypertension, </w:t>
      </w:r>
      <w:proofErr w:type="spellStart"/>
      <w:r w:rsidR="00112049" w:rsidRPr="00F42B1D">
        <w:t>hyperlipidemia</w:t>
      </w:r>
      <w:proofErr w:type="spellEnd"/>
      <w:r w:rsidRPr="00F42B1D">
        <w:t xml:space="preserve">, varicose veins, incontinence, </w:t>
      </w:r>
      <w:r w:rsidR="00112049" w:rsidRPr="00F42B1D">
        <w:t>temporomandibular</w:t>
      </w:r>
      <w:r w:rsidRPr="00F42B1D">
        <w:t xml:space="preserve"> joint dysfunction, gallbladder stone, hiatus hernia and peptic ulcer</w:t>
      </w:r>
      <w:r w:rsidR="007501B9">
        <w:t xml:space="preserve">. </w:t>
      </w:r>
      <w:r w:rsidR="00373959" w:rsidRPr="00F42B1D">
        <w:t>Her conditions are managed with 13 regular medicines and three medicines for use when required.</w:t>
      </w:r>
    </w:p>
    <w:p w14:paraId="2132C840" w14:textId="0C1BF1F4" w:rsidR="005A70F1" w:rsidRPr="00F42B1D" w:rsidRDefault="005A70F1" w:rsidP="007501B9">
      <w:r w:rsidRPr="00F42B1D">
        <w:t>Grace expressed a concern about the number of tablets she was on and inform</w:t>
      </w:r>
      <w:r w:rsidR="00D64714" w:rsidRPr="00F42B1D">
        <w:t>ed the pharmacist that she wanted</w:t>
      </w:r>
      <w:r w:rsidRPr="00F42B1D">
        <w:t xml:space="preserve"> to cease esomeprazole and magnesium which she had been using long term</w:t>
      </w:r>
      <w:r w:rsidR="007501B9">
        <w:t xml:space="preserve">. </w:t>
      </w:r>
      <w:r w:rsidRPr="00F42B1D">
        <w:t xml:space="preserve">The pharmacist supported Grace’s decision and reassured Grace that he would contact the GP by letter </w:t>
      </w:r>
      <w:r w:rsidR="001A2CBA" w:rsidRPr="00F42B1D">
        <w:t>to discuss this.</w:t>
      </w:r>
    </w:p>
    <w:p w14:paraId="34390A7B" w14:textId="3E0EBC05" w:rsidR="005A70F1" w:rsidRPr="00F42B1D" w:rsidRDefault="005A70F1" w:rsidP="007501B9">
      <w:r w:rsidRPr="003A689D">
        <w:t>The GP was unreceptive to the pharmacist’s recommendation</w:t>
      </w:r>
      <w:r w:rsidRPr="00F42B1D">
        <w:t xml:space="preserve"> and instead </w:t>
      </w:r>
      <w:r w:rsidRPr="003A689D">
        <w:t>told Grace that “she did not need to have a pharmacist review her medications”</w:t>
      </w:r>
      <w:r w:rsidRPr="00F42B1D">
        <w:t xml:space="preserve"> and instructed her to take all her medications</w:t>
      </w:r>
      <w:r w:rsidR="007501B9">
        <w:t xml:space="preserve">. </w:t>
      </w:r>
      <w:r w:rsidRPr="00F42B1D">
        <w:t>Consequently, Grace continued to take all her medications and wi</w:t>
      </w:r>
      <w:r w:rsidR="00D64714" w:rsidRPr="00F42B1D">
        <w:t xml:space="preserve">thdrew from the </w:t>
      </w:r>
      <w:proofErr w:type="spellStart"/>
      <w:r w:rsidR="00D64714" w:rsidRPr="00F42B1D">
        <w:t>ReMInDAR</w:t>
      </w:r>
      <w:proofErr w:type="spellEnd"/>
      <w:r w:rsidR="00D64714" w:rsidRPr="00F42B1D">
        <w:t xml:space="preserve"> trial.</w:t>
      </w:r>
    </w:p>
    <w:p w14:paraId="0B53D240" w14:textId="506F839E" w:rsidR="005A70F1" w:rsidRPr="00F42B1D" w:rsidRDefault="005A70F1" w:rsidP="007501B9">
      <w:r w:rsidRPr="00F42B1D">
        <w:t xml:space="preserve">The challenge of effective communication between healthcare professionals impeded the opportunity for Grace’s medication preferences to be enabled for medicine optimisation and </w:t>
      </w:r>
      <w:r w:rsidRPr="00F42B1D">
        <w:lastRenderedPageBreak/>
        <w:t xml:space="preserve">for potential improvement of </w:t>
      </w:r>
      <w:r w:rsidR="0082676D" w:rsidRPr="00F42B1D">
        <w:t>Graces’ health</w:t>
      </w:r>
      <w:r w:rsidR="00D11D97" w:rsidRPr="00F42B1D">
        <w:t xml:space="preserve"> </w:t>
      </w:r>
      <w:r w:rsidRPr="00F42B1D">
        <w:t>outcomes</w:t>
      </w:r>
      <w:r w:rsidR="007501B9">
        <w:t xml:space="preserve">. </w:t>
      </w:r>
      <w:r w:rsidRPr="00F42B1D">
        <w:t xml:space="preserve">Grace continued to use magnesium and esomeprazole long-term without </w:t>
      </w:r>
      <w:r w:rsidR="00373959" w:rsidRPr="00F42B1D">
        <w:t>any</w:t>
      </w:r>
      <w:r w:rsidR="00727BF3" w:rsidRPr="00F42B1D">
        <w:t xml:space="preserve"> indication</w:t>
      </w:r>
      <w:r w:rsidR="00373959" w:rsidRPr="00F42B1D">
        <w:t xml:space="preserve"> for their use</w:t>
      </w:r>
      <w:r w:rsidR="00D64714" w:rsidRPr="00F42B1D">
        <w:t>.</w:t>
      </w:r>
    </w:p>
    <w:p w14:paraId="29B59241" w14:textId="029E8667" w:rsidR="008A3992" w:rsidRPr="00A96C0F" w:rsidRDefault="008A3992" w:rsidP="00897C5B">
      <w:pPr>
        <w:pStyle w:val="Heading3"/>
      </w:pPr>
      <w:bookmarkStart w:id="299" w:name="_Toc117758293"/>
      <w:r w:rsidRPr="00A96C0F">
        <w:t xml:space="preserve">Case Study </w:t>
      </w:r>
      <w:r w:rsidR="00B33569" w:rsidRPr="00A96C0F">
        <w:t>– Anita</w:t>
      </w:r>
      <w:r w:rsidRPr="00A96C0F">
        <w:t>*</w:t>
      </w:r>
      <w:bookmarkEnd w:id="299"/>
    </w:p>
    <w:p w14:paraId="35B89983" w14:textId="2CD583DE" w:rsidR="00B33569" w:rsidRPr="003A689D" w:rsidRDefault="003A689D" w:rsidP="007501B9">
      <w:r w:rsidRPr="003A689D">
        <w:t>No more swollen legs</w:t>
      </w:r>
    </w:p>
    <w:p w14:paraId="05E5FE86" w14:textId="24A6B1F2" w:rsidR="00B33569" w:rsidRPr="00F42B1D" w:rsidRDefault="00B33569" w:rsidP="007501B9">
      <w:r w:rsidRPr="00F42B1D">
        <w:t xml:space="preserve">Anita is an </w:t>
      </w:r>
      <w:proofErr w:type="gramStart"/>
      <w:r w:rsidRPr="00F42B1D">
        <w:t>80 year old</w:t>
      </w:r>
      <w:proofErr w:type="gramEnd"/>
      <w:r w:rsidRPr="00F42B1D">
        <w:t xml:space="preserve"> retired school teacher who she has been residing in aged care for almost 18 months</w:t>
      </w:r>
      <w:r w:rsidR="007501B9">
        <w:t xml:space="preserve">. </w:t>
      </w:r>
      <w:r w:rsidRPr="00F42B1D">
        <w:t xml:space="preserve">She </w:t>
      </w:r>
      <w:r w:rsidR="008A3992" w:rsidRPr="00F42B1D">
        <w:t>has two sons</w:t>
      </w:r>
      <w:r w:rsidR="007501B9">
        <w:t xml:space="preserve">. </w:t>
      </w:r>
      <w:r w:rsidR="008A3992" w:rsidRPr="00F42B1D">
        <w:t>Anita is</w:t>
      </w:r>
      <w:r w:rsidRPr="00F42B1D">
        <w:t xml:space="preserve"> a very social woman who </w:t>
      </w:r>
      <w:r w:rsidR="008A3992" w:rsidRPr="00F42B1D">
        <w:t xml:space="preserve">previously </w:t>
      </w:r>
      <w:r w:rsidRPr="00F42B1D">
        <w:t xml:space="preserve">enjoyed having visitors to her home and going out with her friends. </w:t>
      </w:r>
    </w:p>
    <w:p w14:paraId="10E3DF8A" w14:textId="2AEED608" w:rsidR="003A689D" w:rsidRDefault="00B33569" w:rsidP="007501B9">
      <w:r w:rsidRPr="00F42B1D">
        <w:t xml:space="preserve">Anita has a history of cancer, anxiety and depression, </w:t>
      </w:r>
      <w:r w:rsidRPr="00F42B1D">
        <w:rPr>
          <w:color w:val="222222"/>
          <w:highlight w:val="white"/>
        </w:rPr>
        <w:t>gastro-oesophageal reflux disease</w:t>
      </w:r>
      <w:r w:rsidRPr="00F42B1D">
        <w:t xml:space="preserve"> (GORD) and arthritis</w:t>
      </w:r>
      <w:r w:rsidR="007501B9">
        <w:t xml:space="preserve">. </w:t>
      </w:r>
    </w:p>
    <w:p w14:paraId="63621C8A" w14:textId="357C367F" w:rsidR="00B33569" w:rsidRPr="00F42B1D" w:rsidRDefault="00B33569" w:rsidP="007501B9">
      <w:r w:rsidRPr="00F42B1D">
        <w:t>During the initial pharmacist review, ankle oedema and ongoing constipation were identified as additional issues for Anita</w:t>
      </w:r>
      <w:r w:rsidR="007501B9">
        <w:t xml:space="preserve">. </w:t>
      </w:r>
      <w:r w:rsidRPr="00F42B1D">
        <w:t>The pharmacist considered the ongoing constipation might be attributed to amlodipine or buprenorphine.</w:t>
      </w:r>
    </w:p>
    <w:p w14:paraId="78756129" w14:textId="2A3E91C6" w:rsidR="003A689D" w:rsidRDefault="00B33569" w:rsidP="007501B9">
      <w:r w:rsidRPr="00F42B1D">
        <w:t xml:space="preserve">At the second session eight weeks later, Anita’s lower leg oedema was still an issue, and quite concerning for her. The pharmacist identified amlodipine as </w:t>
      </w:r>
      <w:r w:rsidR="003A689D">
        <w:t>the</w:t>
      </w:r>
      <w:r w:rsidRPr="00F42B1D">
        <w:t xml:space="preserve"> likely culprit medicine, however, complicating any recommendation surrounding cessation of amlodipine was Anita’s blood pressure which was elevated in recent measurements</w:t>
      </w:r>
      <w:r w:rsidR="007501B9">
        <w:t xml:space="preserve">. </w:t>
      </w:r>
    </w:p>
    <w:p w14:paraId="665AE94F" w14:textId="53510F34" w:rsidR="008A3992" w:rsidRPr="000947FA" w:rsidRDefault="00B33569" w:rsidP="007501B9">
      <w:pPr>
        <w:rPr>
          <w:b/>
        </w:rPr>
      </w:pPr>
      <w:r w:rsidRPr="00F42B1D">
        <w:t xml:space="preserve">The pharmacist contacted Anita’s general practitioner (GP) and suggested a trial cessation of amlodipine, with possible replacement with a beta-blocker or </w:t>
      </w:r>
      <w:proofErr w:type="spellStart"/>
      <w:r w:rsidRPr="00F42B1D">
        <w:t>moxonidine</w:t>
      </w:r>
      <w:proofErr w:type="spellEnd"/>
      <w:r w:rsidRPr="00F42B1D">
        <w:t xml:space="preserve"> if the blood pressure was not managed sufficiently</w:t>
      </w:r>
      <w:r w:rsidR="007501B9">
        <w:t xml:space="preserve">. </w:t>
      </w:r>
      <w:r w:rsidR="008A3992" w:rsidRPr="00F42B1D">
        <w:t>The pharmacist suggested adding regular docusate and senna to ma</w:t>
      </w:r>
      <w:r w:rsidR="00D64714" w:rsidRPr="00F42B1D">
        <w:t>nage the on-going constipation.</w:t>
      </w:r>
      <w:r w:rsidR="003A689D">
        <w:t xml:space="preserve"> </w:t>
      </w:r>
      <w:r w:rsidRPr="000947FA">
        <w:rPr>
          <w:b/>
        </w:rPr>
        <w:t xml:space="preserve">The GP </w:t>
      </w:r>
      <w:r w:rsidR="00D64714" w:rsidRPr="000947FA">
        <w:rPr>
          <w:b/>
        </w:rPr>
        <w:t>agreed to cease the amlodipine.</w:t>
      </w:r>
    </w:p>
    <w:p w14:paraId="48B57C33" w14:textId="2B8F98EA" w:rsidR="008A3992" w:rsidRPr="00F42B1D" w:rsidRDefault="00B33569" w:rsidP="007501B9">
      <w:r w:rsidRPr="00F42B1D">
        <w:t xml:space="preserve">In the medical review one month later, </w:t>
      </w:r>
      <w:r w:rsidRPr="003A689D">
        <w:rPr>
          <w:b/>
        </w:rPr>
        <w:t xml:space="preserve">the GP noted that </w:t>
      </w:r>
      <w:r w:rsidR="0082676D" w:rsidRPr="003A689D">
        <w:rPr>
          <w:b/>
        </w:rPr>
        <w:t>Anita</w:t>
      </w:r>
      <w:r w:rsidRPr="003A689D">
        <w:rPr>
          <w:b/>
        </w:rPr>
        <w:t xml:space="preserve"> </w:t>
      </w:r>
      <w:r w:rsidR="003A689D" w:rsidRPr="003A689D">
        <w:rPr>
          <w:b/>
        </w:rPr>
        <w:t xml:space="preserve">had </w:t>
      </w:r>
      <w:r w:rsidRPr="003A689D">
        <w:rPr>
          <w:b/>
        </w:rPr>
        <w:t>significantly less ankle oedema</w:t>
      </w:r>
      <w:r w:rsidR="007501B9">
        <w:rPr>
          <w:b/>
        </w:rPr>
        <w:t xml:space="preserve">. </w:t>
      </w:r>
      <w:r w:rsidRPr="00F42B1D">
        <w:t>The GP was unsure if it was due to cessation of amlodipine but there did not appear to be any other changes that contributed to it</w:t>
      </w:r>
      <w:r w:rsidR="007501B9">
        <w:t xml:space="preserve">. </w:t>
      </w:r>
      <w:r w:rsidR="008A3992" w:rsidRPr="00F42B1D">
        <w:t>The co</w:t>
      </w:r>
      <w:r w:rsidR="00D64714" w:rsidRPr="00F42B1D">
        <w:t>nstipation remained an issue; and</w:t>
      </w:r>
      <w:r w:rsidR="008A3992" w:rsidRPr="00F42B1D">
        <w:t xml:space="preserve"> the pharmacist noted </w:t>
      </w:r>
      <w:proofErr w:type="spellStart"/>
      <w:r w:rsidR="008A3992" w:rsidRPr="00F42B1D">
        <w:t>buprenophrine</w:t>
      </w:r>
      <w:proofErr w:type="spellEnd"/>
      <w:r w:rsidR="008A3992" w:rsidRPr="00F42B1D">
        <w:t xml:space="preserve"> could be the contributing factor</w:t>
      </w:r>
      <w:r w:rsidR="007501B9">
        <w:t xml:space="preserve">. </w:t>
      </w:r>
    </w:p>
    <w:p w14:paraId="756A9E12" w14:textId="33457EAD" w:rsidR="00B33569" w:rsidRPr="003A689D" w:rsidRDefault="00B33569" w:rsidP="007501B9">
      <w:r w:rsidRPr="003A689D">
        <w:t xml:space="preserve">Anita continued to have significantly less ankle oedema at the subsequent visits with the </w:t>
      </w:r>
      <w:proofErr w:type="spellStart"/>
      <w:r w:rsidRPr="003A689D">
        <w:t>ReMInDAR</w:t>
      </w:r>
      <w:proofErr w:type="spellEnd"/>
      <w:r w:rsidRPr="003A689D">
        <w:t xml:space="preserve"> pharmacist</w:t>
      </w:r>
      <w:r w:rsidR="007501B9">
        <w:t xml:space="preserve">. </w:t>
      </w:r>
    </w:p>
    <w:p w14:paraId="163F07CF" w14:textId="08F2D166" w:rsidR="00B33569" w:rsidRPr="00F42B1D" w:rsidRDefault="00B33569" w:rsidP="007501B9">
      <w:r w:rsidRPr="00F42B1D">
        <w:t>During the fifth visit, the pharmacist noted several potential medicine-related problems</w:t>
      </w:r>
      <w:r w:rsidR="007501B9">
        <w:t xml:space="preserve">. </w:t>
      </w:r>
      <w:r w:rsidRPr="00F42B1D">
        <w:t xml:space="preserve">There was now duplication of proton-pump inhibitor therapy; Anita was already on </w:t>
      </w:r>
      <w:proofErr w:type="gramStart"/>
      <w:r w:rsidRPr="00F42B1D">
        <w:t>rabeprazole</w:t>
      </w:r>
      <w:proofErr w:type="gramEnd"/>
      <w:r w:rsidRPr="00F42B1D">
        <w:t xml:space="preserve"> but pantoprazole was added to the medication chart</w:t>
      </w:r>
      <w:r w:rsidR="007501B9">
        <w:t xml:space="preserve">. </w:t>
      </w:r>
      <w:r w:rsidRPr="00F42B1D">
        <w:t>The pharmacist contacted the GP to suggest removing duplicate pantopra</w:t>
      </w:r>
      <w:r w:rsidR="00D64714" w:rsidRPr="00F42B1D">
        <w:t>zole (proton pump inhibitor, PPI</w:t>
      </w:r>
      <w:r w:rsidRPr="00F42B1D">
        <w:t>) from the medication chart and increasing the dose of rabeprazole if necessary</w:t>
      </w:r>
      <w:r w:rsidR="007501B9">
        <w:t xml:space="preserve">. </w:t>
      </w:r>
      <w:r w:rsidRPr="00F42B1D">
        <w:t>The dose of buprenorphine dose had increased from 10mcg/h to 15mcg/h recently</w:t>
      </w:r>
      <w:r w:rsidR="007501B9">
        <w:t xml:space="preserve">. </w:t>
      </w:r>
      <w:r w:rsidRPr="00F42B1D">
        <w:t xml:space="preserve">Anita appeared visibly tired, which the pharmacist considered might be due to the combination of </w:t>
      </w:r>
      <w:r w:rsidRPr="00F42B1D">
        <w:lastRenderedPageBreak/>
        <w:t xml:space="preserve">buprenorphine and diazepam, the latter which Anita was on to manage </w:t>
      </w:r>
      <w:r w:rsidR="00D64714" w:rsidRPr="00F42B1D">
        <w:t xml:space="preserve">her </w:t>
      </w:r>
      <w:r w:rsidRPr="00F42B1D">
        <w:t>anxiety</w:t>
      </w:r>
      <w:r w:rsidR="007501B9">
        <w:t xml:space="preserve">. </w:t>
      </w:r>
      <w:r w:rsidRPr="00F42B1D">
        <w:t xml:space="preserve">Anita indicated that she would like to try not taking diazepam to see if her tiredness reduced. </w:t>
      </w:r>
    </w:p>
    <w:p w14:paraId="0B1B6000" w14:textId="428BAA01" w:rsidR="00B33569" w:rsidRPr="00F42B1D" w:rsidRDefault="00B33569" w:rsidP="007501B9">
      <w:r w:rsidRPr="00F42B1D">
        <w:t>The pharmacist discussed with the GP the opportunity to reduce the dose of diazepam from 5mg to 2 mg, and to cease the medicine eventually</w:t>
      </w:r>
      <w:r w:rsidR="007501B9">
        <w:t xml:space="preserve">. </w:t>
      </w:r>
      <w:r w:rsidRPr="00F42B1D">
        <w:t>Pantoprazole was removed from Anita’s medication chart due to duplication of PPI</w:t>
      </w:r>
      <w:r w:rsidR="007501B9">
        <w:t xml:space="preserve">. </w:t>
      </w:r>
      <w:r w:rsidRPr="00F42B1D">
        <w:t xml:space="preserve">All recommendations were implemented by the GP and Anita reported to the pharmacist that she feels much better; however, constipation remained to be an ongoing issue for </w:t>
      </w:r>
      <w:r w:rsidR="00D64714" w:rsidRPr="00F42B1D">
        <w:t>Anita</w:t>
      </w:r>
      <w:r w:rsidR="008A3992" w:rsidRPr="00F42B1D">
        <w:t>.</w:t>
      </w:r>
    </w:p>
    <w:p w14:paraId="343EA4A3" w14:textId="6AA27B95" w:rsidR="008A3992" w:rsidRPr="00A96C0F" w:rsidRDefault="00B33569" w:rsidP="00897C5B">
      <w:pPr>
        <w:pStyle w:val="Heading3"/>
      </w:pPr>
      <w:bookmarkStart w:id="300" w:name="_Toc117758294"/>
      <w:r w:rsidRPr="00A96C0F">
        <w:t xml:space="preserve">Case Study </w:t>
      </w:r>
      <w:r w:rsidR="008A3992" w:rsidRPr="00A96C0F">
        <w:t>–</w:t>
      </w:r>
      <w:r w:rsidRPr="00A96C0F">
        <w:t xml:space="preserve"> John</w:t>
      </w:r>
      <w:r w:rsidR="008A3992" w:rsidRPr="00A96C0F">
        <w:t>*</w:t>
      </w:r>
      <w:bookmarkEnd w:id="300"/>
    </w:p>
    <w:p w14:paraId="623EC360" w14:textId="1A52ABDC" w:rsidR="00B33569" w:rsidRPr="000947FA" w:rsidRDefault="00000FAA" w:rsidP="007501B9">
      <w:r w:rsidRPr="000947FA">
        <w:t xml:space="preserve">Spirits lifted </w:t>
      </w:r>
      <w:r w:rsidR="003A689D">
        <w:t>and no more weeping legs</w:t>
      </w:r>
    </w:p>
    <w:p w14:paraId="1CDA22A1" w14:textId="2B78EB96" w:rsidR="00B33569" w:rsidRPr="00F42B1D" w:rsidRDefault="00B33569" w:rsidP="007501B9">
      <w:r w:rsidRPr="00F42B1D">
        <w:t xml:space="preserve">John is a </w:t>
      </w:r>
      <w:proofErr w:type="gramStart"/>
      <w:r w:rsidRPr="00F42B1D">
        <w:t>91 year old</w:t>
      </w:r>
      <w:proofErr w:type="gramEnd"/>
      <w:r w:rsidRPr="00F42B1D">
        <w:t xml:space="preserve"> </w:t>
      </w:r>
      <w:r w:rsidR="008A3992" w:rsidRPr="00F42B1D">
        <w:t xml:space="preserve">man who entered </w:t>
      </w:r>
      <w:r w:rsidRPr="00F42B1D">
        <w:t xml:space="preserve">residential aged care due to his medical conditions including glaucoma, macular degeneration, constipation, short-term memory loss, hypertension, and hyperlipidaemia, ankle oedema, back pain, arthritis, gout, and </w:t>
      </w:r>
      <w:r w:rsidR="003A689D">
        <w:t xml:space="preserve">an </w:t>
      </w:r>
      <w:r w:rsidRPr="00F42B1D">
        <w:t>enlarged prostate.</w:t>
      </w:r>
    </w:p>
    <w:p w14:paraId="776F2B6A" w14:textId="53DABEBF" w:rsidR="008A3992" w:rsidRPr="000947FA" w:rsidRDefault="008A3992" w:rsidP="007501B9">
      <w:r w:rsidRPr="000947FA">
        <w:t xml:space="preserve">John complained to the </w:t>
      </w:r>
      <w:proofErr w:type="spellStart"/>
      <w:r w:rsidRPr="000947FA">
        <w:t>ReMInDAR</w:t>
      </w:r>
      <w:proofErr w:type="spellEnd"/>
      <w:r w:rsidRPr="000947FA">
        <w:t xml:space="preserve"> pharmacist about his ankle oedema and said he felt depressed due to his worseni</w:t>
      </w:r>
      <w:r w:rsidR="0082676D" w:rsidRPr="000947FA">
        <w:t>ng condition.</w:t>
      </w:r>
    </w:p>
    <w:p w14:paraId="7EE172CC" w14:textId="562C9D2A" w:rsidR="008A3992" w:rsidRPr="00F42B1D" w:rsidRDefault="00B33569" w:rsidP="007501B9">
      <w:r w:rsidRPr="00F42B1D">
        <w:t xml:space="preserve">When the </w:t>
      </w:r>
      <w:proofErr w:type="spellStart"/>
      <w:r w:rsidRPr="00F42B1D">
        <w:t>ReMInDAR</w:t>
      </w:r>
      <w:proofErr w:type="spellEnd"/>
      <w:r w:rsidRPr="00F42B1D">
        <w:t xml:space="preserve"> pharmacist visited John, </w:t>
      </w:r>
      <w:r w:rsidR="003A689D">
        <w:t>she</w:t>
      </w:r>
      <w:r w:rsidRPr="00F42B1D">
        <w:t xml:space="preserve"> noted that John’s health had declined over the past few weeks, and his ankle oedema was significantly worse with fluid seeping from his calves</w:t>
      </w:r>
      <w:r w:rsidR="007501B9">
        <w:t xml:space="preserve">. </w:t>
      </w:r>
      <w:r w:rsidRPr="00F42B1D">
        <w:t>His cognitive function (assessed using the Montreal Cognitive Assessment) and grip strength had both decreased significantly when compared to his baseline values recorded during his enrolment in the trial</w:t>
      </w:r>
      <w:r w:rsidR="007501B9">
        <w:t xml:space="preserve">. </w:t>
      </w:r>
      <w:r w:rsidRPr="00F42B1D">
        <w:t>John had also developed shortness of breath with a cough, potentially secondary to retention of fluids in his lungs, which was not present during t</w:t>
      </w:r>
      <w:r w:rsidR="0082676D" w:rsidRPr="00F42B1D">
        <w:t>he pharmacist’s previous visit.</w:t>
      </w:r>
    </w:p>
    <w:p w14:paraId="29FDEE87" w14:textId="74F64529" w:rsidR="00B33569" w:rsidRPr="000947FA" w:rsidRDefault="00B33569" w:rsidP="007501B9">
      <w:r w:rsidRPr="003A689D">
        <w:t>John told the pharmacist repeatedly</w:t>
      </w:r>
      <w:r w:rsidRPr="000947FA">
        <w:t xml:space="preserve"> “if </w:t>
      </w:r>
      <w:r w:rsidR="0082676D" w:rsidRPr="000947FA">
        <w:t>my</w:t>
      </w:r>
      <w:r w:rsidRPr="000947FA">
        <w:t xml:space="preserve"> oedema d</w:t>
      </w:r>
      <w:r w:rsidR="003A689D">
        <w:t>oes</w:t>
      </w:r>
      <w:r w:rsidRPr="000947FA">
        <w:t xml:space="preserve"> not further improve, </w:t>
      </w:r>
      <w:r w:rsidR="0082676D" w:rsidRPr="000947FA">
        <w:t>I will</w:t>
      </w:r>
      <w:r w:rsidRPr="000947FA">
        <w:t xml:space="preserve"> cease all </w:t>
      </w:r>
      <w:r w:rsidR="0082676D" w:rsidRPr="000947FA">
        <w:t xml:space="preserve">my </w:t>
      </w:r>
      <w:r w:rsidRPr="000947FA">
        <w:t xml:space="preserve">medicines and just wait to die”. </w:t>
      </w:r>
    </w:p>
    <w:p w14:paraId="0DB4729C" w14:textId="3401E4C9" w:rsidR="00B33569" w:rsidRPr="00F42B1D" w:rsidRDefault="00B33569" w:rsidP="007501B9">
      <w:r w:rsidRPr="00F42B1D">
        <w:t xml:space="preserve">The pharmacist suspected that the worsening oedema could be due to felodipine or </w:t>
      </w:r>
      <w:proofErr w:type="gramStart"/>
      <w:r w:rsidRPr="00F42B1D">
        <w:t>pregabalin, and</w:t>
      </w:r>
      <w:proofErr w:type="gramEnd"/>
      <w:r w:rsidRPr="00F42B1D">
        <w:t xml:space="preserve"> was extremely concerned for John’s </w:t>
      </w:r>
      <w:r w:rsidR="0082676D" w:rsidRPr="00F42B1D">
        <w:t xml:space="preserve">worsening </w:t>
      </w:r>
      <w:r w:rsidRPr="00F42B1D">
        <w:t>mental state</w:t>
      </w:r>
      <w:r w:rsidR="007501B9">
        <w:t xml:space="preserve">. </w:t>
      </w:r>
      <w:r w:rsidRPr="00F42B1D">
        <w:t>The pharmacist attempted to contact John’s GP to suggest a trial cessation of those medicines</w:t>
      </w:r>
      <w:r w:rsidR="007501B9">
        <w:t xml:space="preserve">. </w:t>
      </w:r>
      <w:r w:rsidRPr="00F42B1D">
        <w:t>However, the GP was overseas, so the pharmacist commun</w:t>
      </w:r>
      <w:r w:rsidR="0082676D" w:rsidRPr="00F42B1D">
        <w:t xml:space="preserve">icated with the facility </w:t>
      </w:r>
      <w:r w:rsidRPr="00F42B1D">
        <w:t>nurse instead</w:t>
      </w:r>
      <w:r w:rsidR="007501B9">
        <w:t xml:space="preserve">. </w:t>
      </w:r>
      <w:r w:rsidRPr="00F42B1D">
        <w:t xml:space="preserve">In addition, the pharmacist spoke to </w:t>
      </w:r>
      <w:r w:rsidR="0082676D" w:rsidRPr="00F42B1D">
        <w:t>a</w:t>
      </w:r>
      <w:r w:rsidRPr="00F42B1D">
        <w:t xml:space="preserve"> locum GP who stated that he could see John “early next week”</w:t>
      </w:r>
      <w:r w:rsidR="007501B9">
        <w:t xml:space="preserve">. </w:t>
      </w:r>
      <w:r w:rsidRPr="00F42B1D">
        <w:t xml:space="preserve">Despite the pharmacist stressing the urgency of reviewing John, </w:t>
      </w:r>
      <w:r w:rsidR="0082676D" w:rsidRPr="00F42B1D">
        <w:t>he</w:t>
      </w:r>
      <w:r w:rsidRPr="00F42B1D">
        <w:t xml:space="preserve"> was not reviewed immediately</w:t>
      </w:r>
      <w:r w:rsidR="007501B9">
        <w:t xml:space="preserve">. </w:t>
      </w:r>
      <w:r w:rsidRPr="00F42B1D">
        <w:t>The pharmacist continued to make several attempts to contact the locum GP and John’s GP, managing to get in touch with John’s GP two weeks later</w:t>
      </w:r>
      <w:r w:rsidR="007501B9">
        <w:t xml:space="preserve">. </w:t>
      </w:r>
      <w:r w:rsidRPr="003A689D">
        <w:rPr>
          <w:b/>
        </w:rPr>
        <w:t xml:space="preserve">The pharmacist suggested that a trial cessation of felodipine or pregabalin should be </w:t>
      </w:r>
      <w:r w:rsidRPr="003A689D">
        <w:rPr>
          <w:b/>
        </w:rPr>
        <w:lastRenderedPageBreak/>
        <w:t>undertaken</w:t>
      </w:r>
      <w:r w:rsidR="007501B9">
        <w:rPr>
          <w:b/>
        </w:rPr>
        <w:t xml:space="preserve">. </w:t>
      </w:r>
      <w:r w:rsidRPr="00F42B1D">
        <w:t>The GP was welcoming and supportive of the trial</w:t>
      </w:r>
      <w:r w:rsidR="007501B9">
        <w:t xml:space="preserve">. </w:t>
      </w:r>
      <w:r w:rsidRPr="00F42B1D">
        <w:t xml:space="preserve">Although the GP was not convinced that oedema was medication-related, the GP agreed to trial </w:t>
      </w:r>
      <w:r w:rsidR="00112049" w:rsidRPr="00F42B1D">
        <w:t xml:space="preserve">a decrease in pregabalin (25mg) from 3 times a day to twice daily </w:t>
      </w:r>
      <w:r w:rsidRPr="00F42B1D">
        <w:t xml:space="preserve">once </w:t>
      </w:r>
      <w:r w:rsidR="00000FAA" w:rsidRPr="00F42B1D">
        <w:t>John’s</w:t>
      </w:r>
      <w:r w:rsidRPr="00F42B1D">
        <w:t xml:space="preserve"> infection cleared to see if </w:t>
      </w:r>
      <w:r w:rsidR="00112049" w:rsidRPr="00F42B1D">
        <w:t>this</w:t>
      </w:r>
      <w:r w:rsidRPr="00F42B1D">
        <w:t xml:space="preserve"> would improve his condition. </w:t>
      </w:r>
    </w:p>
    <w:p w14:paraId="5E9D7BAC" w14:textId="77777777" w:rsidR="007C6E5D" w:rsidRPr="000947FA" w:rsidRDefault="007C6E5D" w:rsidP="007501B9">
      <w:r w:rsidRPr="000947FA">
        <w:t>Persistence pays off!</w:t>
      </w:r>
    </w:p>
    <w:p w14:paraId="5A9E6DBE" w14:textId="5C7344DC" w:rsidR="00B33569" w:rsidRPr="00F42B1D" w:rsidRDefault="00B33569" w:rsidP="007501B9">
      <w:r w:rsidRPr="00F42B1D">
        <w:t>A follow-up was scheduled by the ph</w:t>
      </w:r>
      <w:r w:rsidR="0082676D" w:rsidRPr="00F42B1D">
        <w:t>armacist to further monitor John’s</w:t>
      </w:r>
      <w:r w:rsidRPr="00F42B1D">
        <w:t xml:space="preserve"> oedema and general health</w:t>
      </w:r>
      <w:r w:rsidR="007501B9">
        <w:t xml:space="preserve">. </w:t>
      </w:r>
      <w:r w:rsidRPr="00F42B1D">
        <w:t xml:space="preserve">During the third session, the pharmacist noted that </w:t>
      </w:r>
      <w:r w:rsidR="00000FAA" w:rsidRPr="00F42B1D">
        <w:t>John’s</w:t>
      </w:r>
      <w:r w:rsidRPr="00F42B1D">
        <w:t xml:space="preserve"> health had significantly improved since the last session and that </w:t>
      </w:r>
      <w:r w:rsidRPr="003A689D">
        <w:rPr>
          <w:b/>
        </w:rPr>
        <w:t>his oedema had improved since the pregabalin was</w:t>
      </w:r>
      <w:r w:rsidR="00112049" w:rsidRPr="003A689D">
        <w:rPr>
          <w:b/>
        </w:rPr>
        <w:t xml:space="preserve"> reduced</w:t>
      </w:r>
      <w:r w:rsidR="007501B9">
        <w:t xml:space="preserve">. </w:t>
      </w:r>
      <w:r w:rsidR="00000FAA" w:rsidRPr="00F42B1D">
        <w:t>John</w:t>
      </w:r>
      <w:r w:rsidRPr="00F42B1D">
        <w:t xml:space="preserve"> had started exercising regularly which allowed him to lose weight slowly and improve his oedema</w:t>
      </w:r>
      <w:r w:rsidR="007501B9">
        <w:t xml:space="preserve">. </w:t>
      </w:r>
      <w:r w:rsidRPr="00F42B1D">
        <w:t>The pharmacist continued to monitor his condition and reinforced the importance of exercise to help with the oedema.</w:t>
      </w:r>
    </w:p>
    <w:p w14:paraId="0AE50052" w14:textId="1202864B" w:rsidR="007C6E5D" w:rsidRPr="00A96C0F" w:rsidRDefault="00B33569" w:rsidP="00897C5B">
      <w:pPr>
        <w:pStyle w:val="Heading3"/>
      </w:pPr>
      <w:bookmarkStart w:id="301" w:name="_Toc117758295"/>
      <w:r w:rsidRPr="00A96C0F">
        <w:t>Case Study – Betty</w:t>
      </w:r>
      <w:r w:rsidR="00096B0D" w:rsidRPr="00A96C0F">
        <w:t>*</w:t>
      </w:r>
      <w:bookmarkEnd w:id="301"/>
    </w:p>
    <w:p w14:paraId="0E4A0BA8" w14:textId="77777777" w:rsidR="00B33569" w:rsidRPr="000947FA" w:rsidRDefault="00000FAA" w:rsidP="007501B9">
      <w:r w:rsidRPr="000947FA">
        <w:t>No more falls: reducing the sedative dose does it.</w:t>
      </w:r>
    </w:p>
    <w:p w14:paraId="49ADD28B" w14:textId="35C281E8" w:rsidR="00B33569" w:rsidRPr="00F42B1D" w:rsidRDefault="00B33569" w:rsidP="007501B9">
      <w:r w:rsidRPr="00F42B1D">
        <w:t xml:space="preserve">Betty is an </w:t>
      </w:r>
      <w:proofErr w:type="gramStart"/>
      <w:r w:rsidRPr="00F42B1D">
        <w:t>80-year old</w:t>
      </w:r>
      <w:proofErr w:type="gramEnd"/>
      <w:r w:rsidRPr="00F42B1D">
        <w:t xml:space="preserve"> woman who has been a resident in </w:t>
      </w:r>
      <w:r w:rsidR="007C6E5D" w:rsidRPr="00F42B1D">
        <w:t>her</w:t>
      </w:r>
      <w:r w:rsidRPr="00F42B1D">
        <w:t xml:space="preserve"> aged care facility for the past two years</w:t>
      </w:r>
      <w:r w:rsidR="007501B9">
        <w:t xml:space="preserve">. </w:t>
      </w:r>
      <w:r w:rsidRPr="00F42B1D">
        <w:t xml:space="preserve">She never married and had lived with her sister until her sister’s death. </w:t>
      </w:r>
    </w:p>
    <w:p w14:paraId="2C730646" w14:textId="1928388F" w:rsidR="00B33569" w:rsidRPr="00F42B1D" w:rsidRDefault="00B33569" w:rsidP="007501B9">
      <w:r w:rsidRPr="00F42B1D">
        <w:t xml:space="preserve">Betty had been recently hospitalised for </w:t>
      </w:r>
      <w:r w:rsidR="007C6E5D" w:rsidRPr="00F42B1D">
        <w:t>congestive cardiac failure</w:t>
      </w:r>
      <w:r w:rsidR="007501B9">
        <w:t xml:space="preserve">. </w:t>
      </w:r>
      <w:r w:rsidR="003A689D">
        <w:t>In addition</w:t>
      </w:r>
      <w:r w:rsidRPr="00F42B1D">
        <w:t xml:space="preserve">, Betty suffers from diabetes, obesity, hyperlipidaemia chronic back pain, sciatica, cognitive impairment, double vision, poor balance, necrobiosis </w:t>
      </w:r>
      <w:proofErr w:type="spellStart"/>
      <w:r w:rsidRPr="00F42B1D">
        <w:t>lipoidica</w:t>
      </w:r>
      <w:proofErr w:type="spellEnd"/>
      <w:r w:rsidRPr="00F42B1D">
        <w:t>, peripheral arter</w:t>
      </w:r>
      <w:r w:rsidR="003A689D">
        <w:t>ial</w:t>
      </w:r>
      <w:r w:rsidRPr="00F42B1D">
        <w:t xml:space="preserve"> disease, peripheral neuropathy, recurrent chronic leg ulcers, anxiety, dementia</w:t>
      </w:r>
      <w:r w:rsidR="00112049" w:rsidRPr="00F42B1D">
        <w:t>, depression, and incontinence.</w:t>
      </w:r>
    </w:p>
    <w:p w14:paraId="53C474DC" w14:textId="43F5D503" w:rsidR="00B33569" w:rsidRPr="00F42B1D" w:rsidRDefault="00B33569" w:rsidP="007501B9">
      <w:r w:rsidRPr="00F42B1D">
        <w:t xml:space="preserve">In the first session, the </w:t>
      </w:r>
      <w:proofErr w:type="spellStart"/>
      <w:r w:rsidRPr="00F42B1D">
        <w:t>ReMInDAR</w:t>
      </w:r>
      <w:proofErr w:type="spellEnd"/>
      <w:r w:rsidRPr="00F42B1D">
        <w:t xml:space="preserve"> pharmacist noted that Betty’s dose of pregabalin was increased from 225 mg </w:t>
      </w:r>
      <w:r w:rsidR="00000FAA" w:rsidRPr="00F42B1D">
        <w:t xml:space="preserve">twice a day </w:t>
      </w:r>
      <w:r w:rsidRPr="00F42B1D">
        <w:t xml:space="preserve">to 300 mg </w:t>
      </w:r>
      <w:r w:rsidR="00000FAA" w:rsidRPr="00F42B1D">
        <w:t>twice a day</w:t>
      </w:r>
      <w:r w:rsidRPr="00F42B1D">
        <w:t xml:space="preserve"> due to pain in her right foot</w:t>
      </w:r>
      <w:r w:rsidR="007501B9">
        <w:t xml:space="preserve">. </w:t>
      </w:r>
      <w:r w:rsidRPr="00F42B1D">
        <w:t xml:space="preserve">She had also been given temazepam (10mg </w:t>
      </w:r>
      <w:r w:rsidR="00000FAA" w:rsidRPr="00F42B1D">
        <w:t>at night)</w:t>
      </w:r>
      <w:r w:rsidRPr="00F42B1D">
        <w:t xml:space="preserve"> to aid with sleep. </w:t>
      </w:r>
    </w:p>
    <w:p w14:paraId="32C3F610" w14:textId="77777777" w:rsidR="007C6E5D" w:rsidRPr="000947FA" w:rsidRDefault="007C6E5D" w:rsidP="007501B9">
      <w:r w:rsidRPr="000947FA">
        <w:t>Betty felt dizzy and complained of weight gain</w:t>
      </w:r>
    </w:p>
    <w:p w14:paraId="22C38AFF" w14:textId="374F45C6" w:rsidR="00B33569" w:rsidRPr="00F42B1D" w:rsidRDefault="00B33569" w:rsidP="007501B9">
      <w:r w:rsidRPr="00F42B1D">
        <w:t xml:space="preserve">Betty was satisfied with her pain management, however she indicated to the pharmacist that she felt dizzy and disliked the weight gain since </w:t>
      </w:r>
      <w:r w:rsidR="003A689D">
        <w:t xml:space="preserve">the </w:t>
      </w:r>
      <w:r w:rsidRPr="00F42B1D">
        <w:t>increased dosing of the pregabalin</w:t>
      </w:r>
      <w:r w:rsidR="007501B9">
        <w:t xml:space="preserve">. </w:t>
      </w:r>
      <w:r w:rsidRPr="00F42B1D">
        <w:t>Her weight ha</w:t>
      </w:r>
      <w:r w:rsidR="00920415" w:rsidRPr="00F42B1D">
        <w:t>d</w:t>
      </w:r>
      <w:r w:rsidRPr="00F42B1D">
        <w:t xml:space="preserve"> increased by 5.5 kg within a month</w:t>
      </w:r>
      <w:r w:rsidR="007501B9">
        <w:t xml:space="preserve">. </w:t>
      </w:r>
      <w:r w:rsidRPr="00F42B1D">
        <w:t xml:space="preserve">Pregabalin may cause drowsiness, impaired balance, </w:t>
      </w:r>
      <w:proofErr w:type="gramStart"/>
      <w:r w:rsidRPr="00F42B1D">
        <w:t>confusion</w:t>
      </w:r>
      <w:proofErr w:type="gramEnd"/>
      <w:r w:rsidRPr="00F42B1D">
        <w:t xml:space="preserve"> and weight gain</w:t>
      </w:r>
      <w:r w:rsidR="007501B9">
        <w:t xml:space="preserve">. </w:t>
      </w:r>
      <w:r w:rsidRPr="00F42B1D">
        <w:t xml:space="preserve">The </w:t>
      </w:r>
      <w:r w:rsidR="00112049" w:rsidRPr="00F42B1D">
        <w:t>pharmacist discussed with Betty</w:t>
      </w:r>
      <w:r w:rsidRPr="00F42B1D">
        <w:t xml:space="preserve"> the potential for pregabalin to cause these side effects and the possibility of reducing the </w:t>
      </w:r>
      <w:proofErr w:type="spellStart"/>
      <w:r w:rsidRPr="00F42B1D">
        <w:t>pregablin</w:t>
      </w:r>
      <w:proofErr w:type="spellEnd"/>
      <w:r w:rsidRPr="00F42B1D">
        <w:t xml:space="preserve"> dose, however Betty was reluctant to reduce the dose due to her pain.</w:t>
      </w:r>
    </w:p>
    <w:p w14:paraId="42B8218B" w14:textId="77777777" w:rsidR="007C6E5D" w:rsidRPr="000947FA" w:rsidRDefault="007C6E5D" w:rsidP="007501B9">
      <w:r w:rsidRPr="000947FA">
        <w:t>Betty started to have falls</w:t>
      </w:r>
    </w:p>
    <w:p w14:paraId="2CEBA139" w14:textId="3105F79F" w:rsidR="00B33569" w:rsidRPr="00F42B1D" w:rsidRDefault="00B33569" w:rsidP="007501B9">
      <w:r w:rsidRPr="00F42B1D">
        <w:t>Four weeks later, Betty had a fall and she stated that she was feeling tired for a week before her fall</w:t>
      </w:r>
      <w:r w:rsidR="007501B9">
        <w:t xml:space="preserve">. </w:t>
      </w:r>
      <w:r w:rsidRPr="00F42B1D">
        <w:t>Betty acknowledged the risks associated with losing her balance; however, she was still reluctant to reduce the dose of pregabalin</w:t>
      </w:r>
      <w:r w:rsidR="007501B9">
        <w:t xml:space="preserve">. </w:t>
      </w:r>
      <w:r w:rsidRPr="00F42B1D">
        <w:t xml:space="preserve">The pharmacist reiterated the benefits of </w:t>
      </w:r>
      <w:r w:rsidRPr="00F42B1D">
        <w:lastRenderedPageBreak/>
        <w:t>reducing the medicine</w:t>
      </w:r>
      <w:r w:rsidR="007501B9">
        <w:t xml:space="preserve">. </w:t>
      </w:r>
      <w:r w:rsidRPr="00F42B1D">
        <w:t xml:space="preserve">In addition, the </w:t>
      </w:r>
      <w:proofErr w:type="spellStart"/>
      <w:r w:rsidRPr="00F42B1D">
        <w:t>ReMInDAR</w:t>
      </w:r>
      <w:proofErr w:type="spellEnd"/>
      <w:r w:rsidRPr="00F42B1D">
        <w:t xml:space="preserve"> pharmacist discussed her concerns with the aged care staff to ensure they provided the care necessary for Betty</w:t>
      </w:r>
      <w:r w:rsidR="007501B9">
        <w:t xml:space="preserve">. </w:t>
      </w:r>
      <w:r w:rsidRPr="00F42B1D">
        <w:t xml:space="preserve">Within six days, </w:t>
      </w:r>
      <w:r w:rsidR="009B55EB" w:rsidRPr="00F42B1D">
        <w:t>Betty</w:t>
      </w:r>
      <w:r w:rsidRPr="00F42B1D">
        <w:t xml:space="preserve"> had another fall in the bathroo</w:t>
      </w:r>
      <w:r w:rsidR="00112049" w:rsidRPr="00F42B1D">
        <w:t>m and was admitted to hospital.</w:t>
      </w:r>
    </w:p>
    <w:p w14:paraId="6694C55F" w14:textId="69AD238C" w:rsidR="00B33569" w:rsidRPr="00F42B1D" w:rsidRDefault="00B33569" w:rsidP="007501B9">
      <w:r w:rsidRPr="00F42B1D">
        <w:t>At the subsequent pharmacist review visit, Betty had had two further falls and stated that she was ‘loosing strength’ in her legs</w:t>
      </w:r>
      <w:r w:rsidR="007501B9">
        <w:t xml:space="preserve">. </w:t>
      </w:r>
      <w:r w:rsidRPr="00F42B1D">
        <w:t xml:space="preserve">She was still on same medicine regimen; </w:t>
      </w:r>
      <w:r w:rsidR="00112049" w:rsidRPr="00F42B1D">
        <w:t xml:space="preserve">but </w:t>
      </w:r>
      <w:r w:rsidRPr="00F42B1D">
        <w:t>in addition, she had started perindopril 40mg daily</w:t>
      </w:r>
      <w:r w:rsidR="007501B9">
        <w:t xml:space="preserve">. </w:t>
      </w:r>
      <w:r w:rsidRPr="00F42B1D">
        <w:t xml:space="preserve">The </w:t>
      </w:r>
      <w:proofErr w:type="spellStart"/>
      <w:r w:rsidRPr="00F42B1D">
        <w:t>ReMInDAR</w:t>
      </w:r>
      <w:proofErr w:type="spellEnd"/>
      <w:r w:rsidRPr="00F42B1D">
        <w:t xml:space="preserve"> pharmacist noted that this medicine could cause hypotension, which could also</w:t>
      </w:r>
      <w:r w:rsidR="00112049" w:rsidRPr="00F42B1D">
        <w:t xml:space="preserve"> contribute to her falls.</w:t>
      </w:r>
    </w:p>
    <w:p w14:paraId="7464BA28" w14:textId="6638121C" w:rsidR="00B33569" w:rsidRPr="00F42B1D" w:rsidRDefault="00B33569" w:rsidP="007501B9">
      <w:r w:rsidRPr="00F42B1D">
        <w:t>The pharmacist discussed these issues with the Registered Nurse (RN) as Betty’s doctor was on holidays</w:t>
      </w:r>
      <w:r w:rsidR="007501B9">
        <w:t xml:space="preserve">. </w:t>
      </w:r>
      <w:r w:rsidRPr="00F42B1D">
        <w:t xml:space="preserve">A follow-up communication with the RN occurred within a month and the doctor decreased Betty’s pregabalin dose from 300mg </w:t>
      </w:r>
      <w:r w:rsidR="009B55EB" w:rsidRPr="00F42B1D">
        <w:t>twice a day</w:t>
      </w:r>
      <w:r w:rsidRPr="00F42B1D">
        <w:t xml:space="preserve"> to 250 mg </w:t>
      </w:r>
      <w:r w:rsidR="009B55EB" w:rsidRPr="00F42B1D">
        <w:t>twice a day</w:t>
      </w:r>
      <w:r w:rsidR="00112049" w:rsidRPr="00F42B1D">
        <w:t>.</w:t>
      </w:r>
    </w:p>
    <w:p w14:paraId="574678E8" w14:textId="7C3748FE" w:rsidR="00B33569" w:rsidRPr="00F42B1D" w:rsidRDefault="00B33569" w:rsidP="007501B9">
      <w:pPr>
        <w:rPr>
          <w:color w:val="000000"/>
        </w:rPr>
      </w:pPr>
      <w:r w:rsidRPr="00F42B1D">
        <w:t xml:space="preserve">By the fifth pharmacist review session, Betty had not had any falls and at this time Betty’s pregabalin dose was further reduced to 75mg </w:t>
      </w:r>
      <w:r w:rsidR="009B55EB" w:rsidRPr="00F42B1D">
        <w:t>twice a day</w:t>
      </w:r>
      <w:r w:rsidR="007501B9">
        <w:t xml:space="preserve">. </w:t>
      </w:r>
      <w:r w:rsidRPr="00F42B1D">
        <w:t xml:space="preserve">Betty indicated she would like to further decrease the pregabalin dose if she can, </w:t>
      </w:r>
      <w:proofErr w:type="gramStart"/>
      <w:r w:rsidRPr="00F42B1D">
        <w:t>as long as</w:t>
      </w:r>
      <w:proofErr w:type="gramEnd"/>
      <w:r w:rsidRPr="00F42B1D">
        <w:t xml:space="preserve"> her pain is under control</w:t>
      </w:r>
      <w:r w:rsidR="007501B9">
        <w:t xml:space="preserve">. </w:t>
      </w:r>
      <w:r w:rsidRPr="00F42B1D">
        <w:rPr>
          <w:color w:val="000000"/>
        </w:rPr>
        <w:t xml:space="preserve">The pharmacist noted to review and monitor </w:t>
      </w:r>
      <w:r w:rsidR="0082676D" w:rsidRPr="00F42B1D">
        <w:rPr>
          <w:color w:val="000000"/>
        </w:rPr>
        <w:t>Betty closely.</w:t>
      </w:r>
    </w:p>
    <w:p w14:paraId="035CFACC" w14:textId="5A689BFA" w:rsidR="00785138" w:rsidRPr="00F42B1D" w:rsidRDefault="00785138" w:rsidP="0084765B">
      <w:pPr>
        <w:pStyle w:val="Heading2-SectionF"/>
      </w:pPr>
      <w:bookmarkStart w:id="302" w:name="_Toc117758296"/>
      <w:r w:rsidRPr="00F42B1D">
        <w:t>Stakeholder feedback</w:t>
      </w:r>
      <w:bookmarkEnd w:id="302"/>
    </w:p>
    <w:p w14:paraId="0AB797D3" w14:textId="1F98BDB5" w:rsidR="0034280F" w:rsidRDefault="00785138" w:rsidP="007501B9">
      <w:pPr>
        <w:rPr>
          <w:lang w:val="en-US"/>
        </w:rPr>
      </w:pPr>
      <w:r w:rsidRPr="00F42B1D">
        <w:rPr>
          <w:lang w:val="en-US"/>
        </w:rPr>
        <w:t xml:space="preserve">Feedback was solicited from </w:t>
      </w:r>
      <w:proofErr w:type="spellStart"/>
      <w:r w:rsidRPr="00F42B1D">
        <w:rPr>
          <w:lang w:val="en-US"/>
        </w:rPr>
        <w:t>ReMInDAR</w:t>
      </w:r>
      <w:proofErr w:type="spellEnd"/>
      <w:r w:rsidRPr="00F42B1D">
        <w:rPr>
          <w:lang w:val="en-US"/>
        </w:rPr>
        <w:t xml:space="preserve"> stakeholders to discern the need and acceptability for the pharmacy service </w:t>
      </w:r>
      <w:r w:rsidR="0034280F">
        <w:rPr>
          <w:lang w:val="en-US"/>
        </w:rPr>
        <w:t>from the</w:t>
      </w:r>
      <w:r w:rsidRPr="00F42B1D">
        <w:rPr>
          <w:lang w:val="en-US"/>
        </w:rPr>
        <w:t xml:space="preserve"> different stakeholder </w:t>
      </w:r>
      <w:r w:rsidR="0034280F">
        <w:rPr>
          <w:lang w:val="en-US"/>
        </w:rPr>
        <w:t>viewpoints</w:t>
      </w:r>
      <w:r w:rsidRPr="00F42B1D">
        <w:rPr>
          <w:lang w:val="en-US"/>
        </w:rPr>
        <w:t xml:space="preserve"> and to identify the critical success factors</w:t>
      </w:r>
      <w:r w:rsidR="007501B9">
        <w:rPr>
          <w:lang w:val="en-US"/>
        </w:rPr>
        <w:t xml:space="preserve">. </w:t>
      </w:r>
    </w:p>
    <w:p w14:paraId="1DD8FFA0" w14:textId="42877804" w:rsidR="0034280F" w:rsidRDefault="00785138" w:rsidP="007501B9">
      <w:pPr>
        <w:rPr>
          <w:lang w:val="en-US"/>
        </w:rPr>
      </w:pPr>
      <w:r w:rsidRPr="00F42B1D">
        <w:rPr>
          <w:lang w:val="en-US"/>
        </w:rPr>
        <w:t>Feedback from pharmacists was sought through a purposeful pharmacist focus group discussion session as well as informally during pharmacist bi-monthly training and discussion sessions held over the lifespan of the trial implementation</w:t>
      </w:r>
      <w:r w:rsidR="007501B9">
        <w:rPr>
          <w:lang w:val="en-US"/>
        </w:rPr>
        <w:t xml:space="preserve">. </w:t>
      </w:r>
      <w:r w:rsidRPr="00F42B1D">
        <w:rPr>
          <w:lang w:val="en-US"/>
        </w:rPr>
        <w:t>In addition, a brief pharmacist training evaluation survey was undertaken</w:t>
      </w:r>
      <w:r w:rsidR="007501B9">
        <w:rPr>
          <w:lang w:val="en-US"/>
        </w:rPr>
        <w:t xml:space="preserve">. </w:t>
      </w:r>
    </w:p>
    <w:p w14:paraId="210E1CFB" w14:textId="7EB917F5" w:rsidR="00785138" w:rsidRPr="00F42B1D" w:rsidRDefault="00785138" w:rsidP="007501B9">
      <w:pPr>
        <w:rPr>
          <w:lang w:val="en-US"/>
        </w:rPr>
      </w:pPr>
      <w:r w:rsidRPr="00F42B1D">
        <w:rPr>
          <w:lang w:val="en-US"/>
        </w:rPr>
        <w:t>Feedback from intervention-arm participants, their general practitioners and RACF staff was sought via purposeful one-to-one stakeholder phone interviews and through informal discussion sessions during implementation of the trial.</w:t>
      </w:r>
    </w:p>
    <w:p w14:paraId="41FA3590" w14:textId="7D5FDF8C" w:rsidR="0034280F" w:rsidRDefault="00785138" w:rsidP="007501B9">
      <w:r w:rsidRPr="00F42B1D">
        <w:t xml:space="preserve">Overall, all stakeholder groups thought that the </w:t>
      </w:r>
      <w:proofErr w:type="spellStart"/>
      <w:r w:rsidRPr="00F42B1D">
        <w:t>ReMInDAR</w:t>
      </w:r>
      <w:proofErr w:type="spellEnd"/>
      <w:r w:rsidRPr="00F42B1D">
        <w:t xml:space="preserve"> pharmacy service was a much needed and valuable service, with the feedback overwhelmingly positive</w:t>
      </w:r>
      <w:r w:rsidR="007501B9">
        <w:t xml:space="preserve">. </w:t>
      </w:r>
      <w:r w:rsidRPr="00F42B1D">
        <w:t xml:space="preserve">Pharmacists reported gaining additional skills and experience, the GPs reported some of the recommendations useful in improving medication management for their patients, and the residents enjoyed having regular </w:t>
      </w:r>
      <w:r w:rsidR="0034280F">
        <w:t xml:space="preserve">pharmacist </w:t>
      </w:r>
      <w:r w:rsidRPr="00F42B1D">
        <w:t>visits</w:t>
      </w:r>
      <w:r w:rsidR="007501B9">
        <w:t xml:space="preserve">. </w:t>
      </w:r>
    </w:p>
    <w:p w14:paraId="357A9DDB" w14:textId="5C9B0420" w:rsidR="00785138" w:rsidRPr="00F42B1D" w:rsidRDefault="00785138" w:rsidP="007501B9">
      <w:r w:rsidRPr="00F42B1D">
        <w:t>The essential elements for a successful pharmacist service that were identified by stakeholders were:</w:t>
      </w:r>
    </w:p>
    <w:p w14:paraId="3C0697C7" w14:textId="5CC4F36E" w:rsidR="00785138" w:rsidRPr="00F42B1D" w:rsidRDefault="00CE2887" w:rsidP="00B630EF">
      <w:pPr>
        <w:pStyle w:val="ListBullet"/>
      </w:pPr>
      <w:r>
        <w:lastRenderedPageBreak/>
        <w:t>t</w:t>
      </w:r>
      <w:r w:rsidR="00785138" w:rsidRPr="00F42B1D">
        <w:t>raining and peer support of the pharmacists in new tools, communication skills and making clinical recommendations</w:t>
      </w:r>
    </w:p>
    <w:p w14:paraId="63F97021" w14:textId="0ABBAF3C" w:rsidR="00785138" w:rsidRPr="00F42B1D" w:rsidRDefault="00CE2887" w:rsidP="00B630EF">
      <w:pPr>
        <w:pStyle w:val="ListBullet"/>
      </w:pPr>
      <w:r>
        <w:t>e</w:t>
      </w:r>
      <w:r w:rsidR="00785138" w:rsidRPr="00F42B1D">
        <w:t>arly engagement with General Practitioners</w:t>
      </w:r>
    </w:p>
    <w:p w14:paraId="734F7CB9" w14:textId="22A3857D" w:rsidR="00785138" w:rsidRPr="00F42B1D" w:rsidRDefault="00CE2887" w:rsidP="00B630EF">
      <w:pPr>
        <w:pStyle w:val="ListBullet"/>
      </w:pPr>
      <w:r>
        <w:t>e</w:t>
      </w:r>
      <w:r w:rsidR="00785138" w:rsidRPr="00F42B1D">
        <w:t xml:space="preserve">stablishment of productive working relationships with residents, </w:t>
      </w:r>
      <w:proofErr w:type="gramStart"/>
      <w:r w:rsidR="00785138" w:rsidRPr="00F42B1D">
        <w:t>GPs</w:t>
      </w:r>
      <w:proofErr w:type="gramEnd"/>
      <w:r w:rsidR="00785138" w:rsidRPr="00F42B1D">
        <w:t xml:space="preserve"> and residential aged care staff</w:t>
      </w:r>
    </w:p>
    <w:p w14:paraId="4B70C423" w14:textId="3FFD8E43" w:rsidR="00785138" w:rsidRPr="00F42B1D" w:rsidRDefault="00785138" w:rsidP="00B630EF">
      <w:pPr>
        <w:pStyle w:val="ListBullet"/>
      </w:pPr>
      <w:proofErr w:type="spellStart"/>
      <w:r w:rsidRPr="00F42B1D">
        <w:t>I</w:t>
      </w:r>
      <w:r w:rsidR="00CE2887">
        <w:t>i</w:t>
      </w:r>
      <w:r w:rsidRPr="00F42B1D">
        <w:t>ntegrated</w:t>
      </w:r>
      <w:proofErr w:type="spellEnd"/>
      <w:r w:rsidRPr="00F42B1D">
        <w:t xml:space="preserve"> communication and coordination among the multidisciplinary team, including nurses, care staff, the GP, and the pharmacist</w:t>
      </w:r>
    </w:p>
    <w:p w14:paraId="363391AA" w14:textId="7D47784D" w:rsidR="0034280F" w:rsidRPr="00F42B1D" w:rsidRDefault="00785138" w:rsidP="00B630EF">
      <w:pPr>
        <w:pStyle w:val="ListBullet"/>
      </w:pPr>
      <w:r w:rsidRPr="00F42B1D">
        <w:t>the need for pharmacists to communicate regularly with staff and build relationship and the need for pharmacists to be seen as a resource to and integrated as a full member of the team</w:t>
      </w:r>
      <w:r w:rsidR="00CE2887">
        <w:t>.</w:t>
      </w:r>
    </w:p>
    <w:p w14:paraId="2FA19EFD" w14:textId="10E5ADE3" w:rsidR="00785138" w:rsidRPr="00F42B1D" w:rsidRDefault="0034280F" w:rsidP="007501B9">
      <w:r>
        <w:t>The pharmacists and trial participants noted there was a need for f</w:t>
      </w:r>
      <w:r w:rsidR="00785138" w:rsidRPr="00F42B1D">
        <w:t xml:space="preserve">urther consideration of the use of tools to identify medication </w:t>
      </w:r>
      <w:proofErr w:type="gramStart"/>
      <w:r w:rsidR="00785138" w:rsidRPr="00F42B1D">
        <w:t>induced-deterioration</w:t>
      </w:r>
      <w:proofErr w:type="gramEnd"/>
      <w:r w:rsidR="00785138" w:rsidRPr="00F42B1D">
        <w:t xml:space="preserve">. </w:t>
      </w:r>
      <w:r>
        <w:t>The residents did not like using the c</w:t>
      </w:r>
      <w:r w:rsidR="00785138" w:rsidRPr="00F42B1D">
        <w:t>ognition tools</w:t>
      </w:r>
      <w:r>
        <w:t>. G</w:t>
      </w:r>
      <w:r w:rsidR="00785138" w:rsidRPr="00F42B1D">
        <w:t xml:space="preserve">rip strength measurements were well </w:t>
      </w:r>
      <w:proofErr w:type="gramStart"/>
      <w:r w:rsidR="00785138" w:rsidRPr="00F42B1D">
        <w:t>received</w:t>
      </w:r>
      <w:proofErr w:type="gramEnd"/>
      <w:r w:rsidR="00785138" w:rsidRPr="00F42B1D">
        <w:t xml:space="preserve"> and the use of activity trackers might be acceptable if they were reliable, comfortable and attractive.</w:t>
      </w:r>
    </w:p>
    <w:p w14:paraId="665D0B8D" w14:textId="18173A38" w:rsidR="00785138" w:rsidRPr="00F42B1D" w:rsidRDefault="00785138" w:rsidP="007501B9">
      <w:pPr>
        <w:rPr>
          <w:lang w:val="en-US"/>
        </w:rPr>
      </w:pPr>
      <w:r w:rsidRPr="00F42B1D">
        <w:rPr>
          <w:lang w:val="en-US"/>
        </w:rPr>
        <w:t xml:space="preserve">In terms of opportunities to expand the service delivery, stakeholders were supportive of the need to continue to provide </w:t>
      </w:r>
      <w:r w:rsidR="0034280F">
        <w:rPr>
          <w:lang w:val="en-US"/>
        </w:rPr>
        <w:t>pharmacist services</w:t>
      </w:r>
      <w:r w:rsidRPr="00F42B1D">
        <w:rPr>
          <w:lang w:val="en-US"/>
        </w:rPr>
        <w:t xml:space="preserve"> to residents in aged care</w:t>
      </w:r>
      <w:r w:rsidR="007501B9">
        <w:rPr>
          <w:lang w:val="en-US"/>
        </w:rPr>
        <w:t xml:space="preserve">. </w:t>
      </w:r>
      <w:r w:rsidR="0034280F">
        <w:rPr>
          <w:lang w:val="en-US"/>
        </w:rPr>
        <w:t>I</w:t>
      </w:r>
      <w:r w:rsidRPr="00F42B1D">
        <w:rPr>
          <w:lang w:val="en-US"/>
        </w:rPr>
        <w:t xml:space="preserve">ssues such as </w:t>
      </w:r>
      <w:r w:rsidR="0034280F">
        <w:rPr>
          <w:lang w:val="en-US"/>
        </w:rPr>
        <w:t xml:space="preserve">the </w:t>
      </w:r>
      <w:r w:rsidRPr="00F42B1D">
        <w:rPr>
          <w:lang w:val="en-US"/>
        </w:rPr>
        <w:t xml:space="preserve">frequency of </w:t>
      </w:r>
      <w:r w:rsidR="0034280F">
        <w:rPr>
          <w:lang w:val="en-US"/>
        </w:rPr>
        <w:t xml:space="preserve">the </w:t>
      </w:r>
      <w:r w:rsidRPr="00F42B1D">
        <w:rPr>
          <w:lang w:val="en-US"/>
        </w:rPr>
        <w:t xml:space="preserve">service; co-location of pharmacists; and expanding the service to other target groups within aged care, as well as into the community were all </w:t>
      </w:r>
      <w:r w:rsidR="0034280F">
        <w:rPr>
          <w:lang w:val="en-US"/>
        </w:rPr>
        <w:t>discussed</w:t>
      </w:r>
      <w:r w:rsidRPr="00F42B1D">
        <w:rPr>
          <w:lang w:val="en-US"/>
        </w:rPr>
        <w:t xml:space="preserve">. </w:t>
      </w:r>
    </w:p>
    <w:p w14:paraId="1A91108B" w14:textId="42173065" w:rsidR="00785138" w:rsidRPr="00F42B1D" w:rsidRDefault="00785138" w:rsidP="007501B9">
      <w:pPr>
        <w:rPr>
          <w:lang w:val="en-US"/>
        </w:rPr>
      </w:pPr>
      <w:r w:rsidRPr="00F42B1D">
        <w:rPr>
          <w:lang w:val="en-US"/>
        </w:rPr>
        <w:t>The themes arising from feedback collected from the different stakeholder groups are presented in greater detail below.</w:t>
      </w:r>
    </w:p>
    <w:p w14:paraId="4A3462B0" w14:textId="581B785D" w:rsidR="00785138" w:rsidRPr="00F42B1D" w:rsidRDefault="00A96C0F" w:rsidP="00897C5B">
      <w:pPr>
        <w:pStyle w:val="Heading3"/>
        <w:rPr>
          <w:lang w:val="en-US"/>
        </w:rPr>
      </w:pPr>
      <w:bookmarkStart w:id="303" w:name="_Toc117758297"/>
      <w:r>
        <w:rPr>
          <w:lang w:val="en-US"/>
        </w:rPr>
        <w:t>F2.1</w:t>
      </w:r>
      <w:r w:rsidR="00FF37D6">
        <w:rPr>
          <w:lang w:val="en-US"/>
        </w:rPr>
        <w:tab/>
      </w:r>
      <w:r w:rsidR="00785138" w:rsidRPr="00F42B1D">
        <w:rPr>
          <w:lang w:val="en-US"/>
        </w:rPr>
        <w:t xml:space="preserve">RACF </w:t>
      </w:r>
      <w:r w:rsidR="000947FA">
        <w:rPr>
          <w:lang w:val="en-US"/>
        </w:rPr>
        <w:t>resident (participant) feedback</w:t>
      </w:r>
      <w:bookmarkEnd w:id="303"/>
    </w:p>
    <w:p w14:paraId="56BACAA2" w14:textId="43708DE1" w:rsidR="00785138" w:rsidRPr="00F42B1D" w:rsidRDefault="00785138" w:rsidP="007501B9">
      <w:pPr>
        <w:rPr>
          <w:lang w:val="en-US"/>
        </w:rPr>
      </w:pPr>
      <w:r w:rsidRPr="00F42B1D">
        <w:rPr>
          <w:lang w:val="en-US"/>
        </w:rPr>
        <w:t xml:space="preserve">Out of the 97 aged care residents who were participants in the intervention arm at the </w:t>
      </w:r>
      <w:proofErr w:type="gramStart"/>
      <w:r w:rsidRPr="00F42B1D">
        <w:rPr>
          <w:lang w:val="en-US"/>
        </w:rPr>
        <w:t>12 month</w:t>
      </w:r>
      <w:proofErr w:type="gramEnd"/>
      <w:r w:rsidRPr="00F42B1D">
        <w:rPr>
          <w:lang w:val="en-US"/>
        </w:rPr>
        <w:t xml:space="preserve"> time point, 7 </w:t>
      </w:r>
      <w:r w:rsidR="0034280F">
        <w:rPr>
          <w:lang w:val="en-US"/>
        </w:rPr>
        <w:t xml:space="preserve">were </w:t>
      </w:r>
      <w:r w:rsidRPr="00F42B1D">
        <w:rPr>
          <w:lang w:val="en-US"/>
        </w:rPr>
        <w:t>interview</w:t>
      </w:r>
      <w:r w:rsidR="0034280F">
        <w:rPr>
          <w:lang w:val="en-US"/>
        </w:rPr>
        <w:t>ed</w:t>
      </w:r>
      <w:r w:rsidRPr="00F42B1D">
        <w:rPr>
          <w:lang w:val="en-US"/>
        </w:rPr>
        <w:t xml:space="preserve"> by phone</w:t>
      </w:r>
      <w:r w:rsidR="0034280F">
        <w:rPr>
          <w:lang w:val="en-US"/>
        </w:rPr>
        <w:t xml:space="preserve"> (due to COVID-19 restrictions) towards the end of the trial</w:t>
      </w:r>
      <w:r w:rsidRPr="00F42B1D">
        <w:rPr>
          <w:lang w:val="en-US"/>
        </w:rPr>
        <w:t>.</w:t>
      </w:r>
    </w:p>
    <w:p w14:paraId="56FC9ABE" w14:textId="77777777" w:rsidR="00785138" w:rsidRPr="00F42B1D" w:rsidRDefault="00785138" w:rsidP="007501B9">
      <w:pPr>
        <w:rPr>
          <w:lang w:val="en-US"/>
        </w:rPr>
      </w:pPr>
      <w:r w:rsidRPr="00F42B1D">
        <w:rPr>
          <w:lang w:val="en-US"/>
        </w:rPr>
        <w:t>Participants were overwhelmingly welcoming of having a pharmacist service as they recalled minimal previous opportunities to speak with a pharmacist since they had entered the facility:</w:t>
      </w:r>
    </w:p>
    <w:p w14:paraId="33C94876" w14:textId="39DF2B9E" w:rsidR="00785138" w:rsidRPr="000947FA" w:rsidRDefault="00785138" w:rsidP="00B630EF">
      <w:pPr>
        <w:pStyle w:val="ListQuotes"/>
      </w:pPr>
      <w:r w:rsidRPr="000947FA">
        <w:t>“I have never seen a pharmacist since coming here, and I’ve been here for 5 years, so thank you for doing this”</w:t>
      </w:r>
    </w:p>
    <w:p w14:paraId="4BED9DC0" w14:textId="419919CD" w:rsidR="00785138" w:rsidRPr="000947FA" w:rsidRDefault="00785138" w:rsidP="00B630EF">
      <w:pPr>
        <w:pStyle w:val="ListQuotes"/>
      </w:pPr>
      <w:r w:rsidRPr="000947FA">
        <w:t>“It’s about time we have pharmacists here”</w:t>
      </w:r>
    </w:p>
    <w:p w14:paraId="75C9A224" w14:textId="27EC6BFE" w:rsidR="00785138" w:rsidRPr="000947FA" w:rsidRDefault="00785138" w:rsidP="00B630EF">
      <w:pPr>
        <w:pStyle w:val="ListQuotes"/>
      </w:pPr>
      <w:r w:rsidRPr="000947FA">
        <w:t>“Nobody here can help me with my medicines. Nobody explains to me why I need to pay for these medicines. Can you please help?”</w:t>
      </w:r>
    </w:p>
    <w:p w14:paraId="62A2D3D5" w14:textId="77777777" w:rsidR="00785138" w:rsidRPr="00F42B1D" w:rsidRDefault="00785138" w:rsidP="007501B9">
      <w:pPr>
        <w:rPr>
          <w:lang w:val="en-US"/>
        </w:rPr>
      </w:pPr>
      <w:r w:rsidRPr="00F42B1D">
        <w:rPr>
          <w:lang w:val="en-US"/>
        </w:rPr>
        <w:t>Feedback about the perceived benefits of the service was overwhelmingly positive, including the use of the grip strength assessment tool:</w:t>
      </w:r>
    </w:p>
    <w:p w14:paraId="1BA58D1D" w14:textId="00D5A123" w:rsidR="00785138" w:rsidRPr="000947FA" w:rsidRDefault="00785138" w:rsidP="00B630EF">
      <w:pPr>
        <w:pStyle w:val="ListQuotes"/>
      </w:pPr>
      <w:r w:rsidRPr="000947FA">
        <w:t xml:space="preserve"> “Overall, participating in this intervention has been good experience.”</w:t>
      </w:r>
    </w:p>
    <w:p w14:paraId="3923593E" w14:textId="185FC503" w:rsidR="00785138" w:rsidRPr="000947FA" w:rsidRDefault="00785138" w:rsidP="00B630EF">
      <w:pPr>
        <w:pStyle w:val="ListQuotes"/>
      </w:pPr>
      <w:r w:rsidRPr="000947FA">
        <w:t>“The one I like most was the grip strength, knowing how good my strength is.”</w:t>
      </w:r>
    </w:p>
    <w:p w14:paraId="16F9A1B6" w14:textId="1F4D7D96" w:rsidR="00785138" w:rsidRPr="000947FA" w:rsidRDefault="00785138" w:rsidP="00B630EF">
      <w:pPr>
        <w:pStyle w:val="ListQuotes"/>
      </w:pPr>
      <w:r w:rsidRPr="000947FA">
        <w:t xml:space="preserve"> “Yes, I like all the tests undertaken by the pharmacist, and those tests may detect any adverse drug reactions and that was beneficial.”.</w:t>
      </w:r>
    </w:p>
    <w:p w14:paraId="01BD8369" w14:textId="69D548E1" w:rsidR="00785138" w:rsidRPr="00F42B1D" w:rsidRDefault="00785138" w:rsidP="007501B9">
      <w:pPr>
        <w:rPr>
          <w:lang w:val="en-US"/>
        </w:rPr>
      </w:pPr>
      <w:r w:rsidRPr="00F42B1D">
        <w:rPr>
          <w:lang w:val="en-US"/>
        </w:rPr>
        <w:lastRenderedPageBreak/>
        <w:t xml:space="preserve">During the enrolment and intervention visits, many participants were initially keen to try wearing an activity band and could see the potential benefits of monitoring their activity and sleep </w:t>
      </w:r>
      <w:proofErr w:type="gramStart"/>
      <w:r w:rsidRPr="00F42B1D">
        <w:rPr>
          <w:lang w:val="en-US"/>
        </w:rPr>
        <w:t>quality</w:t>
      </w:r>
      <w:r w:rsidR="0034280F">
        <w:rPr>
          <w:lang w:val="en-US"/>
        </w:rPr>
        <w:t>,</w:t>
      </w:r>
      <w:r w:rsidRPr="00F42B1D">
        <w:rPr>
          <w:lang w:val="en-US"/>
        </w:rPr>
        <w:t xml:space="preserve"> and</w:t>
      </w:r>
      <w:proofErr w:type="gramEnd"/>
      <w:r w:rsidRPr="00F42B1D">
        <w:rPr>
          <w:lang w:val="en-US"/>
        </w:rPr>
        <w:t xml:space="preserve"> seeing how this interacted with their medicines</w:t>
      </w:r>
      <w:r w:rsidR="007501B9">
        <w:rPr>
          <w:lang w:val="en-US"/>
        </w:rPr>
        <w:t xml:space="preserve">. </w:t>
      </w:r>
      <w:r w:rsidRPr="00F42B1D">
        <w:rPr>
          <w:lang w:val="en-US"/>
        </w:rPr>
        <w:t>Interviewed participants were questioned on their perceived tolerance to wearing similar activity monitors in future, and whilst there were mixed opinions it seemed that many would at least consider it:</w:t>
      </w:r>
    </w:p>
    <w:p w14:paraId="5E6700C6" w14:textId="68CFC490" w:rsidR="00785138" w:rsidRPr="000947FA" w:rsidRDefault="00785138" w:rsidP="00B630EF">
      <w:pPr>
        <w:pStyle w:val="ListQuotes"/>
      </w:pPr>
      <w:r w:rsidRPr="00775C23">
        <w:t>“</w:t>
      </w:r>
      <w:r w:rsidRPr="000947FA">
        <w:t>That was not good, sometimes it irritates and was not comfortable”</w:t>
      </w:r>
    </w:p>
    <w:p w14:paraId="30959D86" w14:textId="05B4B8B5" w:rsidR="00785138" w:rsidRPr="000947FA" w:rsidRDefault="00785138" w:rsidP="00B630EF">
      <w:pPr>
        <w:pStyle w:val="ListQuotes"/>
      </w:pPr>
      <w:r w:rsidRPr="000947FA">
        <w:t xml:space="preserve">“If it is lighter than the one use in this </w:t>
      </w:r>
      <w:r w:rsidR="001E580A" w:rsidRPr="000947FA">
        <w:t>research, which</w:t>
      </w:r>
      <w:r w:rsidRPr="000947FA">
        <w:t xml:space="preserve"> should be fine to wear it all the time. The band used in this research was too heavy and sometimes itchy to the skin”</w:t>
      </w:r>
    </w:p>
    <w:p w14:paraId="76C8F63E" w14:textId="011EBCEB" w:rsidR="00785138" w:rsidRPr="000947FA" w:rsidRDefault="00785138" w:rsidP="00B630EF">
      <w:pPr>
        <w:pStyle w:val="ListQuotes"/>
      </w:pPr>
      <w:r w:rsidRPr="000947FA">
        <w:t>“Not a problem to wear the band on my wrist. Good to get print out to see that it worked.”</w:t>
      </w:r>
    </w:p>
    <w:p w14:paraId="169B9D31" w14:textId="47DEC86A" w:rsidR="00785138" w:rsidRPr="00F42B1D" w:rsidRDefault="00785138" w:rsidP="007501B9">
      <w:pPr>
        <w:rPr>
          <w:highlight w:val="yellow"/>
          <w:lang w:val="en-US"/>
        </w:rPr>
      </w:pPr>
      <w:r w:rsidRPr="00F42B1D">
        <w:rPr>
          <w:lang w:val="en-US"/>
        </w:rPr>
        <w:t>The intervention pharmacists had previously provided notes that indicated that the intervention participants were often very interested in their assessment results and keen to know if there had been any changes to their results since the previous assessment.</w:t>
      </w:r>
    </w:p>
    <w:p w14:paraId="6AEA0D3B" w14:textId="13422996" w:rsidR="00785138" w:rsidRPr="000947FA" w:rsidRDefault="00785138" w:rsidP="00B630EF">
      <w:pPr>
        <w:pStyle w:val="ListQuotes"/>
      </w:pPr>
      <w:r w:rsidRPr="00775C23">
        <w:t>“</w:t>
      </w:r>
      <w:r w:rsidRPr="000947FA">
        <w:t>Resident was really pleased to know that grip strength had improved as he has been going to the gym and could see that this has helped with his results”</w:t>
      </w:r>
    </w:p>
    <w:p w14:paraId="300A859F" w14:textId="1A8C9809" w:rsidR="00785138" w:rsidRPr="000947FA" w:rsidRDefault="00785138" w:rsidP="00B630EF">
      <w:pPr>
        <w:pStyle w:val="ListQuotes"/>
      </w:pPr>
      <w:r w:rsidRPr="000947FA">
        <w:t>“Resident was pleased (clearly very delighted) to know that her cognition score was the same as previous, as her family are expressing concerns that she is more ‘forgetful’ lately”.</w:t>
      </w:r>
    </w:p>
    <w:p w14:paraId="1EB501E6" w14:textId="77777777" w:rsidR="00785138" w:rsidRPr="00F42B1D" w:rsidRDefault="00785138" w:rsidP="007501B9">
      <w:pPr>
        <w:rPr>
          <w:lang w:val="en-US"/>
        </w:rPr>
      </w:pPr>
      <w:r w:rsidRPr="00F42B1D">
        <w:rPr>
          <w:lang w:val="en-US"/>
        </w:rPr>
        <w:t>For many interviewed residents, it was the opportunity to have someone to talk with or to ask questions:</w:t>
      </w:r>
    </w:p>
    <w:p w14:paraId="2116A5EE" w14:textId="4187A71B" w:rsidR="00785138" w:rsidRPr="000947FA" w:rsidRDefault="00785138" w:rsidP="00B630EF">
      <w:pPr>
        <w:pStyle w:val="ListQuotes"/>
      </w:pPr>
      <w:r w:rsidRPr="000947FA">
        <w:t>“Good to have the chance to ask questions”</w:t>
      </w:r>
    </w:p>
    <w:p w14:paraId="7CE858F9" w14:textId="23E2B569" w:rsidR="00785138" w:rsidRPr="000947FA" w:rsidRDefault="00785138" w:rsidP="00B630EF">
      <w:pPr>
        <w:pStyle w:val="ListQuotes"/>
      </w:pPr>
      <w:r w:rsidRPr="000947FA">
        <w:t>“… it was nice to have someone to talk to and discuss any problems with. I am so lucky in that I’m healthy and don’t need to see the doctors very often, but it’s nice to have someone to chat about my health”.</w:t>
      </w:r>
    </w:p>
    <w:p w14:paraId="78AA4D87" w14:textId="16482D06" w:rsidR="00785138" w:rsidRPr="00F42B1D" w:rsidRDefault="00785138" w:rsidP="007501B9">
      <w:pPr>
        <w:rPr>
          <w:b/>
          <w:lang w:val="en-US"/>
        </w:rPr>
      </w:pPr>
      <w:r w:rsidRPr="00F42B1D">
        <w:rPr>
          <w:lang w:val="en-US"/>
        </w:rPr>
        <w:t>Every participant interviewed said that they would like to keep going with the service themselves, and that their fellow RACF residents would also benefit</w:t>
      </w:r>
      <w:r w:rsidR="007501B9">
        <w:rPr>
          <w:lang w:val="en-US"/>
        </w:rPr>
        <w:t xml:space="preserve">. </w:t>
      </w:r>
      <w:r w:rsidRPr="00F42B1D">
        <w:rPr>
          <w:lang w:val="en-US"/>
        </w:rPr>
        <w:t>They did not identify any aspects of the current service delivery that they would change</w:t>
      </w:r>
      <w:r w:rsidR="007501B9">
        <w:rPr>
          <w:lang w:val="en-US"/>
        </w:rPr>
        <w:t xml:space="preserve">. </w:t>
      </w:r>
      <w:r w:rsidRPr="00F42B1D">
        <w:rPr>
          <w:lang w:val="en-US"/>
        </w:rPr>
        <w:t>Their suggestions about the frequency of a potential service ranged from fortnightly to every 6 months:</w:t>
      </w:r>
    </w:p>
    <w:p w14:paraId="386D24A9" w14:textId="151F2188" w:rsidR="00785138" w:rsidRPr="000947FA" w:rsidRDefault="00785138" w:rsidP="00B630EF">
      <w:pPr>
        <w:pStyle w:val="ListQuotes"/>
      </w:pPr>
      <w:r w:rsidRPr="000947FA">
        <w:t>“Yes, and I would also recommend others to get similar services”</w:t>
      </w:r>
    </w:p>
    <w:p w14:paraId="4E244188" w14:textId="11969EA5" w:rsidR="00785138" w:rsidRPr="000947FA" w:rsidRDefault="00785138" w:rsidP="00B630EF">
      <w:pPr>
        <w:pStyle w:val="ListQuotes"/>
      </w:pPr>
      <w:r w:rsidRPr="000947FA">
        <w:t>“In most cases it would help the health and well-being of people, and it is a wonderful idea to do this for a lot of residents”</w:t>
      </w:r>
    </w:p>
    <w:p w14:paraId="5FF2EBF3" w14:textId="4C4EFA51" w:rsidR="00785138" w:rsidRPr="000947FA" w:rsidRDefault="00785138" w:rsidP="00B630EF">
      <w:pPr>
        <w:pStyle w:val="ListQuotes"/>
      </w:pPr>
      <w:r w:rsidRPr="000947FA">
        <w:t>“I would like to continue to get this service”.</w:t>
      </w:r>
    </w:p>
    <w:p w14:paraId="0552B88D" w14:textId="5039BC75" w:rsidR="00785138" w:rsidRPr="00A96C0F" w:rsidRDefault="00A96C0F" w:rsidP="00897C5B">
      <w:pPr>
        <w:pStyle w:val="Heading3"/>
        <w:rPr>
          <w:lang w:val="en-US"/>
        </w:rPr>
      </w:pPr>
      <w:bookmarkStart w:id="304" w:name="_Toc117758298"/>
      <w:r>
        <w:rPr>
          <w:lang w:val="en-US"/>
        </w:rPr>
        <w:t>F2.</w:t>
      </w:r>
      <w:r w:rsidR="00FF37D6">
        <w:rPr>
          <w:lang w:val="en-US"/>
        </w:rPr>
        <w:t>2</w:t>
      </w:r>
      <w:r w:rsidR="00FF37D6">
        <w:rPr>
          <w:lang w:val="en-US"/>
        </w:rPr>
        <w:tab/>
      </w:r>
      <w:r w:rsidR="000947FA">
        <w:rPr>
          <w:lang w:val="en-US"/>
        </w:rPr>
        <w:t>Pharmacist feedback</w:t>
      </w:r>
      <w:bookmarkEnd w:id="304"/>
    </w:p>
    <w:p w14:paraId="517EA295" w14:textId="77777777" w:rsidR="00785138" w:rsidRPr="00F42B1D" w:rsidRDefault="00785138" w:rsidP="007501B9">
      <w:pPr>
        <w:rPr>
          <w:lang w:val="en-US"/>
        </w:rPr>
      </w:pPr>
      <w:r w:rsidRPr="00F42B1D">
        <w:rPr>
          <w:lang w:val="en-US"/>
        </w:rPr>
        <w:t xml:space="preserve">Overall pharmacist feedback was overwhelmingly positive about the value of the service and its capacity to meet an unmet need for RACF residents. </w:t>
      </w:r>
    </w:p>
    <w:p w14:paraId="0230122A" w14:textId="05ED1E93" w:rsidR="00785138" w:rsidRPr="00F42B1D" w:rsidRDefault="00785138" w:rsidP="007501B9">
      <w:pPr>
        <w:rPr>
          <w:lang w:val="en-US"/>
        </w:rPr>
      </w:pPr>
      <w:r w:rsidRPr="00F42B1D">
        <w:rPr>
          <w:lang w:val="en-US"/>
        </w:rPr>
        <w:t xml:space="preserve">All pharmacists appreciated the opportunity to trial a new pharmacist service in residential aged care which is an area </w:t>
      </w:r>
      <w:proofErr w:type="gramStart"/>
      <w:r w:rsidRPr="00F42B1D">
        <w:rPr>
          <w:lang w:val="en-US"/>
        </w:rPr>
        <w:t>where as</w:t>
      </w:r>
      <w:proofErr w:type="gramEnd"/>
      <w:r w:rsidRPr="00F42B1D">
        <w:rPr>
          <w:lang w:val="en-US"/>
        </w:rPr>
        <w:t xml:space="preserve"> a profession they feel pharmacists are under-</w:t>
      </w:r>
      <w:r w:rsidRPr="00F42B1D">
        <w:rPr>
          <w:lang w:val="en-US"/>
        </w:rPr>
        <w:lastRenderedPageBreak/>
        <w:t xml:space="preserve">represented </w:t>
      </w:r>
      <w:r w:rsidRPr="00F42B1D">
        <w:t>but definitely needed and liked the opportunity of a service that enabled follow-up:</w:t>
      </w:r>
    </w:p>
    <w:p w14:paraId="0935752E" w14:textId="698F2442" w:rsidR="00785138" w:rsidRPr="000947FA" w:rsidRDefault="00785138" w:rsidP="00B630EF">
      <w:pPr>
        <w:pStyle w:val="ListQuotes"/>
      </w:pPr>
      <w:r w:rsidRPr="000947FA">
        <w:t>“Every RACF has regular visits from allied health except pharmacists! RMMR visits are so infrequent”</w:t>
      </w:r>
    </w:p>
    <w:p w14:paraId="62DD27B9" w14:textId="3EDB606F" w:rsidR="00785138" w:rsidRPr="000947FA" w:rsidRDefault="00785138" w:rsidP="00B630EF">
      <w:pPr>
        <w:pStyle w:val="ListQuotes"/>
      </w:pPr>
      <w:r w:rsidRPr="000947FA">
        <w:t>“Currently pharmacists are not part of the allied health team supporting aged care and they can and should be”</w:t>
      </w:r>
    </w:p>
    <w:p w14:paraId="5949D603" w14:textId="32B2FB10" w:rsidR="00785138" w:rsidRPr="000947FA" w:rsidRDefault="00785138" w:rsidP="00B630EF">
      <w:pPr>
        <w:pStyle w:val="ListQuotes"/>
      </w:pPr>
      <w:r w:rsidRPr="000947FA">
        <w:t>“Liked the trial because able to follow up with residents. Had good relationship with GP. Had good success with implementation of recommendations”.</w:t>
      </w:r>
    </w:p>
    <w:p w14:paraId="00A41EA4" w14:textId="77777777" w:rsidR="00785138" w:rsidRPr="00F42B1D" w:rsidRDefault="00785138" w:rsidP="007501B9">
      <w:pPr>
        <w:rPr>
          <w:lang w:val="en-US"/>
        </w:rPr>
      </w:pPr>
      <w:r w:rsidRPr="00F42B1D">
        <w:rPr>
          <w:lang w:val="en-US"/>
        </w:rPr>
        <w:t>Pharmacists felt that the main benefit to participants was having someone to talk to and follow up regularly:</w:t>
      </w:r>
    </w:p>
    <w:p w14:paraId="33381C1F" w14:textId="010F4B4F" w:rsidR="00785138" w:rsidRPr="000947FA" w:rsidRDefault="00785138" w:rsidP="00B630EF">
      <w:pPr>
        <w:pStyle w:val="ListQuotes"/>
      </w:pPr>
      <w:r w:rsidRPr="000947FA">
        <w:t xml:space="preserve"> I feel the activity gave the residents an outlet to discuss issues that often slip through undetected. I feel the repeated visits gave a great chance to follow through and improve outcomes more than a </w:t>
      </w:r>
      <w:proofErr w:type="gramStart"/>
      <w:r w:rsidRPr="000947FA">
        <w:t>one off</w:t>
      </w:r>
      <w:proofErr w:type="gramEnd"/>
      <w:r w:rsidRPr="000947FA">
        <w:t xml:space="preserve"> review.”</w:t>
      </w:r>
    </w:p>
    <w:p w14:paraId="0A9BA0FD" w14:textId="3815D34F" w:rsidR="00785138" w:rsidRPr="000947FA" w:rsidRDefault="00785138" w:rsidP="00B630EF">
      <w:pPr>
        <w:pStyle w:val="ListQuotes"/>
      </w:pPr>
      <w:proofErr w:type="gramStart"/>
      <w:r w:rsidRPr="000947FA">
        <w:t>“..</w:t>
      </w:r>
      <w:proofErr w:type="gramEnd"/>
      <w:r w:rsidRPr="000947FA">
        <w:t>engaging with the resident and talking to them was, in my opinion,</w:t>
      </w:r>
      <w:r w:rsidR="00A96C0F" w:rsidRPr="000947FA">
        <w:t xml:space="preserve"> a crucial part of the activity</w:t>
      </w:r>
      <w:r w:rsidRPr="000947FA">
        <w:t>”.</w:t>
      </w:r>
    </w:p>
    <w:p w14:paraId="0F7BD315" w14:textId="77777777" w:rsidR="00785138" w:rsidRPr="00F42B1D" w:rsidRDefault="00785138" w:rsidP="007501B9">
      <w:pPr>
        <w:rPr>
          <w:lang w:val="en-US"/>
        </w:rPr>
      </w:pPr>
      <w:r w:rsidRPr="00F42B1D">
        <w:rPr>
          <w:lang w:val="en-US"/>
        </w:rPr>
        <w:t>Specific examples were given highlighting positive improvements that were achieved for residents’ health and well-being due to actions taken by the pharmacist:</w:t>
      </w:r>
    </w:p>
    <w:p w14:paraId="1C5D7B33" w14:textId="2B61DA74" w:rsidR="00785138" w:rsidRPr="000947FA" w:rsidRDefault="00785138" w:rsidP="00B630EF">
      <w:pPr>
        <w:pStyle w:val="ListQuotes"/>
      </w:pPr>
      <w:r w:rsidRPr="000947FA">
        <w:t xml:space="preserve">“If she hadn’t been in this trial she would have given up, deteriorated and died quickly.” [pharmacist able to recommend </w:t>
      </w:r>
      <w:proofErr w:type="gramStart"/>
      <w:r w:rsidRPr="000947FA">
        <w:t>to reduce</w:t>
      </w:r>
      <w:proofErr w:type="gramEnd"/>
      <w:r w:rsidRPr="000947FA">
        <w:t xml:space="preserve"> large numbers of medications post hospitalisation following stroke where participant was gagging on tablets]</w:t>
      </w:r>
    </w:p>
    <w:p w14:paraId="494C15F3" w14:textId="64066643" w:rsidR="00785138" w:rsidRPr="000947FA" w:rsidRDefault="00785138" w:rsidP="00B630EF">
      <w:pPr>
        <w:pStyle w:val="ListQuotes"/>
      </w:pPr>
      <w:r w:rsidRPr="000947FA">
        <w:t>“She looks really good, looks like a different lady</w:t>
      </w:r>
      <w:r w:rsidR="0034280F">
        <w:t>” [regarding resident after cessation</w:t>
      </w:r>
      <w:r w:rsidRPr="000947FA">
        <w:t xml:space="preserve"> of medication]</w:t>
      </w:r>
    </w:p>
    <w:p w14:paraId="06F2F93D" w14:textId="648DF52D" w:rsidR="00785138" w:rsidRPr="000947FA" w:rsidRDefault="00785138" w:rsidP="00B630EF">
      <w:pPr>
        <w:pStyle w:val="ListQuotes"/>
      </w:pPr>
      <w:r w:rsidRPr="000947FA">
        <w:t xml:space="preserve">“The resident didn’t know they had these </w:t>
      </w:r>
      <w:proofErr w:type="gramStart"/>
      <w:r w:rsidRPr="000947FA">
        <w:t>PRN</w:t>
      </w:r>
      <w:proofErr w:type="gramEnd"/>
      <w:r w:rsidRPr="000947FA">
        <w:t xml:space="preserve"> and the staff were not giving it to him. </w:t>
      </w:r>
      <w:proofErr w:type="gramStart"/>
      <w:r w:rsidRPr="000947FA">
        <w:t>So</w:t>
      </w:r>
      <w:proofErr w:type="gramEnd"/>
      <w:r w:rsidRPr="000947FA">
        <w:t xml:space="preserve"> with the doctor’s permission I wrote a chart for the resident to help him understand what each PRN was for and what it did so that he knew that he could ask for it”.</w:t>
      </w:r>
    </w:p>
    <w:p w14:paraId="32504ECF" w14:textId="70F20892" w:rsidR="00785138" w:rsidRPr="00F42B1D" w:rsidRDefault="00785138" w:rsidP="007501B9">
      <w:pPr>
        <w:rPr>
          <w:lang w:val="en-US"/>
        </w:rPr>
      </w:pPr>
      <w:r w:rsidRPr="00F42B1D">
        <w:rPr>
          <w:lang w:val="en-US"/>
        </w:rPr>
        <w:t xml:space="preserve">Nearly all pharmacists felt that the trial required new skill development and that training </w:t>
      </w:r>
      <w:r w:rsidR="0034280F" w:rsidRPr="00F42B1D">
        <w:rPr>
          <w:lang w:val="en-US"/>
        </w:rPr>
        <w:t>to undertake the service was essent</w:t>
      </w:r>
      <w:r w:rsidR="0034280F">
        <w:rPr>
          <w:lang w:val="en-US"/>
        </w:rPr>
        <w:t>ial for this specialty service,</w:t>
      </w:r>
      <w:r w:rsidR="0034280F" w:rsidRPr="00F42B1D">
        <w:rPr>
          <w:lang w:val="en-US"/>
        </w:rPr>
        <w:t xml:space="preserve"> </w:t>
      </w:r>
      <w:r w:rsidRPr="00F42B1D">
        <w:rPr>
          <w:lang w:val="en-US"/>
        </w:rPr>
        <w:t>especially focusing on communication</w:t>
      </w:r>
      <w:r w:rsidR="0034280F">
        <w:rPr>
          <w:lang w:val="en-US"/>
        </w:rPr>
        <w:t>,</w:t>
      </w:r>
      <w:r w:rsidRPr="00F42B1D">
        <w:rPr>
          <w:lang w:val="en-US"/>
        </w:rPr>
        <w:t xml:space="preserve"> and </w:t>
      </w:r>
      <w:r w:rsidR="007B4FFD">
        <w:rPr>
          <w:lang w:val="en-US"/>
        </w:rPr>
        <w:t xml:space="preserve">writing </w:t>
      </w:r>
      <w:r w:rsidRPr="00F42B1D">
        <w:rPr>
          <w:lang w:val="en-US"/>
        </w:rPr>
        <w:t>report</w:t>
      </w:r>
      <w:r w:rsidR="007B4FFD">
        <w:rPr>
          <w:lang w:val="en-US"/>
        </w:rPr>
        <w:t>s</w:t>
      </w:r>
      <w:r w:rsidRPr="00F42B1D">
        <w:rPr>
          <w:lang w:val="en-US"/>
        </w:rPr>
        <w:t xml:space="preserve"> and recommendation</w:t>
      </w:r>
      <w:r w:rsidR="007B4FFD">
        <w:rPr>
          <w:lang w:val="en-US"/>
        </w:rPr>
        <w:t>s</w:t>
      </w:r>
      <w:r w:rsidR="00A96C0F">
        <w:rPr>
          <w:lang w:val="en-US"/>
        </w:rPr>
        <w:t>.</w:t>
      </w:r>
    </w:p>
    <w:p w14:paraId="4DEC3723" w14:textId="050AABFF" w:rsidR="00785138" w:rsidRPr="000947FA" w:rsidRDefault="00785138" w:rsidP="00B630EF">
      <w:pPr>
        <w:pStyle w:val="ListQuotes"/>
      </w:pPr>
      <w:r w:rsidRPr="000947FA">
        <w:t xml:space="preserve">Mentoring valuable </w:t>
      </w:r>
      <w:r w:rsidR="00CE2887">
        <w:t>–</w:t>
      </w:r>
      <w:r w:rsidRPr="000947FA">
        <w:t xml:space="preserve"> Took away fear and anxiety at the start”</w:t>
      </w:r>
    </w:p>
    <w:p w14:paraId="7A0C0EAE" w14:textId="79FD6E9B" w:rsidR="00785138" w:rsidRPr="000947FA" w:rsidRDefault="00785138" w:rsidP="00B630EF">
      <w:pPr>
        <w:pStyle w:val="ListQuotes"/>
      </w:pPr>
      <w:r w:rsidRPr="000947FA">
        <w:t>“Want to say it should be accredited even though I’m not”</w:t>
      </w:r>
    </w:p>
    <w:p w14:paraId="3B9C28AA" w14:textId="4BDD65EC" w:rsidR="00785138" w:rsidRPr="000947FA" w:rsidRDefault="00785138" w:rsidP="00B630EF">
      <w:pPr>
        <w:pStyle w:val="ListQuotes"/>
      </w:pPr>
      <w:r w:rsidRPr="000947FA">
        <w:t>“Communication with GP is the additional skill that is missing”</w:t>
      </w:r>
    </w:p>
    <w:p w14:paraId="70D0DA8C" w14:textId="4A1375D7" w:rsidR="00785138" w:rsidRPr="000947FA" w:rsidRDefault="00785138" w:rsidP="00B630EF">
      <w:pPr>
        <w:pStyle w:val="ListQuotes"/>
      </w:pPr>
      <w:r w:rsidRPr="000947FA">
        <w:t>“Don’t agree that all trained pharmacists have capacity to do this as have seen examples of key knowledge lacking in some pharmacists”.</w:t>
      </w:r>
    </w:p>
    <w:p w14:paraId="175D1011" w14:textId="51712904" w:rsidR="00785138" w:rsidRPr="00F42B1D" w:rsidRDefault="00785138" w:rsidP="007501B9">
      <w:r w:rsidRPr="00F42B1D">
        <w:rPr>
          <w:lang w:val="en-US"/>
        </w:rPr>
        <w:t>Pharmacists were questioned in the group interview about the usefulness of the tools in assisting clinical decision making</w:t>
      </w:r>
      <w:r w:rsidRPr="00F42B1D">
        <w:t>. Apart from Grip Strength, tools were considered by the group as a conversation starter rather than being helpful or used often</w:t>
      </w:r>
      <w:r w:rsidR="007501B9">
        <w:t xml:space="preserve">. </w:t>
      </w:r>
      <w:r w:rsidRPr="00F42B1D">
        <w:t xml:space="preserve">Interview and clinical judgement </w:t>
      </w:r>
      <w:proofErr w:type="gramStart"/>
      <w:r w:rsidRPr="00F42B1D">
        <w:t>was</w:t>
      </w:r>
      <w:proofErr w:type="gramEnd"/>
      <w:r w:rsidRPr="00F42B1D">
        <w:t xml:space="preserve"> seen as the most useful assessment ‘tool’, but that the frequency would be critical to be able to make clinical com</w:t>
      </w:r>
      <w:r w:rsidR="00A96C0F">
        <w:t>parisons regarding any changes.</w:t>
      </w:r>
    </w:p>
    <w:p w14:paraId="683E2288" w14:textId="05751B79" w:rsidR="00785138" w:rsidRPr="000947FA" w:rsidRDefault="00785138" w:rsidP="00B630EF">
      <w:pPr>
        <w:pStyle w:val="ListQuotes"/>
        <w:keepNext/>
      </w:pPr>
      <w:r w:rsidRPr="000947FA">
        <w:lastRenderedPageBreak/>
        <w:t>“Didn’t use much with GP conversations, just judgement and experience”</w:t>
      </w:r>
    </w:p>
    <w:p w14:paraId="32BFAAC0" w14:textId="78ABAF85" w:rsidR="00785138" w:rsidRPr="000947FA" w:rsidRDefault="00785138" w:rsidP="00B630EF">
      <w:pPr>
        <w:pStyle w:val="ListQuotes"/>
        <w:keepNext/>
      </w:pPr>
      <w:r w:rsidRPr="000947FA">
        <w:t>“Would need to use all the time to be able to rely on it for deterioration”</w:t>
      </w:r>
    </w:p>
    <w:p w14:paraId="7E065E70" w14:textId="70BBC916" w:rsidR="00785138" w:rsidRPr="000947FA" w:rsidRDefault="00785138" w:rsidP="00B630EF">
      <w:pPr>
        <w:pStyle w:val="ListQuotes"/>
      </w:pPr>
      <w:r w:rsidRPr="000947FA">
        <w:t>“Tools could be useful in some circumstances”.</w:t>
      </w:r>
    </w:p>
    <w:p w14:paraId="5561F4F5" w14:textId="77777777" w:rsidR="00785138" w:rsidRPr="00F42B1D" w:rsidRDefault="00785138" w:rsidP="007501B9">
      <w:pPr>
        <w:rPr>
          <w:highlight w:val="yellow"/>
          <w:lang w:val="en-US"/>
        </w:rPr>
      </w:pPr>
      <w:r w:rsidRPr="00F42B1D">
        <w:t>The cognitive assessment tool (MoCA) was reported to be a deterrent to a good interview as it was poorly received by residents:</w:t>
      </w:r>
    </w:p>
    <w:p w14:paraId="29FF4807" w14:textId="6D7974DA" w:rsidR="00785138" w:rsidRPr="000947FA" w:rsidRDefault="00785138" w:rsidP="00B630EF">
      <w:pPr>
        <w:pStyle w:val="ListQuotes"/>
      </w:pPr>
      <w:r w:rsidRPr="000947FA">
        <w:t>“Used MoCA sometimes, but noticed that the timing of administration needed to be consistent because the scoring changed during the day (late afternoon always poorer)”</w:t>
      </w:r>
    </w:p>
    <w:p w14:paraId="417AF309" w14:textId="6784D2FE" w:rsidR="00785138" w:rsidRPr="000947FA" w:rsidRDefault="00785138" w:rsidP="00B630EF">
      <w:pPr>
        <w:pStyle w:val="ListQuotes"/>
      </w:pPr>
      <w:r w:rsidRPr="000947FA">
        <w:t>“Didn’t use MoCA as residents were intimidated and called it “that memory test””</w:t>
      </w:r>
    </w:p>
    <w:p w14:paraId="24CA667B" w14:textId="3EFEB5FB" w:rsidR="00785138" w:rsidRPr="000947FA" w:rsidRDefault="00785138" w:rsidP="00B630EF">
      <w:pPr>
        <w:pStyle w:val="ListQuotes"/>
      </w:pPr>
      <w:r w:rsidRPr="000947FA">
        <w:t xml:space="preserve">“MoCA was </w:t>
      </w:r>
      <w:proofErr w:type="gramStart"/>
      <w:r w:rsidRPr="000947FA">
        <w:t>exhausting</w:t>
      </w:r>
      <w:proofErr w:type="gramEnd"/>
      <w:r w:rsidRPr="000947FA">
        <w:t xml:space="preserve"> and residents didn’t like it, so only used it if really necessary. Sometimes deterioration was so obvious that it wasn’t </w:t>
      </w:r>
      <w:proofErr w:type="gramStart"/>
      <w:r w:rsidRPr="000947FA">
        <w:t>needed</w:t>
      </w:r>
      <w:proofErr w:type="gramEnd"/>
      <w:r w:rsidRPr="000947FA">
        <w:t xml:space="preserve"> and the resident couldn’t have completed it anyway”.</w:t>
      </w:r>
    </w:p>
    <w:p w14:paraId="03CA37BB" w14:textId="49840F64" w:rsidR="00785138" w:rsidRPr="00F42B1D" w:rsidRDefault="00785138" w:rsidP="007501B9">
      <w:pPr>
        <w:rPr>
          <w:lang w:val="en-US"/>
        </w:rPr>
      </w:pPr>
      <w:r w:rsidRPr="00F42B1D">
        <w:rPr>
          <w:lang w:val="en-US"/>
        </w:rPr>
        <w:t>Early General Practitioner (GP) engagement was identified as a key factor for</w:t>
      </w:r>
      <w:r w:rsidR="00A96C0F">
        <w:rPr>
          <w:lang w:val="en-US"/>
        </w:rPr>
        <w:t xml:space="preserve"> the uptake of recommendations.</w:t>
      </w:r>
    </w:p>
    <w:p w14:paraId="7FC8B980" w14:textId="0F4D1519" w:rsidR="00785138" w:rsidRPr="000947FA" w:rsidRDefault="00785138" w:rsidP="00B630EF">
      <w:pPr>
        <w:pStyle w:val="ListQuotes"/>
      </w:pPr>
      <w:r w:rsidRPr="000947FA">
        <w:t>“One bad thing was not having enough time to develop relationships with the doctor as I was not at site often enough to get access to the GPs regularly”</w:t>
      </w:r>
    </w:p>
    <w:p w14:paraId="52816905" w14:textId="72F17E38" w:rsidR="00785138" w:rsidRPr="000947FA" w:rsidRDefault="00785138" w:rsidP="00B630EF">
      <w:pPr>
        <w:pStyle w:val="ListQuotes"/>
      </w:pPr>
      <w:r w:rsidRPr="000947FA">
        <w:t>“One of the things I'm aware of is the lack of involvement</w:t>
      </w:r>
      <w:r w:rsidR="007B4FFD">
        <w:t xml:space="preserve"> or </w:t>
      </w:r>
      <w:r w:rsidRPr="000947FA">
        <w:t>collaboration with the GPs that I'm encountering. This just means I'm a little reluctant to contact them with trivial issues”.</w:t>
      </w:r>
    </w:p>
    <w:p w14:paraId="49A6D908" w14:textId="77777777" w:rsidR="00785138" w:rsidRPr="00F42B1D" w:rsidRDefault="00785138" w:rsidP="007501B9">
      <w:pPr>
        <w:rPr>
          <w:lang w:val="en-US"/>
        </w:rPr>
      </w:pPr>
      <w:r w:rsidRPr="00F42B1D">
        <w:rPr>
          <w:lang w:val="en-US"/>
        </w:rPr>
        <w:t>Methods to improve GP engagement and get recommendations implemented included:</w:t>
      </w:r>
    </w:p>
    <w:p w14:paraId="20E0D72F" w14:textId="781C85F9" w:rsidR="00785138" w:rsidRPr="000947FA" w:rsidRDefault="007B4FFD" w:rsidP="00B630EF">
      <w:pPr>
        <w:pStyle w:val="ListQuotes"/>
      </w:pPr>
      <w:r w:rsidRPr="000947FA">
        <w:t xml:space="preserve">Early </w:t>
      </w:r>
      <w:r w:rsidR="00785138" w:rsidRPr="000947FA">
        <w:t>engagement to develop a relationship prior to commencing reviews, especially when meetings were undertaken face-to-face</w:t>
      </w:r>
    </w:p>
    <w:p w14:paraId="6CABE04B" w14:textId="794C8C9A" w:rsidR="00785138" w:rsidRPr="000947FA" w:rsidRDefault="007B4FFD" w:rsidP="00B630EF">
      <w:pPr>
        <w:pStyle w:val="ListQuotes"/>
      </w:pPr>
      <w:r w:rsidRPr="000947FA">
        <w:t xml:space="preserve">Holistic </w:t>
      </w:r>
      <w:r w:rsidR="00785138" w:rsidRPr="000947FA">
        <w:t>recommendations based on the overall resident’ health and history</w:t>
      </w:r>
    </w:p>
    <w:p w14:paraId="18C87C42" w14:textId="052BC41C" w:rsidR="00785138" w:rsidRPr="000947FA" w:rsidRDefault="007B4FFD" w:rsidP="00B630EF">
      <w:pPr>
        <w:pStyle w:val="ListQuotes"/>
      </w:pPr>
      <w:r w:rsidRPr="000947FA">
        <w:t xml:space="preserve">Framing </w:t>
      </w:r>
      <w:r w:rsidR="00785138" w:rsidRPr="000947FA">
        <w:t>recommendations in patient-centric terms</w:t>
      </w:r>
    </w:p>
    <w:p w14:paraId="5E53AFBD" w14:textId="7B0F1693" w:rsidR="00785138" w:rsidRPr="000947FA" w:rsidRDefault="007B4FFD" w:rsidP="00B630EF">
      <w:pPr>
        <w:pStyle w:val="ListQuotes"/>
      </w:pPr>
      <w:r w:rsidRPr="000947FA">
        <w:t xml:space="preserve">Offering </w:t>
      </w:r>
      <w:r w:rsidR="00785138" w:rsidRPr="000947FA">
        <w:t xml:space="preserve">solution-focused, </w:t>
      </w:r>
      <w:proofErr w:type="gramStart"/>
      <w:r w:rsidR="00785138" w:rsidRPr="000947FA">
        <w:t>actionable</w:t>
      </w:r>
      <w:proofErr w:type="gramEnd"/>
      <w:r w:rsidR="00785138" w:rsidRPr="000947FA">
        <w:t xml:space="preserve"> and concise evidence-based recommendations</w:t>
      </w:r>
    </w:p>
    <w:p w14:paraId="4B89D59A" w14:textId="0CE1EC48" w:rsidR="00785138" w:rsidRPr="000947FA" w:rsidRDefault="007B4FFD" w:rsidP="00B630EF">
      <w:pPr>
        <w:pStyle w:val="ListQuotes"/>
      </w:pPr>
      <w:r w:rsidRPr="000947FA">
        <w:t xml:space="preserve">Starting </w:t>
      </w:r>
      <w:r w:rsidR="00785138" w:rsidRPr="000947FA">
        <w:t>with small or simple recommendations and leverag</w:t>
      </w:r>
      <w:r>
        <w:t>ing</w:t>
      </w:r>
      <w:r w:rsidR="00785138" w:rsidRPr="000947FA">
        <w:t xml:space="preserve"> from previous ‘wins’</w:t>
      </w:r>
    </w:p>
    <w:p w14:paraId="01D45D06" w14:textId="523248C4" w:rsidR="00785138" w:rsidRPr="000947FA" w:rsidRDefault="007B4FFD" w:rsidP="00B630EF">
      <w:pPr>
        <w:pStyle w:val="ListQuotes"/>
      </w:pPr>
      <w:r w:rsidRPr="000947FA">
        <w:t xml:space="preserve">Following </w:t>
      </w:r>
      <w:r w:rsidR="00785138" w:rsidRPr="000947FA">
        <w:t>up recommendations in a timely manner</w:t>
      </w:r>
    </w:p>
    <w:p w14:paraId="4B016E1E" w14:textId="6E1E7366" w:rsidR="00785138" w:rsidRPr="000947FA" w:rsidRDefault="007B4FFD" w:rsidP="00B630EF">
      <w:pPr>
        <w:pStyle w:val="ListQuotes"/>
      </w:pPr>
      <w:r w:rsidRPr="000947FA">
        <w:t xml:space="preserve">Involving </w:t>
      </w:r>
      <w:r w:rsidR="00785138" w:rsidRPr="000947FA">
        <w:t>onsite nursing staff in advocating for changes or in communicating identified problems</w:t>
      </w:r>
    </w:p>
    <w:p w14:paraId="0B2E6B0F" w14:textId="0C0A70B9" w:rsidR="00785138" w:rsidRDefault="007B4FFD" w:rsidP="00B630EF">
      <w:pPr>
        <w:pStyle w:val="ListQuotes"/>
      </w:pPr>
      <w:r w:rsidRPr="000947FA">
        <w:t xml:space="preserve">Tailoring </w:t>
      </w:r>
      <w:r w:rsidR="00785138" w:rsidRPr="000947FA">
        <w:t>communication methods and timing to suit the individual GP preferences.</w:t>
      </w:r>
    </w:p>
    <w:p w14:paraId="0ECDD034" w14:textId="2C643878" w:rsidR="00785138" w:rsidRPr="000947FA" w:rsidRDefault="00785138" w:rsidP="00680BB3">
      <w:pPr>
        <w:pStyle w:val="ListQuotes"/>
      </w:pPr>
      <w:r w:rsidRPr="000947FA">
        <w:t xml:space="preserve">“I took </w:t>
      </w:r>
      <w:r w:rsidR="007B4FFD">
        <w:t xml:space="preserve">the </w:t>
      </w:r>
      <w:r w:rsidRPr="000947FA">
        <w:t xml:space="preserve">opportunity to introduce myself to GPs when I was </w:t>
      </w:r>
      <w:proofErr w:type="gramStart"/>
      <w:r w:rsidRPr="000947FA">
        <w:t>onsite</w:t>
      </w:r>
      <w:proofErr w:type="gramEnd"/>
      <w:r w:rsidRPr="000947FA">
        <w:t xml:space="preserve"> and they were there”</w:t>
      </w:r>
    </w:p>
    <w:p w14:paraId="08B925BF" w14:textId="2ED6C0F7" w:rsidR="00785138" w:rsidRPr="000947FA" w:rsidRDefault="00785138" w:rsidP="00680BB3">
      <w:pPr>
        <w:pStyle w:val="ListQuotes"/>
      </w:pPr>
      <w:r w:rsidRPr="000947FA">
        <w:t>“If you have built up a good relationship this will help lay a good foundation if you need to raise something a bit more challenging”</w:t>
      </w:r>
    </w:p>
    <w:p w14:paraId="41E9D579" w14:textId="7FB59C71" w:rsidR="00785138" w:rsidRPr="000947FA" w:rsidRDefault="00785138" w:rsidP="00680BB3">
      <w:pPr>
        <w:pStyle w:val="ListQuotes"/>
      </w:pPr>
      <w:r w:rsidRPr="000947FA">
        <w:t>“Empower nurses to advocate for residents based on recommendations”</w:t>
      </w:r>
    </w:p>
    <w:p w14:paraId="42AF4891" w14:textId="753F9DA6" w:rsidR="00785138" w:rsidRPr="000947FA" w:rsidRDefault="00785138" w:rsidP="00680BB3">
      <w:pPr>
        <w:pStyle w:val="ListQuotes"/>
      </w:pPr>
      <w:r w:rsidRPr="000947FA">
        <w:t xml:space="preserve">“Slowly working to reduce medications over time to get </w:t>
      </w:r>
      <w:r w:rsidR="007B4FFD">
        <w:t xml:space="preserve">the </w:t>
      </w:r>
      <w:r w:rsidRPr="000947FA">
        <w:t xml:space="preserve">GP to be comfortable in taking </w:t>
      </w:r>
      <w:r w:rsidR="007B4FFD" w:rsidRPr="000947FA">
        <w:t xml:space="preserve">up </w:t>
      </w:r>
      <w:r w:rsidRPr="000947FA">
        <w:t>suggestions”</w:t>
      </w:r>
    </w:p>
    <w:p w14:paraId="597FB2B3" w14:textId="248FDA39" w:rsidR="00785138" w:rsidRPr="000947FA" w:rsidRDefault="00785138" w:rsidP="00680BB3">
      <w:pPr>
        <w:pStyle w:val="ListQuotes"/>
      </w:pPr>
      <w:r w:rsidRPr="000947FA">
        <w:t>“Just sending a written recommendation is not a good approach”</w:t>
      </w:r>
    </w:p>
    <w:p w14:paraId="12F75692" w14:textId="2C1C5C1F" w:rsidR="00785138" w:rsidRPr="000947FA" w:rsidRDefault="00785138" w:rsidP="00680BB3">
      <w:pPr>
        <w:pStyle w:val="ListQuotes"/>
      </w:pPr>
      <w:r w:rsidRPr="000947FA">
        <w:t>“Ensure you give them advice they can actually use”</w:t>
      </w:r>
    </w:p>
    <w:p w14:paraId="35C0D4D7" w14:textId="5706DBAA" w:rsidR="00785138" w:rsidRPr="000947FA" w:rsidRDefault="00785138" w:rsidP="00680BB3">
      <w:pPr>
        <w:pStyle w:val="ListQuotes"/>
      </w:pPr>
      <w:r w:rsidRPr="000947FA">
        <w:t>“I learnt to send my GP reports to the RACF and not to the GP clinics. GPs onsite are focused on RACF clients”.</w:t>
      </w:r>
    </w:p>
    <w:p w14:paraId="41B1FF9E" w14:textId="3D25F0C2" w:rsidR="00785138" w:rsidRPr="000947FA" w:rsidRDefault="00785138" w:rsidP="00680BB3">
      <w:pPr>
        <w:pStyle w:val="ListQuotes"/>
      </w:pPr>
      <w:r w:rsidRPr="000947FA">
        <w:t xml:space="preserve">“There is a lot of effort and coordination involved between all health professionals (GPs, nurses, pharmacists, care workers, physiotherapists) to achieve optimal health outcomes for residents. </w:t>
      </w:r>
      <w:proofErr w:type="gramStart"/>
      <w:r w:rsidRPr="000947FA">
        <w:t>Therefore</w:t>
      </w:r>
      <w:proofErr w:type="gramEnd"/>
      <w:r w:rsidRPr="000947FA">
        <w:t xml:space="preserve"> it is important to have a good understanding of each discipline and their role within the health care team to best utilise their area of expertise”.</w:t>
      </w:r>
    </w:p>
    <w:p w14:paraId="64A81D20" w14:textId="77777777" w:rsidR="00785138" w:rsidRPr="00F42B1D" w:rsidRDefault="00785138" w:rsidP="007501B9">
      <w:r w:rsidRPr="00F42B1D">
        <w:lastRenderedPageBreak/>
        <w:t>Approaches that helped with staff engagement included:</w:t>
      </w:r>
    </w:p>
    <w:p w14:paraId="20722E77" w14:textId="77777777" w:rsidR="00785138" w:rsidRPr="000947FA" w:rsidRDefault="00785138" w:rsidP="00680BB3">
      <w:pPr>
        <w:pStyle w:val="ListBullet"/>
      </w:pPr>
      <w:r w:rsidRPr="000947FA">
        <w:t xml:space="preserve">understanding the work structure, </w:t>
      </w:r>
      <w:proofErr w:type="gramStart"/>
      <w:r w:rsidRPr="000947FA">
        <w:t>work-flow</w:t>
      </w:r>
      <w:proofErr w:type="gramEnd"/>
      <w:r w:rsidRPr="000947FA">
        <w:t xml:space="preserve"> and schedules of the facility in terms of times for best access to staff and electronic record;</w:t>
      </w:r>
    </w:p>
    <w:p w14:paraId="576D5CE7" w14:textId="77777777" w:rsidR="00785138" w:rsidRPr="000947FA" w:rsidRDefault="00785138" w:rsidP="00680BB3">
      <w:pPr>
        <w:pStyle w:val="ListBullet"/>
      </w:pPr>
      <w:r w:rsidRPr="000947FA">
        <w:t xml:space="preserve">identifying key staff familiar with the care of </w:t>
      </w:r>
      <w:proofErr w:type="gramStart"/>
      <w:r w:rsidRPr="000947FA">
        <w:t>residents;</w:t>
      </w:r>
      <w:proofErr w:type="gramEnd"/>
    </w:p>
    <w:p w14:paraId="1991E34F" w14:textId="77777777" w:rsidR="00785138" w:rsidRPr="000947FA" w:rsidRDefault="00785138" w:rsidP="00680BB3">
      <w:pPr>
        <w:pStyle w:val="ListBullet"/>
      </w:pPr>
      <w:r w:rsidRPr="000947FA">
        <w:t xml:space="preserve">utilising onsite communication methods to report and record pharmacist visits, concerns and recommendations as well as a verbal or email hand over to key care </w:t>
      </w:r>
      <w:proofErr w:type="gramStart"/>
      <w:r w:rsidRPr="000947FA">
        <w:t>staff;</w:t>
      </w:r>
      <w:proofErr w:type="gramEnd"/>
    </w:p>
    <w:p w14:paraId="0CCA1BEE" w14:textId="56C7F351" w:rsidR="00785138" w:rsidRPr="000947FA" w:rsidRDefault="00785138" w:rsidP="00680BB3">
      <w:pPr>
        <w:pStyle w:val="ListBullet"/>
      </w:pPr>
      <w:r w:rsidRPr="000947FA">
        <w:t xml:space="preserve">reciprocating and offering value to the staff in terms </w:t>
      </w:r>
      <w:r w:rsidR="007B4FFD">
        <w:t xml:space="preserve">of </w:t>
      </w:r>
      <w:r w:rsidRPr="000947FA">
        <w:t>provision of medicines expertise.</w:t>
      </w:r>
    </w:p>
    <w:p w14:paraId="409E1EDA" w14:textId="0604FA90" w:rsidR="00785138" w:rsidRPr="00F42B1D" w:rsidRDefault="00785138" w:rsidP="007501B9">
      <w:pPr>
        <w:rPr>
          <w:lang w:val="en-US"/>
        </w:rPr>
      </w:pPr>
      <w:r w:rsidRPr="00F42B1D">
        <w:rPr>
          <w:lang w:val="en-US"/>
        </w:rPr>
        <w:t>Relationships with residents was also critical</w:t>
      </w:r>
      <w:r w:rsidR="007501B9">
        <w:rPr>
          <w:lang w:val="en-US"/>
        </w:rPr>
        <w:t xml:space="preserve">. </w:t>
      </w:r>
      <w:r w:rsidRPr="00F42B1D">
        <w:rPr>
          <w:lang w:val="en-US"/>
        </w:rPr>
        <w:t>The pharmacists agreed that it took time to build relationships with the residents they reviewed, but could see that the time spent developing this paid off in terms of improving the pharmacists’ capacity to help and advocate for the resident in the future:</w:t>
      </w:r>
    </w:p>
    <w:p w14:paraId="0D125D2D" w14:textId="739220CF" w:rsidR="00785138" w:rsidRPr="000947FA" w:rsidRDefault="00785138" w:rsidP="00680BB3">
      <w:pPr>
        <w:pStyle w:val="ListQuotes"/>
      </w:pPr>
      <w:r w:rsidRPr="000947FA">
        <w:t>“Sometimes it was hard to establish relationships with some of the residents, for example they were hard of hearing or grumpy, but relationships improved over time”</w:t>
      </w:r>
    </w:p>
    <w:p w14:paraId="148D41DF" w14:textId="48019957" w:rsidR="00785138" w:rsidRPr="000947FA" w:rsidRDefault="00785138" w:rsidP="00680BB3">
      <w:pPr>
        <w:pStyle w:val="ListQuotes"/>
      </w:pPr>
      <w:r w:rsidRPr="000947FA">
        <w:t>“Building a good relationship with my residents ha</w:t>
      </w:r>
      <w:r w:rsidR="007B4FFD">
        <w:t>s</w:t>
      </w:r>
      <w:r w:rsidRPr="000947FA">
        <w:t xml:space="preserve"> allowed deeper insight into their thoughts and feelings of how they are being managed by their GP”</w:t>
      </w:r>
    </w:p>
    <w:p w14:paraId="0A24B62C" w14:textId="00646711" w:rsidR="00785138" w:rsidRPr="000947FA" w:rsidRDefault="00785138" w:rsidP="00680BB3">
      <w:pPr>
        <w:pStyle w:val="ListQuotes"/>
      </w:pPr>
      <w:r w:rsidRPr="000947FA">
        <w:t>“Asking open ended questions – what bothers you the most?”</w:t>
      </w:r>
    </w:p>
    <w:p w14:paraId="353B4EA5" w14:textId="06245488" w:rsidR="00785138" w:rsidRDefault="00785138" w:rsidP="007501B9">
      <w:r w:rsidRPr="00F42B1D">
        <w:t>Pharmacists explored some of the components that would need to be considered for a national service (Figure F-1). In considering service frequency, a regular facility service was the favoured model</w:t>
      </w:r>
      <w:r w:rsidR="007501B9">
        <w:t xml:space="preserve">. </w:t>
      </w:r>
      <w:r w:rsidRPr="00F42B1D">
        <w:t>They felt an infrequent presence onsite led to many challenges</w:t>
      </w:r>
      <w:r w:rsidR="007501B9">
        <w:t xml:space="preserve">. </w:t>
      </w:r>
      <w:r w:rsidRPr="00F42B1D">
        <w:t>For example, impeding establishment of relationships, impairing coordinated communications, and difficulty with software access</w:t>
      </w:r>
      <w:r w:rsidR="007501B9">
        <w:t xml:space="preserve">. </w:t>
      </w:r>
      <w:r w:rsidRPr="00F42B1D">
        <w:t xml:space="preserve">A sessional visiting service or being regularly based at </w:t>
      </w:r>
      <w:r w:rsidR="007B4FFD">
        <w:t xml:space="preserve">a </w:t>
      </w:r>
      <w:r w:rsidRPr="00F42B1D">
        <w:t xml:space="preserve">facility was proposed with the advantage that pharmacists being onsite regularly </w:t>
      </w:r>
      <w:r w:rsidR="007B4FFD">
        <w:t>enables</w:t>
      </w:r>
      <w:r w:rsidRPr="00F42B1D">
        <w:t xml:space="preserve"> </w:t>
      </w:r>
      <w:r w:rsidR="007B4FFD">
        <w:t xml:space="preserve">ongoing </w:t>
      </w:r>
      <w:r w:rsidRPr="00F42B1D">
        <w:t xml:space="preserve">monitoring </w:t>
      </w:r>
      <w:r w:rsidR="007B4FFD">
        <w:t xml:space="preserve">of adverse effects in </w:t>
      </w:r>
      <w:r w:rsidRPr="00F42B1D">
        <w:t xml:space="preserve">residents and </w:t>
      </w:r>
      <w:r w:rsidR="007B4FFD">
        <w:t xml:space="preserve">allows </w:t>
      </w:r>
      <w:r w:rsidRPr="00F42B1D">
        <w:t>concerns to be addressed pro-actively</w:t>
      </w:r>
      <w:r w:rsidR="007501B9">
        <w:t xml:space="preserve">. </w:t>
      </w:r>
      <w:r w:rsidRPr="00F42B1D">
        <w:t>Finally, the pharmacists agreed that ongoing peer support was helpful and useful, and a digital platform to obtain and exchange information would be a valuable resource.</w:t>
      </w:r>
    </w:p>
    <w:p w14:paraId="67B4C0ED" w14:textId="73F015BA" w:rsidR="00F7292C" w:rsidRPr="00F42B1D" w:rsidRDefault="00F7292C" w:rsidP="007501B9">
      <w:r w:rsidRPr="00F42B1D">
        <w:t>Based on previous feedback received from the pharmacist group discussion it was clear that, in the</w:t>
      </w:r>
      <w:r>
        <w:t xml:space="preserve"> pharmacists’ </w:t>
      </w:r>
      <w:r w:rsidRPr="00F42B1D">
        <w:t>opinion</w:t>
      </w:r>
      <w:r>
        <w:t>s</w:t>
      </w:r>
      <w:r w:rsidRPr="00F42B1D">
        <w:t xml:space="preserve">, some residents needed the </w:t>
      </w:r>
      <w:proofErr w:type="gramStart"/>
      <w:r w:rsidRPr="00F42B1D">
        <w:t>service</w:t>
      </w:r>
      <w:proofErr w:type="gramEnd"/>
      <w:r w:rsidRPr="00F42B1D">
        <w:t xml:space="preserve"> and some didn’t</w:t>
      </w:r>
      <w:r w:rsidR="007501B9">
        <w:t xml:space="preserve">. </w:t>
      </w:r>
      <w:r w:rsidRPr="00F42B1D">
        <w:t>The group agreed that a service should be open to everyone to get a baseline assessment and then provided more frequently for th</w:t>
      </w:r>
      <w:r>
        <w:t>e</w:t>
      </w:r>
      <w:r w:rsidRPr="00F42B1D">
        <w:t xml:space="preserve"> residents </w:t>
      </w:r>
      <w:r>
        <w:t>who</w:t>
      </w:r>
      <w:r w:rsidRPr="00F42B1D">
        <w:t xml:space="preserve"> need it</w:t>
      </w:r>
      <w:r w:rsidR="007501B9">
        <w:t xml:space="preserve">. </w:t>
      </w:r>
      <w:r w:rsidRPr="00F42B1D">
        <w:t xml:space="preserve">The group stressed that very stable residents, those on respite, </w:t>
      </w:r>
      <w:r>
        <w:t xml:space="preserve">and </w:t>
      </w:r>
      <w:r w:rsidRPr="00F42B1D">
        <w:t>self-medicating residents still need to be seen and given support, otherwise it may be too late for early prevention of any issues.</w:t>
      </w:r>
    </w:p>
    <w:p w14:paraId="1C5A3877" w14:textId="6A71F754" w:rsidR="00F7292C" w:rsidRPr="000947FA" w:rsidRDefault="00F7292C" w:rsidP="00680BB3">
      <w:pPr>
        <w:pStyle w:val="ListQuotes"/>
      </w:pPr>
      <w:r w:rsidRPr="000947FA">
        <w:t xml:space="preserve">“Don’t exclude the healthy residents! Had cases where residents were relatively well but one had difficulty swallowing large tablets (recommended crushing) and one had a rash due to </w:t>
      </w:r>
      <w:proofErr w:type="spellStart"/>
      <w:r w:rsidRPr="000947FA">
        <w:t>Norspan</w:t>
      </w:r>
      <w:proofErr w:type="spellEnd"/>
      <w:r w:rsidRPr="000947FA">
        <w:t xml:space="preserve"> patch (alternate sites and steroid cream) and these things made a huge improvement to their quality of life even though they might not seem major to others”</w:t>
      </w:r>
    </w:p>
    <w:p w14:paraId="4C34E414" w14:textId="312A4E59" w:rsidR="00F7292C" w:rsidRPr="000947FA" w:rsidRDefault="00F7292C" w:rsidP="00680BB3">
      <w:pPr>
        <w:pStyle w:val="ListQuotes"/>
      </w:pPr>
      <w:r w:rsidRPr="000947FA">
        <w:t>“A lot of time spent on education, explanation and advocacy especially with more cognitively able residents who do not have opportunity to see a pharmacist. In the community they would have been asking pharmacist</w:t>
      </w:r>
      <w:r>
        <w:t>s</w:t>
      </w:r>
      <w:r w:rsidRPr="000947FA">
        <w:t xml:space="preserve"> questions regularly”</w:t>
      </w:r>
    </w:p>
    <w:p w14:paraId="241EAB9C" w14:textId="77777777" w:rsidR="00F7292C" w:rsidRPr="000947FA" w:rsidRDefault="00F7292C" w:rsidP="00680BB3">
      <w:pPr>
        <w:pStyle w:val="ListQuotes"/>
      </w:pPr>
      <w:r w:rsidRPr="000947FA">
        <w:t xml:space="preserve">“.. people in </w:t>
      </w:r>
      <w:r>
        <w:t xml:space="preserve">the </w:t>
      </w:r>
      <w:r w:rsidRPr="000947FA">
        <w:t>community can ask all their ‘little questions’ to a pharmacist regularly</w:t>
      </w:r>
      <w:r>
        <w:t>,</w:t>
      </w:r>
      <w:r w:rsidRPr="000947FA">
        <w:t xml:space="preserve"> whereas in facility they will not see pharmacist and don’t want to bother GP with these”.</w:t>
      </w:r>
    </w:p>
    <w:p w14:paraId="6843E763" w14:textId="5AD1E22E" w:rsidR="003D3271" w:rsidRDefault="003D3271" w:rsidP="007501B9">
      <w:r>
        <w:rPr>
          <w:noProof/>
        </w:rPr>
        <w:lastRenderedPageBreak/>
        <w:drawing>
          <wp:inline distT="0" distB="0" distL="0" distR="0" wp14:anchorId="7120119F" wp14:editId="373903A9">
            <wp:extent cx="4712335" cy="2273935"/>
            <wp:effectExtent l="0" t="0" r="0" b="0"/>
            <wp:docPr id="22" name="Picture 22" descr="The ReMInDAR pharmacist service model was seen to be made up of several components that include: regular monitoring of residents, effective GP engagment, frequent follow ups and a fixed and pre-determined workload for pharmacist. It was also supported by an online community of practice and could involce an onsite or an external pharmacist." title="Conceptual framework of the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12335" cy="2273935"/>
                    </a:xfrm>
                    <a:prstGeom prst="rect">
                      <a:avLst/>
                    </a:prstGeom>
                    <a:noFill/>
                  </pic:spPr>
                </pic:pic>
              </a:graphicData>
            </a:graphic>
          </wp:inline>
        </w:drawing>
      </w:r>
    </w:p>
    <w:p w14:paraId="4857062A" w14:textId="42ED7F8A" w:rsidR="003D3271" w:rsidRPr="00F42B1D" w:rsidRDefault="003D3271" w:rsidP="00F7292C">
      <w:pPr>
        <w:pStyle w:val="FigureandTablelegend"/>
        <w:spacing w:after="240"/>
      </w:pPr>
      <w:r w:rsidRPr="00F42B1D">
        <w:t>Figure F-</w:t>
      </w:r>
      <w:proofErr w:type="gramStart"/>
      <w:r w:rsidRPr="00F42B1D">
        <w:t>1.</w:t>
      </w:r>
      <w:r w:rsidR="007B4FFD">
        <w:t>Pharmcist</w:t>
      </w:r>
      <w:proofErr w:type="gramEnd"/>
      <w:r w:rsidR="007B4FFD">
        <w:t xml:space="preserve"> recommended components for</w:t>
      </w:r>
      <w:r>
        <w:t xml:space="preserve"> the service.</w:t>
      </w:r>
    </w:p>
    <w:p w14:paraId="31A628AC" w14:textId="6EEF502C" w:rsidR="00785138" w:rsidRPr="00B12D4B" w:rsidRDefault="00B12D4B" w:rsidP="00897C5B">
      <w:pPr>
        <w:pStyle w:val="Heading3"/>
        <w:rPr>
          <w:lang w:val="en-US"/>
        </w:rPr>
      </w:pPr>
      <w:bookmarkStart w:id="305" w:name="_Toc117758299"/>
      <w:r>
        <w:rPr>
          <w:lang w:val="en-US"/>
        </w:rPr>
        <w:t>F2.</w:t>
      </w:r>
      <w:r w:rsidR="00FF37D6">
        <w:rPr>
          <w:lang w:val="en-US"/>
        </w:rPr>
        <w:t>3</w:t>
      </w:r>
      <w:r w:rsidR="00FF37D6">
        <w:rPr>
          <w:lang w:val="en-US"/>
        </w:rPr>
        <w:tab/>
      </w:r>
      <w:r w:rsidR="000947FA">
        <w:rPr>
          <w:lang w:val="en-US"/>
        </w:rPr>
        <w:t>General Practitioner feedback</w:t>
      </w:r>
      <w:bookmarkEnd w:id="305"/>
    </w:p>
    <w:p w14:paraId="4E7315E4" w14:textId="78A9A581" w:rsidR="00785138" w:rsidRPr="00F42B1D" w:rsidRDefault="00785138" w:rsidP="007501B9">
      <w:pPr>
        <w:rPr>
          <w:lang w:val="en-US"/>
        </w:rPr>
      </w:pPr>
      <w:r w:rsidRPr="00F42B1D">
        <w:rPr>
          <w:lang w:val="en-US"/>
        </w:rPr>
        <w:t xml:space="preserve">Four interviews were undertaken by </w:t>
      </w:r>
      <w:r w:rsidR="007B4FFD">
        <w:rPr>
          <w:lang w:val="en-US"/>
        </w:rPr>
        <w:t>tele</w:t>
      </w:r>
      <w:r w:rsidRPr="00F42B1D">
        <w:rPr>
          <w:lang w:val="en-US"/>
        </w:rPr>
        <w:t>phone with GPs</w:t>
      </w:r>
      <w:r w:rsidR="007501B9">
        <w:rPr>
          <w:lang w:val="en-US"/>
        </w:rPr>
        <w:t xml:space="preserve">. </w:t>
      </w:r>
      <w:r w:rsidRPr="00F42B1D">
        <w:rPr>
          <w:lang w:val="en-US"/>
        </w:rPr>
        <w:t xml:space="preserve">The GPs serviced 11 of the 39 </w:t>
      </w:r>
      <w:proofErr w:type="spellStart"/>
      <w:r w:rsidRPr="00F42B1D">
        <w:rPr>
          <w:lang w:val="en-US"/>
        </w:rPr>
        <w:t>ReMInDAR</w:t>
      </w:r>
      <w:proofErr w:type="spellEnd"/>
      <w:r w:rsidRPr="00F42B1D">
        <w:rPr>
          <w:lang w:val="en-US"/>
        </w:rPr>
        <w:t xml:space="preserve"> trial sites.</w:t>
      </w:r>
    </w:p>
    <w:p w14:paraId="301BB524" w14:textId="77777777" w:rsidR="00785138" w:rsidRPr="00F42B1D" w:rsidRDefault="00785138" w:rsidP="007501B9">
      <w:pPr>
        <w:rPr>
          <w:lang w:val="en-US"/>
        </w:rPr>
      </w:pPr>
      <w:r w:rsidRPr="00F42B1D">
        <w:rPr>
          <w:lang w:val="en-US"/>
        </w:rPr>
        <w:t xml:space="preserve">Overall, the GPs were supportive and indicated the service was beneficial. </w:t>
      </w:r>
    </w:p>
    <w:p w14:paraId="3200F80D" w14:textId="5C4AF143" w:rsidR="00785138" w:rsidRPr="000947FA" w:rsidRDefault="00785138" w:rsidP="00680BB3">
      <w:pPr>
        <w:pStyle w:val="ListQuotes"/>
      </w:pPr>
      <w:r w:rsidRPr="000947FA">
        <w:t>“Yes, I had patients talking to me about the pharmacists visit but can’t recall any details”</w:t>
      </w:r>
    </w:p>
    <w:p w14:paraId="6A38D99F" w14:textId="42167B12" w:rsidR="00785138" w:rsidRPr="000947FA" w:rsidRDefault="00785138" w:rsidP="00680BB3">
      <w:pPr>
        <w:pStyle w:val="ListQuotes"/>
      </w:pPr>
      <w:r w:rsidRPr="000947FA">
        <w:t xml:space="preserve"> “… needs and expectations were met. The importance and presence of clinical pharmacists’ attendance and input is acknowledged. I received feedback which was useful for my practice”</w:t>
      </w:r>
    </w:p>
    <w:p w14:paraId="22018CDE" w14:textId="7EA2F98E" w:rsidR="00785138" w:rsidRPr="000947FA" w:rsidRDefault="00785138" w:rsidP="00680BB3">
      <w:pPr>
        <w:pStyle w:val="ListQuotes"/>
      </w:pPr>
      <w:r w:rsidRPr="000947FA">
        <w:t>“The intervention was very useful and beneficial for my residents”</w:t>
      </w:r>
    </w:p>
    <w:p w14:paraId="3085EDE7" w14:textId="6131E06C" w:rsidR="00785138" w:rsidRPr="000947FA" w:rsidRDefault="00785138" w:rsidP="00680BB3">
      <w:pPr>
        <w:pStyle w:val="ListQuotes"/>
      </w:pPr>
      <w:r w:rsidRPr="000947FA">
        <w:t xml:space="preserve">“.. liked the reviews and recommendations I received from the pharmacy reviews. The pharmacist picked up the drug interaction and could potentially identify and prevent </w:t>
      </w:r>
      <w:r w:rsidR="00B12D4B" w:rsidRPr="000947FA">
        <w:t>a medication related problem”.</w:t>
      </w:r>
    </w:p>
    <w:p w14:paraId="1D0474D0" w14:textId="77777777" w:rsidR="00785138" w:rsidRPr="00F42B1D" w:rsidRDefault="00785138" w:rsidP="007501B9">
      <w:pPr>
        <w:rPr>
          <w:lang w:val="en-US"/>
        </w:rPr>
      </w:pPr>
      <w:r w:rsidRPr="00F42B1D">
        <w:t>Throughout the service delivery, some intervention pharmacists directly received positive feedback to their recommendations from the GPs.</w:t>
      </w:r>
    </w:p>
    <w:p w14:paraId="4F020463" w14:textId="4D4CBC57" w:rsidR="00785138" w:rsidRPr="000947FA" w:rsidRDefault="00785138" w:rsidP="00680BB3">
      <w:pPr>
        <w:pStyle w:val="ListQuotes"/>
      </w:pPr>
      <w:r w:rsidRPr="000947FA">
        <w:t>“</w:t>
      </w:r>
      <w:proofErr w:type="gramStart"/>
      <w:r w:rsidRPr="000947FA">
        <w:t>Thanks heaps</w:t>
      </w:r>
      <w:proofErr w:type="gramEnd"/>
      <w:r w:rsidRPr="000947FA">
        <w:t xml:space="preserve"> for input. His condition has changed. I have started him on [alternative medication recommended by pharmacist] today”.</w:t>
      </w:r>
    </w:p>
    <w:p w14:paraId="1B6F25FB" w14:textId="644C10D9" w:rsidR="00785138" w:rsidRPr="00F42B1D" w:rsidRDefault="00785138" w:rsidP="007501B9">
      <w:r w:rsidRPr="00F42B1D">
        <w:t xml:space="preserve">When considering a hypothetical future national model, GPs were </w:t>
      </w:r>
      <w:r w:rsidR="00A11A16">
        <w:t>asked</w:t>
      </w:r>
      <w:r w:rsidRPr="00F42B1D">
        <w:t xml:space="preserve"> to </w:t>
      </w:r>
      <w:r w:rsidR="00A11A16">
        <w:t>consider</w:t>
      </w:r>
      <w:r w:rsidRPr="00F42B1D">
        <w:t xml:space="preserve"> the structure, feasibility, </w:t>
      </w:r>
      <w:proofErr w:type="gramStart"/>
      <w:r w:rsidRPr="00F42B1D">
        <w:t>enablers</w:t>
      </w:r>
      <w:proofErr w:type="gramEnd"/>
      <w:r w:rsidRPr="00F42B1D">
        <w:t xml:space="preserve"> and barriers</w:t>
      </w:r>
      <w:r w:rsidR="007501B9">
        <w:t xml:space="preserve">. </w:t>
      </w:r>
      <w:r w:rsidRPr="00F42B1D">
        <w:t>According to the GPs interviewed, it would be useful and feasible for bigger practices to have up to two pharmacists attached for one or two days a week</w:t>
      </w:r>
      <w:r w:rsidR="007501B9">
        <w:t xml:space="preserve">. </w:t>
      </w:r>
      <w:r w:rsidRPr="00F42B1D">
        <w:t>GPs emphasised that the best way to implement such programs would be for the pharmacist to attend RACFs together with the GP</w:t>
      </w:r>
      <w:r w:rsidR="007501B9">
        <w:t xml:space="preserve">. </w:t>
      </w:r>
      <w:r w:rsidRPr="00F42B1D">
        <w:t>This could happen when GPs have rounds in the facilities</w:t>
      </w:r>
      <w:r w:rsidR="007501B9">
        <w:t xml:space="preserve">. </w:t>
      </w:r>
      <w:r w:rsidRPr="00F42B1D">
        <w:t>Doing so would facilitate communication and implementation of interventions</w:t>
      </w:r>
      <w:r w:rsidR="007501B9">
        <w:t xml:space="preserve">. </w:t>
      </w:r>
      <w:r w:rsidRPr="00F42B1D">
        <w:t xml:space="preserve">In the GPs’ viewpoint, proper </w:t>
      </w:r>
      <w:proofErr w:type="gramStart"/>
      <w:r w:rsidRPr="00F42B1D">
        <w:t>documentation</w:t>
      </w:r>
      <w:proofErr w:type="gramEnd"/>
      <w:r w:rsidRPr="00F42B1D">
        <w:t xml:space="preserve"> and presentation by the pharmacist of any issue related to residents would also facilitate implementation of interventions. </w:t>
      </w:r>
    </w:p>
    <w:p w14:paraId="1210C3C3" w14:textId="65884E00" w:rsidR="00785138" w:rsidRPr="000947FA" w:rsidRDefault="00785138" w:rsidP="00680BB3">
      <w:pPr>
        <w:pStyle w:val="ListQuotes"/>
      </w:pPr>
      <w:proofErr w:type="gramStart"/>
      <w:r w:rsidRPr="000947FA">
        <w:lastRenderedPageBreak/>
        <w:t>“..</w:t>
      </w:r>
      <w:proofErr w:type="gramEnd"/>
      <w:r w:rsidRPr="000947FA">
        <w:t>like</w:t>
      </w:r>
      <w:r w:rsidR="00A11A16">
        <w:t>d</w:t>
      </w:r>
      <w:r w:rsidRPr="000947FA">
        <w:t xml:space="preserve"> the intervention as it was implemented and would for example engage the pharmacists working in nursing homes for drug related issues”</w:t>
      </w:r>
    </w:p>
    <w:p w14:paraId="2832BE72" w14:textId="65B6F999" w:rsidR="00785138" w:rsidRPr="000947FA" w:rsidRDefault="00785138" w:rsidP="00680BB3">
      <w:pPr>
        <w:pStyle w:val="ListQuotes"/>
      </w:pPr>
      <w:r w:rsidRPr="000947FA">
        <w:t xml:space="preserve">“In future, I would prefer to receive recommendations in </w:t>
      </w:r>
      <w:r w:rsidR="00A11A16">
        <w:t xml:space="preserve">the </w:t>
      </w:r>
      <w:r w:rsidRPr="000947FA">
        <w:t>form of a more structured feedback and more specific in regard to the problem my resident was having”</w:t>
      </w:r>
    </w:p>
    <w:p w14:paraId="3DC0F481" w14:textId="30DE60A9" w:rsidR="00785138" w:rsidRPr="000947FA" w:rsidRDefault="00785138" w:rsidP="00680BB3">
      <w:pPr>
        <w:pStyle w:val="ListQuotes"/>
      </w:pPr>
      <w:r w:rsidRPr="000947FA">
        <w:t>“This service could be implemented as a pharmacist being attached to bigger pr</w:t>
      </w:r>
      <w:r w:rsidR="00B12D4B" w:rsidRPr="000947FA">
        <w:t>actices for 1-2 days per week”.</w:t>
      </w:r>
    </w:p>
    <w:p w14:paraId="2E70D194" w14:textId="0F7D5E2E" w:rsidR="00785138" w:rsidRPr="00F42B1D" w:rsidRDefault="00785138" w:rsidP="007501B9">
      <w:r w:rsidRPr="00F42B1D">
        <w:t>GPs also felt that it would be useful if th</w:t>
      </w:r>
      <w:r w:rsidR="00A11A16">
        <w:t>e</w:t>
      </w:r>
      <w:r w:rsidRPr="00F42B1D">
        <w:t xml:space="preserve"> program could be extended to the community beyond RACFs</w:t>
      </w:r>
      <w:r w:rsidR="007501B9">
        <w:t xml:space="preserve">. </w:t>
      </w:r>
      <w:r w:rsidR="00A11A16">
        <w:t>GPs indicated t</w:t>
      </w:r>
      <w:r w:rsidRPr="00F42B1D">
        <w:t>here are many people who live in their own homes who take multiple medications and do not get medication review services</w:t>
      </w:r>
      <w:r w:rsidR="00A11A16">
        <w:t>, and that they thought the</w:t>
      </w:r>
      <w:r w:rsidRPr="00F42B1D">
        <w:t xml:space="preserve"> program would benefit them if the service </w:t>
      </w:r>
      <w:r w:rsidR="00A11A16">
        <w:t>was</w:t>
      </w:r>
      <w:r w:rsidRPr="00F42B1D">
        <w:t xml:space="preserve"> extended in these areas</w:t>
      </w:r>
      <w:r w:rsidR="007501B9">
        <w:t xml:space="preserve">. </w:t>
      </w:r>
      <w:r w:rsidR="00A11A16">
        <w:t>GPs</w:t>
      </w:r>
      <w:r w:rsidRPr="00F42B1D">
        <w:t xml:space="preserve"> also suggested it would be beneficial if the service </w:t>
      </w:r>
      <w:r w:rsidR="00A11A16">
        <w:t>c</w:t>
      </w:r>
      <w:r w:rsidRPr="00F42B1D">
        <w:t xml:space="preserve">ould be expanded to regional and rural areas. </w:t>
      </w:r>
    </w:p>
    <w:p w14:paraId="5A24ABD7" w14:textId="379259F2" w:rsidR="00785138" w:rsidRPr="00680BB3" w:rsidRDefault="00785138" w:rsidP="007501B9">
      <w:pPr>
        <w:pStyle w:val="ListQuotes"/>
      </w:pPr>
      <w:proofErr w:type="gramStart"/>
      <w:r w:rsidRPr="000947FA">
        <w:t>“..</w:t>
      </w:r>
      <w:proofErr w:type="gramEnd"/>
      <w:r w:rsidRPr="000947FA">
        <w:t>In my opinion, this type of service would be of benefit to those who are residing in rural areas and have limited access to GPs and clinics.”</w:t>
      </w:r>
    </w:p>
    <w:p w14:paraId="1C4A211E" w14:textId="3CAF25D4" w:rsidR="00785138" w:rsidRPr="00B12D4B" w:rsidRDefault="00B12D4B" w:rsidP="00897C5B">
      <w:pPr>
        <w:pStyle w:val="Heading3"/>
        <w:rPr>
          <w:lang w:val="en-US"/>
        </w:rPr>
      </w:pPr>
      <w:bookmarkStart w:id="306" w:name="_Toc117758300"/>
      <w:r>
        <w:rPr>
          <w:lang w:val="en-US"/>
        </w:rPr>
        <w:t>F2.</w:t>
      </w:r>
      <w:r w:rsidR="00FF37D6">
        <w:rPr>
          <w:lang w:val="en-US"/>
        </w:rPr>
        <w:t>4</w:t>
      </w:r>
      <w:r w:rsidR="00FF37D6">
        <w:rPr>
          <w:lang w:val="en-US"/>
        </w:rPr>
        <w:tab/>
      </w:r>
      <w:r w:rsidR="00785138" w:rsidRPr="00B12D4B">
        <w:rPr>
          <w:lang w:val="en-US"/>
        </w:rPr>
        <w:t xml:space="preserve">RACF </w:t>
      </w:r>
      <w:r w:rsidR="000947FA">
        <w:rPr>
          <w:lang w:val="en-US"/>
        </w:rPr>
        <w:t>staff feedback</w:t>
      </w:r>
      <w:bookmarkEnd w:id="306"/>
    </w:p>
    <w:p w14:paraId="62E54A0C" w14:textId="4B274BAE" w:rsidR="00785138" w:rsidRPr="00F42B1D" w:rsidRDefault="00785138" w:rsidP="007501B9">
      <w:r w:rsidRPr="00F42B1D">
        <w:rPr>
          <w:lang w:val="en-US"/>
        </w:rPr>
        <w:t xml:space="preserve">Six interviews were undertaken by </w:t>
      </w:r>
      <w:r w:rsidR="00A11A16">
        <w:rPr>
          <w:lang w:val="en-US"/>
        </w:rPr>
        <w:t>tele</w:t>
      </w:r>
      <w:r w:rsidRPr="00F42B1D">
        <w:rPr>
          <w:lang w:val="en-US"/>
        </w:rPr>
        <w:t>phone with RACF staff based at different facilities</w:t>
      </w:r>
      <w:r w:rsidR="007501B9">
        <w:rPr>
          <w:lang w:val="en-US"/>
        </w:rPr>
        <w:t xml:space="preserve">. </w:t>
      </w:r>
      <w:r w:rsidRPr="00F42B1D">
        <w:rPr>
          <w:lang w:val="en-US"/>
        </w:rPr>
        <w:t xml:space="preserve">RACF </w:t>
      </w:r>
      <w:r w:rsidR="00A11A16">
        <w:rPr>
          <w:lang w:val="en-US"/>
        </w:rPr>
        <w:t>s</w:t>
      </w:r>
      <w:r w:rsidRPr="00F42B1D">
        <w:rPr>
          <w:lang w:val="en-US"/>
        </w:rPr>
        <w:t xml:space="preserve">taff were asked what they consider to be the most </w:t>
      </w:r>
      <w:r w:rsidRPr="00F42B1D">
        <w:t>difficult issues they experience with medication management in RACFs</w:t>
      </w:r>
      <w:r w:rsidR="007501B9">
        <w:t xml:space="preserve">. </w:t>
      </w:r>
      <w:r w:rsidRPr="00F42B1D">
        <w:t>The most common feedback was about the numbers of medications administered to residents and concerns about the potential harms of some types of medications:</w:t>
      </w:r>
    </w:p>
    <w:p w14:paraId="11569983" w14:textId="1BB4399A" w:rsidR="00785138" w:rsidRPr="000947FA" w:rsidRDefault="00785138" w:rsidP="00FA6231">
      <w:pPr>
        <w:pStyle w:val="ListQuotes"/>
      </w:pPr>
      <w:r w:rsidRPr="000947FA">
        <w:t>“Overprescribing - residents are on too many medications”</w:t>
      </w:r>
    </w:p>
    <w:p w14:paraId="424BE053" w14:textId="1EE82E21" w:rsidR="00785138" w:rsidRPr="000947FA" w:rsidRDefault="00785138" w:rsidP="00FA6231">
      <w:pPr>
        <w:pStyle w:val="ListQuotes"/>
      </w:pPr>
      <w:r w:rsidRPr="000947FA">
        <w:t>“We need regular reviewing and de-prescribing of some medications whenever we can”</w:t>
      </w:r>
    </w:p>
    <w:p w14:paraId="73E9B0A8" w14:textId="4C3E6BA6" w:rsidR="00785138" w:rsidRPr="000947FA" w:rsidRDefault="00785138" w:rsidP="00FA6231">
      <w:pPr>
        <w:pStyle w:val="ListQuotes"/>
      </w:pPr>
      <w:r w:rsidRPr="000947FA">
        <w:t>“.. reducing medication related incidents- that has always been a major challenge”</w:t>
      </w:r>
    </w:p>
    <w:p w14:paraId="672B1B6F" w14:textId="11B499F9" w:rsidR="00785138" w:rsidRPr="000947FA" w:rsidRDefault="00785138" w:rsidP="00FA6231">
      <w:pPr>
        <w:pStyle w:val="ListQuotes"/>
      </w:pPr>
      <w:r w:rsidRPr="000947FA">
        <w:t>“Prescribing of medications without detailed assessment if something wrong is happening with residents”.</w:t>
      </w:r>
    </w:p>
    <w:p w14:paraId="7BC85BA5" w14:textId="3A09AFD7" w:rsidR="00785138" w:rsidRPr="00F42B1D" w:rsidRDefault="00785138" w:rsidP="007501B9">
      <w:pPr>
        <w:rPr>
          <w:lang w:val="en-US"/>
        </w:rPr>
      </w:pPr>
      <w:r w:rsidRPr="00F42B1D">
        <w:rPr>
          <w:lang w:val="en-US"/>
        </w:rPr>
        <w:t xml:space="preserve">Upon questioning the staff as to </w:t>
      </w:r>
      <w:r w:rsidR="00A11A16">
        <w:rPr>
          <w:lang w:val="en-US"/>
        </w:rPr>
        <w:t>whether</w:t>
      </w:r>
      <w:r w:rsidRPr="00F42B1D">
        <w:rPr>
          <w:lang w:val="en-US"/>
        </w:rPr>
        <w:t xml:space="preserve"> the trialed pharmacy service met their needs and their residents’ needs, they had limited feedback on any benefits they felt their residents may have gained</w:t>
      </w:r>
      <w:r w:rsidR="007501B9">
        <w:rPr>
          <w:lang w:val="en-US"/>
        </w:rPr>
        <w:t xml:space="preserve">. </w:t>
      </w:r>
      <w:r w:rsidRPr="00F42B1D">
        <w:rPr>
          <w:lang w:val="en-US"/>
        </w:rPr>
        <w:t>The infrequency of the service meant many struggled to recall specific details:</w:t>
      </w:r>
    </w:p>
    <w:p w14:paraId="5070BF7A" w14:textId="588390B1" w:rsidR="00785138" w:rsidRPr="000947FA" w:rsidRDefault="00785138" w:rsidP="00FA6231">
      <w:pPr>
        <w:pStyle w:val="ListQuotes"/>
      </w:pPr>
      <w:r w:rsidRPr="000947FA">
        <w:t>“Can’t comment on any specifics as don’t recall”</w:t>
      </w:r>
    </w:p>
    <w:p w14:paraId="106E92F3" w14:textId="4A52A8B9" w:rsidR="00785138" w:rsidRPr="000947FA" w:rsidRDefault="00785138" w:rsidP="00FA6231">
      <w:pPr>
        <w:pStyle w:val="ListQuotes"/>
      </w:pPr>
      <w:r w:rsidRPr="000947FA">
        <w:t>“It has been time consuming but good for pharmacists to interact with residents and see where they do struggle, such as in their progression in memory and dexterity”</w:t>
      </w:r>
    </w:p>
    <w:p w14:paraId="7D082FC4" w14:textId="601F938D" w:rsidR="00785138" w:rsidRPr="000947FA" w:rsidRDefault="00785138" w:rsidP="00FA6231">
      <w:pPr>
        <w:pStyle w:val="ListQuotes"/>
      </w:pPr>
      <w:r w:rsidRPr="000947FA">
        <w:t>“Not aware if recommendations were made or improved resident health”</w:t>
      </w:r>
    </w:p>
    <w:p w14:paraId="3E1D7AF3" w14:textId="366C79F7" w:rsidR="00785138" w:rsidRPr="000947FA" w:rsidRDefault="00785138" w:rsidP="00FA6231">
      <w:pPr>
        <w:pStyle w:val="ListQuotes"/>
      </w:pPr>
      <w:r w:rsidRPr="000947FA">
        <w:t>“Know that the pharmacist talked to GP and to care manager (but I wasn’t involved) about one resident, but after the discussion they decided not to change anything”.</w:t>
      </w:r>
    </w:p>
    <w:p w14:paraId="0C0282CA" w14:textId="6B767B8D" w:rsidR="00785138" w:rsidRPr="00F42B1D" w:rsidRDefault="00785138" w:rsidP="007501B9">
      <w:r w:rsidRPr="00F42B1D">
        <w:rPr>
          <w:lang w:val="en-US"/>
        </w:rPr>
        <w:t>RACF Staff were asked to consider</w:t>
      </w:r>
      <w:r w:rsidRPr="00F42B1D">
        <w:t xml:space="preserve"> what types of pharmacist service they would like</w:t>
      </w:r>
      <w:r w:rsidR="00A11A16">
        <w:t>. T</w:t>
      </w:r>
      <w:r w:rsidRPr="00F42B1D">
        <w:t xml:space="preserve">he majority of those interviewed emphasised their desire for </w:t>
      </w:r>
      <w:r w:rsidRPr="00F42B1D">
        <w:rPr>
          <w:lang w:val="en-US"/>
        </w:rPr>
        <w:t>additional medication reviews:</w:t>
      </w:r>
    </w:p>
    <w:p w14:paraId="57602FEF" w14:textId="7A8FC83A" w:rsidR="00785138" w:rsidRPr="000947FA" w:rsidRDefault="00785138" w:rsidP="00FA6231">
      <w:pPr>
        <w:pStyle w:val="ListQuotes"/>
      </w:pPr>
      <w:r w:rsidRPr="000947FA">
        <w:t>“Medication reviews - get them done as required not having to wait a long time for them”</w:t>
      </w:r>
    </w:p>
    <w:p w14:paraId="201BD8A4" w14:textId="79014E8E" w:rsidR="00785138" w:rsidRPr="000947FA" w:rsidRDefault="00785138" w:rsidP="00FA6231">
      <w:pPr>
        <w:pStyle w:val="ListQuotes"/>
      </w:pPr>
      <w:r w:rsidRPr="000947FA">
        <w:lastRenderedPageBreak/>
        <w:t>“Psychotropic reviews are every 3 months as per government requirements, but more frequent pharmacist support would be appreciated (advice on titration, types of med</w:t>
      </w:r>
      <w:r w:rsidR="00A11A16">
        <w:t>icine</w:t>
      </w:r>
      <w:r w:rsidRPr="000947FA">
        <w:t>s to watch for, dosing issues)”</w:t>
      </w:r>
    </w:p>
    <w:p w14:paraId="6752C5DF" w14:textId="36B12C8C" w:rsidR="00785138" w:rsidRPr="000947FA" w:rsidRDefault="00785138" w:rsidP="00FA6231">
      <w:pPr>
        <w:pStyle w:val="ListQuotes"/>
      </w:pPr>
      <w:r w:rsidRPr="000947FA">
        <w:t>“Extra person communicating with doctor and giving their medical point of view certainly backs something that we want - to get GPs to change medications and de-prescribe some of those medications”</w:t>
      </w:r>
    </w:p>
    <w:p w14:paraId="6D7DE1FD" w14:textId="4606BCD8" w:rsidR="00785138" w:rsidRPr="000947FA" w:rsidRDefault="00785138" w:rsidP="00FA6231">
      <w:pPr>
        <w:pStyle w:val="ListQuotes"/>
      </w:pPr>
      <w:r w:rsidRPr="000947FA">
        <w:t>“RMMRs do not seem to have been done as frequently as they used to, and I think this is another way of getting that review”.</w:t>
      </w:r>
    </w:p>
    <w:p w14:paraId="115388EB" w14:textId="456CDBA5" w:rsidR="00785138" w:rsidRPr="00F42B1D" w:rsidRDefault="00785138" w:rsidP="007501B9">
      <w:pPr>
        <w:rPr>
          <w:lang w:val="en-US"/>
        </w:rPr>
      </w:pPr>
      <w:r w:rsidRPr="00F42B1D">
        <w:rPr>
          <w:lang w:val="en-US"/>
        </w:rPr>
        <w:t xml:space="preserve">Additionally, the need for pharmacist support in providing a resource for RACF staff for medication education and support was regularly mentioned during the stakeholder </w:t>
      </w:r>
      <w:r w:rsidR="00A11A16">
        <w:rPr>
          <w:lang w:val="en-US"/>
        </w:rPr>
        <w:t>tele</w:t>
      </w:r>
      <w:r w:rsidRPr="00F42B1D">
        <w:rPr>
          <w:lang w:val="en-US"/>
        </w:rPr>
        <w:t>phone interviews:</w:t>
      </w:r>
    </w:p>
    <w:p w14:paraId="4CB86953" w14:textId="0B8776F9" w:rsidR="00785138" w:rsidRPr="000947FA" w:rsidRDefault="00785138" w:rsidP="00FA6231">
      <w:pPr>
        <w:pStyle w:val="ListQuotes"/>
      </w:pPr>
      <w:r w:rsidRPr="000947FA">
        <w:t xml:space="preserve">“Recommendations and support about medication administration, crushing etc. As speech pathologists just report about difficulty with swallowing </w:t>
      </w:r>
      <w:r w:rsidR="006E03FB" w:rsidRPr="000947FA">
        <w:t>etc.</w:t>
      </w:r>
      <w:r w:rsidRPr="000947FA">
        <w:t xml:space="preserve"> and say as per appropriate administration but then there is no one to ask advice about that”</w:t>
      </w:r>
    </w:p>
    <w:p w14:paraId="59AD79B4" w14:textId="66EBF364" w:rsidR="00785138" w:rsidRPr="000947FA" w:rsidRDefault="00785138" w:rsidP="00FA6231">
      <w:pPr>
        <w:pStyle w:val="ListQuotes"/>
      </w:pPr>
      <w:r w:rsidRPr="000947FA">
        <w:t>“Ideal would be a pharmacist onsite once a week as a resource to ask questions”</w:t>
      </w:r>
    </w:p>
    <w:p w14:paraId="6F22E573" w14:textId="04E5215E" w:rsidR="00785138" w:rsidRPr="000947FA" w:rsidRDefault="00785138" w:rsidP="00FA6231">
      <w:pPr>
        <w:pStyle w:val="ListQuotes"/>
      </w:pPr>
      <w:r w:rsidRPr="000947FA">
        <w:t>“Often need recommendations re tapering”</w:t>
      </w:r>
    </w:p>
    <w:p w14:paraId="28C95EAC" w14:textId="404F419D" w:rsidR="00785138" w:rsidRPr="000947FA" w:rsidRDefault="00785138" w:rsidP="00FA6231">
      <w:pPr>
        <w:pStyle w:val="ListQuotes"/>
      </w:pPr>
      <w:r w:rsidRPr="000947FA">
        <w:t>“Have access to information regarding what a medication does and possible side effects and related updates, especially if there is a new medication in the market”.</w:t>
      </w:r>
    </w:p>
    <w:p w14:paraId="5041A38E" w14:textId="03C79454" w:rsidR="00785138" w:rsidRPr="00A11A16" w:rsidRDefault="00785138" w:rsidP="007501B9">
      <w:pPr>
        <w:rPr>
          <w:iCs/>
        </w:rPr>
      </w:pPr>
      <w:r w:rsidRPr="00F42B1D">
        <w:rPr>
          <w:lang w:val="en-US"/>
        </w:rPr>
        <w:t xml:space="preserve">Finally, RACF </w:t>
      </w:r>
      <w:r w:rsidR="00A11A16">
        <w:rPr>
          <w:lang w:val="en-US"/>
        </w:rPr>
        <w:t>s</w:t>
      </w:r>
      <w:r w:rsidRPr="00F42B1D">
        <w:rPr>
          <w:lang w:val="en-US"/>
        </w:rPr>
        <w:t>taff were asked</w:t>
      </w:r>
      <w:r w:rsidRPr="00F42B1D">
        <w:t xml:space="preserve"> what issues could be addressed to improve any future pharmacist service provided to aged care, and communication between the various stakeholder groups was the main barrier identified: </w:t>
      </w:r>
    </w:p>
    <w:p w14:paraId="012C6BD6" w14:textId="653DC50C" w:rsidR="00785138" w:rsidRPr="000947FA" w:rsidRDefault="00785138" w:rsidP="00FA6231">
      <w:pPr>
        <w:pStyle w:val="ListQuotes"/>
      </w:pPr>
      <w:r w:rsidRPr="000947FA">
        <w:t>“Barriers are GPs in terms of acceptance. Same as for RMMRs (some like it, some don’t)”</w:t>
      </w:r>
    </w:p>
    <w:p w14:paraId="20319DC7" w14:textId="0DBD5C84" w:rsidR="00785138" w:rsidRPr="000947FA" w:rsidRDefault="00785138" w:rsidP="00FA6231">
      <w:pPr>
        <w:pStyle w:val="ListQuotes"/>
      </w:pPr>
      <w:r w:rsidRPr="000947FA">
        <w:t>“Communications gaps not only from the pharmacists but also from GPs are major barriers for most services in ACFs”</w:t>
      </w:r>
    </w:p>
    <w:p w14:paraId="2A7E9524" w14:textId="3492F0CC" w:rsidR="00785138" w:rsidRPr="000947FA" w:rsidRDefault="00785138" w:rsidP="00FA6231">
      <w:pPr>
        <w:pStyle w:val="ListQuotes"/>
      </w:pPr>
      <w:r w:rsidRPr="000947FA">
        <w:t>“Facilities need to be engaged”</w:t>
      </w:r>
    </w:p>
    <w:p w14:paraId="552C4DBF" w14:textId="042C8879" w:rsidR="00785138" w:rsidRPr="000947FA" w:rsidRDefault="00785138" w:rsidP="00FA6231">
      <w:pPr>
        <w:pStyle w:val="ListQuotes"/>
      </w:pPr>
      <w:r w:rsidRPr="000947FA">
        <w:t>“Lack of effective communication with family members in relation to medication changes is also a major barrier”.</w:t>
      </w:r>
    </w:p>
    <w:p w14:paraId="5A2DF891" w14:textId="77777777" w:rsidR="00A11A16" w:rsidRPr="00A11A16" w:rsidRDefault="00785138" w:rsidP="007501B9">
      <w:pPr>
        <w:rPr>
          <w:iCs/>
        </w:rPr>
      </w:pPr>
      <w:r w:rsidRPr="00F42B1D">
        <w:t xml:space="preserve">RACF staff were asked what sort of features a future service might have in terms of frequency and availability, with a range of suggestions made: </w:t>
      </w:r>
    </w:p>
    <w:p w14:paraId="2A1E0CDD" w14:textId="3B7C2C93" w:rsidR="00785138" w:rsidRPr="000947FA" w:rsidRDefault="00785138" w:rsidP="00FA6231">
      <w:pPr>
        <w:pStyle w:val="ListQuotes"/>
      </w:pPr>
      <w:r w:rsidRPr="000947FA">
        <w:t>“Not needed full time”</w:t>
      </w:r>
    </w:p>
    <w:p w14:paraId="5DE04A15" w14:textId="25C6DA19" w:rsidR="00785138" w:rsidRPr="000947FA" w:rsidRDefault="00785138" w:rsidP="00FA6231">
      <w:pPr>
        <w:pStyle w:val="ListQuotes"/>
      </w:pPr>
      <w:r w:rsidRPr="000947FA">
        <w:t>“Have a visiting pharmacist”</w:t>
      </w:r>
    </w:p>
    <w:p w14:paraId="0086F2A1" w14:textId="58A9AAA0" w:rsidR="00785138" w:rsidRPr="000947FA" w:rsidRDefault="00785138" w:rsidP="00FA6231">
      <w:pPr>
        <w:pStyle w:val="ListQuotes"/>
      </w:pPr>
      <w:r w:rsidRPr="000947FA">
        <w:t>“Regular person to build a relationship with”</w:t>
      </w:r>
    </w:p>
    <w:p w14:paraId="5416CCA6" w14:textId="0003A926" w:rsidR="00785138" w:rsidRPr="000947FA" w:rsidRDefault="00785138" w:rsidP="00FA6231">
      <w:pPr>
        <w:pStyle w:val="ListQuotes"/>
      </w:pPr>
      <w:r w:rsidRPr="000947FA">
        <w:t>“Need to be part of the team”.</w:t>
      </w:r>
    </w:p>
    <w:p w14:paraId="6685B8C0" w14:textId="279A830E" w:rsidR="00A11A16" w:rsidRPr="00A11A16" w:rsidRDefault="00785138" w:rsidP="007501B9">
      <w:pPr>
        <w:rPr>
          <w:iCs/>
        </w:rPr>
      </w:pPr>
      <w:r w:rsidRPr="00F42B1D">
        <w:t>They were also asked about the residents who they believed would benefit from additional review</w:t>
      </w:r>
      <w:r w:rsidRPr="00F42B1D">
        <w:rPr>
          <w:iCs/>
        </w:rPr>
        <w:t>:</w:t>
      </w:r>
      <w:r w:rsidR="00A11A16" w:rsidRPr="00A11A16">
        <w:rPr>
          <w:iCs/>
        </w:rPr>
        <w:t xml:space="preserve"> </w:t>
      </w:r>
    </w:p>
    <w:p w14:paraId="22212CD8" w14:textId="277CD54C" w:rsidR="00785138" w:rsidRPr="000947FA" w:rsidRDefault="00785138" w:rsidP="00FA6231">
      <w:pPr>
        <w:pStyle w:val="ListQuotes"/>
      </w:pPr>
      <w:r w:rsidRPr="000947FA">
        <w:t>“Residents that are frequent fallers”</w:t>
      </w:r>
    </w:p>
    <w:p w14:paraId="6DC21D61" w14:textId="7B0F8AD1" w:rsidR="00785138" w:rsidRPr="000947FA" w:rsidRDefault="00785138" w:rsidP="00FA6231">
      <w:pPr>
        <w:pStyle w:val="ListQuotes"/>
      </w:pPr>
      <w:r w:rsidRPr="000947FA">
        <w:t>“For residents who self-administer it would be good to be able to ring pharmacist. Provide resource and reassurance”</w:t>
      </w:r>
    </w:p>
    <w:p w14:paraId="4AEDF3F2" w14:textId="19E1D511" w:rsidR="00785138" w:rsidRPr="000947FA" w:rsidRDefault="00785138" w:rsidP="00FA6231">
      <w:pPr>
        <w:pStyle w:val="ListQuotes"/>
      </w:pPr>
      <w:r w:rsidRPr="000947FA">
        <w:t>“Residents with dementia and those who take anti-psychotropic would have benefited most; and those with complex pain”</w:t>
      </w:r>
    </w:p>
    <w:p w14:paraId="2BA4909B" w14:textId="07B7B75C" w:rsidR="00261544" w:rsidRPr="003D3271" w:rsidRDefault="00785138" w:rsidP="00FA6231">
      <w:pPr>
        <w:pStyle w:val="ListQuotes"/>
      </w:pPr>
      <w:r w:rsidRPr="000947FA">
        <w:lastRenderedPageBreak/>
        <w:t>“All residents should get it”</w:t>
      </w:r>
      <w:r w:rsidR="00095674">
        <w:t>.</w:t>
      </w:r>
    </w:p>
    <w:p w14:paraId="2C95A3A1" w14:textId="154B4815" w:rsidR="00785138" w:rsidRDefault="00261544" w:rsidP="0084765B">
      <w:pPr>
        <w:pStyle w:val="Heading2-SectionF"/>
      </w:pPr>
      <w:bookmarkStart w:id="307" w:name="_Toc117758301"/>
      <w:r w:rsidRPr="00F42B1D">
        <w:t>Pharmacist training manual and accreditatio</w:t>
      </w:r>
      <w:r w:rsidR="006205BC">
        <w:t>n</w:t>
      </w:r>
      <w:bookmarkEnd w:id="307"/>
    </w:p>
    <w:p w14:paraId="2959ACD9" w14:textId="7CDD1F3F" w:rsidR="006205BC" w:rsidRDefault="006205BC" w:rsidP="007501B9">
      <w:r>
        <w:t>See attachment ‘</w:t>
      </w:r>
      <w:r w:rsidRPr="006205BC">
        <w:t xml:space="preserve">MSAC Section F3a_ </w:t>
      </w:r>
      <w:proofErr w:type="spellStart"/>
      <w:r w:rsidRPr="006205BC">
        <w:t>ReMInDAR</w:t>
      </w:r>
      <w:proofErr w:type="spellEnd"/>
      <w:r w:rsidRPr="006205BC">
        <w:t xml:space="preserve"> Training </w:t>
      </w:r>
      <w:proofErr w:type="spellStart"/>
      <w:r w:rsidRPr="006205BC">
        <w:t>Manual_FINAL_Accessible</w:t>
      </w:r>
      <w:proofErr w:type="spellEnd"/>
      <w:r>
        <w:t>’ for the training manual.</w:t>
      </w:r>
    </w:p>
    <w:p w14:paraId="4A04BC2E" w14:textId="1A56C12C" w:rsidR="006205BC" w:rsidRPr="006205BC" w:rsidRDefault="006205BC" w:rsidP="007501B9">
      <w:r>
        <w:t>See attachment ‘MSAC Section F3b_ReMInDAR training accreditation letter_</w:t>
      </w:r>
      <w:r w:rsidRPr="006205BC">
        <w:t>CX20034</w:t>
      </w:r>
      <w:r>
        <w:t>’ confirming accreditation of training by the Pharmaceutical Society of Australia</w:t>
      </w:r>
    </w:p>
    <w:p w14:paraId="0C5D350F" w14:textId="77777777" w:rsidR="00E62636" w:rsidRPr="00CE2887" w:rsidRDefault="00E62636" w:rsidP="00CE2887">
      <w:pPr>
        <w:rPr>
          <w:rFonts w:eastAsiaTheme="majorEastAsia"/>
        </w:rPr>
      </w:pPr>
      <w:bookmarkStart w:id="308" w:name="_Ref352745383"/>
      <w:bookmarkStart w:id="309" w:name="_Toc352254677"/>
      <w:bookmarkStart w:id="310" w:name="_Toc352672949"/>
      <w:bookmarkStart w:id="311" w:name="_Toc355274740"/>
      <w:bookmarkStart w:id="312" w:name="_Toc379118097"/>
      <w:bookmarkStart w:id="313" w:name="_Toc381796496"/>
      <w:bookmarkStart w:id="314" w:name="_Ref237760111"/>
      <w:bookmarkEnd w:id="272"/>
      <w:bookmarkEnd w:id="291"/>
      <w:r w:rsidRPr="00CE2887">
        <w:br w:type="page"/>
      </w:r>
    </w:p>
    <w:p w14:paraId="4599372B" w14:textId="79B1A8DB" w:rsidR="004E45C4" w:rsidRPr="006A0103" w:rsidRDefault="004E45C4" w:rsidP="004C08CD">
      <w:pPr>
        <w:pStyle w:val="Heading1"/>
      </w:pPr>
      <w:bookmarkStart w:id="315" w:name="_Toc117758302"/>
      <w:r w:rsidRPr="006A0103">
        <w:lastRenderedPageBreak/>
        <w:t xml:space="preserve">Appendix </w:t>
      </w:r>
      <w:r w:rsidR="0086593E" w:rsidRPr="006A0103">
        <w:fldChar w:fldCharType="begin"/>
      </w:r>
      <w:r w:rsidR="00A63A5D" w:rsidRPr="006A0103">
        <w:instrText xml:space="preserve"> SEQ Appendix \* ALPHABETIC </w:instrText>
      </w:r>
      <w:r w:rsidR="0086593E" w:rsidRPr="006A0103">
        <w:fldChar w:fldCharType="separate"/>
      </w:r>
      <w:r w:rsidR="00164214">
        <w:rPr>
          <w:noProof/>
        </w:rPr>
        <w:t>A</w:t>
      </w:r>
      <w:r w:rsidR="0086593E" w:rsidRPr="006A0103">
        <w:fldChar w:fldCharType="end"/>
      </w:r>
      <w:bookmarkEnd w:id="308"/>
      <w:bookmarkEnd w:id="309"/>
      <w:bookmarkEnd w:id="310"/>
      <w:r w:rsidR="00A33D93">
        <w:t xml:space="preserve">: </w:t>
      </w:r>
      <w:bookmarkEnd w:id="311"/>
      <w:bookmarkEnd w:id="312"/>
      <w:bookmarkEnd w:id="313"/>
      <w:r w:rsidR="009C787D" w:rsidRPr="006A0103">
        <w:t xml:space="preserve">Project team, research partners, clinical </w:t>
      </w:r>
      <w:proofErr w:type="gramStart"/>
      <w:r w:rsidR="009C787D" w:rsidRPr="006A0103">
        <w:t>governance</w:t>
      </w:r>
      <w:proofErr w:type="gramEnd"/>
      <w:r w:rsidR="009C787D" w:rsidRPr="006A0103">
        <w:t xml:space="preserve"> and acknowledgements</w:t>
      </w:r>
      <w:bookmarkEnd w:id="315"/>
    </w:p>
    <w:p w14:paraId="21E65320" w14:textId="77777777" w:rsidR="009C787D" w:rsidRPr="006A0103" w:rsidRDefault="009C787D" w:rsidP="007501B9">
      <w:r w:rsidRPr="006A0103">
        <w:t xml:space="preserve">The </w:t>
      </w:r>
      <w:proofErr w:type="spellStart"/>
      <w:r w:rsidRPr="006A0103">
        <w:t>ReMInDAR</w:t>
      </w:r>
      <w:proofErr w:type="spellEnd"/>
      <w:r w:rsidRPr="006A0103">
        <w:t xml:space="preserve"> trial was funded by the Australian Government Department of Health as part of the Sixth Community Pharmacy Agreement Pharmacy Trial Program.</w:t>
      </w:r>
    </w:p>
    <w:p w14:paraId="1C0FB8AF" w14:textId="77777777" w:rsidR="009C787D" w:rsidRPr="006A0103" w:rsidRDefault="009C787D" w:rsidP="007501B9">
      <w:r w:rsidRPr="006A0103">
        <w:t>This trial was implemented through the efforts and guidance of many people:</w:t>
      </w:r>
    </w:p>
    <w:p w14:paraId="222CE50C" w14:textId="6066A147" w:rsidR="009C787D" w:rsidRPr="006A0103" w:rsidRDefault="004C08CD" w:rsidP="00897C5B">
      <w:pPr>
        <w:pStyle w:val="Heading2"/>
      </w:pPr>
      <w:bookmarkStart w:id="316" w:name="_Toc117758303"/>
      <w:r>
        <w:t>A.1</w:t>
      </w:r>
      <w:r w:rsidR="00C06ACB">
        <w:tab/>
      </w:r>
      <w:r w:rsidR="009C787D" w:rsidRPr="006A0103">
        <w:t>Chief Investigator Team</w:t>
      </w:r>
      <w:bookmarkEnd w:id="316"/>
    </w:p>
    <w:p w14:paraId="2F5BBE2C" w14:textId="788AAF47" w:rsidR="009C787D" w:rsidRPr="006A0103" w:rsidRDefault="009C787D" w:rsidP="007501B9">
      <w:r w:rsidRPr="006A0103">
        <w:t>Prof Elizabeth E. Roughead (</w:t>
      </w:r>
      <w:proofErr w:type="spellStart"/>
      <w:r w:rsidRPr="006A0103">
        <w:t>UniSA</w:t>
      </w:r>
      <w:proofErr w:type="spellEnd"/>
      <w:r w:rsidRPr="006A0103">
        <w:t>), A/Prof Nicole Pratt (</w:t>
      </w:r>
      <w:proofErr w:type="spellStart"/>
      <w:r w:rsidRPr="006A0103">
        <w:t>UniSA</w:t>
      </w:r>
      <w:proofErr w:type="spellEnd"/>
      <w:r w:rsidRPr="006A0103">
        <w:t>), A/Prof Gaynor Parfitt (</w:t>
      </w:r>
      <w:proofErr w:type="spellStart"/>
      <w:r w:rsidRPr="006A0103">
        <w:t>UniSA</w:t>
      </w:r>
      <w:proofErr w:type="spellEnd"/>
      <w:r w:rsidRPr="006A0103">
        <w:t>), Dr Renly Lim (</w:t>
      </w:r>
      <w:proofErr w:type="spellStart"/>
      <w:r w:rsidRPr="006A0103">
        <w:t>UniSA</w:t>
      </w:r>
      <w:proofErr w:type="spellEnd"/>
      <w:r w:rsidRPr="006A0103">
        <w:t xml:space="preserve">), Prof Debra </w:t>
      </w:r>
      <w:proofErr w:type="spellStart"/>
      <w:r w:rsidRPr="006A0103">
        <w:t>Rowett</w:t>
      </w:r>
      <w:proofErr w:type="spellEnd"/>
      <w:r w:rsidRPr="006A0103">
        <w:t xml:space="preserve"> (</w:t>
      </w:r>
      <w:proofErr w:type="spellStart"/>
      <w:r w:rsidRPr="006A0103">
        <w:t>UniSA</w:t>
      </w:r>
      <w:proofErr w:type="spellEnd"/>
      <w:r w:rsidRPr="006A0103">
        <w:t>), Dr Lisa Kalisch-</w:t>
      </w:r>
      <w:proofErr w:type="spellStart"/>
      <w:r w:rsidRPr="006A0103">
        <w:t>Ellett</w:t>
      </w:r>
      <w:proofErr w:type="spellEnd"/>
      <w:r w:rsidRPr="006A0103">
        <w:t xml:space="preserve"> (</w:t>
      </w:r>
      <w:proofErr w:type="spellStart"/>
      <w:r w:rsidRPr="006A0103">
        <w:t>UniSA</w:t>
      </w:r>
      <w:proofErr w:type="spellEnd"/>
      <w:r w:rsidRPr="006A0103">
        <w:t xml:space="preserve">), Prof Luke </w:t>
      </w:r>
      <w:proofErr w:type="spellStart"/>
      <w:r w:rsidRPr="006A0103">
        <w:t>Bereznicki</w:t>
      </w:r>
      <w:proofErr w:type="spellEnd"/>
      <w:r w:rsidRPr="006A0103">
        <w:t xml:space="preserve"> (</w:t>
      </w:r>
      <w:proofErr w:type="spellStart"/>
      <w:r w:rsidRPr="006A0103">
        <w:t>UTas</w:t>
      </w:r>
      <w:proofErr w:type="spellEnd"/>
      <w:r w:rsidRPr="006A0103">
        <w:t xml:space="preserve">), Prof Tracy Merlin (AHTA), Ms Megan </w:t>
      </w:r>
      <w:proofErr w:type="spellStart"/>
      <w:r w:rsidRPr="006A0103">
        <w:t>Corlis</w:t>
      </w:r>
      <w:proofErr w:type="spellEnd"/>
      <w:r w:rsidRPr="006A0103">
        <w:t xml:space="preserve"> (Helping Hand Inc), </w:t>
      </w:r>
      <w:r w:rsidR="00F73BBA">
        <w:t xml:space="preserve">Ms </w:t>
      </w:r>
      <w:r w:rsidRPr="006A0103">
        <w:t xml:space="preserve">Ai Choo Kang (Southern Cross Care SA, </w:t>
      </w:r>
      <w:proofErr w:type="gramStart"/>
      <w:r w:rsidRPr="006A0103">
        <w:t>NT</w:t>
      </w:r>
      <w:proofErr w:type="gramEnd"/>
      <w:r w:rsidRPr="006A0103">
        <w:t xml:space="preserve"> and Vic) and </w:t>
      </w:r>
      <w:r w:rsidR="00F73BBA">
        <w:t xml:space="preserve">Mr </w:t>
      </w:r>
      <w:r w:rsidRPr="006A0103">
        <w:t>Joseph Whitehouse (</w:t>
      </w:r>
      <w:proofErr w:type="spellStart"/>
      <w:r w:rsidRPr="006A0103">
        <w:t>PharmIC</w:t>
      </w:r>
      <w:proofErr w:type="spellEnd"/>
      <w:r w:rsidRPr="006A0103">
        <w:t xml:space="preserve">). </w:t>
      </w:r>
    </w:p>
    <w:p w14:paraId="6D9B7C64" w14:textId="03F1E76C" w:rsidR="009C787D" w:rsidRPr="00B12D4B" w:rsidRDefault="000A5006" w:rsidP="00897C5B">
      <w:pPr>
        <w:pStyle w:val="Heading2"/>
      </w:pPr>
      <w:bookmarkStart w:id="317" w:name="_Toc117758304"/>
      <w:r>
        <w:t>A.</w:t>
      </w:r>
      <w:r w:rsidR="004C08CD">
        <w:t>2</w:t>
      </w:r>
      <w:r w:rsidR="00C06ACB">
        <w:tab/>
      </w:r>
      <w:r w:rsidR="009C787D" w:rsidRPr="00B12D4B">
        <w:t>Project team and staff</w:t>
      </w:r>
      <w:bookmarkEnd w:id="317"/>
    </w:p>
    <w:p w14:paraId="01000371" w14:textId="77DD4B91" w:rsidR="009C787D" w:rsidRPr="006A0103" w:rsidRDefault="009C787D" w:rsidP="00095674">
      <w:pPr>
        <w:pStyle w:val="Heading3"/>
      </w:pPr>
      <w:bookmarkStart w:id="318" w:name="_Toc117758305"/>
      <w:r w:rsidRPr="006A0103">
        <w:t>Project team</w:t>
      </w:r>
      <w:bookmarkEnd w:id="318"/>
    </w:p>
    <w:p w14:paraId="7890A3F2" w14:textId="40A7C482" w:rsidR="009C787D" w:rsidRPr="006A0103" w:rsidRDefault="009C787D" w:rsidP="00095674">
      <w:pPr>
        <w:pStyle w:val="ListBullet"/>
      </w:pPr>
      <w:proofErr w:type="spellStart"/>
      <w:r w:rsidRPr="006A0103">
        <w:t>UniSA</w:t>
      </w:r>
      <w:proofErr w:type="spellEnd"/>
      <w:r w:rsidRPr="006A0103">
        <w:t xml:space="preserve">: Dr Rebecca </w:t>
      </w:r>
      <w:proofErr w:type="spellStart"/>
      <w:r w:rsidRPr="006A0103">
        <w:t>Bilton</w:t>
      </w:r>
      <w:proofErr w:type="spellEnd"/>
      <w:r w:rsidRPr="006A0103">
        <w:t xml:space="preserve">, Dr Lan Kelly, Dr </w:t>
      </w:r>
      <w:proofErr w:type="spellStart"/>
      <w:r w:rsidRPr="006A0103">
        <w:t>Gerel</w:t>
      </w:r>
      <w:proofErr w:type="spellEnd"/>
      <w:r w:rsidRPr="006A0103">
        <w:t xml:space="preserve"> </w:t>
      </w:r>
      <w:proofErr w:type="spellStart"/>
      <w:proofErr w:type="gramStart"/>
      <w:r w:rsidRPr="006A0103">
        <w:t>Dorj</w:t>
      </w:r>
      <w:proofErr w:type="spellEnd"/>
      <w:r w:rsidRPr="006A0103">
        <w:t>,  Dr</w:t>
      </w:r>
      <w:proofErr w:type="gramEnd"/>
      <w:r w:rsidRPr="006A0103">
        <w:t xml:space="preserve"> Andre Andrade, </w:t>
      </w:r>
      <w:r w:rsidR="006E03FB">
        <w:t xml:space="preserve">Dr </w:t>
      </w:r>
      <w:proofErr w:type="spellStart"/>
      <w:r w:rsidR="006E03FB">
        <w:t>Imaina</w:t>
      </w:r>
      <w:proofErr w:type="spellEnd"/>
      <w:r w:rsidR="006E03FB">
        <w:t xml:space="preserve"> </w:t>
      </w:r>
      <w:proofErr w:type="spellStart"/>
      <w:r w:rsidR="006E03FB">
        <w:t>Wigado</w:t>
      </w:r>
      <w:proofErr w:type="spellEnd"/>
      <w:r w:rsidR="00CB7621">
        <w:t xml:space="preserve">, </w:t>
      </w:r>
      <w:r w:rsidR="00F73BBA">
        <w:t xml:space="preserve">Ms </w:t>
      </w:r>
      <w:r w:rsidRPr="006A0103">
        <w:t xml:space="preserve">Annette </w:t>
      </w:r>
      <w:proofErr w:type="spellStart"/>
      <w:r w:rsidRPr="006A0103">
        <w:t>Paschke</w:t>
      </w:r>
      <w:proofErr w:type="spellEnd"/>
      <w:r w:rsidRPr="006A0103">
        <w:t xml:space="preserve">, </w:t>
      </w:r>
      <w:r w:rsidR="00F73BBA">
        <w:t xml:space="preserve">Ms </w:t>
      </w:r>
      <w:r w:rsidRPr="006A0103">
        <w:t xml:space="preserve">Monica </w:t>
      </w:r>
      <w:proofErr w:type="spellStart"/>
      <w:r w:rsidRPr="006A0103">
        <w:t>Vnuk</w:t>
      </w:r>
      <w:proofErr w:type="spellEnd"/>
      <w:r w:rsidRPr="006A0103">
        <w:t xml:space="preserve">, </w:t>
      </w:r>
      <w:r w:rsidR="00F73BBA">
        <w:t xml:space="preserve">Ms </w:t>
      </w:r>
      <w:r w:rsidRPr="006A0103">
        <w:t xml:space="preserve">Kristin Clark, </w:t>
      </w:r>
      <w:r w:rsidR="00F73BBA">
        <w:t xml:space="preserve">Mr </w:t>
      </w:r>
      <w:r w:rsidRPr="006A0103">
        <w:t xml:space="preserve">Ryan Higgins, Dr Danielle Post, </w:t>
      </w:r>
      <w:r w:rsidR="00F73BBA">
        <w:t xml:space="preserve">Ms </w:t>
      </w:r>
      <w:r w:rsidRPr="006A0103">
        <w:t>Alison Barratt,</w:t>
      </w:r>
      <w:r w:rsidR="00CB7621">
        <w:t xml:space="preserve"> </w:t>
      </w:r>
      <w:r w:rsidR="00865D3A">
        <w:t xml:space="preserve">Dr </w:t>
      </w:r>
      <w:r w:rsidR="00CB7621">
        <w:t xml:space="preserve">Dot </w:t>
      </w:r>
      <w:proofErr w:type="spellStart"/>
      <w:r w:rsidR="00CB7621">
        <w:t>Dumid</w:t>
      </w:r>
      <w:proofErr w:type="spellEnd"/>
      <w:r w:rsidRPr="006A0103">
        <w:t xml:space="preserve"> and </w:t>
      </w:r>
      <w:r w:rsidR="00F73BBA">
        <w:t xml:space="preserve">Ms </w:t>
      </w:r>
      <w:proofErr w:type="spellStart"/>
      <w:r w:rsidRPr="006A0103">
        <w:t>Ciana</w:t>
      </w:r>
      <w:proofErr w:type="spellEnd"/>
      <w:r w:rsidRPr="006A0103">
        <w:t xml:space="preserve"> </w:t>
      </w:r>
      <w:proofErr w:type="spellStart"/>
      <w:r w:rsidRPr="006A0103">
        <w:t>Dearcy</w:t>
      </w:r>
      <w:proofErr w:type="spellEnd"/>
      <w:r w:rsidRPr="006A0103">
        <w:t xml:space="preserve">; </w:t>
      </w:r>
    </w:p>
    <w:p w14:paraId="5FEE66F6" w14:textId="20EB37AF" w:rsidR="009C787D" w:rsidRPr="006A0103" w:rsidRDefault="009C787D" w:rsidP="00095674">
      <w:pPr>
        <w:pStyle w:val="ListBullet"/>
      </w:pPr>
      <w:r w:rsidRPr="006A0103">
        <w:t xml:space="preserve">University of Tasmania: </w:t>
      </w:r>
      <w:r w:rsidR="00F73BBA">
        <w:t xml:space="preserve">Mr </w:t>
      </w:r>
      <w:r w:rsidRPr="006A0103">
        <w:t>Justin Cousins, Dr Mackenzie Williams,</w:t>
      </w:r>
      <w:r w:rsidR="00F73BBA">
        <w:t xml:space="preserve"> Mr </w:t>
      </w:r>
      <w:r w:rsidRPr="006A0103">
        <w:t xml:space="preserve">Jackson Crawn, and </w:t>
      </w:r>
      <w:r w:rsidR="00F73BBA">
        <w:t xml:space="preserve">Dr </w:t>
      </w:r>
      <w:proofErr w:type="spellStart"/>
      <w:r w:rsidRPr="006A0103">
        <w:t>Endalkachew</w:t>
      </w:r>
      <w:proofErr w:type="spellEnd"/>
      <w:r w:rsidRPr="006A0103">
        <w:t xml:space="preserve"> </w:t>
      </w:r>
      <w:proofErr w:type="spellStart"/>
      <w:proofErr w:type="gramStart"/>
      <w:r w:rsidRPr="006A0103">
        <w:t>Alamneh</w:t>
      </w:r>
      <w:proofErr w:type="spellEnd"/>
      <w:r w:rsidRPr="006A0103">
        <w:t>;</w:t>
      </w:r>
      <w:proofErr w:type="gramEnd"/>
    </w:p>
    <w:p w14:paraId="57F0CDE6" w14:textId="6C094913" w:rsidR="009C787D" w:rsidRPr="006A0103" w:rsidRDefault="009C787D" w:rsidP="00095674">
      <w:pPr>
        <w:pStyle w:val="ListBullet"/>
      </w:pPr>
      <w:r w:rsidRPr="006A0103">
        <w:t xml:space="preserve">Adelaide University: </w:t>
      </w:r>
      <w:r w:rsidR="00F73BBA">
        <w:t xml:space="preserve">Ms </w:t>
      </w:r>
      <w:r w:rsidRPr="006A0103">
        <w:t xml:space="preserve">Camille Schubert and </w:t>
      </w:r>
      <w:r w:rsidR="00F73BBA">
        <w:t xml:space="preserve">Mr </w:t>
      </w:r>
      <w:r w:rsidRPr="006A0103">
        <w:t>Andrew Holton.</w:t>
      </w:r>
    </w:p>
    <w:p w14:paraId="269222AB" w14:textId="77777777" w:rsidR="00095674" w:rsidRDefault="009C787D" w:rsidP="00095674">
      <w:pPr>
        <w:pStyle w:val="Heading3"/>
      </w:pPr>
      <w:bookmarkStart w:id="319" w:name="_Toc117758306"/>
      <w:r w:rsidRPr="006A0103">
        <w:t>Research partners</w:t>
      </w:r>
      <w:bookmarkEnd w:id="319"/>
    </w:p>
    <w:p w14:paraId="4C17C4EC" w14:textId="3415C2C9" w:rsidR="009C787D" w:rsidRPr="006A0103" w:rsidRDefault="009C787D" w:rsidP="00095674">
      <w:pPr>
        <w:pStyle w:val="ListBullet"/>
      </w:pPr>
      <w:r w:rsidRPr="006A0103">
        <w:t xml:space="preserve">Ms Michelle Hogan (Helping Hand Inc) and </w:t>
      </w:r>
      <w:r w:rsidR="00F73BBA">
        <w:t xml:space="preserve">Ms </w:t>
      </w:r>
      <w:r w:rsidRPr="006A0103">
        <w:t xml:space="preserve">Stacey Torode (Southern Cross Care SA, </w:t>
      </w:r>
      <w:proofErr w:type="gramStart"/>
      <w:r w:rsidRPr="006A0103">
        <w:t>NT</w:t>
      </w:r>
      <w:proofErr w:type="gramEnd"/>
      <w:r w:rsidRPr="006A0103">
        <w:t xml:space="preserve"> and Vic) </w:t>
      </w:r>
    </w:p>
    <w:p w14:paraId="46EA7FCE" w14:textId="1B113193" w:rsidR="009C787D" w:rsidRPr="006A0103" w:rsidRDefault="009C787D" w:rsidP="00095674">
      <w:pPr>
        <w:pStyle w:val="Heading3"/>
      </w:pPr>
      <w:bookmarkStart w:id="320" w:name="_Toc117758307"/>
      <w:r w:rsidRPr="006A0103">
        <w:t>Research assistants</w:t>
      </w:r>
      <w:bookmarkEnd w:id="320"/>
    </w:p>
    <w:p w14:paraId="2D35D528" w14:textId="61CEB359" w:rsidR="009C787D" w:rsidRPr="006A0103" w:rsidRDefault="009C787D" w:rsidP="00095674">
      <w:pPr>
        <w:pStyle w:val="ListBullet"/>
      </w:pPr>
      <w:proofErr w:type="spellStart"/>
      <w:r w:rsidRPr="006A0103">
        <w:t>UniSA</w:t>
      </w:r>
      <w:proofErr w:type="spellEnd"/>
      <w:r w:rsidRPr="006A0103">
        <w:t xml:space="preserve"> </w:t>
      </w:r>
      <w:r w:rsidR="00F73BBA">
        <w:t>–</w:t>
      </w:r>
      <w:r w:rsidRPr="006A0103">
        <w:t xml:space="preserve"> </w:t>
      </w:r>
      <w:r w:rsidR="00F73BBA">
        <w:t xml:space="preserve">Ms </w:t>
      </w:r>
      <w:r w:rsidRPr="006A0103">
        <w:t xml:space="preserve">Jacqui </w:t>
      </w:r>
      <w:proofErr w:type="spellStart"/>
      <w:r w:rsidRPr="006A0103">
        <w:t>Amadi</w:t>
      </w:r>
      <w:proofErr w:type="spellEnd"/>
      <w:r w:rsidRPr="006A0103">
        <w:t xml:space="preserve">, </w:t>
      </w:r>
      <w:r w:rsidR="00F73BBA">
        <w:t xml:space="preserve">Ms </w:t>
      </w:r>
      <w:r w:rsidRPr="006A0103">
        <w:t xml:space="preserve">Anthea Freeman, </w:t>
      </w:r>
      <w:r w:rsidR="00F73BBA">
        <w:t xml:space="preserve">Mr </w:t>
      </w:r>
      <w:r w:rsidRPr="006A0103">
        <w:t xml:space="preserve">Daiki Kasai, </w:t>
      </w:r>
      <w:r w:rsidR="00F73BBA">
        <w:t xml:space="preserve">Ms </w:t>
      </w:r>
      <w:r w:rsidRPr="006A0103">
        <w:t xml:space="preserve">Anne Whitehouse, </w:t>
      </w:r>
      <w:r w:rsidR="00F73BBA">
        <w:t xml:space="preserve">Ms </w:t>
      </w:r>
      <w:r w:rsidRPr="006A0103">
        <w:t xml:space="preserve">Heather </w:t>
      </w:r>
      <w:proofErr w:type="spellStart"/>
      <w:r w:rsidRPr="006A0103">
        <w:t>Cockram</w:t>
      </w:r>
      <w:proofErr w:type="spellEnd"/>
      <w:r w:rsidRPr="006A0103">
        <w:t xml:space="preserve">, Dr </w:t>
      </w:r>
      <w:proofErr w:type="spellStart"/>
      <w:r w:rsidRPr="006A0103">
        <w:t>Gizat</w:t>
      </w:r>
      <w:proofErr w:type="spellEnd"/>
      <w:r w:rsidRPr="006A0103">
        <w:t xml:space="preserve"> Kassie, Dr </w:t>
      </w:r>
      <w:proofErr w:type="spellStart"/>
      <w:r w:rsidRPr="006A0103">
        <w:t>Tesfahan</w:t>
      </w:r>
      <w:proofErr w:type="spellEnd"/>
      <w:r w:rsidRPr="006A0103">
        <w:t xml:space="preserve"> </w:t>
      </w:r>
      <w:proofErr w:type="spellStart"/>
      <w:r w:rsidRPr="006A0103">
        <w:t>Eshitie</w:t>
      </w:r>
      <w:proofErr w:type="spellEnd"/>
      <w:r w:rsidRPr="006A0103">
        <w:t xml:space="preserve">, </w:t>
      </w:r>
      <w:r w:rsidR="00F73BBA">
        <w:t xml:space="preserve">Ms </w:t>
      </w:r>
      <w:r w:rsidRPr="006A0103">
        <w:t xml:space="preserve">Ju Ni Ho and </w:t>
      </w:r>
      <w:r w:rsidR="00F73BBA">
        <w:t xml:space="preserve">Mr </w:t>
      </w:r>
      <w:r w:rsidRPr="006A0103">
        <w:t xml:space="preserve">Adrian </w:t>
      </w:r>
      <w:proofErr w:type="spellStart"/>
      <w:proofErr w:type="gramStart"/>
      <w:r w:rsidRPr="006A0103">
        <w:t>Marchesano</w:t>
      </w:r>
      <w:proofErr w:type="spellEnd"/>
      <w:r w:rsidRPr="006A0103">
        <w:t>;</w:t>
      </w:r>
      <w:proofErr w:type="gramEnd"/>
      <w:r w:rsidRPr="006A0103">
        <w:t xml:space="preserve"> </w:t>
      </w:r>
    </w:p>
    <w:p w14:paraId="053F38C6" w14:textId="2BF61DFE" w:rsidR="009C787D" w:rsidRPr="006A0103" w:rsidRDefault="009C787D" w:rsidP="00095674">
      <w:pPr>
        <w:pStyle w:val="ListBullet"/>
      </w:pPr>
      <w:r w:rsidRPr="006A0103">
        <w:t xml:space="preserve">Helping Hand </w:t>
      </w:r>
      <w:r w:rsidR="00F73BBA">
        <w:t>–</w:t>
      </w:r>
      <w:r w:rsidRPr="006A0103">
        <w:t xml:space="preserve"> </w:t>
      </w:r>
      <w:r w:rsidR="00F73BBA">
        <w:t xml:space="preserve">Ms </w:t>
      </w:r>
      <w:r w:rsidRPr="006A0103">
        <w:t xml:space="preserve">Tessa </w:t>
      </w:r>
      <w:proofErr w:type="spellStart"/>
      <w:r w:rsidRPr="006A0103">
        <w:t>Caporale</w:t>
      </w:r>
      <w:proofErr w:type="spellEnd"/>
      <w:r w:rsidRPr="006A0103">
        <w:t xml:space="preserve"> and </w:t>
      </w:r>
      <w:r w:rsidR="00F73BBA">
        <w:t xml:space="preserve">Ms </w:t>
      </w:r>
      <w:r w:rsidRPr="006A0103">
        <w:t xml:space="preserve">Veronica </w:t>
      </w:r>
      <w:proofErr w:type="gramStart"/>
      <w:r w:rsidRPr="006A0103">
        <w:t>Ogilvy;</w:t>
      </w:r>
      <w:proofErr w:type="gramEnd"/>
      <w:r w:rsidRPr="006A0103">
        <w:t xml:space="preserve"> </w:t>
      </w:r>
    </w:p>
    <w:p w14:paraId="6571C437" w14:textId="23B06BCE" w:rsidR="009C787D" w:rsidRPr="006A0103" w:rsidRDefault="009C787D" w:rsidP="00095674">
      <w:pPr>
        <w:pStyle w:val="ListBullet"/>
      </w:pPr>
      <w:r w:rsidRPr="006A0103">
        <w:t xml:space="preserve">Southern Cross Tas </w:t>
      </w:r>
      <w:r w:rsidR="00F73BBA">
        <w:t>–</w:t>
      </w:r>
      <w:r w:rsidRPr="006A0103">
        <w:t xml:space="preserve"> </w:t>
      </w:r>
      <w:r w:rsidR="00F73BBA">
        <w:t xml:space="preserve">Ms </w:t>
      </w:r>
      <w:r w:rsidRPr="006A0103">
        <w:t xml:space="preserve">Georgina </w:t>
      </w:r>
      <w:proofErr w:type="gramStart"/>
      <w:r w:rsidRPr="006A0103">
        <w:t>Nugent;</w:t>
      </w:r>
      <w:proofErr w:type="gramEnd"/>
    </w:p>
    <w:p w14:paraId="58816C56" w14:textId="6031ED24" w:rsidR="009C787D" w:rsidRPr="006A0103" w:rsidRDefault="009C787D" w:rsidP="00095674">
      <w:pPr>
        <w:pStyle w:val="ListBullet"/>
      </w:pPr>
      <w:r w:rsidRPr="006A0103">
        <w:t xml:space="preserve">Southern Cross SA </w:t>
      </w:r>
      <w:r w:rsidR="00F73BBA">
        <w:t>–</w:t>
      </w:r>
      <w:r w:rsidRPr="006A0103">
        <w:t xml:space="preserve"> </w:t>
      </w:r>
      <w:r w:rsidR="00F73BBA">
        <w:t xml:space="preserve">Ms </w:t>
      </w:r>
      <w:r w:rsidRPr="006A0103">
        <w:t xml:space="preserve">Ai Choo Kang and </w:t>
      </w:r>
      <w:r w:rsidR="00F73BBA">
        <w:t xml:space="preserve">Ms </w:t>
      </w:r>
      <w:r w:rsidRPr="006A0103">
        <w:t>Stacey Torode.</w:t>
      </w:r>
    </w:p>
    <w:p w14:paraId="782610D5" w14:textId="4A0735A1" w:rsidR="009C787D" w:rsidRPr="00B12D4B" w:rsidRDefault="004C08CD" w:rsidP="00897C5B">
      <w:pPr>
        <w:pStyle w:val="Heading2"/>
      </w:pPr>
      <w:bookmarkStart w:id="321" w:name="_Toc117758308"/>
      <w:r>
        <w:t>A.3</w:t>
      </w:r>
      <w:r w:rsidR="00C06ACB">
        <w:tab/>
      </w:r>
      <w:r w:rsidR="009C787D" w:rsidRPr="00B12D4B">
        <w:t>Aged Care Research Partners</w:t>
      </w:r>
      <w:bookmarkEnd w:id="321"/>
    </w:p>
    <w:p w14:paraId="6760A34D" w14:textId="77777777" w:rsidR="009C787D" w:rsidRPr="006A0103" w:rsidRDefault="009C787D" w:rsidP="00095674">
      <w:pPr>
        <w:pStyle w:val="ListBullet"/>
      </w:pPr>
      <w:r w:rsidRPr="006A0103">
        <w:t xml:space="preserve">Southern Cross Care (SA, </w:t>
      </w:r>
      <w:proofErr w:type="gramStart"/>
      <w:r w:rsidRPr="006A0103">
        <w:t>NT</w:t>
      </w:r>
      <w:proofErr w:type="gramEnd"/>
      <w:r w:rsidRPr="006A0103">
        <w:t xml:space="preserve"> and Vic)</w:t>
      </w:r>
    </w:p>
    <w:p w14:paraId="0165BEC8" w14:textId="77777777" w:rsidR="009C787D" w:rsidRPr="006A0103" w:rsidRDefault="009C787D" w:rsidP="00095674">
      <w:pPr>
        <w:pStyle w:val="ListBullet"/>
      </w:pPr>
      <w:r w:rsidRPr="006A0103">
        <w:t xml:space="preserve">Southern Cross Care (Tas) </w:t>
      </w:r>
    </w:p>
    <w:p w14:paraId="3754B129" w14:textId="77777777" w:rsidR="009C787D" w:rsidRPr="006A0103" w:rsidRDefault="009C787D" w:rsidP="00095674">
      <w:pPr>
        <w:pStyle w:val="ListBullet"/>
      </w:pPr>
      <w:r w:rsidRPr="006A0103">
        <w:lastRenderedPageBreak/>
        <w:t>Helping Hand Inc</w:t>
      </w:r>
    </w:p>
    <w:p w14:paraId="471D35B5" w14:textId="77777777" w:rsidR="009C787D" w:rsidRPr="006A0103" w:rsidRDefault="009C787D" w:rsidP="00095674">
      <w:pPr>
        <w:pStyle w:val="ListBullet"/>
      </w:pPr>
      <w:proofErr w:type="spellStart"/>
      <w:r w:rsidRPr="006A0103">
        <w:t>AnglicareSA</w:t>
      </w:r>
      <w:proofErr w:type="spellEnd"/>
      <w:r w:rsidRPr="006A0103">
        <w:t xml:space="preserve"> </w:t>
      </w:r>
    </w:p>
    <w:p w14:paraId="46A22E74" w14:textId="77777777" w:rsidR="009C787D" w:rsidRPr="006A0103" w:rsidRDefault="009C787D" w:rsidP="00095674">
      <w:pPr>
        <w:pStyle w:val="ListBullet"/>
      </w:pPr>
      <w:proofErr w:type="spellStart"/>
      <w:r w:rsidRPr="006A0103">
        <w:t>UnitingSA</w:t>
      </w:r>
      <w:proofErr w:type="spellEnd"/>
    </w:p>
    <w:p w14:paraId="56DCFFD7" w14:textId="77777777" w:rsidR="009C787D" w:rsidRPr="006A0103" w:rsidRDefault="009C787D" w:rsidP="00095674">
      <w:pPr>
        <w:pStyle w:val="ListBullet"/>
      </w:pPr>
      <w:r w:rsidRPr="006A0103">
        <w:t>Queen Victoria Care</w:t>
      </w:r>
    </w:p>
    <w:p w14:paraId="774FC3ED" w14:textId="77777777" w:rsidR="009C787D" w:rsidRPr="006A0103" w:rsidRDefault="009C787D" w:rsidP="00095674">
      <w:pPr>
        <w:pStyle w:val="ListBullet"/>
      </w:pPr>
      <w:proofErr w:type="spellStart"/>
      <w:r w:rsidRPr="006A0103">
        <w:t>Allity</w:t>
      </w:r>
      <w:proofErr w:type="spellEnd"/>
    </w:p>
    <w:p w14:paraId="4A1C5FB8" w14:textId="77777777" w:rsidR="009C787D" w:rsidRPr="006A0103" w:rsidRDefault="009C787D" w:rsidP="00095674">
      <w:pPr>
        <w:pStyle w:val="ListBullet"/>
      </w:pPr>
      <w:r w:rsidRPr="006A0103">
        <w:t xml:space="preserve">Rembrandt Living </w:t>
      </w:r>
    </w:p>
    <w:p w14:paraId="3D91032A" w14:textId="77777777" w:rsidR="009C787D" w:rsidRPr="006A0103" w:rsidRDefault="009C787D" w:rsidP="00095674">
      <w:pPr>
        <w:pStyle w:val="ListBullet"/>
      </w:pPr>
      <w:r w:rsidRPr="006A0103">
        <w:t xml:space="preserve">Gloucester Residential Care </w:t>
      </w:r>
    </w:p>
    <w:p w14:paraId="7F333C9E" w14:textId="77777777" w:rsidR="009C787D" w:rsidRPr="006A0103" w:rsidRDefault="009C787D" w:rsidP="00095674">
      <w:pPr>
        <w:pStyle w:val="ListBullet"/>
      </w:pPr>
      <w:r w:rsidRPr="006A0103">
        <w:t>St Basil's</w:t>
      </w:r>
    </w:p>
    <w:p w14:paraId="6BA97BD9" w14:textId="77777777" w:rsidR="009C787D" w:rsidRPr="006A0103" w:rsidRDefault="009C787D" w:rsidP="00095674">
      <w:pPr>
        <w:pStyle w:val="ListBullet"/>
      </w:pPr>
      <w:proofErr w:type="spellStart"/>
      <w:r w:rsidRPr="006A0103">
        <w:t>Kalyra</w:t>
      </w:r>
      <w:proofErr w:type="spellEnd"/>
      <w:r w:rsidRPr="006A0103">
        <w:t xml:space="preserve"> Communities.</w:t>
      </w:r>
    </w:p>
    <w:p w14:paraId="600116D0" w14:textId="73E63ABC" w:rsidR="009C787D" w:rsidRPr="00B12D4B" w:rsidRDefault="000A5006" w:rsidP="00897C5B">
      <w:pPr>
        <w:pStyle w:val="Heading2"/>
      </w:pPr>
      <w:bookmarkStart w:id="322" w:name="_Toc117758309"/>
      <w:r>
        <w:t>A.</w:t>
      </w:r>
      <w:r w:rsidR="004C08CD">
        <w:t>4</w:t>
      </w:r>
      <w:r w:rsidR="00C06ACB">
        <w:tab/>
      </w:r>
      <w:r w:rsidR="009C787D" w:rsidRPr="00B12D4B">
        <w:t>Consumer Advisory Group</w:t>
      </w:r>
      <w:bookmarkEnd w:id="322"/>
    </w:p>
    <w:p w14:paraId="24D50175" w14:textId="77777777" w:rsidR="009C787D" w:rsidRPr="006A0103" w:rsidRDefault="009C787D" w:rsidP="007501B9">
      <w:r w:rsidRPr="006A0103">
        <w:t xml:space="preserve">The </w:t>
      </w:r>
      <w:proofErr w:type="spellStart"/>
      <w:r w:rsidRPr="006A0103">
        <w:t>ReMInDAR</w:t>
      </w:r>
      <w:proofErr w:type="spellEnd"/>
      <w:r w:rsidRPr="006A0103">
        <w:t xml:space="preserve"> Consumer Advisory Group included representatives</w:t>
      </w:r>
      <w:r w:rsidR="00D72D53" w:rsidRPr="006A0103">
        <w:t xml:space="preserve"> or nominees</w:t>
      </w:r>
      <w:r w:rsidRPr="006A0103">
        <w:t xml:space="preserve"> from:</w:t>
      </w:r>
    </w:p>
    <w:p w14:paraId="1AA59B74" w14:textId="77777777" w:rsidR="009C787D" w:rsidRPr="006A0103" w:rsidRDefault="009C787D" w:rsidP="00095674">
      <w:pPr>
        <w:pStyle w:val="ListBullet"/>
      </w:pPr>
      <w:r w:rsidRPr="006A0103">
        <w:t xml:space="preserve">Consumers Health Forum of </w:t>
      </w:r>
      <w:proofErr w:type="gramStart"/>
      <w:r w:rsidRPr="006A0103">
        <w:t>Australia;</w:t>
      </w:r>
      <w:proofErr w:type="gramEnd"/>
      <w:r w:rsidRPr="006A0103">
        <w:t xml:space="preserve"> </w:t>
      </w:r>
    </w:p>
    <w:p w14:paraId="5E498296" w14:textId="77777777" w:rsidR="009C787D" w:rsidRPr="006A0103" w:rsidRDefault="009C787D" w:rsidP="00095674">
      <w:pPr>
        <w:pStyle w:val="ListBullet"/>
      </w:pPr>
      <w:r w:rsidRPr="006A0103">
        <w:t xml:space="preserve">Health Consumers Alliance of South </w:t>
      </w:r>
      <w:proofErr w:type="gramStart"/>
      <w:r w:rsidRPr="006A0103">
        <w:t>Australia;</w:t>
      </w:r>
      <w:proofErr w:type="gramEnd"/>
    </w:p>
    <w:p w14:paraId="45239F57" w14:textId="77777777" w:rsidR="009C787D" w:rsidRPr="006A0103" w:rsidRDefault="009C787D" w:rsidP="00095674">
      <w:pPr>
        <w:pStyle w:val="ListBullet"/>
      </w:pPr>
      <w:r w:rsidRPr="006A0103">
        <w:t xml:space="preserve">Primary Health Network (PHN) Adelaide Consumer </w:t>
      </w:r>
      <w:proofErr w:type="gramStart"/>
      <w:r w:rsidRPr="006A0103">
        <w:t>Group;</w:t>
      </w:r>
      <w:proofErr w:type="gramEnd"/>
    </w:p>
    <w:p w14:paraId="02A4A733" w14:textId="77777777" w:rsidR="009C787D" w:rsidRPr="006A0103" w:rsidRDefault="009C787D" w:rsidP="00095674">
      <w:pPr>
        <w:pStyle w:val="ListBullet"/>
      </w:pPr>
      <w:r w:rsidRPr="006A0103">
        <w:t xml:space="preserve">Helping Hand Inc. consumer </w:t>
      </w:r>
      <w:proofErr w:type="gramStart"/>
      <w:r w:rsidRPr="006A0103">
        <w:t>group;</w:t>
      </w:r>
      <w:proofErr w:type="gramEnd"/>
    </w:p>
    <w:p w14:paraId="01AEF3CC" w14:textId="77777777" w:rsidR="009C787D" w:rsidRPr="006A0103" w:rsidRDefault="009C787D" w:rsidP="00095674">
      <w:pPr>
        <w:pStyle w:val="ListBullet"/>
      </w:pPr>
      <w:r w:rsidRPr="006A0103">
        <w:t xml:space="preserve">Southern Cross Care SA, NT and Vic consumer </w:t>
      </w:r>
      <w:proofErr w:type="gramStart"/>
      <w:r w:rsidRPr="006A0103">
        <w:t>group;</w:t>
      </w:r>
      <w:proofErr w:type="gramEnd"/>
    </w:p>
    <w:p w14:paraId="2FCB894B" w14:textId="77777777" w:rsidR="009C787D" w:rsidRPr="006A0103" w:rsidRDefault="009C787D" w:rsidP="00095674">
      <w:pPr>
        <w:pStyle w:val="ListBullet"/>
      </w:pPr>
      <w:r w:rsidRPr="006A0103">
        <w:t>Southern Cross Care Tasmania consumer group; and</w:t>
      </w:r>
    </w:p>
    <w:p w14:paraId="2E5EC4DB" w14:textId="77777777" w:rsidR="009C787D" w:rsidRPr="006A0103" w:rsidRDefault="009C787D" w:rsidP="00095674">
      <w:pPr>
        <w:pStyle w:val="ListBullet"/>
      </w:pPr>
      <w:r w:rsidRPr="006A0103">
        <w:t>Aged Rights Advocacy Service.</w:t>
      </w:r>
    </w:p>
    <w:p w14:paraId="04B2C3C1" w14:textId="507DF0EC" w:rsidR="009C787D" w:rsidRPr="00B12D4B" w:rsidRDefault="004C08CD" w:rsidP="00897C5B">
      <w:pPr>
        <w:pStyle w:val="Heading2"/>
      </w:pPr>
      <w:bookmarkStart w:id="323" w:name="_Toc117758310"/>
      <w:r>
        <w:t>A.5</w:t>
      </w:r>
      <w:r w:rsidR="00C06ACB">
        <w:tab/>
      </w:r>
      <w:r w:rsidR="009C787D" w:rsidRPr="00B12D4B">
        <w:t>Stakeholder Advisory Committee</w:t>
      </w:r>
      <w:bookmarkEnd w:id="323"/>
    </w:p>
    <w:p w14:paraId="590C6D72" w14:textId="6AFCC8FB" w:rsidR="009C787D" w:rsidRPr="006A0103" w:rsidRDefault="009C787D" w:rsidP="007501B9">
      <w:r w:rsidRPr="006A0103">
        <w:t xml:space="preserve">The </w:t>
      </w:r>
      <w:proofErr w:type="spellStart"/>
      <w:r w:rsidRPr="006A0103">
        <w:t>ReMInDAR</w:t>
      </w:r>
      <w:proofErr w:type="spellEnd"/>
      <w:r w:rsidRPr="006A0103">
        <w:t xml:space="preserve"> Stakeholder Advisory Committee included representatives from:</w:t>
      </w:r>
    </w:p>
    <w:p w14:paraId="4CCFA04E" w14:textId="77777777" w:rsidR="009C787D" w:rsidRPr="006A0103" w:rsidRDefault="009C787D" w:rsidP="00095674">
      <w:pPr>
        <w:pStyle w:val="ListBullet"/>
      </w:pPr>
      <w:r w:rsidRPr="006A0103">
        <w:t xml:space="preserve">Pharmaceutical Society of </w:t>
      </w:r>
      <w:proofErr w:type="gramStart"/>
      <w:r w:rsidRPr="006A0103">
        <w:t>Australia;</w:t>
      </w:r>
      <w:proofErr w:type="gramEnd"/>
      <w:r w:rsidRPr="006A0103">
        <w:t xml:space="preserve"> </w:t>
      </w:r>
    </w:p>
    <w:p w14:paraId="5445ADC5" w14:textId="77777777" w:rsidR="009C787D" w:rsidRPr="006A0103" w:rsidRDefault="009C787D" w:rsidP="00095674">
      <w:pPr>
        <w:pStyle w:val="ListBullet"/>
      </w:pPr>
      <w:r w:rsidRPr="006A0103">
        <w:t xml:space="preserve">Pharmacy Guild of </w:t>
      </w:r>
      <w:proofErr w:type="gramStart"/>
      <w:r w:rsidRPr="006A0103">
        <w:t>Australia;</w:t>
      </w:r>
      <w:proofErr w:type="gramEnd"/>
    </w:p>
    <w:p w14:paraId="10284BD1" w14:textId="77777777" w:rsidR="009C787D" w:rsidRPr="006A0103" w:rsidRDefault="009C787D" w:rsidP="00095674">
      <w:pPr>
        <w:pStyle w:val="ListBullet"/>
      </w:pPr>
      <w:r w:rsidRPr="006A0103">
        <w:t xml:space="preserve">Australian Medical </w:t>
      </w:r>
      <w:proofErr w:type="gramStart"/>
      <w:r w:rsidRPr="006A0103">
        <w:t>Association;</w:t>
      </w:r>
      <w:proofErr w:type="gramEnd"/>
    </w:p>
    <w:p w14:paraId="74F13DF4" w14:textId="77777777" w:rsidR="009C787D" w:rsidRPr="006A0103" w:rsidRDefault="009C787D" w:rsidP="00095674">
      <w:pPr>
        <w:pStyle w:val="ListBullet"/>
      </w:pPr>
      <w:r w:rsidRPr="006A0103">
        <w:t xml:space="preserve">Royal Australian College of General </w:t>
      </w:r>
      <w:proofErr w:type="gramStart"/>
      <w:r w:rsidRPr="006A0103">
        <w:t>Practitioners;</w:t>
      </w:r>
      <w:proofErr w:type="gramEnd"/>
    </w:p>
    <w:p w14:paraId="65E2C036" w14:textId="77777777" w:rsidR="009C787D" w:rsidRPr="006A0103" w:rsidRDefault="009C787D" w:rsidP="00095674">
      <w:pPr>
        <w:pStyle w:val="ListBullet"/>
      </w:pPr>
      <w:r w:rsidRPr="006A0103">
        <w:t xml:space="preserve">Primary Health Network – </w:t>
      </w:r>
      <w:proofErr w:type="gramStart"/>
      <w:r w:rsidRPr="006A0103">
        <w:t>Adelaide;</w:t>
      </w:r>
      <w:proofErr w:type="gramEnd"/>
    </w:p>
    <w:p w14:paraId="46F4BA26" w14:textId="77777777" w:rsidR="009C787D" w:rsidRPr="006A0103" w:rsidRDefault="009C787D" w:rsidP="00095674">
      <w:pPr>
        <w:pStyle w:val="ListBullet"/>
      </w:pPr>
      <w:r w:rsidRPr="006A0103">
        <w:t xml:space="preserve">Primary Health Network – </w:t>
      </w:r>
      <w:proofErr w:type="gramStart"/>
      <w:r w:rsidRPr="006A0103">
        <w:t>Tasmania;</w:t>
      </w:r>
      <w:proofErr w:type="gramEnd"/>
    </w:p>
    <w:p w14:paraId="3596182D" w14:textId="77777777" w:rsidR="009C787D" w:rsidRPr="006A0103" w:rsidRDefault="009C787D" w:rsidP="00095674">
      <w:pPr>
        <w:pStyle w:val="ListBullet"/>
      </w:pPr>
      <w:r w:rsidRPr="006A0103">
        <w:t xml:space="preserve">Southern Cross Care </w:t>
      </w:r>
      <w:proofErr w:type="gramStart"/>
      <w:r w:rsidRPr="006A0103">
        <w:t>Tasmania;</w:t>
      </w:r>
      <w:proofErr w:type="gramEnd"/>
    </w:p>
    <w:p w14:paraId="5A2A3E0E" w14:textId="77777777" w:rsidR="009C787D" w:rsidRPr="006A0103" w:rsidRDefault="009C787D" w:rsidP="00095674">
      <w:pPr>
        <w:pStyle w:val="ListBullet"/>
      </w:pPr>
      <w:r w:rsidRPr="006A0103">
        <w:t>Leading Aged Services Australia; and</w:t>
      </w:r>
    </w:p>
    <w:p w14:paraId="219B7269" w14:textId="77777777" w:rsidR="009C787D" w:rsidRPr="006A0103" w:rsidRDefault="009C787D" w:rsidP="00095674">
      <w:pPr>
        <w:pStyle w:val="ListBullet"/>
      </w:pPr>
      <w:r w:rsidRPr="006A0103">
        <w:t>Aged and Community Services Australia.</w:t>
      </w:r>
    </w:p>
    <w:p w14:paraId="6380D905" w14:textId="64717B13" w:rsidR="009C787D" w:rsidRPr="00B12D4B" w:rsidRDefault="004C08CD" w:rsidP="00897C5B">
      <w:pPr>
        <w:pStyle w:val="Heading2"/>
      </w:pPr>
      <w:bookmarkStart w:id="324" w:name="_Toc117758311"/>
      <w:r>
        <w:t>A.6</w:t>
      </w:r>
      <w:r w:rsidR="00C06ACB">
        <w:tab/>
      </w:r>
      <w:r w:rsidR="009C787D" w:rsidRPr="00B12D4B">
        <w:t>Trial pharmacists</w:t>
      </w:r>
      <w:bookmarkEnd w:id="324"/>
    </w:p>
    <w:p w14:paraId="61127B77" w14:textId="77777777" w:rsidR="009C787D" w:rsidRPr="006A0103" w:rsidRDefault="009C787D" w:rsidP="007501B9">
      <w:proofErr w:type="gramStart"/>
      <w:r w:rsidRPr="006A0103">
        <w:t>Twenty eight</w:t>
      </w:r>
      <w:proofErr w:type="gramEnd"/>
      <w:r w:rsidRPr="006A0103">
        <w:t xml:space="preserve"> pharmacists from both South Australia and Tasmania were involved in the delivery of the </w:t>
      </w:r>
      <w:proofErr w:type="spellStart"/>
      <w:r w:rsidRPr="006A0103">
        <w:t>ReMInDAR</w:t>
      </w:r>
      <w:proofErr w:type="spellEnd"/>
      <w:r w:rsidRPr="006A0103">
        <w:t xml:space="preserve"> trial.</w:t>
      </w:r>
    </w:p>
    <w:p w14:paraId="1D177E97" w14:textId="339269C0" w:rsidR="009C787D" w:rsidRPr="00B12D4B" w:rsidRDefault="004C08CD" w:rsidP="00897C5B">
      <w:pPr>
        <w:pStyle w:val="Heading2"/>
      </w:pPr>
      <w:bookmarkStart w:id="325" w:name="_Toc117758312"/>
      <w:r>
        <w:t>A.7</w:t>
      </w:r>
      <w:r w:rsidR="00C06ACB">
        <w:tab/>
      </w:r>
      <w:r w:rsidR="009C787D" w:rsidRPr="00B12D4B">
        <w:t>Thank you</w:t>
      </w:r>
      <w:bookmarkEnd w:id="325"/>
    </w:p>
    <w:p w14:paraId="29603216" w14:textId="77777777" w:rsidR="007B1DC8" w:rsidRPr="006A0103" w:rsidRDefault="009C787D" w:rsidP="007501B9">
      <w:r w:rsidRPr="006A0103">
        <w:t>The project team would like to thank the clients in aged care facilities who agreed to participate, the management and care staff and families of our contributing aged care trial sites, and the community pharmacists providing dispensary services to aged care sites. Without their ongoing contributions and assistance over the life of the trial, it would not have been possible.</w:t>
      </w:r>
    </w:p>
    <w:p w14:paraId="6A6E378D" w14:textId="10A9854F" w:rsidR="004E45C4" w:rsidRPr="00B12D4B" w:rsidRDefault="004C08CD" w:rsidP="00897C5B">
      <w:pPr>
        <w:pStyle w:val="Heading2"/>
      </w:pPr>
      <w:bookmarkStart w:id="326" w:name="_Toc352254679"/>
      <w:bookmarkStart w:id="327" w:name="_Toc352672951"/>
      <w:bookmarkStart w:id="328" w:name="_Toc352761736"/>
      <w:bookmarkStart w:id="329" w:name="_Toc117758313"/>
      <w:r>
        <w:lastRenderedPageBreak/>
        <w:t>A.8</w:t>
      </w:r>
      <w:r w:rsidR="00C06ACB">
        <w:tab/>
      </w:r>
      <w:r w:rsidR="004E45C4" w:rsidRPr="00B12D4B">
        <w:t>Noted conflicts of interest</w:t>
      </w:r>
      <w:bookmarkEnd w:id="326"/>
      <w:bookmarkEnd w:id="327"/>
      <w:bookmarkEnd w:id="328"/>
      <w:bookmarkEnd w:id="329"/>
    </w:p>
    <w:p w14:paraId="215619F4" w14:textId="77777777" w:rsidR="004E45C4" w:rsidRPr="006A0103" w:rsidRDefault="004E45C4" w:rsidP="007501B9">
      <w:r w:rsidRPr="006A0103">
        <w:t>There were no conflicts of interest.</w:t>
      </w:r>
    </w:p>
    <w:p w14:paraId="4263135E" w14:textId="77777777" w:rsidR="00E62636" w:rsidRDefault="00E62636" w:rsidP="007501B9">
      <w:pPr>
        <w:rPr>
          <w:rFonts w:asciiTheme="majorHAnsi" w:eastAsiaTheme="majorEastAsia" w:hAnsiTheme="majorHAnsi" w:cstheme="majorBidi"/>
          <w:color w:val="262626" w:themeColor="text1" w:themeTint="D9"/>
          <w:sz w:val="32"/>
          <w:szCs w:val="32"/>
        </w:rPr>
      </w:pPr>
      <w:bookmarkStart w:id="330" w:name="_Toc379118100"/>
      <w:bookmarkStart w:id="331" w:name="_Toc381796499"/>
      <w:bookmarkEnd w:id="314"/>
      <w:r>
        <w:br w:type="page"/>
      </w:r>
    </w:p>
    <w:p w14:paraId="7F2E7789" w14:textId="39DBD121" w:rsidR="007A7960" w:rsidRPr="006A0103" w:rsidRDefault="00193B87" w:rsidP="00391CFD">
      <w:pPr>
        <w:pStyle w:val="Heading1"/>
      </w:pPr>
      <w:bookmarkStart w:id="332" w:name="_Toc117758314"/>
      <w:r w:rsidRPr="006A0103">
        <w:lastRenderedPageBreak/>
        <w:t xml:space="preserve">Appendix </w:t>
      </w:r>
      <w:fldSimple w:instr=" SEQ Appendix \* ALPHABETIC ">
        <w:r w:rsidR="00164214">
          <w:rPr>
            <w:noProof/>
          </w:rPr>
          <w:t>B</w:t>
        </w:r>
      </w:fldSimple>
      <w:r w:rsidR="00A33D93">
        <w:rPr>
          <w:noProof/>
        </w:rPr>
        <w:t xml:space="preserve">: </w:t>
      </w:r>
      <w:bookmarkEnd w:id="330"/>
      <w:bookmarkEnd w:id="331"/>
      <w:r w:rsidR="006E52D3">
        <w:t>Literature Review</w:t>
      </w:r>
      <w:bookmarkEnd w:id="332"/>
    </w:p>
    <w:p w14:paraId="17C797B8" w14:textId="77777777" w:rsidR="001616E7" w:rsidRPr="00E024EC" w:rsidRDefault="001616E7" w:rsidP="00897C5B">
      <w:pPr>
        <w:pStyle w:val="Heading2"/>
      </w:pPr>
      <w:bookmarkStart w:id="333" w:name="_Toc381796460"/>
      <w:bookmarkStart w:id="334" w:name="_Toc428263171"/>
      <w:bookmarkStart w:id="335" w:name="_Toc117758315"/>
      <w:bookmarkStart w:id="336" w:name="_Ref170808567"/>
      <w:bookmarkStart w:id="337" w:name="_Toc460813781"/>
      <w:bookmarkStart w:id="338" w:name="_Ref170792604"/>
      <w:r w:rsidRPr="00E024EC">
        <w:t>Literature Sources and Search Strategies</w:t>
      </w:r>
      <w:bookmarkEnd w:id="333"/>
      <w:bookmarkEnd w:id="334"/>
      <w:bookmarkEnd w:id="335"/>
    </w:p>
    <w:p w14:paraId="5F14298F" w14:textId="63CEF977" w:rsidR="001616E7" w:rsidRPr="00435463" w:rsidRDefault="001616E7" w:rsidP="007501B9">
      <w:r w:rsidRPr="00897B1B">
        <w:t>The medi</w:t>
      </w:r>
      <w:r>
        <w:t xml:space="preserve">cal literature was searched on </w:t>
      </w:r>
      <w:r w:rsidRPr="00897B1B">
        <w:t>7</w:t>
      </w:r>
      <w:r>
        <w:t xml:space="preserve"> February </w:t>
      </w:r>
      <w:r w:rsidRPr="00897B1B">
        <w:t xml:space="preserve">2021 to identify relevant studies and systematic reviews published during the period </w:t>
      </w:r>
      <w:r w:rsidRPr="00435463">
        <w:t xml:space="preserve">1991 to </w:t>
      </w:r>
      <w:r>
        <w:t xml:space="preserve">January </w:t>
      </w:r>
      <w:r w:rsidRPr="00435463">
        <w:t>2021</w:t>
      </w:r>
      <w:r w:rsidRPr="00897B1B">
        <w:t>. Searches were conducted of the dat</w:t>
      </w:r>
      <w:r w:rsidR="00C86345">
        <w:t>abases and sources listed</w:t>
      </w:r>
      <w:r w:rsidR="007501B9">
        <w:t xml:space="preserve">. </w:t>
      </w:r>
      <w:r>
        <w:t>To source</w:t>
      </w:r>
      <w:r w:rsidRPr="00174E81">
        <w:t xml:space="preserve"> unpublished or grey literature, reference lists and publications of key authors in the field were manually searched to identify relevant full-text </w:t>
      </w:r>
      <w:r w:rsidRPr="00435463">
        <w:t xml:space="preserve">articles </w:t>
      </w:r>
      <w:r>
        <w:t xml:space="preserve">across the same </w:t>
      </w:r>
      <w:proofErr w:type="gramStart"/>
      <w:r>
        <w:t>time period</w:t>
      </w:r>
      <w:proofErr w:type="gramEnd"/>
      <w:r w:rsidRPr="00435463">
        <w:t>.</w:t>
      </w:r>
    </w:p>
    <w:p w14:paraId="238B4A3D" w14:textId="6EBCC2DD" w:rsidR="001616E7" w:rsidRDefault="001616E7" w:rsidP="007501B9">
      <w:r>
        <w:t>Consistent with the</w:t>
      </w:r>
      <w:r w:rsidRPr="00897B1B">
        <w:t xml:space="preserve"> PICO </w:t>
      </w:r>
      <w:r>
        <w:t>the search aimed to identify controlled trials that included:</w:t>
      </w:r>
    </w:p>
    <w:p w14:paraId="31ABC03B" w14:textId="4D1EB809" w:rsidR="001616E7" w:rsidRDefault="001616E7" w:rsidP="00853EEA">
      <w:pPr>
        <w:pStyle w:val="ListParagraph"/>
        <w:numPr>
          <w:ilvl w:val="0"/>
          <w:numId w:val="15"/>
        </w:numPr>
        <w:spacing w:after="0" w:line="276" w:lineRule="auto"/>
      </w:pPr>
      <w:r>
        <w:t xml:space="preserve">A population (P) that was </w:t>
      </w:r>
      <w:r w:rsidRPr="00897B1B">
        <w:t xml:space="preserve">aged care residents </w:t>
      </w:r>
      <w:r>
        <w:t>treated with</w:t>
      </w:r>
      <w:r w:rsidRPr="00897B1B">
        <w:t xml:space="preserve"> </w:t>
      </w:r>
      <w:proofErr w:type="gramStart"/>
      <w:r w:rsidRPr="00897B1B">
        <w:t>medic</w:t>
      </w:r>
      <w:r>
        <w:t>ines</w:t>
      </w:r>
      <w:r w:rsidR="00C86345">
        <w:t>;</w:t>
      </w:r>
      <w:proofErr w:type="gramEnd"/>
    </w:p>
    <w:p w14:paraId="24FA6882" w14:textId="19A9F2C1" w:rsidR="001616E7" w:rsidRDefault="001616E7" w:rsidP="00853EEA">
      <w:pPr>
        <w:pStyle w:val="ListParagraph"/>
        <w:numPr>
          <w:ilvl w:val="0"/>
          <w:numId w:val="15"/>
        </w:numPr>
        <w:spacing w:after="0" w:line="276" w:lineRule="auto"/>
      </w:pPr>
      <w:r>
        <w:t xml:space="preserve">An </w:t>
      </w:r>
      <w:r w:rsidRPr="00897B1B">
        <w:t xml:space="preserve">Intervention (I) </w:t>
      </w:r>
      <w:r>
        <w:t>that involved a</w:t>
      </w:r>
      <w:r w:rsidRPr="00897B1B">
        <w:t xml:space="preserve"> pharmacist </w:t>
      </w:r>
      <w:r>
        <w:t xml:space="preserve">service that included multiple visits for the same person and </w:t>
      </w:r>
      <w:r w:rsidRPr="00897B1B">
        <w:t xml:space="preserve">medication </w:t>
      </w:r>
      <w:proofErr w:type="gramStart"/>
      <w:r w:rsidRPr="00897B1B">
        <w:t>review</w:t>
      </w:r>
      <w:proofErr w:type="gramEnd"/>
      <w:r>
        <w:t xml:space="preserve"> or assessment of medicine appropriateness or medicine induced harm</w:t>
      </w:r>
      <w:r w:rsidR="00C86345">
        <w:t>;</w:t>
      </w:r>
    </w:p>
    <w:p w14:paraId="35880B3C" w14:textId="6155FF42" w:rsidR="001616E7" w:rsidRDefault="001616E7" w:rsidP="00853EEA">
      <w:pPr>
        <w:pStyle w:val="ListParagraph"/>
        <w:numPr>
          <w:ilvl w:val="0"/>
          <w:numId w:val="15"/>
        </w:numPr>
        <w:spacing w:after="0" w:line="276" w:lineRule="auto"/>
      </w:pPr>
      <w:r w:rsidRPr="00897B1B">
        <w:t>Comparison (C) was standard</w:t>
      </w:r>
      <w:r w:rsidR="00C86345">
        <w:t xml:space="preserve"> care; and</w:t>
      </w:r>
    </w:p>
    <w:p w14:paraId="3F23C5A1" w14:textId="28E81724" w:rsidR="001616E7" w:rsidRDefault="001616E7" w:rsidP="00853EEA">
      <w:pPr>
        <w:pStyle w:val="ListParagraph"/>
        <w:numPr>
          <w:ilvl w:val="0"/>
          <w:numId w:val="15"/>
        </w:numPr>
        <w:spacing w:after="0" w:line="276" w:lineRule="auto"/>
      </w:pPr>
      <w:r w:rsidRPr="00897B1B">
        <w:t xml:space="preserve">Outcomes (O) were reduction in medicine-induced deterioration from baseline to end of intervention, change in cognition scores, change in body </w:t>
      </w:r>
      <w:proofErr w:type="gramStart"/>
      <w:r w:rsidRPr="00897B1B">
        <w:t>weight</w:t>
      </w:r>
      <w:proofErr w:type="gramEnd"/>
      <w:r w:rsidRPr="00897B1B">
        <w:t xml:space="preserve"> </w:t>
      </w:r>
      <w:r>
        <w:t>or change in</w:t>
      </w:r>
      <w:r w:rsidRPr="00897B1B">
        <w:t xml:space="preserve"> r</w:t>
      </w:r>
      <w:r w:rsidR="00C86345">
        <w:t>ate of adverse medicine events.</w:t>
      </w:r>
    </w:p>
    <w:p w14:paraId="5A617A3E" w14:textId="49BCD665" w:rsidR="001616E7" w:rsidRPr="001E580A" w:rsidRDefault="001616E7" w:rsidP="007501B9">
      <w:r w:rsidRPr="00897B1B">
        <w:t>Medication review was defined as any kind of systematic assessment of a patient medication with an aim to evaluate and optimize the pharmaceutical treatment</w:t>
      </w:r>
      <w:r w:rsidR="007501B9">
        <w:t xml:space="preserve">. </w:t>
      </w:r>
      <w:r w:rsidRPr="00897B1B">
        <w:t>We included randomised controlled trials (RCT) and restricted the publications to English</w:t>
      </w:r>
      <w:r w:rsidR="007501B9">
        <w:t xml:space="preserve">. </w:t>
      </w:r>
      <w:r w:rsidRPr="00897B1B">
        <w:t xml:space="preserve">Studies in which the medication review was focused on a specific </w:t>
      </w:r>
      <w:proofErr w:type="gramStart"/>
      <w:r w:rsidRPr="00897B1B">
        <w:t>condition</w:t>
      </w:r>
      <w:proofErr w:type="gramEnd"/>
      <w:r w:rsidRPr="00897B1B">
        <w:t xml:space="preserve"> or a specific class of drug were excluded</w:t>
      </w:r>
      <w:r w:rsidR="007501B9">
        <w:t xml:space="preserve">. </w:t>
      </w:r>
      <w:r w:rsidRPr="00897B1B">
        <w:t xml:space="preserve">Ongoing studies or </w:t>
      </w:r>
      <w:r w:rsidRPr="001E580A">
        <w:t>protocols were not included in the review, but their references were examined to detect any relevant studies.</w:t>
      </w:r>
    </w:p>
    <w:p w14:paraId="313DA6C2" w14:textId="2991261C" w:rsidR="001616E7" w:rsidRPr="001E580A" w:rsidRDefault="001616E7" w:rsidP="007501B9">
      <w:r w:rsidRPr="001E580A">
        <w:t xml:space="preserve">Elements of clinical question, as well as specific search terms are described in </w:t>
      </w:r>
      <w:r w:rsidR="001E580A" w:rsidRPr="001E580A">
        <w:t>Table App B-1.</w:t>
      </w:r>
    </w:p>
    <w:tbl>
      <w:tblPr>
        <w:tblStyle w:val="TableGrid"/>
        <w:tblW w:w="5000" w:type="pct"/>
        <w:tblLook w:val="04A0" w:firstRow="1" w:lastRow="0" w:firstColumn="1" w:lastColumn="0" w:noHBand="0" w:noVBand="1"/>
        <w:tblCaption w:val="Search terms used (literature search platform)"/>
        <w:tblDescription w:val="Search terms used (literature search platform)"/>
      </w:tblPr>
      <w:tblGrid>
        <w:gridCol w:w="1805"/>
        <w:gridCol w:w="7211"/>
      </w:tblGrid>
      <w:tr w:rsidR="00C86345" w:rsidRPr="001E580A" w14:paraId="5469AA81" w14:textId="77777777" w:rsidTr="0033621F">
        <w:tc>
          <w:tcPr>
            <w:tcW w:w="1001" w:type="pct"/>
            <w:shd w:val="clear" w:color="auto" w:fill="000000" w:themeFill="text1"/>
          </w:tcPr>
          <w:p w14:paraId="637A871F" w14:textId="77777777" w:rsidR="00C86345" w:rsidRPr="00095674" w:rsidRDefault="00C86345" w:rsidP="0033621F">
            <w:pPr>
              <w:pStyle w:val="TableHeader"/>
              <w:ind w:left="0"/>
            </w:pPr>
            <w:r w:rsidRPr="00095674">
              <w:t>Element of clinical question</w:t>
            </w:r>
          </w:p>
        </w:tc>
        <w:tc>
          <w:tcPr>
            <w:tcW w:w="3999" w:type="pct"/>
          </w:tcPr>
          <w:p w14:paraId="6E9E9291" w14:textId="77777777" w:rsidR="00C86345" w:rsidRPr="001E580A" w:rsidRDefault="00C86345" w:rsidP="0033621F">
            <w:pPr>
              <w:pStyle w:val="Tabletext1"/>
              <w:ind w:left="0"/>
            </w:pPr>
            <w:r w:rsidRPr="001E580A">
              <w:t xml:space="preserve">Does the pharmacy service have impact on cognition, adverse events, falls and mortality in older adults living in aged care facilities? </w:t>
            </w:r>
          </w:p>
        </w:tc>
      </w:tr>
      <w:tr w:rsidR="00C86345" w:rsidRPr="001E580A" w14:paraId="54D8FEA9" w14:textId="77777777" w:rsidTr="0033621F">
        <w:tc>
          <w:tcPr>
            <w:tcW w:w="1001" w:type="pct"/>
            <w:shd w:val="clear" w:color="auto" w:fill="000000" w:themeFill="text1"/>
          </w:tcPr>
          <w:p w14:paraId="74BEEB01" w14:textId="77777777" w:rsidR="00C86345" w:rsidRPr="00095674" w:rsidRDefault="00C86345" w:rsidP="0033621F">
            <w:pPr>
              <w:pStyle w:val="TableHeader"/>
              <w:ind w:left="0"/>
            </w:pPr>
            <w:r w:rsidRPr="00095674">
              <w:t>Population</w:t>
            </w:r>
          </w:p>
        </w:tc>
        <w:tc>
          <w:tcPr>
            <w:tcW w:w="3999" w:type="pct"/>
          </w:tcPr>
          <w:p w14:paraId="5B4A84E4" w14:textId="77777777" w:rsidR="00C86345" w:rsidRPr="001E580A" w:rsidRDefault="00C86345" w:rsidP="0033621F">
            <w:pPr>
              <w:pStyle w:val="Tabletext1"/>
              <w:ind w:left="0"/>
            </w:pPr>
            <w:r w:rsidRPr="001E580A">
              <w:t xml:space="preserve">“aged” OR “aging” OR “elderly” OR “resident” OR “senior” </w:t>
            </w:r>
          </w:p>
        </w:tc>
      </w:tr>
      <w:tr w:rsidR="00C86345" w:rsidRPr="001E580A" w14:paraId="0179BF2A" w14:textId="77777777" w:rsidTr="0033621F">
        <w:tc>
          <w:tcPr>
            <w:tcW w:w="1001" w:type="pct"/>
            <w:shd w:val="clear" w:color="auto" w:fill="000000" w:themeFill="text1"/>
          </w:tcPr>
          <w:p w14:paraId="23AE7F73" w14:textId="77777777" w:rsidR="00C86345" w:rsidRPr="00095674" w:rsidRDefault="00C86345" w:rsidP="0033621F">
            <w:pPr>
              <w:pStyle w:val="TableHeader"/>
              <w:ind w:left="0"/>
            </w:pPr>
            <w:r w:rsidRPr="00095674">
              <w:t>Intervention</w:t>
            </w:r>
          </w:p>
        </w:tc>
        <w:tc>
          <w:tcPr>
            <w:tcW w:w="3999" w:type="pct"/>
          </w:tcPr>
          <w:p w14:paraId="785C2163" w14:textId="77777777" w:rsidR="00C86345" w:rsidRPr="001E580A" w:rsidRDefault="00C86345" w:rsidP="0033621F">
            <w:pPr>
              <w:pStyle w:val="Tabletext1"/>
              <w:ind w:left="0"/>
            </w:pPr>
            <w:r w:rsidRPr="001E580A">
              <w:t xml:space="preserve">(“randomized controlled trial”) </w:t>
            </w:r>
            <w:proofErr w:type="gramStart"/>
            <w:r w:rsidRPr="001E580A">
              <w:t>OR  (</w:t>
            </w:r>
            <w:proofErr w:type="gramEnd"/>
            <w:r w:rsidRPr="001E580A">
              <w:t xml:space="preserve">“randomised clinical trial”) AND  ((“residential aged care”) OR (“nursing home”) OR (“aged care”) OR (“long term”) OR (“care home”)) AND ((“pharmacy service”) </w:t>
            </w:r>
          </w:p>
        </w:tc>
      </w:tr>
      <w:tr w:rsidR="00C86345" w:rsidRPr="001E580A" w14:paraId="2A6158C4" w14:textId="77777777" w:rsidTr="0033621F">
        <w:tc>
          <w:tcPr>
            <w:tcW w:w="1001" w:type="pct"/>
            <w:shd w:val="clear" w:color="auto" w:fill="000000" w:themeFill="text1"/>
          </w:tcPr>
          <w:p w14:paraId="36A76CD3" w14:textId="77777777" w:rsidR="00C86345" w:rsidRPr="00095674" w:rsidRDefault="00C86345" w:rsidP="0033621F">
            <w:pPr>
              <w:pStyle w:val="TableHeader"/>
              <w:ind w:left="0"/>
            </w:pPr>
            <w:r w:rsidRPr="00095674">
              <w:t>Comparator (if applicable)</w:t>
            </w:r>
          </w:p>
        </w:tc>
        <w:tc>
          <w:tcPr>
            <w:tcW w:w="3999" w:type="pct"/>
          </w:tcPr>
          <w:p w14:paraId="5006A7D4" w14:textId="77777777" w:rsidR="00C86345" w:rsidRPr="001E580A" w:rsidRDefault="00C86345" w:rsidP="0033621F">
            <w:pPr>
              <w:pStyle w:val="Tabletext1"/>
              <w:ind w:left="0"/>
            </w:pPr>
            <w:r w:rsidRPr="001E580A">
              <w:t>Control (usual care)</w:t>
            </w:r>
          </w:p>
        </w:tc>
      </w:tr>
      <w:tr w:rsidR="00C86345" w:rsidRPr="001E580A" w14:paraId="6B3D8D5E" w14:textId="77777777" w:rsidTr="0033621F">
        <w:tc>
          <w:tcPr>
            <w:tcW w:w="1001" w:type="pct"/>
            <w:shd w:val="clear" w:color="auto" w:fill="000000" w:themeFill="text1"/>
          </w:tcPr>
          <w:p w14:paraId="73972E7E" w14:textId="77777777" w:rsidR="00C86345" w:rsidRPr="00095674" w:rsidRDefault="00C86345" w:rsidP="0033621F">
            <w:pPr>
              <w:pStyle w:val="TableHeader"/>
              <w:ind w:left="0"/>
            </w:pPr>
            <w:r w:rsidRPr="00095674">
              <w:t>Outcomes (if applicable)</w:t>
            </w:r>
          </w:p>
        </w:tc>
        <w:tc>
          <w:tcPr>
            <w:tcW w:w="3999" w:type="pct"/>
          </w:tcPr>
          <w:p w14:paraId="09DF8912" w14:textId="77777777" w:rsidR="00C86345" w:rsidRPr="001E580A" w:rsidRDefault="00C86345" w:rsidP="0033621F">
            <w:pPr>
              <w:pStyle w:val="Tabletext1"/>
              <w:ind w:left="0"/>
            </w:pPr>
            <w:r w:rsidRPr="001E580A">
              <w:t xml:space="preserve">“cognition” OR “cognitive” OR (“Montreal Cognitive Assessment”) OR “MoCA” OR (“Cognitive Assessment Screening Instrument”) </w:t>
            </w:r>
          </w:p>
          <w:p w14:paraId="5F9A1D3A" w14:textId="77777777" w:rsidR="00C86345" w:rsidRPr="001E580A" w:rsidRDefault="00C86345" w:rsidP="0033621F">
            <w:pPr>
              <w:pStyle w:val="Tabletext1"/>
              <w:ind w:left="0"/>
              <w:rPr>
                <w:rFonts w:cs="Calibri"/>
              </w:rPr>
            </w:pPr>
            <w:r w:rsidRPr="001E580A">
              <w:t>“frail” OR “frailty” OR "frailness" OR "frails" “frailty index”</w:t>
            </w:r>
          </w:p>
          <w:p w14:paraId="366021EC" w14:textId="77777777" w:rsidR="00C86345" w:rsidRPr="001E580A" w:rsidRDefault="00C86345" w:rsidP="0033621F">
            <w:pPr>
              <w:pStyle w:val="Tabletext1"/>
              <w:ind w:left="0"/>
            </w:pPr>
            <w:r w:rsidRPr="001E580A">
              <w:t xml:space="preserve">“weight” OR “weight body” OR “weights and measures” OR “weighting” OR “weights” </w:t>
            </w:r>
          </w:p>
          <w:p w14:paraId="21022B22" w14:textId="77777777" w:rsidR="00C86345" w:rsidRPr="001E580A" w:rsidRDefault="00C86345" w:rsidP="0033621F">
            <w:pPr>
              <w:pStyle w:val="Tabletext1"/>
              <w:ind w:left="0"/>
            </w:pPr>
            <w:r w:rsidRPr="001E580A">
              <w:lastRenderedPageBreak/>
              <w:t xml:space="preserve">"adversely" OR “medication error” “misadventure” OR “medication incidence” OR </w:t>
            </w:r>
            <w:proofErr w:type="gramStart"/>
            <w:r w:rsidRPr="001E580A">
              <w:t>“”medication</w:t>
            </w:r>
            <w:proofErr w:type="gramEnd"/>
            <w:r w:rsidRPr="001E580A">
              <w:t xml:space="preserve"> safety” OR ‘’adverse drug reaction” OR ”hospitalisation” OR "adverse" AND ("event" OR "events" OR "events") </w:t>
            </w:r>
          </w:p>
        </w:tc>
      </w:tr>
      <w:tr w:rsidR="00C86345" w:rsidRPr="001E580A" w14:paraId="65DE10C6" w14:textId="77777777" w:rsidTr="0033621F">
        <w:trPr>
          <w:trHeight w:val="570"/>
        </w:trPr>
        <w:tc>
          <w:tcPr>
            <w:tcW w:w="1001" w:type="pct"/>
            <w:shd w:val="clear" w:color="auto" w:fill="000000" w:themeFill="text1"/>
          </w:tcPr>
          <w:p w14:paraId="33653D12" w14:textId="77777777" w:rsidR="00C86345" w:rsidRPr="00095674" w:rsidRDefault="00C86345" w:rsidP="0033621F">
            <w:pPr>
              <w:pStyle w:val="TableHeader"/>
              <w:ind w:left="0"/>
            </w:pPr>
            <w:r w:rsidRPr="00095674">
              <w:lastRenderedPageBreak/>
              <w:t>Limits</w:t>
            </w:r>
          </w:p>
        </w:tc>
        <w:tc>
          <w:tcPr>
            <w:tcW w:w="3999" w:type="pct"/>
          </w:tcPr>
          <w:p w14:paraId="4DE4A0FF" w14:textId="77777777" w:rsidR="00C86345" w:rsidRPr="001E580A" w:rsidRDefault="00C86345" w:rsidP="0033621F">
            <w:pPr>
              <w:pStyle w:val="Tabletext1"/>
              <w:ind w:left="0"/>
            </w:pPr>
            <w:r w:rsidRPr="001E580A">
              <w:t>Studies published from 1990 until January 2021</w:t>
            </w:r>
          </w:p>
          <w:p w14:paraId="57013F16" w14:textId="77777777" w:rsidR="00C86345" w:rsidRPr="001E580A" w:rsidRDefault="00C86345" w:rsidP="0033621F">
            <w:pPr>
              <w:pStyle w:val="Tabletext1"/>
              <w:ind w:left="0"/>
            </w:pPr>
            <w:r w:rsidRPr="001E580A">
              <w:t>English language</w:t>
            </w:r>
          </w:p>
        </w:tc>
      </w:tr>
    </w:tbl>
    <w:p w14:paraId="1B353151" w14:textId="3D38940F" w:rsidR="001616E7" w:rsidRPr="00897B1B" w:rsidRDefault="001E580A" w:rsidP="00897C5B">
      <w:pPr>
        <w:pStyle w:val="Caption"/>
      </w:pPr>
      <w:r w:rsidRPr="001E580A">
        <w:t>Table App B-1 Search terms used (literature search platform)</w:t>
      </w:r>
    </w:p>
    <w:p w14:paraId="62B19EBB" w14:textId="526BF074" w:rsidR="001616E7" w:rsidRPr="00897B1B" w:rsidRDefault="001616E7" w:rsidP="0033621F">
      <w:pPr>
        <w:pStyle w:val="Heading3"/>
      </w:pPr>
      <w:bookmarkStart w:id="339" w:name="_Toc117758316"/>
      <w:r w:rsidRPr="00897B1B">
        <w:t>Data screening and extraction</w:t>
      </w:r>
      <w:bookmarkEnd w:id="339"/>
    </w:p>
    <w:p w14:paraId="53234F83" w14:textId="12D0BDC8" w:rsidR="001616E7" w:rsidRPr="00EC1C8F" w:rsidRDefault="001616E7" w:rsidP="007501B9">
      <w:r w:rsidRPr="00EC1C8F">
        <w:t>Studies were selected independently by a single reviewer with a random sample receiving independent assessment by a second reviewer</w:t>
      </w:r>
      <w:r w:rsidR="007501B9">
        <w:t xml:space="preserve">. </w:t>
      </w:r>
      <w:r w:rsidRPr="00EC1C8F">
        <w:t xml:space="preserve">Discrepancies in judgement were discussed among the reviewers to reach </w:t>
      </w:r>
      <w:r w:rsidR="00C86345">
        <w:t>consensus about final decision.</w:t>
      </w:r>
    </w:p>
    <w:p w14:paraId="0CAE3DCB" w14:textId="07AE13E1" w:rsidR="001616E7" w:rsidRPr="00EC1C8F" w:rsidRDefault="001616E7" w:rsidP="007501B9">
      <w:r w:rsidRPr="00EC1C8F">
        <w:t xml:space="preserve">Additional pre-specified criteria </w:t>
      </w:r>
      <w:r w:rsidR="00C86345">
        <w:t>for excluding studies included:</w:t>
      </w:r>
    </w:p>
    <w:p w14:paraId="13854920" w14:textId="22A50D66" w:rsidR="001616E7" w:rsidRDefault="001616E7" w:rsidP="0033621F">
      <w:pPr>
        <w:pStyle w:val="ListBullet"/>
      </w:pPr>
      <w:r>
        <w:t>interventions limited t</w:t>
      </w:r>
      <w:r w:rsidR="00C86345">
        <w:t xml:space="preserve">o the community or home </w:t>
      </w:r>
      <w:proofErr w:type="gramStart"/>
      <w:r w:rsidR="00C86345">
        <w:t>setting;</w:t>
      </w:r>
      <w:proofErr w:type="gramEnd"/>
    </w:p>
    <w:p w14:paraId="7B5302D3" w14:textId="42A7D3BE" w:rsidR="001616E7" w:rsidRDefault="001616E7" w:rsidP="0033621F">
      <w:pPr>
        <w:pStyle w:val="ListBullet"/>
      </w:pPr>
      <w:r>
        <w:t xml:space="preserve">interventions for residents transitioning from hospital </w:t>
      </w:r>
      <w:proofErr w:type="gramStart"/>
      <w:r>
        <w:t>setting</w:t>
      </w:r>
      <w:r w:rsidR="00C86345">
        <w:t>;</w:t>
      </w:r>
      <w:proofErr w:type="gramEnd"/>
    </w:p>
    <w:p w14:paraId="3AA04D51" w14:textId="67C82419" w:rsidR="001616E7" w:rsidRDefault="001616E7" w:rsidP="0033621F">
      <w:pPr>
        <w:pStyle w:val="ListBullet"/>
      </w:pPr>
      <w:r>
        <w:t>si</w:t>
      </w:r>
      <w:r w:rsidR="00C86345">
        <w:t xml:space="preserve">ngle clinical pharmacist </w:t>
      </w:r>
      <w:proofErr w:type="gramStart"/>
      <w:r w:rsidR="00C86345">
        <w:t>review;</w:t>
      </w:r>
      <w:proofErr w:type="gramEnd"/>
    </w:p>
    <w:p w14:paraId="32C2EF39" w14:textId="79BA2334" w:rsidR="001616E7" w:rsidRPr="00EC1C8F" w:rsidRDefault="001616E7" w:rsidP="0033621F">
      <w:pPr>
        <w:pStyle w:val="ListBullet"/>
      </w:pPr>
      <w:r>
        <w:t xml:space="preserve">the </w:t>
      </w:r>
      <w:r w:rsidRPr="00EC1C8F">
        <w:t xml:space="preserve">intervention </w:t>
      </w:r>
      <w:r>
        <w:t>was provided by a</w:t>
      </w:r>
      <w:r w:rsidRPr="00EC1C8F">
        <w:t xml:space="preserve"> health professional</w:t>
      </w:r>
      <w:r>
        <w:t xml:space="preserve"> other </w:t>
      </w:r>
      <w:r w:rsidRPr="00EC1C8F">
        <w:t xml:space="preserve">than </w:t>
      </w:r>
      <w:r>
        <w:t xml:space="preserve">a </w:t>
      </w:r>
      <w:proofErr w:type="gramStart"/>
      <w:r w:rsidRPr="00EC1C8F">
        <w:t>pharmacist</w:t>
      </w:r>
      <w:r w:rsidR="00C86345">
        <w:t>;</w:t>
      </w:r>
      <w:proofErr w:type="gramEnd"/>
    </w:p>
    <w:p w14:paraId="7B602C87" w14:textId="67CC3580" w:rsidR="001616E7" w:rsidRDefault="001616E7" w:rsidP="0033621F">
      <w:pPr>
        <w:pStyle w:val="ListBullet"/>
      </w:pPr>
      <w:r>
        <w:t>lack of</w:t>
      </w:r>
      <w:r w:rsidRPr="00EC1C8F">
        <w:t xml:space="preserve"> comparative data for both groups, </w:t>
      </w:r>
      <w:proofErr w:type="gramStart"/>
      <w:r>
        <w:t>e.g.</w:t>
      </w:r>
      <w:proofErr w:type="gramEnd"/>
      <w:r>
        <w:t xml:space="preserve"> </w:t>
      </w:r>
      <w:r w:rsidRPr="00EC1C8F">
        <w:t>only baseline data</w:t>
      </w:r>
      <w:r>
        <w:t xml:space="preserve"> or data for only one group</w:t>
      </w:r>
      <w:r w:rsidR="00C86345">
        <w:t>; and</w:t>
      </w:r>
    </w:p>
    <w:p w14:paraId="33993A8B" w14:textId="77777777" w:rsidR="001616E7" w:rsidRPr="00EC1C8F" w:rsidRDefault="001616E7" w:rsidP="0033621F">
      <w:pPr>
        <w:pStyle w:val="ListBullet"/>
      </w:pPr>
      <w:r>
        <w:rPr>
          <w:rFonts w:cstheme="minorHAnsi"/>
        </w:rPr>
        <w:t>S</w:t>
      </w:r>
      <w:r w:rsidRPr="00897B1B">
        <w:rPr>
          <w:rFonts w:cstheme="minorHAnsi"/>
        </w:rPr>
        <w:t xml:space="preserve">ystematic </w:t>
      </w:r>
      <w:r>
        <w:rPr>
          <w:rFonts w:cstheme="minorHAnsi"/>
        </w:rPr>
        <w:t>or</w:t>
      </w:r>
      <w:r w:rsidRPr="00897B1B">
        <w:rPr>
          <w:rFonts w:cstheme="minorHAnsi"/>
        </w:rPr>
        <w:t xml:space="preserve"> narrative reviews </w:t>
      </w:r>
      <w:r>
        <w:rPr>
          <w:rFonts w:cstheme="minorHAnsi"/>
        </w:rPr>
        <w:t>(all were screened for relevant primary studies).</w:t>
      </w:r>
    </w:p>
    <w:p w14:paraId="07A5BAA6" w14:textId="55A9A6D8" w:rsidR="001616E7" w:rsidRDefault="001616E7" w:rsidP="007501B9">
      <w:r w:rsidRPr="002A46AF">
        <w:t>The application of the study selection criteria included in the PRISMA checklist was used to guide reporting</w:t>
      </w:r>
      <w:r w:rsidR="00C86345">
        <w:t>.</w:t>
      </w:r>
      <w:r>
        <w:t xml:space="preserve"> </w:t>
      </w:r>
      <w:r>
        <w:fldChar w:fldCharType="begin"/>
      </w:r>
      <w:r w:rsidR="00C86345">
        <w:instrText xml:space="preserve"> ADDIN EN.CITE &lt;EndNote&gt;&lt;Cite&gt;&lt;Author&gt;Liberati&lt;/Author&gt;&lt;Year&gt;2009&lt;/Year&gt;&lt;RecNum&gt;78&lt;/RecNum&gt;&lt;DisplayText&gt;(19)&lt;/DisplayText&gt;&lt;record&gt;&lt;rec-number&gt;78&lt;/rec-number&gt;&lt;foreign-keys&gt;&lt;key app="EN" db-id="9s5z5ped05vxdnede99vfsxhtzavzdzs2d5r" timestamp="1616566316"&gt;78&lt;/key&gt;&lt;/foreign-keys&gt;&lt;ref-type name="Journal Article"&gt;17&lt;/ref-type&gt;&lt;contributors&gt;&lt;authors&gt;&lt;author&gt;Liberati, Alessandro&lt;/author&gt;&lt;author&gt;Altman, Douglas G&lt;/author&gt;&lt;author&gt;Tetzlaff, Jennifer&lt;/author&gt;&lt;author&gt;Mulrow, Cynthia&lt;/author&gt;&lt;author&gt;Gøtzsche, Peter C&lt;/author&gt;&lt;author&gt;Ioannidis, John PA&lt;/author&gt;&lt;author&gt;Clarke, Mike&lt;/author&gt;&lt;author&gt;Devereaux, Philip J&lt;/author&gt;&lt;author&gt;Kleijnen, Jos&lt;/author&gt;&lt;author&gt;Moher, David&lt;/author&gt;&lt;/authors&gt;&lt;/contributors&gt;&lt;titles&gt;&lt;title&gt;The PRISMA statement for reporting systematic reviews and meta-analyses of studies that evaluate health care interventions: explanation and elaboration&lt;/title&gt;&lt;secondary-title&gt;Journal of clinical epidemiology&lt;/secondary-title&gt;&lt;/titles&gt;&lt;periodical&gt;&lt;full-title&gt;Journal of clinical epidemiology&lt;/full-title&gt;&lt;/periodical&gt;&lt;pages&gt;e1-e34&lt;/pages&gt;&lt;volume&gt;62&lt;/volume&gt;&lt;number&gt;10&lt;/number&gt;&lt;dates&gt;&lt;year&gt;2009&lt;/year&gt;&lt;/dates&gt;&lt;isbn&gt;0895-4356&lt;/isbn&gt;&lt;urls&gt;&lt;/urls&gt;&lt;/record&gt;&lt;/Cite&gt;&lt;/EndNote&gt;</w:instrText>
      </w:r>
      <w:r>
        <w:fldChar w:fldCharType="separate"/>
      </w:r>
      <w:r w:rsidR="00C86345">
        <w:rPr>
          <w:noProof/>
        </w:rPr>
        <w:t>(</w:t>
      </w:r>
      <w:hyperlink w:anchor="_ENREF_19" w:tooltip="Liberati, 2009 #78" w:history="1">
        <w:r w:rsidR="00EB6EA4">
          <w:rPr>
            <w:noProof/>
          </w:rPr>
          <w:t>19</w:t>
        </w:r>
      </w:hyperlink>
      <w:r w:rsidR="00C86345">
        <w:rPr>
          <w:noProof/>
        </w:rPr>
        <w:t>)</w:t>
      </w:r>
      <w:r>
        <w:fldChar w:fldCharType="end"/>
      </w:r>
    </w:p>
    <w:tbl>
      <w:tblPr>
        <w:tblStyle w:val="ListTable3"/>
        <w:tblW w:w="5000" w:type="pct"/>
        <w:tblLook w:val="04A0" w:firstRow="1" w:lastRow="0" w:firstColumn="1" w:lastColumn="0" w:noHBand="0" w:noVBand="1"/>
        <w:tblCaption w:val="Application of PRISMA selection criteria"/>
        <w:tblDescription w:val="Application of PRISMA selection criteria"/>
      </w:tblPr>
      <w:tblGrid>
        <w:gridCol w:w="1750"/>
        <w:gridCol w:w="1217"/>
        <w:gridCol w:w="439"/>
        <w:gridCol w:w="3826"/>
        <w:gridCol w:w="1784"/>
      </w:tblGrid>
      <w:tr w:rsidR="006056B9" w:rsidRPr="0033621F" w14:paraId="65E6C197" w14:textId="77777777" w:rsidTr="0033621F">
        <w:trPr>
          <w:cnfStyle w:val="100000000000" w:firstRow="1" w:lastRow="0" w:firstColumn="0" w:lastColumn="0" w:oddVBand="0" w:evenVBand="0" w:oddHBand="0" w:evenHBand="0" w:firstRowFirstColumn="0" w:firstRowLastColumn="0" w:lastRowFirstColumn="0" w:lastRowLastColumn="0"/>
          <w:trHeight w:val="392"/>
          <w:tblHeader/>
        </w:trPr>
        <w:tc>
          <w:tcPr>
            <w:cnfStyle w:val="001000000100" w:firstRow="0" w:lastRow="0" w:firstColumn="1" w:lastColumn="0" w:oddVBand="0" w:evenVBand="0" w:oddHBand="0" w:evenHBand="0" w:firstRowFirstColumn="1" w:firstRowLastColumn="0" w:lastRowFirstColumn="0" w:lastRowLastColumn="0"/>
            <w:tcW w:w="794" w:type="pct"/>
          </w:tcPr>
          <w:p w14:paraId="6BB2D72E" w14:textId="77777777" w:rsidR="006056B9" w:rsidRPr="0033621F" w:rsidRDefault="006056B9" w:rsidP="0033621F">
            <w:pPr>
              <w:pStyle w:val="TableHeader"/>
              <w:rPr>
                <w:b/>
                <w:bCs w:val="0"/>
              </w:rPr>
            </w:pPr>
            <w:r w:rsidRPr="0033621F">
              <w:rPr>
                <w:b/>
                <w:bCs w:val="0"/>
              </w:rPr>
              <w:t xml:space="preserve">Section </w:t>
            </w:r>
          </w:p>
        </w:tc>
        <w:tc>
          <w:tcPr>
            <w:tcW w:w="604" w:type="pct"/>
          </w:tcPr>
          <w:p w14:paraId="46F5F5A6" w14:textId="77777777" w:rsidR="006056B9" w:rsidRPr="0033621F" w:rsidRDefault="006056B9" w:rsidP="0033621F">
            <w:pPr>
              <w:pStyle w:val="TableHeader"/>
              <w:cnfStyle w:val="100000000000" w:firstRow="1" w:lastRow="0" w:firstColumn="0" w:lastColumn="0" w:oddVBand="0" w:evenVBand="0" w:oddHBand="0" w:evenHBand="0" w:firstRowFirstColumn="0" w:firstRowLastColumn="0" w:lastRowFirstColumn="0" w:lastRowLastColumn="0"/>
              <w:rPr>
                <w:b/>
                <w:bCs w:val="0"/>
              </w:rPr>
            </w:pPr>
            <w:r w:rsidRPr="0033621F">
              <w:rPr>
                <w:b/>
                <w:bCs w:val="0"/>
              </w:rPr>
              <w:t>Topic</w:t>
            </w:r>
          </w:p>
        </w:tc>
        <w:tc>
          <w:tcPr>
            <w:tcW w:w="210" w:type="pct"/>
          </w:tcPr>
          <w:p w14:paraId="64DDB78C" w14:textId="77777777" w:rsidR="006056B9" w:rsidRPr="0033621F" w:rsidRDefault="006056B9" w:rsidP="0033621F">
            <w:pPr>
              <w:pStyle w:val="TableHeader"/>
              <w:cnfStyle w:val="100000000000" w:firstRow="1" w:lastRow="0" w:firstColumn="0" w:lastColumn="0" w:oddVBand="0" w:evenVBand="0" w:oddHBand="0" w:evenHBand="0" w:firstRowFirstColumn="0" w:firstRowLastColumn="0" w:lastRowFirstColumn="0" w:lastRowLastColumn="0"/>
              <w:rPr>
                <w:b/>
                <w:bCs w:val="0"/>
              </w:rPr>
            </w:pPr>
            <w:r w:rsidRPr="0033621F">
              <w:rPr>
                <w:b/>
                <w:bCs w:val="0"/>
              </w:rPr>
              <w:t>#</w:t>
            </w:r>
          </w:p>
        </w:tc>
        <w:tc>
          <w:tcPr>
            <w:tcW w:w="2372" w:type="pct"/>
          </w:tcPr>
          <w:p w14:paraId="28D75253" w14:textId="77777777" w:rsidR="006056B9" w:rsidRPr="0033621F" w:rsidRDefault="006056B9" w:rsidP="0033621F">
            <w:pPr>
              <w:pStyle w:val="TableHeader"/>
              <w:cnfStyle w:val="100000000000" w:firstRow="1" w:lastRow="0" w:firstColumn="0" w:lastColumn="0" w:oddVBand="0" w:evenVBand="0" w:oddHBand="0" w:evenHBand="0" w:firstRowFirstColumn="0" w:firstRowLastColumn="0" w:lastRowFirstColumn="0" w:lastRowLastColumn="0"/>
              <w:rPr>
                <w:b/>
                <w:bCs w:val="0"/>
              </w:rPr>
            </w:pPr>
            <w:r w:rsidRPr="0033621F">
              <w:rPr>
                <w:b/>
                <w:bCs w:val="0"/>
              </w:rPr>
              <w:t xml:space="preserve">Checklist item </w:t>
            </w:r>
          </w:p>
        </w:tc>
        <w:tc>
          <w:tcPr>
            <w:tcW w:w="1020" w:type="pct"/>
          </w:tcPr>
          <w:p w14:paraId="677DF32C" w14:textId="77777777" w:rsidR="006056B9" w:rsidRPr="0033621F" w:rsidRDefault="006056B9" w:rsidP="0033621F">
            <w:pPr>
              <w:pStyle w:val="TableHeader"/>
              <w:cnfStyle w:val="100000000000" w:firstRow="1" w:lastRow="0" w:firstColumn="0" w:lastColumn="0" w:oddVBand="0" w:evenVBand="0" w:oddHBand="0" w:evenHBand="0" w:firstRowFirstColumn="0" w:firstRowLastColumn="0" w:lastRowFirstColumn="0" w:lastRowLastColumn="0"/>
              <w:rPr>
                <w:b/>
                <w:bCs w:val="0"/>
              </w:rPr>
            </w:pPr>
            <w:r w:rsidRPr="0033621F">
              <w:rPr>
                <w:b/>
                <w:bCs w:val="0"/>
              </w:rPr>
              <w:t xml:space="preserve">Reported on page # </w:t>
            </w:r>
          </w:p>
        </w:tc>
      </w:tr>
      <w:tr w:rsidR="006056B9" w:rsidRPr="005C6A83" w14:paraId="7FA156FE" w14:textId="77777777" w:rsidTr="0033621F">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794" w:type="pct"/>
          </w:tcPr>
          <w:p w14:paraId="609D9931" w14:textId="77777777" w:rsidR="006056B9" w:rsidRPr="005C6A83" w:rsidRDefault="006056B9" w:rsidP="0033621F">
            <w:pPr>
              <w:pStyle w:val="Tabletext1"/>
            </w:pPr>
            <w:r w:rsidRPr="005C6A83">
              <w:t>TITLE</w:t>
            </w:r>
          </w:p>
        </w:tc>
        <w:tc>
          <w:tcPr>
            <w:tcW w:w="604" w:type="pct"/>
          </w:tcPr>
          <w:p w14:paraId="190AD6C1" w14:textId="77777777" w:rsidR="006056B9" w:rsidRPr="005C6A83" w:rsidRDefault="006056B9" w:rsidP="0033621F">
            <w:pPr>
              <w:pStyle w:val="Tabletext1"/>
              <w:cnfStyle w:val="000000100000" w:firstRow="0" w:lastRow="0" w:firstColumn="0" w:lastColumn="0" w:oddVBand="0" w:evenVBand="0" w:oddHBand="1" w:evenHBand="0" w:firstRowFirstColumn="0" w:firstRowLastColumn="0" w:lastRowFirstColumn="0" w:lastRowLastColumn="0"/>
            </w:pPr>
            <w:r w:rsidRPr="005C6A83">
              <w:t>Title</w:t>
            </w:r>
          </w:p>
        </w:tc>
        <w:tc>
          <w:tcPr>
            <w:tcW w:w="210" w:type="pct"/>
          </w:tcPr>
          <w:p w14:paraId="4FDD5772" w14:textId="77777777" w:rsidR="006056B9" w:rsidRPr="005C6A83" w:rsidRDefault="006056B9" w:rsidP="0033621F">
            <w:pPr>
              <w:pStyle w:val="Tabletext1"/>
              <w:cnfStyle w:val="000000100000" w:firstRow="0" w:lastRow="0" w:firstColumn="0" w:lastColumn="0" w:oddVBand="0" w:evenVBand="0" w:oddHBand="1" w:evenHBand="0" w:firstRowFirstColumn="0" w:firstRowLastColumn="0" w:lastRowFirstColumn="0" w:lastRowLastColumn="0"/>
            </w:pPr>
            <w:r w:rsidRPr="005C6A83">
              <w:t>1</w:t>
            </w:r>
          </w:p>
        </w:tc>
        <w:tc>
          <w:tcPr>
            <w:tcW w:w="2372" w:type="pct"/>
          </w:tcPr>
          <w:p w14:paraId="79708621" w14:textId="77777777" w:rsidR="006056B9" w:rsidRPr="005C6A83" w:rsidRDefault="006056B9" w:rsidP="0033621F">
            <w:pPr>
              <w:pStyle w:val="Tabletext1"/>
              <w:cnfStyle w:val="000000100000" w:firstRow="0" w:lastRow="0" w:firstColumn="0" w:lastColumn="0" w:oddVBand="0" w:evenVBand="0" w:oddHBand="1" w:evenHBand="0" w:firstRowFirstColumn="0" w:firstRowLastColumn="0" w:lastRowFirstColumn="0" w:lastRowLastColumn="0"/>
            </w:pPr>
            <w:r w:rsidRPr="005C6A83">
              <w:t xml:space="preserve">Identify the report as a systematic review, meta-analysis, or both. </w:t>
            </w:r>
          </w:p>
        </w:tc>
        <w:tc>
          <w:tcPr>
            <w:tcW w:w="1020" w:type="pct"/>
          </w:tcPr>
          <w:p w14:paraId="6CD69865" w14:textId="77777777" w:rsidR="006056B9" w:rsidRPr="005C6A83" w:rsidRDefault="006056B9" w:rsidP="0033621F">
            <w:pPr>
              <w:pStyle w:val="Tabletext1"/>
              <w:cnfStyle w:val="000000100000" w:firstRow="0" w:lastRow="0" w:firstColumn="0" w:lastColumn="0" w:oddVBand="0" w:evenVBand="0" w:oddHBand="1" w:evenHBand="0" w:firstRowFirstColumn="0" w:firstRowLastColumn="0" w:lastRowFirstColumn="0" w:lastRowLastColumn="0"/>
            </w:pPr>
            <w:r w:rsidRPr="005C6A83">
              <w:t>Title/page 1</w:t>
            </w:r>
          </w:p>
        </w:tc>
      </w:tr>
      <w:tr w:rsidR="006056B9" w:rsidRPr="005C6A83" w14:paraId="43845B0E" w14:textId="77777777" w:rsidTr="0033621F">
        <w:trPr>
          <w:trHeight w:val="740"/>
        </w:trPr>
        <w:tc>
          <w:tcPr>
            <w:cnfStyle w:val="001000000000" w:firstRow="0" w:lastRow="0" w:firstColumn="1" w:lastColumn="0" w:oddVBand="0" w:evenVBand="0" w:oddHBand="0" w:evenHBand="0" w:firstRowFirstColumn="0" w:firstRowLastColumn="0" w:lastRowFirstColumn="0" w:lastRowLastColumn="0"/>
            <w:tcW w:w="794" w:type="pct"/>
          </w:tcPr>
          <w:p w14:paraId="6B935BA9" w14:textId="77777777" w:rsidR="006056B9" w:rsidRPr="005C6A83" w:rsidRDefault="006056B9" w:rsidP="0033621F">
            <w:pPr>
              <w:pStyle w:val="Tabletext1"/>
            </w:pPr>
            <w:r w:rsidRPr="005C6A83">
              <w:t xml:space="preserve">ABSTRACT </w:t>
            </w:r>
          </w:p>
        </w:tc>
        <w:tc>
          <w:tcPr>
            <w:tcW w:w="604" w:type="pct"/>
          </w:tcPr>
          <w:p w14:paraId="0F30594F" w14:textId="77777777" w:rsidR="006056B9" w:rsidRPr="005C6A83" w:rsidRDefault="006056B9" w:rsidP="0033621F">
            <w:pPr>
              <w:pStyle w:val="Tabletext1"/>
              <w:cnfStyle w:val="000000000000" w:firstRow="0" w:lastRow="0" w:firstColumn="0" w:lastColumn="0" w:oddVBand="0" w:evenVBand="0" w:oddHBand="0" w:evenHBand="0" w:firstRowFirstColumn="0" w:firstRowLastColumn="0" w:lastRowFirstColumn="0" w:lastRowLastColumn="0"/>
            </w:pPr>
            <w:r w:rsidRPr="005C6A83">
              <w:t>Structured summary</w:t>
            </w:r>
          </w:p>
        </w:tc>
        <w:tc>
          <w:tcPr>
            <w:tcW w:w="210" w:type="pct"/>
          </w:tcPr>
          <w:p w14:paraId="4CDEE95D" w14:textId="77777777" w:rsidR="006056B9" w:rsidRPr="005C6A83" w:rsidRDefault="006056B9" w:rsidP="0033621F">
            <w:pPr>
              <w:pStyle w:val="Tabletext1"/>
              <w:cnfStyle w:val="000000000000" w:firstRow="0" w:lastRow="0" w:firstColumn="0" w:lastColumn="0" w:oddVBand="0" w:evenVBand="0" w:oddHBand="0" w:evenHBand="0" w:firstRowFirstColumn="0" w:firstRowLastColumn="0" w:lastRowFirstColumn="0" w:lastRowLastColumn="0"/>
            </w:pPr>
            <w:r w:rsidRPr="005C6A83">
              <w:t>2</w:t>
            </w:r>
          </w:p>
        </w:tc>
        <w:tc>
          <w:tcPr>
            <w:tcW w:w="2372" w:type="pct"/>
          </w:tcPr>
          <w:p w14:paraId="1EAB816F" w14:textId="77777777" w:rsidR="006056B9" w:rsidRPr="005C6A83" w:rsidRDefault="006056B9" w:rsidP="0033621F">
            <w:pPr>
              <w:pStyle w:val="Tabletext1"/>
              <w:cnfStyle w:val="000000000000" w:firstRow="0" w:lastRow="0" w:firstColumn="0" w:lastColumn="0" w:oddVBand="0" w:evenVBand="0" w:oddHBand="0" w:evenHBand="0" w:firstRowFirstColumn="0" w:firstRowLastColumn="0" w:lastRowFirstColumn="0" w:lastRowLastColumn="0"/>
            </w:pPr>
            <w:r w:rsidRPr="005C6A83">
              <w:t xml:space="preserve">Provide a structured summary including, as applicable: background; objectives; data sources; study eligibility criteria, participants, and interventions; study appraisal and synthesis methods; results; limitations; conclusions and implications of key findings; systematic review registration number. </w:t>
            </w:r>
          </w:p>
        </w:tc>
        <w:tc>
          <w:tcPr>
            <w:tcW w:w="1020" w:type="pct"/>
          </w:tcPr>
          <w:p w14:paraId="34914156" w14:textId="77777777" w:rsidR="006056B9" w:rsidRPr="005C6A83" w:rsidRDefault="006056B9" w:rsidP="0033621F">
            <w:pPr>
              <w:pStyle w:val="Tabletext1"/>
              <w:cnfStyle w:val="000000000000" w:firstRow="0" w:lastRow="0" w:firstColumn="0" w:lastColumn="0" w:oddVBand="0" w:evenVBand="0" w:oddHBand="0" w:evenHBand="0" w:firstRowFirstColumn="0" w:firstRowLastColumn="0" w:lastRowFirstColumn="0" w:lastRowLastColumn="0"/>
            </w:pPr>
            <w:r w:rsidRPr="005C6A83">
              <w:t>Abstract/page 1</w:t>
            </w:r>
          </w:p>
        </w:tc>
      </w:tr>
      <w:tr w:rsidR="006056B9" w:rsidRPr="005C6A83" w14:paraId="15E7A64F" w14:textId="77777777" w:rsidTr="0033621F">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794" w:type="pct"/>
          </w:tcPr>
          <w:p w14:paraId="47A6079F" w14:textId="77777777" w:rsidR="006056B9" w:rsidRPr="005C6A83" w:rsidRDefault="006056B9" w:rsidP="0033621F">
            <w:pPr>
              <w:pStyle w:val="Tabletext1"/>
            </w:pPr>
            <w:r w:rsidRPr="005C6A83">
              <w:t>INTRODUCTION</w:t>
            </w:r>
          </w:p>
        </w:tc>
        <w:tc>
          <w:tcPr>
            <w:tcW w:w="604" w:type="pct"/>
          </w:tcPr>
          <w:p w14:paraId="477F28F1" w14:textId="77777777" w:rsidR="006056B9" w:rsidRPr="005C6A83" w:rsidRDefault="006056B9" w:rsidP="0033621F">
            <w:pPr>
              <w:pStyle w:val="Tabletext1"/>
              <w:cnfStyle w:val="000000100000" w:firstRow="0" w:lastRow="0" w:firstColumn="0" w:lastColumn="0" w:oddVBand="0" w:evenVBand="0" w:oddHBand="1" w:evenHBand="0" w:firstRowFirstColumn="0" w:firstRowLastColumn="0" w:lastRowFirstColumn="0" w:lastRowLastColumn="0"/>
            </w:pPr>
            <w:r w:rsidRPr="005C6A83">
              <w:t>Rationale</w:t>
            </w:r>
          </w:p>
        </w:tc>
        <w:tc>
          <w:tcPr>
            <w:tcW w:w="210" w:type="pct"/>
          </w:tcPr>
          <w:p w14:paraId="745278A5" w14:textId="77777777" w:rsidR="006056B9" w:rsidRPr="005C6A83" w:rsidRDefault="006056B9" w:rsidP="0033621F">
            <w:pPr>
              <w:pStyle w:val="Tabletext1"/>
              <w:cnfStyle w:val="000000100000" w:firstRow="0" w:lastRow="0" w:firstColumn="0" w:lastColumn="0" w:oddVBand="0" w:evenVBand="0" w:oddHBand="1" w:evenHBand="0" w:firstRowFirstColumn="0" w:firstRowLastColumn="0" w:lastRowFirstColumn="0" w:lastRowLastColumn="0"/>
            </w:pPr>
            <w:r w:rsidRPr="005C6A83">
              <w:t>3</w:t>
            </w:r>
          </w:p>
        </w:tc>
        <w:tc>
          <w:tcPr>
            <w:tcW w:w="2372" w:type="pct"/>
          </w:tcPr>
          <w:p w14:paraId="1AEB3CA4" w14:textId="77777777" w:rsidR="006056B9" w:rsidRPr="005C6A83" w:rsidRDefault="006056B9" w:rsidP="0033621F">
            <w:pPr>
              <w:pStyle w:val="Tabletext1"/>
              <w:cnfStyle w:val="000000100000" w:firstRow="0" w:lastRow="0" w:firstColumn="0" w:lastColumn="0" w:oddVBand="0" w:evenVBand="0" w:oddHBand="1" w:evenHBand="0" w:firstRowFirstColumn="0" w:firstRowLastColumn="0" w:lastRowFirstColumn="0" w:lastRowLastColumn="0"/>
            </w:pPr>
            <w:r w:rsidRPr="005C6A83">
              <w:t xml:space="preserve">Describe the rationale for the review in the context of what is already known. </w:t>
            </w:r>
          </w:p>
        </w:tc>
        <w:tc>
          <w:tcPr>
            <w:tcW w:w="1020" w:type="pct"/>
          </w:tcPr>
          <w:p w14:paraId="4D822C3B" w14:textId="77777777" w:rsidR="006056B9" w:rsidRPr="005C6A83" w:rsidRDefault="006056B9" w:rsidP="0033621F">
            <w:pPr>
              <w:pStyle w:val="Tabletext1"/>
              <w:cnfStyle w:val="000000100000" w:firstRow="0" w:lastRow="0" w:firstColumn="0" w:lastColumn="0" w:oddVBand="0" w:evenVBand="0" w:oddHBand="1" w:evenHBand="0" w:firstRowFirstColumn="0" w:firstRowLastColumn="0" w:lastRowFirstColumn="0" w:lastRowLastColumn="0"/>
            </w:pPr>
            <w:r w:rsidRPr="005C6A83">
              <w:t>Background/page 2-3</w:t>
            </w:r>
          </w:p>
        </w:tc>
      </w:tr>
      <w:tr w:rsidR="006056B9" w:rsidRPr="005C6A83" w14:paraId="231005B8" w14:textId="77777777" w:rsidTr="0033621F">
        <w:trPr>
          <w:trHeight w:val="518"/>
        </w:trPr>
        <w:tc>
          <w:tcPr>
            <w:cnfStyle w:val="001000000000" w:firstRow="0" w:lastRow="0" w:firstColumn="1" w:lastColumn="0" w:oddVBand="0" w:evenVBand="0" w:oddHBand="0" w:evenHBand="0" w:firstRowFirstColumn="0" w:firstRowLastColumn="0" w:lastRowFirstColumn="0" w:lastRowLastColumn="0"/>
            <w:tcW w:w="794" w:type="pct"/>
          </w:tcPr>
          <w:p w14:paraId="72E3D420" w14:textId="1E6A5C64" w:rsidR="006056B9" w:rsidRPr="005C6A83" w:rsidRDefault="006056B9" w:rsidP="0033621F">
            <w:pPr>
              <w:pStyle w:val="Tabletext1"/>
              <w:rPr>
                <w:rFonts w:ascii="Arial Narrow" w:hAnsi="Arial Narrow" w:cs="Arial"/>
              </w:rPr>
            </w:pPr>
          </w:p>
        </w:tc>
        <w:tc>
          <w:tcPr>
            <w:tcW w:w="604" w:type="pct"/>
          </w:tcPr>
          <w:p w14:paraId="294DCF01" w14:textId="77777777" w:rsidR="006056B9" w:rsidRPr="005C6A83" w:rsidRDefault="006056B9" w:rsidP="0033621F">
            <w:pPr>
              <w:pStyle w:val="Tabletext1"/>
              <w:cnfStyle w:val="000000000000" w:firstRow="0" w:lastRow="0" w:firstColumn="0" w:lastColumn="0" w:oddVBand="0" w:evenVBand="0" w:oddHBand="0" w:evenHBand="0" w:firstRowFirstColumn="0" w:firstRowLastColumn="0" w:lastRowFirstColumn="0" w:lastRowLastColumn="0"/>
            </w:pPr>
            <w:r w:rsidRPr="005C6A83">
              <w:t>Objectives</w:t>
            </w:r>
          </w:p>
        </w:tc>
        <w:tc>
          <w:tcPr>
            <w:tcW w:w="210" w:type="pct"/>
          </w:tcPr>
          <w:p w14:paraId="290B2B1D" w14:textId="77777777" w:rsidR="006056B9" w:rsidRPr="005C6A83" w:rsidRDefault="006056B9" w:rsidP="0033621F">
            <w:pPr>
              <w:pStyle w:val="Tabletext1"/>
              <w:cnfStyle w:val="000000000000" w:firstRow="0" w:lastRow="0" w:firstColumn="0" w:lastColumn="0" w:oddVBand="0" w:evenVBand="0" w:oddHBand="0" w:evenHBand="0" w:firstRowFirstColumn="0" w:firstRowLastColumn="0" w:lastRowFirstColumn="0" w:lastRowLastColumn="0"/>
            </w:pPr>
            <w:r w:rsidRPr="005C6A83">
              <w:t>4</w:t>
            </w:r>
          </w:p>
        </w:tc>
        <w:tc>
          <w:tcPr>
            <w:tcW w:w="2372" w:type="pct"/>
          </w:tcPr>
          <w:p w14:paraId="2C81B188" w14:textId="77777777" w:rsidR="006056B9" w:rsidRPr="005C6A83" w:rsidRDefault="006056B9" w:rsidP="0033621F">
            <w:pPr>
              <w:pStyle w:val="Tabletext1"/>
              <w:cnfStyle w:val="000000000000" w:firstRow="0" w:lastRow="0" w:firstColumn="0" w:lastColumn="0" w:oddVBand="0" w:evenVBand="0" w:oddHBand="0" w:evenHBand="0" w:firstRowFirstColumn="0" w:firstRowLastColumn="0" w:lastRowFirstColumn="0" w:lastRowLastColumn="0"/>
            </w:pPr>
            <w:r w:rsidRPr="005C6A83">
              <w:t xml:space="preserve">Provide an explicit statement of questions being addressed with reference to participants, interventions, comparisons, outcomes, and study design (PICOS). </w:t>
            </w:r>
          </w:p>
        </w:tc>
        <w:tc>
          <w:tcPr>
            <w:tcW w:w="1020" w:type="pct"/>
          </w:tcPr>
          <w:p w14:paraId="06847884" w14:textId="77777777" w:rsidR="006056B9" w:rsidRPr="005C6A83" w:rsidRDefault="006056B9" w:rsidP="0033621F">
            <w:pPr>
              <w:pStyle w:val="Tabletext1"/>
              <w:cnfStyle w:val="000000000000" w:firstRow="0" w:lastRow="0" w:firstColumn="0" w:lastColumn="0" w:oddVBand="0" w:evenVBand="0" w:oddHBand="0" w:evenHBand="0" w:firstRowFirstColumn="0" w:firstRowLastColumn="0" w:lastRowFirstColumn="0" w:lastRowLastColumn="0"/>
            </w:pPr>
            <w:r w:rsidRPr="005C6A83">
              <w:t>Last paragraph of the background section/page 3</w:t>
            </w:r>
          </w:p>
        </w:tc>
      </w:tr>
      <w:tr w:rsidR="006056B9" w:rsidRPr="005C6A83" w14:paraId="6C7EF1CB" w14:textId="77777777" w:rsidTr="0033621F">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794" w:type="pct"/>
          </w:tcPr>
          <w:p w14:paraId="38B82C4D" w14:textId="77777777" w:rsidR="006056B9" w:rsidRPr="005C6A83" w:rsidRDefault="006056B9" w:rsidP="0033621F">
            <w:pPr>
              <w:pStyle w:val="Tabletext1"/>
            </w:pPr>
            <w:r w:rsidRPr="005C6A83">
              <w:t>METHODS</w:t>
            </w:r>
          </w:p>
        </w:tc>
        <w:tc>
          <w:tcPr>
            <w:tcW w:w="604" w:type="pct"/>
          </w:tcPr>
          <w:p w14:paraId="0C885241" w14:textId="77777777" w:rsidR="006056B9" w:rsidRPr="005C6A83" w:rsidRDefault="006056B9" w:rsidP="0033621F">
            <w:pPr>
              <w:pStyle w:val="Tabletext1"/>
              <w:cnfStyle w:val="000000100000" w:firstRow="0" w:lastRow="0" w:firstColumn="0" w:lastColumn="0" w:oddVBand="0" w:evenVBand="0" w:oddHBand="1" w:evenHBand="0" w:firstRowFirstColumn="0" w:firstRowLastColumn="0" w:lastRowFirstColumn="0" w:lastRowLastColumn="0"/>
            </w:pPr>
            <w:r w:rsidRPr="005C6A83">
              <w:t xml:space="preserve">Protocol and registration </w:t>
            </w:r>
          </w:p>
        </w:tc>
        <w:tc>
          <w:tcPr>
            <w:tcW w:w="210" w:type="pct"/>
          </w:tcPr>
          <w:p w14:paraId="64C837A4" w14:textId="77777777" w:rsidR="006056B9" w:rsidRPr="005C6A83" w:rsidRDefault="006056B9" w:rsidP="0033621F">
            <w:pPr>
              <w:pStyle w:val="Tabletext1"/>
              <w:cnfStyle w:val="000000100000" w:firstRow="0" w:lastRow="0" w:firstColumn="0" w:lastColumn="0" w:oddVBand="0" w:evenVBand="0" w:oddHBand="1" w:evenHBand="0" w:firstRowFirstColumn="0" w:firstRowLastColumn="0" w:lastRowFirstColumn="0" w:lastRowLastColumn="0"/>
            </w:pPr>
            <w:r w:rsidRPr="005C6A83">
              <w:t>5</w:t>
            </w:r>
          </w:p>
        </w:tc>
        <w:tc>
          <w:tcPr>
            <w:tcW w:w="2372" w:type="pct"/>
          </w:tcPr>
          <w:p w14:paraId="700B78F9" w14:textId="77777777" w:rsidR="006056B9" w:rsidRPr="005C6A83" w:rsidRDefault="006056B9" w:rsidP="0033621F">
            <w:pPr>
              <w:pStyle w:val="Tabletext1"/>
              <w:cnfStyle w:val="000000100000" w:firstRow="0" w:lastRow="0" w:firstColumn="0" w:lastColumn="0" w:oddVBand="0" w:evenVBand="0" w:oddHBand="1" w:evenHBand="0" w:firstRowFirstColumn="0" w:firstRowLastColumn="0" w:lastRowFirstColumn="0" w:lastRowLastColumn="0"/>
            </w:pPr>
            <w:r w:rsidRPr="005C6A83">
              <w:t xml:space="preserve">Indicate if a review protocol exists, if and where it can be accessed (e.g., Web address), and, if available, provide registration information including registration number. </w:t>
            </w:r>
          </w:p>
        </w:tc>
        <w:tc>
          <w:tcPr>
            <w:tcW w:w="1020" w:type="pct"/>
          </w:tcPr>
          <w:p w14:paraId="032CE5F7" w14:textId="77777777" w:rsidR="006056B9" w:rsidRPr="005C6A83" w:rsidRDefault="006056B9" w:rsidP="0033621F">
            <w:pPr>
              <w:pStyle w:val="Tabletext1"/>
              <w:cnfStyle w:val="000000100000" w:firstRow="0" w:lastRow="0" w:firstColumn="0" w:lastColumn="0" w:oddVBand="0" w:evenVBand="0" w:oddHBand="1" w:evenHBand="0" w:firstRowFirstColumn="0" w:firstRowLastColumn="0" w:lastRowFirstColumn="0" w:lastRowLastColumn="0"/>
            </w:pPr>
            <w:r w:rsidRPr="005C6A83">
              <w:t>First paragraph of method section/page 4</w:t>
            </w:r>
          </w:p>
        </w:tc>
      </w:tr>
      <w:tr w:rsidR="006056B9" w:rsidRPr="005C6A83" w14:paraId="444EF6D8" w14:textId="77777777" w:rsidTr="0033621F">
        <w:trPr>
          <w:trHeight w:val="528"/>
        </w:trPr>
        <w:tc>
          <w:tcPr>
            <w:cnfStyle w:val="001000000000" w:firstRow="0" w:lastRow="0" w:firstColumn="1" w:lastColumn="0" w:oddVBand="0" w:evenVBand="0" w:oddHBand="0" w:evenHBand="0" w:firstRowFirstColumn="0" w:firstRowLastColumn="0" w:lastRowFirstColumn="0" w:lastRowLastColumn="0"/>
            <w:tcW w:w="794" w:type="pct"/>
          </w:tcPr>
          <w:p w14:paraId="5D0EFA5F" w14:textId="588D3349" w:rsidR="006056B9" w:rsidRPr="005C6A83" w:rsidRDefault="006056B9" w:rsidP="0033621F">
            <w:pPr>
              <w:pStyle w:val="Tabletext1"/>
              <w:rPr>
                <w:rFonts w:ascii="Arial Narrow" w:hAnsi="Arial Narrow" w:cs="Arial"/>
              </w:rPr>
            </w:pPr>
          </w:p>
        </w:tc>
        <w:tc>
          <w:tcPr>
            <w:tcW w:w="604" w:type="pct"/>
          </w:tcPr>
          <w:p w14:paraId="22A80892" w14:textId="77777777" w:rsidR="006056B9" w:rsidRPr="005C6A83" w:rsidRDefault="006056B9" w:rsidP="0033621F">
            <w:pPr>
              <w:pStyle w:val="Tabletext1"/>
              <w:cnfStyle w:val="000000000000" w:firstRow="0" w:lastRow="0" w:firstColumn="0" w:lastColumn="0" w:oddVBand="0" w:evenVBand="0" w:oddHBand="0" w:evenHBand="0" w:firstRowFirstColumn="0" w:firstRowLastColumn="0" w:lastRowFirstColumn="0" w:lastRowLastColumn="0"/>
            </w:pPr>
            <w:r w:rsidRPr="005C6A83">
              <w:t xml:space="preserve">Eligibility criteria </w:t>
            </w:r>
          </w:p>
        </w:tc>
        <w:tc>
          <w:tcPr>
            <w:tcW w:w="210" w:type="pct"/>
          </w:tcPr>
          <w:p w14:paraId="235D9EC2" w14:textId="77777777" w:rsidR="006056B9" w:rsidRPr="005C6A83" w:rsidRDefault="006056B9" w:rsidP="0033621F">
            <w:pPr>
              <w:pStyle w:val="Tabletext1"/>
              <w:cnfStyle w:val="000000000000" w:firstRow="0" w:lastRow="0" w:firstColumn="0" w:lastColumn="0" w:oddVBand="0" w:evenVBand="0" w:oddHBand="0" w:evenHBand="0" w:firstRowFirstColumn="0" w:firstRowLastColumn="0" w:lastRowFirstColumn="0" w:lastRowLastColumn="0"/>
            </w:pPr>
            <w:r w:rsidRPr="005C6A83">
              <w:t>6</w:t>
            </w:r>
          </w:p>
        </w:tc>
        <w:tc>
          <w:tcPr>
            <w:tcW w:w="2372" w:type="pct"/>
          </w:tcPr>
          <w:p w14:paraId="59A04A86" w14:textId="77777777" w:rsidR="006056B9" w:rsidRPr="005C6A83" w:rsidRDefault="006056B9" w:rsidP="0033621F">
            <w:pPr>
              <w:pStyle w:val="Tabletext1"/>
              <w:cnfStyle w:val="000000000000" w:firstRow="0" w:lastRow="0" w:firstColumn="0" w:lastColumn="0" w:oddVBand="0" w:evenVBand="0" w:oddHBand="0" w:evenHBand="0" w:firstRowFirstColumn="0" w:firstRowLastColumn="0" w:lastRowFirstColumn="0" w:lastRowLastColumn="0"/>
            </w:pPr>
            <w:r w:rsidRPr="005C6A83">
              <w:t xml:space="preserve">Specify study characteristics (e.g., PICOS, length of follow-up) and report characteristics (e.g., years considered, language, publication status) used as criteria for eligibility, giving rationale. </w:t>
            </w:r>
          </w:p>
        </w:tc>
        <w:tc>
          <w:tcPr>
            <w:tcW w:w="1020" w:type="pct"/>
          </w:tcPr>
          <w:p w14:paraId="7557CC8B" w14:textId="77777777" w:rsidR="006056B9" w:rsidRPr="005C6A83" w:rsidRDefault="006056B9" w:rsidP="0033621F">
            <w:pPr>
              <w:pStyle w:val="Tabletext1"/>
              <w:cnfStyle w:val="000000000000" w:firstRow="0" w:lastRow="0" w:firstColumn="0" w:lastColumn="0" w:oddVBand="0" w:evenVBand="0" w:oddHBand="0" w:evenHBand="0" w:firstRowFirstColumn="0" w:firstRowLastColumn="0" w:lastRowFirstColumn="0" w:lastRowLastColumn="0"/>
            </w:pPr>
            <w:r w:rsidRPr="005C6A83">
              <w:t>Methods: Study Selection /page 4</w:t>
            </w:r>
          </w:p>
        </w:tc>
      </w:tr>
      <w:tr w:rsidR="006056B9" w:rsidRPr="005C6A83" w14:paraId="5B4B63F1" w14:textId="77777777" w:rsidTr="0033621F">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794" w:type="pct"/>
          </w:tcPr>
          <w:p w14:paraId="24608A2C" w14:textId="3BF568D0" w:rsidR="006056B9" w:rsidRPr="005C6A83" w:rsidRDefault="006056B9" w:rsidP="0033621F">
            <w:pPr>
              <w:pStyle w:val="Tabletext1"/>
              <w:rPr>
                <w:rFonts w:ascii="Arial Narrow" w:hAnsi="Arial Narrow" w:cs="Arial"/>
              </w:rPr>
            </w:pPr>
          </w:p>
        </w:tc>
        <w:tc>
          <w:tcPr>
            <w:tcW w:w="604" w:type="pct"/>
          </w:tcPr>
          <w:p w14:paraId="26A17B53" w14:textId="77777777" w:rsidR="006056B9" w:rsidRPr="005C6A83" w:rsidRDefault="006056B9" w:rsidP="0033621F">
            <w:pPr>
              <w:pStyle w:val="Tabletext1"/>
              <w:cnfStyle w:val="000000100000" w:firstRow="0" w:lastRow="0" w:firstColumn="0" w:lastColumn="0" w:oddVBand="0" w:evenVBand="0" w:oddHBand="1" w:evenHBand="0" w:firstRowFirstColumn="0" w:firstRowLastColumn="0" w:lastRowFirstColumn="0" w:lastRowLastColumn="0"/>
            </w:pPr>
            <w:r w:rsidRPr="005C6A83">
              <w:t xml:space="preserve">Information sources </w:t>
            </w:r>
          </w:p>
        </w:tc>
        <w:tc>
          <w:tcPr>
            <w:tcW w:w="210" w:type="pct"/>
          </w:tcPr>
          <w:p w14:paraId="1C04E19E" w14:textId="77777777" w:rsidR="006056B9" w:rsidRPr="005C6A83" w:rsidRDefault="006056B9" w:rsidP="0033621F">
            <w:pPr>
              <w:pStyle w:val="Tabletext1"/>
              <w:cnfStyle w:val="000000100000" w:firstRow="0" w:lastRow="0" w:firstColumn="0" w:lastColumn="0" w:oddVBand="0" w:evenVBand="0" w:oddHBand="1" w:evenHBand="0" w:firstRowFirstColumn="0" w:firstRowLastColumn="0" w:lastRowFirstColumn="0" w:lastRowLastColumn="0"/>
            </w:pPr>
            <w:r w:rsidRPr="005C6A83">
              <w:t>7</w:t>
            </w:r>
          </w:p>
        </w:tc>
        <w:tc>
          <w:tcPr>
            <w:tcW w:w="2372" w:type="pct"/>
          </w:tcPr>
          <w:p w14:paraId="0250224D" w14:textId="77777777" w:rsidR="006056B9" w:rsidRPr="005C6A83" w:rsidRDefault="006056B9" w:rsidP="0033621F">
            <w:pPr>
              <w:pStyle w:val="Tabletext1"/>
              <w:cnfStyle w:val="000000100000" w:firstRow="0" w:lastRow="0" w:firstColumn="0" w:lastColumn="0" w:oddVBand="0" w:evenVBand="0" w:oddHBand="1" w:evenHBand="0" w:firstRowFirstColumn="0" w:firstRowLastColumn="0" w:lastRowFirstColumn="0" w:lastRowLastColumn="0"/>
            </w:pPr>
            <w:r w:rsidRPr="005C6A83">
              <w:t xml:space="preserve">Describe all information sources (e.g., databases with dates of coverage, contact with study authors to identify additional studies) in the search and date last searched. </w:t>
            </w:r>
          </w:p>
        </w:tc>
        <w:tc>
          <w:tcPr>
            <w:tcW w:w="1020" w:type="pct"/>
          </w:tcPr>
          <w:p w14:paraId="5740846A" w14:textId="77777777" w:rsidR="006056B9" w:rsidRPr="005C6A83" w:rsidRDefault="006056B9" w:rsidP="0033621F">
            <w:pPr>
              <w:pStyle w:val="Tabletext1"/>
              <w:cnfStyle w:val="000000100000" w:firstRow="0" w:lastRow="0" w:firstColumn="0" w:lastColumn="0" w:oddVBand="0" w:evenVBand="0" w:oddHBand="1" w:evenHBand="0" w:firstRowFirstColumn="0" w:firstRowLastColumn="0" w:lastRowFirstColumn="0" w:lastRowLastColumn="0"/>
            </w:pPr>
            <w:r w:rsidRPr="005C6A83">
              <w:t>-Methods: Data sources &amp;search strategy section/page 4</w:t>
            </w:r>
          </w:p>
          <w:p w14:paraId="6124C94C" w14:textId="77777777" w:rsidR="006056B9" w:rsidRPr="005C6A83" w:rsidRDefault="006056B9" w:rsidP="0033621F">
            <w:pPr>
              <w:pStyle w:val="Tabletext1"/>
              <w:cnfStyle w:val="000000100000" w:firstRow="0" w:lastRow="0" w:firstColumn="0" w:lastColumn="0" w:oddVBand="0" w:evenVBand="0" w:oddHBand="1" w:evenHBand="0" w:firstRowFirstColumn="0" w:firstRowLastColumn="0" w:lastRowFirstColumn="0" w:lastRowLastColumn="0"/>
            </w:pPr>
            <w:r w:rsidRPr="005C6A83">
              <w:t>-Search Strategy, Additional file 2.</w:t>
            </w:r>
          </w:p>
        </w:tc>
      </w:tr>
      <w:tr w:rsidR="006056B9" w:rsidRPr="005C6A83" w14:paraId="3D6AE469" w14:textId="77777777" w:rsidTr="0033621F">
        <w:trPr>
          <w:trHeight w:val="528"/>
        </w:trPr>
        <w:tc>
          <w:tcPr>
            <w:cnfStyle w:val="001000000000" w:firstRow="0" w:lastRow="0" w:firstColumn="1" w:lastColumn="0" w:oddVBand="0" w:evenVBand="0" w:oddHBand="0" w:evenHBand="0" w:firstRowFirstColumn="0" w:firstRowLastColumn="0" w:lastRowFirstColumn="0" w:lastRowLastColumn="0"/>
            <w:tcW w:w="794" w:type="pct"/>
          </w:tcPr>
          <w:p w14:paraId="7645EDA3" w14:textId="50C2BF9D" w:rsidR="006056B9" w:rsidRPr="005C6A83" w:rsidRDefault="006056B9" w:rsidP="0033621F">
            <w:pPr>
              <w:pStyle w:val="Tabletext1"/>
              <w:rPr>
                <w:rFonts w:ascii="Arial Narrow" w:hAnsi="Arial Narrow" w:cs="Arial"/>
              </w:rPr>
            </w:pPr>
          </w:p>
        </w:tc>
        <w:tc>
          <w:tcPr>
            <w:tcW w:w="604" w:type="pct"/>
          </w:tcPr>
          <w:p w14:paraId="73BA854A" w14:textId="77777777" w:rsidR="006056B9" w:rsidRPr="005C6A83" w:rsidRDefault="006056B9" w:rsidP="0033621F">
            <w:pPr>
              <w:pStyle w:val="Tabletext1"/>
              <w:cnfStyle w:val="000000000000" w:firstRow="0" w:lastRow="0" w:firstColumn="0" w:lastColumn="0" w:oddVBand="0" w:evenVBand="0" w:oddHBand="0" w:evenHBand="0" w:firstRowFirstColumn="0" w:firstRowLastColumn="0" w:lastRowFirstColumn="0" w:lastRowLastColumn="0"/>
            </w:pPr>
            <w:r w:rsidRPr="005C6A83">
              <w:t xml:space="preserve">Search </w:t>
            </w:r>
          </w:p>
        </w:tc>
        <w:tc>
          <w:tcPr>
            <w:tcW w:w="210" w:type="pct"/>
          </w:tcPr>
          <w:p w14:paraId="55986A7B" w14:textId="77777777" w:rsidR="006056B9" w:rsidRPr="005C6A83" w:rsidRDefault="006056B9" w:rsidP="0033621F">
            <w:pPr>
              <w:pStyle w:val="Tabletext1"/>
              <w:cnfStyle w:val="000000000000" w:firstRow="0" w:lastRow="0" w:firstColumn="0" w:lastColumn="0" w:oddVBand="0" w:evenVBand="0" w:oddHBand="0" w:evenHBand="0" w:firstRowFirstColumn="0" w:firstRowLastColumn="0" w:lastRowFirstColumn="0" w:lastRowLastColumn="0"/>
            </w:pPr>
            <w:r w:rsidRPr="005C6A83">
              <w:t>8</w:t>
            </w:r>
          </w:p>
        </w:tc>
        <w:tc>
          <w:tcPr>
            <w:tcW w:w="2372" w:type="pct"/>
          </w:tcPr>
          <w:p w14:paraId="5339E19A" w14:textId="77777777" w:rsidR="006056B9" w:rsidRPr="005C6A83" w:rsidRDefault="006056B9" w:rsidP="0033621F">
            <w:pPr>
              <w:pStyle w:val="Tabletext1"/>
              <w:cnfStyle w:val="000000000000" w:firstRow="0" w:lastRow="0" w:firstColumn="0" w:lastColumn="0" w:oddVBand="0" w:evenVBand="0" w:oddHBand="0" w:evenHBand="0" w:firstRowFirstColumn="0" w:firstRowLastColumn="0" w:lastRowFirstColumn="0" w:lastRowLastColumn="0"/>
            </w:pPr>
            <w:r w:rsidRPr="005C6A83">
              <w:t xml:space="preserve">Present full electronic search strategy for at least one database, including any limits used, such that it could be repeated. </w:t>
            </w:r>
          </w:p>
        </w:tc>
        <w:tc>
          <w:tcPr>
            <w:tcW w:w="1020" w:type="pct"/>
          </w:tcPr>
          <w:p w14:paraId="6E90A084" w14:textId="77777777" w:rsidR="006056B9" w:rsidRPr="005C6A83" w:rsidRDefault="006056B9" w:rsidP="0033621F">
            <w:pPr>
              <w:pStyle w:val="Tabletext1"/>
              <w:cnfStyle w:val="000000000000" w:firstRow="0" w:lastRow="0" w:firstColumn="0" w:lastColumn="0" w:oddVBand="0" w:evenVBand="0" w:oddHBand="0" w:evenHBand="0" w:firstRowFirstColumn="0" w:firstRowLastColumn="0" w:lastRowFirstColumn="0" w:lastRowLastColumn="0"/>
            </w:pPr>
            <w:r w:rsidRPr="005C6A83">
              <w:t>Search Strategy, Additional file 2.</w:t>
            </w:r>
          </w:p>
        </w:tc>
      </w:tr>
      <w:tr w:rsidR="006056B9" w:rsidRPr="005C6A83" w14:paraId="32AADAE4" w14:textId="77777777" w:rsidTr="0033621F">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794" w:type="pct"/>
          </w:tcPr>
          <w:p w14:paraId="48C95EBE" w14:textId="5A3DD1E2" w:rsidR="006056B9" w:rsidRPr="005C6A83" w:rsidRDefault="006056B9" w:rsidP="0033621F">
            <w:pPr>
              <w:pStyle w:val="Tabletext1"/>
              <w:rPr>
                <w:rFonts w:ascii="Arial Narrow" w:hAnsi="Arial Narrow" w:cs="Arial"/>
              </w:rPr>
            </w:pPr>
          </w:p>
        </w:tc>
        <w:tc>
          <w:tcPr>
            <w:tcW w:w="604" w:type="pct"/>
          </w:tcPr>
          <w:p w14:paraId="70448D9D" w14:textId="77777777" w:rsidR="006056B9" w:rsidRPr="005C6A83" w:rsidRDefault="006056B9" w:rsidP="0033621F">
            <w:pPr>
              <w:pStyle w:val="Tabletext1"/>
              <w:cnfStyle w:val="000000100000" w:firstRow="0" w:lastRow="0" w:firstColumn="0" w:lastColumn="0" w:oddVBand="0" w:evenVBand="0" w:oddHBand="1" w:evenHBand="0" w:firstRowFirstColumn="0" w:firstRowLastColumn="0" w:lastRowFirstColumn="0" w:lastRowLastColumn="0"/>
            </w:pPr>
            <w:r w:rsidRPr="005C6A83">
              <w:t xml:space="preserve">Study selection </w:t>
            </w:r>
          </w:p>
        </w:tc>
        <w:tc>
          <w:tcPr>
            <w:tcW w:w="210" w:type="pct"/>
          </w:tcPr>
          <w:p w14:paraId="10F9C423" w14:textId="77777777" w:rsidR="006056B9" w:rsidRPr="005C6A83" w:rsidRDefault="006056B9" w:rsidP="0033621F">
            <w:pPr>
              <w:pStyle w:val="Tabletext1"/>
              <w:cnfStyle w:val="000000100000" w:firstRow="0" w:lastRow="0" w:firstColumn="0" w:lastColumn="0" w:oddVBand="0" w:evenVBand="0" w:oddHBand="1" w:evenHBand="0" w:firstRowFirstColumn="0" w:firstRowLastColumn="0" w:lastRowFirstColumn="0" w:lastRowLastColumn="0"/>
            </w:pPr>
            <w:r w:rsidRPr="005C6A83">
              <w:t>9</w:t>
            </w:r>
          </w:p>
        </w:tc>
        <w:tc>
          <w:tcPr>
            <w:tcW w:w="2372" w:type="pct"/>
          </w:tcPr>
          <w:p w14:paraId="58E62F2E" w14:textId="77777777" w:rsidR="006056B9" w:rsidRPr="005C6A83" w:rsidRDefault="006056B9" w:rsidP="0033621F">
            <w:pPr>
              <w:pStyle w:val="Tabletext1"/>
              <w:cnfStyle w:val="000000100000" w:firstRow="0" w:lastRow="0" w:firstColumn="0" w:lastColumn="0" w:oddVBand="0" w:evenVBand="0" w:oddHBand="1" w:evenHBand="0" w:firstRowFirstColumn="0" w:firstRowLastColumn="0" w:lastRowFirstColumn="0" w:lastRowLastColumn="0"/>
            </w:pPr>
            <w:r w:rsidRPr="005C6A83">
              <w:t xml:space="preserve">State the process for selecting studies (i.e., screening, eligibility, included in systematic review, and, if applicable, included in the meta-analysis). </w:t>
            </w:r>
          </w:p>
        </w:tc>
        <w:tc>
          <w:tcPr>
            <w:tcW w:w="1020" w:type="pct"/>
          </w:tcPr>
          <w:p w14:paraId="11ACE7F5" w14:textId="77777777" w:rsidR="006056B9" w:rsidRPr="005C6A83" w:rsidRDefault="006056B9" w:rsidP="0033621F">
            <w:pPr>
              <w:pStyle w:val="Tabletext1"/>
              <w:cnfStyle w:val="000000100000" w:firstRow="0" w:lastRow="0" w:firstColumn="0" w:lastColumn="0" w:oddVBand="0" w:evenVBand="0" w:oddHBand="1" w:evenHBand="0" w:firstRowFirstColumn="0" w:firstRowLastColumn="0" w:lastRowFirstColumn="0" w:lastRowLastColumn="0"/>
            </w:pPr>
            <w:r w:rsidRPr="005C6A83">
              <w:t>-Methods: Study selection Page 4</w:t>
            </w:r>
          </w:p>
          <w:p w14:paraId="314B593A" w14:textId="77777777" w:rsidR="006056B9" w:rsidRPr="005C6A83" w:rsidRDefault="006056B9" w:rsidP="0033621F">
            <w:pPr>
              <w:pStyle w:val="Tabletext1"/>
              <w:cnfStyle w:val="000000100000" w:firstRow="0" w:lastRow="0" w:firstColumn="0" w:lastColumn="0" w:oddVBand="0" w:evenVBand="0" w:oddHBand="1" w:evenHBand="0" w:firstRowFirstColumn="0" w:firstRowLastColumn="0" w:lastRowFirstColumn="0" w:lastRowLastColumn="0"/>
            </w:pPr>
            <w:r w:rsidRPr="005C6A83">
              <w:t>-Results: Figure1/page 6.</w:t>
            </w:r>
          </w:p>
        </w:tc>
      </w:tr>
      <w:tr w:rsidR="006056B9" w:rsidRPr="005C6A83" w14:paraId="3E0EEBA7" w14:textId="77777777" w:rsidTr="0033621F">
        <w:trPr>
          <w:trHeight w:val="528"/>
        </w:trPr>
        <w:tc>
          <w:tcPr>
            <w:cnfStyle w:val="001000000000" w:firstRow="0" w:lastRow="0" w:firstColumn="1" w:lastColumn="0" w:oddVBand="0" w:evenVBand="0" w:oddHBand="0" w:evenHBand="0" w:firstRowFirstColumn="0" w:firstRowLastColumn="0" w:lastRowFirstColumn="0" w:lastRowLastColumn="0"/>
            <w:tcW w:w="794" w:type="pct"/>
          </w:tcPr>
          <w:p w14:paraId="5F9C27FB" w14:textId="34C7A4E5" w:rsidR="006056B9" w:rsidRPr="005C6A83" w:rsidRDefault="006056B9" w:rsidP="0033621F">
            <w:pPr>
              <w:pStyle w:val="Tabletext1"/>
              <w:rPr>
                <w:rFonts w:ascii="Arial Narrow" w:hAnsi="Arial Narrow" w:cs="Arial"/>
              </w:rPr>
            </w:pPr>
          </w:p>
        </w:tc>
        <w:tc>
          <w:tcPr>
            <w:tcW w:w="604" w:type="pct"/>
          </w:tcPr>
          <w:p w14:paraId="04B6A925" w14:textId="77777777" w:rsidR="006056B9" w:rsidRPr="005C6A83" w:rsidRDefault="006056B9" w:rsidP="0033621F">
            <w:pPr>
              <w:pStyle w:val="Tabletext1"/>
              <w:cnfStyle w:val="000000000000" w:firstRow="0" w:lastRow="0" w:firstColumn="0" w:lastColumn="0" w:oddVBand="0" w:evenVBand="0" w:oddHBand="0" w:evenHBand="0" w:firstRowFirstColumn="0" w:firstRowLastColumn="0" w:lastRowFirstColumn="0" w:lastRowLastColumn="0"/>
            </w:pPr>
            <w:r w:rsidRPr="005C6A83">
              <w:t xml:space="preserve">Data collection process </w:t>
            </w:r>
          </w:p>
        </w:tc>
        <w:tc>
          <w:tcPr>
            <w:tcW w:w="210" w:type="pct"/>
          </w:tcPr>
          <w:p w14:paraId="6E83A590" w14:textId="77777777" w:rsidR="006056B9" w:rsidRPr="005C6A83" w:rsidRDefault="006056B9" w:rsidP="0033621F">
            <w:pPr>
              <w:pStyle w:val="Tabletext1"/>
              <w:cnfStyle w:val="000000000000" w:firstRow="0" w:lastRow="0" w:firstColumn="0" w:lastColumn="0" w:oddVBand="0" w:evenVBand="0" w:oddHBand="0" w:evenHBand="0" w:firstRowFirstColumn="0" w:firstRowLastColumn="0" w:lastRowFirstColumn="0" w:lastRowLastColumn="0"/>
            </w:pPr>
            <w:r w:rsidRPr="005C6A83">
              <w:t>10</w:t>
            </w:r>
          </w:p>
        </w:tc>
        <w:tc>
          <w:tcPr>
            <w:tcW w:w="2372" w:type="pct"/>
          </w:tcPr>
          <w:p w14:paraId="4B737D33" w14:textId="77777777" w:rsidR="006056B9" w:rsidRPr="005C6A83" w:rsidRDefault="006056B9" w:rsidP="0033621F">
            <w:pPr>
              <w:pStyle w:val="Tabletext1"/>
              <w:cnfStyle w:val="000000000000" w:firstRow="0" w:lastRow="0" w:firstColumn="0" w:lastColumn="0" w:oddVBand="0" w:evenVBand="0" w:oddHBand="0" w:evenHBand="0" w:firstRowFirstColumn="0" w:firstRowLastColumn="0" w:lastRowFirstColumn="0" w:lastRowLastColumn="0"/>
            </w:pPr>
            <w:r w:rsidRPr="005C6A83">
              <w:t xml:space="preserve">Describe method of data extraction from reports (e.g., piloted forms, independently, in duplicate) and any processes for obtaining and confirming data from investigators. </w:t>
            </w:r>
          </w:p>
        </w:tc>
        <w:tc>
          <w:tcPr>
            <w:tcW w:w="1020" w:type="pct"/>
          </w:tcPr>
          <w:p w14:paraId="2896D8FB" w14:textId="77777777" w:rsidR="006056B9" w:rsidRPr="005C6A83" w:rsidRDefault="006056B9" w:rsidP="0033621F">
            <w:pPr>
              <w:pStyle w:val="Tabletext1"/>
              <w:cnfStyle w:val="000000000000" w:firstRow="0" w:lastRow="0" w:firstColumn="0" w:lastColumn="0" w:oddVBand="0" w:evenVBand="0" w:oddHBand="0" w:evenHBand="0" w:firstRowFirstColumn="0" w:firstRowLastColumn="0" w:lastRowFirstColumn="0" w:lastRowLastColumn="0"/>
            </w:pPr>
            <w:r w:rsidRPr="005C6A83">
              <w:t>Methods: Data extraction and quality assessment/page 5</w:t>
            </w:r>
          </w:p>
        </w:tc>
      </w:tr>
      <w:tr w:rsidR="006056B9" w:rsidRPr="005C6A83" w14:paraId="30FB38A0" w14:textId="77777777" w:rsidTr="0033621F">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794" w:type="pct"/>
          </w:tcPr>
          <w:p w14:paraId="5D7330AB" w14:textId="10A9C1DE" w:rsidR="006056B9" w:rsidRPr="005C6A83" w:rsidRDefault="006056B9" w:rsidP="0033621F">
            <w:pPr>
              <w:pStyle w:val="Tabletext1"/>
              <w:rPr>
                <w:rFonts w:ascii="Arial Narrow" w:hAnsi="Arial Narrow" w:cs="Arial"/>
              </w:rPr>
            </w:pPr>
          </w:p>
        </w:tc>
        <w:tc>
          <w:tcPr>
            <w:tcW w:w="604" w:type="pct"/>
          </w:tcPr>
          <w:p w14:paraId="271F0982" w14:textId="77777777" w:rsidR="006056B9" w:rsidRPr="005C6A83" w:rsidRDefault="006056B9" w:rsidP="0033621F">
            <w:pPr>
              <w:pStyle w:val="Tabletext1"/>
              <w:cnfStyle w:val="000000100000" w:firstRow="0" w:lastRow="0" w:firstColumn="0" w:lastColumn="0" w:oddVBand="0" w:evenVBand="0" w:oddHBand="1" w:evenHBand="0" w:firstRowFirstColumn="0" w:firstRowLastColumn="0" w:lastRowFirstColumn="0" w:lastRowLastColumn="0"/>
            </w:pPr>
            <w:r w:rsidRPr="005C6A83">
              <w:t xml:space="preserve">Data items </w:t>
            </w:r>
          </w:p>
        </w:tc>
        <w:tc>
          <w:tcPr>
            <w:tcW w:w="210" w:type="pct"/>
          </w:tcPr>
          <w:p w14:paraId="6CBC7D97" w14:textId="77777777" w:rsidR="006056B9" w:rsidRPr="005C6A83" w:rsidRDefault="006056B9" w:rsidP="0033621F">
            <w:pPr>
              <w:pStyle w:val="Tabletext1"/>
              <w:cnfStyle w:val="000000100000" w:firstRow="0" w:lastRow="0" w:firstColumn="0" w:lastColumn="0" w:oddVBand="0" w:evenVBand="0" w:oddHBand="1" w:evenHBand="0" w:firstRowFirstColumn="0" w:firstRowLastColumn="0" w:lastRowFirstColumn="0" w:lastRowLastColumn="0"/>
            </w:pPr>
            <w:r w:rsidRPr="005C6A83">
              <w:t>11</w:t>
            </w:r>
          </w:p>
        </w:tc>
        <w:tc>
          <w:tcPr>
            <w:tcW w:w="2372" w:type="pct"/>
          </w:tcPr>
          <w:p w14:paraId="162B00FF" w14:textId="77777777" w:rsidR="006056B9" w:rsidRPr="005C6A83" w:rsidRDefault="006056B9" w:rsidP="0033621F">
            <w:pPr>
              <w:pStyle w:val="Tabletext1"/>
              <w:cnfStyle w:val="000000100000" w:firstRow="0" w:lastRow="0" w:firstColumn="0" w:lastColumn="0" w:oddVBand="0" w:evenVBand="0" w:oddHBand="1" w:evenHBand="0" w:firstRowFirstColumn="0" w:firstRowLastColumn="0" w:lastRowFirstColumn="0" w:lastRowLastColumn="0"/>
            </w:pPr>
            <w:r w:rsidRPr="005C6A83">
              <w:t xml:space="preserve">List and define all variables for which data were sought (e.g., PICOS, funding sources) and any assumptions and simplifications made. </w:t>
            </w:r>
          </w:p>
        </w:tc>
        <w:tc>
          <w:tcPr>
            <w:tcW w:w="1020" w:type="pct"/>
          </w:tcPr>
          <w:p w14:paraId="0AD1E2EC" w14:textId="77777777" w:rsidR="006056B9" w:rsidRPr="005C6A83" w:rsidRDefault="006056B9" w:rsidP="0033621F">
            <w:pPr>
              <w:pStyle w:val="Tabletext1"/>
              <w:cnfStyle w:val="000000100000" w:firstRow="0" w:lastRow="0" w:firstColumn="0" w:lastColumn="0" w:oddVBand="0" w:evenVBand="0" w:oddHBand="1" w:evenHBand="0" w:firstRowFirstColumn="0" w:firstRowLastColumn="0" w:lastRowFirstColumn="0" w:lastRowLastColumn="0"/>
            </w:pPr>
            <w:r w:rsidRPr="005C6A83">
              <w:t>Methods: page 4-6.</w:t>
            </w:r>
          </w:p>
        </w:tc>
      </w:tr>
      <w:tr w:rsidR="006056B9" w:rsidRPr="005C6A83" w14:paraId="7A631FD9" w14:textId="77777777" w:rsidTr="0033621F">
        <w:trPr>
          <w:trHeight w:val="528"/>
        </w:trPr>
        <w:tc>
          <w:tcPr>
            <w:cnfStyle w:val="001000000000" w:firstRow="0" w:lastRow="0" w:firstColumn="1" w:lastColumn="0" w:oddVBand="0" w:evenVBand="0" w:oddHBand="0" w:evenHBand="0" w:firstRowFirstColumn="0" w:firstRowLastColumn="0" w:lastRowFirstColumn="0" w:lastRowLastColumn="0"/>
            <w:tcW w:w="794" w:type="pct"/>
          </w:tcPr>
          <w:p w14:paraId="30B81124" w14:textId="5B7F114D" w:rsidR="006056B9" w:rsidRPr="005C6A83" w:rsidRDefault="006056B9" w:rsidP="0033621F">
            <w:pPr>
              <w:pStyle w:val="Tabletext1"/>
              <w:rPr>
                <w:rFonts w:ascii="Arial Narrow" w:hAnsi="Arial Narrow" w:cs="Arial"/>
              </w:rPr>
            </w:pPr>
          </w:p>
        </w:tc>
        <w:tc>
          <w:tcPr>
            <w:tcW w:w="604" w:type="pct"/>
          </w:tcPr>
          <w:p w14:paraId="207662B4" w14:textId="77777777" w:rsidR="006056B9" w:rsidRPr="005C6A83" w:rsidRDefault="006056B9" w:rsidP="0033621F">
            <w:pPr>
              <w:pStyle w:val="Tabletext1"/>
              <w:cnfStyle w:val="000000000000" w:firstRow="0" w:lastRow="0" w:firstColumn="0" w:lastColumn="0" w:oddVBand="0" w:evenVBand="0" w:oddHBand="0" w:evenHBand="0" w:firstRowFirstColumn="0" w:firstRowLastColumn="0" w:lastRowFirstColumn="0" w:lastRowLastColumn="0"/>
            </w:pPr>
            <w:r w:rsidRPr="005C6A83">
              <w:t xml:space="preserve">Risk of bias in individual studies </w:t>
            </w:r>
          </w:p>
        </w:tc>
        <w:tc>
          <w:tcPr>
            <w:tcW w:w="210" w:type="pct"/>
          </w:tcPr>
          <w:p w14:paraId="78B557F2" w14:textId="77777777" w:rsidR="006056B9" w:rsidRPr="005C6A83" w:rsidRDefault="006056B9" w:rsidP="0033621F">
            <w:pPr>
              <w:pStyle w:val="Tabletext1"/>
              <w:cnfStyle w:val="000000000000" w:firstRow="0" w:lastRow="0" w:firstColumn="0" w:lastColumn="0" w:oddVBand="0" w:evenVBand="0" w:oddHBand="0" w:evenHBand="0" w:firstRowFirstColumn="0" w:firstRowLastColumn="0" w:lastRowFirstColumn="0" w:lastRowLastColumn="0"/>
            </w:pPr>
            <w:r w:rsidRPr="005C6A83">
              <w:t>12</w:t>
            </w:r>
          </w:p>
        </w:tc>
        <w:tc>
          <w:tcPr>
            <w:tcW w:w="2372" w:type="pct"/>
          </w:tcPr>
          <w:p w14:paraId="5FFBE6D5" w14:textId="77777777" w:rsidR="006056B9" w:rsidRPr="005C6A83" w:rsidRDefault="006056B9" w:rsidP="0033621F">
            <w:pPr>
              <w:pStyle w:val="Tabletext1"/>
              <w:cnfStyle w:val="000000000000" w:firstRow="0" w:lastRow="0" w:firstColumn="0" w:lastColumn="0" w:oddVBand="0" w:evenVBand="0" w:oddHBand="0" w:evenHBand="0" w:firstRowFirstColumn="0" w:firstRowLastColumn="0" w:lastRowFirstColumn="0" w:lastRowLastColumn="0"/>
            </w:pPr>
            <w:r w:rsidRPr="005C6A83">
              <w:t xml:space="preserve">Describe methods used for assessing risk of bias of individual studies (including specification of whether this was done at the study or outcome level), and how this information is to be used in any data synthesis. </w:t>
            </w:r>
          </w:p>
        </w:tc>
        <w:tc>
          <w:tcPr>
            <w:tcW w:w="1020" w:type="pct"/>
          </w:tcPr>
          <w:p w14:paraId="5DD36666" w14:textId="77777777" w:rsidR="006056B9" w:rsidRPr="005C6A83" w:rsidRDefault="006056B9" w:rsidP="0033621F">
            <w:pPr>
              <w:pStyle w:val="Tabletext1"/>
              <w:cnfStyle w:val="000000000000" w:firstRow="0" w:lastRow="0" w:firstColumn="0" w:lastColumn="0" w:oddVBand="0" w:evenVBand="0" w:oddHBand="0" w:evenHBand="0" w:firstRowFirstColumn="0" w:firstRowLastColumn="0" w:lastRowFirstColumn="0" w:lastRowLastColumn="0"/>
            </w:pPr>
            <w:r w:rsidRPr="005C6A83">
              <w:t>Methods: Assessment of risk of bias page 5, Risk of bias in included studies page 11, Figures 2&amp;3</w:t>
            </w:r>
          </w:p>
          <w:p w14:paraId="120C3BE9" w14:textId="77777777" w:rsidR="006056B9" w:rsidRPr="005C6A83" w:rsidRDefault="006056B9" w:rsidP="0033621F">
            <w:pPr>
              <w:pStyle w:val="Tabletext1"/>
              <w:cnfStyle w:val="000000000000" w:firstRow="0" w:lastRow="0" w:firstColumn="0" w:lastColumn="0" w:oddVBand="0" w:evenVBand="0" w:oddHBand="0" w:evenHBand="0" w:firstRowFirstColumn="0" w:firstRowLastColumn="0" w:lastRowFirstColumn="0" w:lastRowLastColumn="0"/>
            </w:pPr>
            <w:r w:rsidRPr="005C6A83">
              <w:t>-Additional file 3 (funnel plots).</w:t>
            </w:r>
          </w:p>
        </w:tc>
      </w:tr>
      <w:tr w:rsidR="006056B9" w:rsidRPr="005C6A83" w14:paraId="518726E3" w14:textId="77777777" w:rsidTr="0033621F">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794" w:type="pct"/>
          </w:tcPr>
          <w:p w14:paraId="47C9CF9A" w14:textId="6A0DAA93" w:rsidR="006056B9" w:rsidRPr="005C6A83" w:rsidRDefault="006056B9" w:rsidP="0033621F">
            <w:pPr>
              <w:pStyle w:val="Tabletext1"/>
              <w:rPr>
                <w:rFonts w:ascii="Arial Narrow" w:hAnsi="Arial Narrow" w:cs="Arial"/>
              </w:rPr>
            </w:pPr>
          </w:p>
        </w:tc>
        <w:tc>
          <w:tcPr>
            <w:tcW w:w="604" w:type="pct"/>
          </w:tcPr>
          <w:p w14:paraId="242E25E2" w14:textId="77777777" w:rsidR="006056B9" w:rsidRPr="005C6A83" w:rsidRDefault="006056B9" w:rsidP="0033621F">
            <w:pPr>
              <w:pStyle w:val="Tabletext1"/>
              <w:cnfStyle w:val="000000100000" w:firstRow="0" w:lastRow="0" w:firstColumn="0" w:lastColumn="0" w:oddVBand="0" w:evenVBand="0" w:oddHBand="1" w:evenHBand="0" w:firstRowFirstColumn="0" w:firstRowLastColumn="0" w:lastRowFirstColumn="0" w:lastRowLastColumn="0"/>
            </w:pPr>
            <w:r w:rsidRPr="005C6A83">
              <w:t xml:space="preserve">Summary measures </w:t>
            </w:r>
          </w:p>
        </w:tc>
        <w:tc>
          <w:tcPr>
            <w:tcW w:w="210" w:type="pct"/>
          </w:tcPr>
          <w:p w14:paraId="197007E6" w14:textId="77777777" w:rsidR="006056B9" w:rsidRPr="005C6A83" w:rsidRDefault="006056B9" w:rsidP="0033621F">
            <w:pPr>
              <w:pStyle w:val="Tabletext1"/>
              <w:cnfStyle w:val="000000100000" w:firstRow="0" w:lastRow="0" w:firstColumn="0" w:lastColumn="0" w:oddVBand="0" w:evenVBand="0" w:oddHBand="1" w:evenHBand="0" w:firstRowFirstColumn="0" w:firstRowLastColumn="0" w:lastRowFirstColumn="0" w:lastRowLastColumn="0"/>
            </w:pPr>
            <w:r w:rsidRPr="005C6A83">
              <w:t>13</w:t>
            </w:r>
          </w:p>
        </w:tc>
        <w:tc>
          <w:tcPr>
            <w:tcW w:w="2372" w:type="pct"/>
          </w:tcPr>
          <w:p w14:paraId="79EBD041" w14:textId="77777777" w:rsidR="006056B9" w:rsidRPr="005C6A83" w:rsidRDefault="006056B9" w:rsidP="0033621F">
            <w:pPr>
              <w:pStyle w:val="Tabletext1"/>
              <w:cnfStyle w:val="000000100000" w:firstRow="0" w:lastRow="0" w:firstColumn="0" w:lastColumn="0" w:oddVBand="0" w:evenVBand="0" w:oddHBand="1" w:evenHBand="0" w:firstRowFirstColumn="0" w:firstRowLastColumn="0" w:lastRowFirstColumn="0" w:lastRowLastColumn="0"/>
            </w:pPr>
            <w:r w:rsidRPr="005C6A83">
              <w:t xml:space="preserve">State the principal summary measures (e.g., risk ratio, difference in means). </w:t>
            </w:r>
          </w:p>
        </w:tc>
        <w:tc>
          <w:tcPr>
            <w:tcW w:w="1020" w:type="pct"/>
          </w:tcPr>
          <w:p w14:paraId="66A13550" w14:textId="77777777" w:rsidR="006056B9" w:rsidRPr="005C6A83" w:rsidRDefault="006056B9" w:rsidP="0033621F">
            <w:pPr>
              <w:pStyle w:val="Tabletext1"/>
              <w:cnfStyle w:val="000000100000" w:firstRow="0" w:lastRow="0" w:firstColumn="0" w:lastColumn="0" w:oddVBand="0" w:evenVBand="0" w:oddHBand="1" w:evenHBand="0" w:firstRowFirstColumn="0" w:firstRowLastColumn="0" w:lastRowFirstColumn="0" w:lastRowLastColumn="0"/>
            </w:pPr>
            <w:r w:rsidRPr="005C6A83">
              <w:t>Methods: Statistical analysis section/page 5.</w:t>
            </w:r>
          </w:p>
        </w:tc>
      </w:tr>
      <w:tr w:rsidR="006056B9" w:rsidRPr="005C6A83" w14:paraId="0CA92CB3" w14:textId="77777777" w:rsidTr="0033621F">
        <w:trPr>
          <w:trHeight w:val="530"/>
        </w:trPr>
        <w:tc>
          <w:tcPr>
            <w:cnfStyle w:val="001000000000" w:firstRow="0" w:lastRow="0" w:firstColumn="1" w:lastColumn="0" w:oddVBand="0" w:evenVBand="0" w:oddHBand="0" w:evenHBand="0" w:firstRowFirstColumn="0" w:firstRowLastColumn="0" w:lastRowFirstColumn="0" w:lastRowLastColumn="0"/>
            <w:tcW w:w="794" w:type="pct"/>
          </w:tcPr>
          <w:p w14:paraId="48EBB0B9" w14:textId="402449A6" w:rsidR="006056B9" w:rsidRPr="005C6A83" w:rsidRDefault="006056B9" w:rsidP="0033621F">
            <w:pPr>
              <w:pStyle w:val="Tabletext1"/>
              <w:rPr>
                <w:rFonts w:ascii="Arial Narrow" w:hAnsi="Arial Narrow" w:cs="Arial"/>
              </w:rPr>
            </w:pPr>
          </w:p>
        </w:tc>
        <w:tc>
          <w:tcPr>
            <w:tcW w:w="604" w:type="pct"/>
          </w:tcPr>
          <w:p w14:paraId="14E79661" w14:textId="77777777" w:rsidR="006056B9" w:rsidRPr="005C6A83" w:rsidRDefault="006056B9" w:rsidP="0033621F">
            <w:pPr>
              <w:pStyle w:val="Tabletext1"/>
              <w:cnfStyle w:val="000000000000" w:firstRow="0" w:lastRow="0" w:firstColumn="0" w:lastColumn="0" w:oddVBand="0" w:evenVBand="0" w:oddHBand="0" w:evenHBand="0" w:firstRowFirstColumn="0" w:firstRowLastColumn="0" w:lastRowFirstColumn="0" w:lastRowLastColumn="0"/>
            </w:pPr>
            <w:r w:rsidRPr="005C6A83">
              <w:t xml:space="preserve">Synthesis of results </w:t>
            </w:r>
          </w:p>
        </w:tc>
        <w:tc>
          <w:tcPr>
            <w:tcW w:w="210" w:type="pct"/>
          </w:tcPr>
          <w:p w14:paraId="1380D3AB" w14:textId="77777777" w:rsidR="006056B9" w:rsidRPr="005C6A83" w:rsidRDefault="006056B9" w:rsidP="0033621F">
            <w:pPr>
              <w:pStyle w:val="Tabletext1"/>
              <w:cnfStyle w:val="000000000000" w:firstRow="0" w:lastRow="0" w:firstColumn="0" w:lastColumn="0" w:oddVBand="0" w:evenVBand="0" w:oddHBand="0" w:evenHBand="0" w:firstRowFirstColumn="0" w:firstRowLastColumn="0" w:lastRowFirstColumn="0" w:lastRowLastColumn="0"/>
            </w:pPr>
            <w:r w:rsidRPr="005C6A83">
              <w:t>14</w:t>
            </w:r>
          </w:p>
        </w:tc>
        <w:tc>
          <w:tcPr>
            <w:tcW w:w="2372" w:type="pct"/>
          </w:tcPr>
          <w:p w14:paraId="50450516" w14:textId="77777777" w:rsidR="006056B9" w:rsidRPr="005C6A83" w:rsidRDefault="006056B9" w:rsidP="0033621F">
            <w:pPr>
              <w:pStyle w:val="Tabletext1"/>
              <w:cnfStyle w:val="000000000000" w:firstRow="0" w:lastRow="0" w:firstColumn="0" w:lastColumn="0" w:oddVBand="0" w:evenVBand="0" w:oddHBand="0" w:evenHBand="0" w:firstRowFirstColumn="0" w:firstRowLastColumn="0" w:lastRowFirstColumn="0" w:lastRowLastColumn="0"/>
            </w:pPr>
            <w:r w:rsidRPr="005C6A83">
              <w:t>Describe the methods of handling data and combining results of studies, if done, including measures of consistency (e.g., I</w:t>
            </w:r>
            <w:r w:rsidRPr="005C6A83">
              <w:rPr>
                <w:vertAlign w:val="superscript"/>
              </w:rPr>
              <w:t>2</w:t>
            </w:r>
            <w:r w:rsidRPr="005C6A83">
              <w:t xml:space="preserve">) for each meta-analysis. </w:t>
            </w:r>
          </w:p>
        </w:tc>
        <w:tc>
          <w:tcPr>
            <w:tcW w:w="1020" w:type="pct"/>
          </w:tcPr>
          <w:p w14:paraId="02E0FF27" w14:textId="77777777" w:rsidR="006056B9" w:rsidRPr="005C6A83" w:rsidRDefault="006056B9" w:rsidP="0033621F">
            <w:pPr>
              <w:pStyle w:val="Tabletext1"/>
              <w:cnfStyle w:val="000000000000" w:firstRow="0" w:lastRow="0" w:firstColumn="0" w:lastColumn="0" w:oddVBand="0" w:evenVBand="0" w:oddHBand="0" w:evenHBand="0" w:firstRowFirstColumn="0" w:firstRowLastColumn="0" w:lastRowFirstColumn="0" w:lastRowLastColumn="0"/>
            </w:pPr>
            <w:r w:rsidRPr="005C6A83">
              <w:t>Methods: Statistical analysis section/page 5.</w:t>
            </w:r>
          </w:p>
        </w:tc>
      </w:tr>
    </w:tbl>
    <w:p w14:paraId="246CB261" w14:textId="7E4C49E0" w:rsidR="001616E7" w:rsidRPr="00897B1B" w:rsidRDefault="001E580A" w:rsidP="00897C5B">
      <w:pPr>
        <w:pStyle w:val="Caption"/>
      </w:pPr>
      <w:r w:rsidRPr="001E580A">
        <w:t>Table AppB-2 Application of PRISMA selection criteria</w:t>
      </w:r>
    </w:p>
    <w:p w14:paraId="7903EAE8" w14:textId="77777777" w:rsidR="001616E7" w:rsidRPr="00897B1B" w:rsidRDefault="001616E7" w:rsidP="0033621F">
      <w:pPr>
        <w:pStyle w:val="Heading2"/>
        <w:keepLines/>
      </w:pPr>
      <w:bookmarkStart w:id="340" w:name="_Toc428263172"/>
      <w:bookmarkStart w:id="341" w:name="_Toc117758317"/>
      <w:r w:rsidRPr="00897B1B">
        <w:lastRenderedPageBreak/>
        <w:t>Results of Literature Search</w:t>
      </w:r>
      <w:bookmarkEnd w:id="340"/>
      <w:bookmarkEnd w:id="341"/>
    </w:p>
    <w:p w14:paraId="2657C4E9" w14:textId="046DE90F" w:rsidR="001616E7" w:rsidRDefault="001616E7" w:rsidP="0033621F">
      <w:pPr>
        <w:keepNext/>
        <w:keepLines/>
        <w:rPr>
          <w:rFonts w:cstheme="minorHAnsi"/>
        </w:rPr>
      </w:pPr>
      <w:r>
        <w:t>The search criteria resulted in</w:t>
      </w:r>
      <w:r w:rsidRPr="00897B1B">
        <w:t xml:space="preserve"> </w:t>
      </w:r>
      <w:r>
        <w:t>1792</w:t>
      </w:r>
      <w:r w:rsidRPr="00897B1B">
        <w:t xml:space="preserve"> potentially relevant records</w:t>
      </w:r>
      <w:r>
        <w:t>;</w:t>
      </w:r>
      <w:r w:rsidRPr="00897B1B">
        <w:t xml:space="preserve"> </w:t>
      </w:r>
      <w:r>
        <w:t>316</w:t>
      </w:r>
      <w:r w:rsidRPr="00897B1B">
        <w:t xml:space="preserve"> were duplicates and </w:t>
      </w:r>
      <w:r>
        <w:t>1353</w:t>
      </w:r>
      <w:r w:rsidRPr="00897B1B">
        <w:t xml:space="preserve"> were deemed as irrelevant after </w:t>
      </w:r>
      <w:r w:rsidRPr="00897B1B">
        <w:rPr>
          <w:rFonts w:cstheme="minorHAnsi"/>
        </w:rPr>
        <w:t xml:space="preserve">screening </w:t>
      </w:r>
      <w:r>
        <w:rPr>
          <w:rFonts w:cstheme="minorHAnsi"/>
        </w:rPr>
        <w:t>of</w:t>
      </w:r>
      <w:r w:rsidRPr="00897B1B">
        <w:rPr>
          <w:rFonts w:cstheme="minorHAnsi"/>
        </w:rPr>
        <w:t xml:space="preserve"> the title</w:t>
      </w:r>
      <w:r>
        <w:rPr>
          <w:rFonts w:cstheme="minorHAnsi"/>
        </w:rPr>
        <w:t xml:space="preserve"> or </w:t>
      </w:r>
      <w:r w:rsidRPr="00897B1B">
        <w:rPr>
          <w:rFonts w:cstheme="minorHAnsi"/>
        </w:rPr>
        <w:t xml:space="preserve">abstract level. A full-text analysis was completed for </w:t>
      </w:r>
      <w:r>
        <w:rPr>
          <w:rFonts w:cstheme="minorHAnsi"/>
        </w:rPr>
        <w:t>123</w:t>
      </w:r>
      <w:r w:rsidRPr="00897B1B">
        <w:rPr>
          <w:rFonts w:cstheme="minorHAnsi"/>
        </w:rPr>
        <w:t xml:space="preserve"> studies, of which </w:t>
      </w:r>
      <w:r>
        <w:rPr>
          <w:rFonts w:cstheme="minorHAnsi"/>
        </w:rPr>
        <w:t>four</w:t>
      </w:r>
      <w:r w:rsidRPr="00897B1B">
        <w:rPr>
          <w:rFonts w:cstheme="minorHAnsi"/>
        </w:rPr>
        <w:t xml:space="preserve"> RCTs</w:t>
      </w:r>
      <w:r w:rsidR="001E580A">
        <w:rPr>
          <w:rFonts w:cstheme="minorHAnsi"/>
        </w:rPr>
        <w:t xml:space="preserve"> </w:t>
      </w:r>
      <w:r>
        <w:rPr>
          <w:rFonts w:cstheme="minorHAnsi"/>
        </w:rPr>
        <w:fldChar w:fldCharType="begin">
          <w:fldData xml:space="preserve">PEVuZE5vdGU+PENpdGU+PEF1dGhvcj5GcmFua2VudGhhbDwvQXV0aG9yPjxZZWFyPjIwMTQ8L1ll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</w:fldData>
        </w:fldChar>
      </w:r>
      <w:r w:rsidR="00C86345">
        <w:rPr>
          <w:rFonts w:cstheme="minorHAnsi"/>
        </w:rPr>
        <w:instrText xml:space="preserve"> ADDIN EN.CITE </w:instrText>
      </w:r>
      <w:r w:rsidR="00C86345">
        <w:rPr>
          <w:rFonts w:cstheme="minorHAnsi"/>
        </w:rPr>
        <w:fldChar w:fldCharType="begin">
          <w:fldData xml:space="preserve">PEVuZE5vdGU+PENpdGU+PEF1dGhvcj5GcmFua2VudGhhbDwvQXV0aG9yPjxZZWFyPjIwMTQ8L1ll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</w:fldData>
        </w:fldChar>
      </w:r>
      <w:r w:rsidR="00C86345">
        <w:rPr>
          <w:rFonts w:cstheme="minorHAnsi"/>
        </w:rPr>
        <w:instrText xml:space="preserve"> ADDIN EN.CITE.DATA </w:instrText>
      </w:r>
      <w:r w:rsidR="00C86345">
        <w:rPr>
          <w:rFonts w:cstheme="minorHAnsi"/>
        </w:rPr>
      </w:r>
      <w:r w:rsidR="00C86345">
        <w:rPr>
          <w:rFonts w:cstheme="minorHAnsi"/>
        </w:rPr>
        <w:fldChar w:fldCharType="end"/>
      </w:r>
      <w:r>
        <w:rPr>
          <w:rFonts w:cstheme="minorHAnsi"/>
        </w:rPr>
      </w:r>
      <w:r>
        <w:rPr>
          <w:rFonts w:cstheme="minorHAnsi"/>
        </w:rPr>
        <w:fldChar w:fldCharType="separate"/>
      </w:r>
      <w:r w:rsidR="00C86345">
        <w:rPr>
          <w:rFonts w:cstheme="minorHAnsi"/>
          <w:noProof/>
        </w:rPr>
        <w:t>(</w:t>
      </w:r>
      <w:hyperlink w:anchor="_ENREF_20" w:tooltip="Frankenthal, 2014 #79" w:history="1">
        <w:r w:rsidR="00EB6EA4">
          <w:rPr>
            <w:rFonts w:cstheme="minorHAnsi"/>
            <w:noProof/>
          </w:rPr>
          <w:t>20-23</w:t>
        </w:r>
      </w:hyperlink>
      <w:r w:rsidR="00C86345">
        <w:rPr>
          <w:rFonts w:cstheme="minorHAnsi"/>
          <w:noProof/>
        </w:rPr>
        <w:t>)</w:t>
      </w:r>
      <w:r>
        <w:rPr>
          <w:rFonts w:cstheme="minorHAnsi"/>
        </w:rPr>
        <w:fldChar w:fldCharType="end"/>
      </w:r>
      <w:r>
        <w:rPr>
          <w:rFonts w:cstheme="minorHAnsi"/>
        </w:rPr>
        <w:t xml:space="preserve"> </w:t>
      </w:r>
      <w:r w:rsidRPr="00897B1B">
        <w:rPr>
          <w:rFonts w:cstheme="minorHAnsi"/>
        </w:rPr>
        <w:t>met the inclusion criteria</w:t>
      </w:r>
      <w:r>
        <w:rPr>
          <w:rFonts w:cstheme="minorHAnsi"/>
        </w:rPr>
        <w:t xml:space="preserve">. </w:t>
      </w:r>
    </w:p>
    <w:p w14:paraId="3ECBBBAA" w14:textId="2DE4EE51" w:rsidR="000878D8" w:rsidRDefault="001616E7" w:rsidP="007501B9">
      <w:r w:rsidRPr="00897B1B">
        <w:t>A PRISMA (</w:t>
      </w:r>
      <w:r w:rsidRPr="00897B1B">
        <w:rPr>
          <w:shd w:val="clear" w:color="auto" w:fill="FFFFFF"/>
        </w:rPr>
        <w:t>preferred reporting items for systematic reviews and meta-analyses)</w:t>
      </w:r>
      <w:r w:rsidRPr="00897B1B">
        <w:t xml:space="preserve"> </w:t>
      </w:r>
      <w:r w:rsidRPr="00DD12A0">
        <w:t>flowchart (</w:t>
      </w:r>
      <w:r w:rsidR="001E580A">
        <w:t>Figure App B-1</w:t>
      </w:r>
      <w:r w:rsidRPr="00DD12A0">
        <w:t>)</w:t>
      </w:r>
      <w:r w:rsidRPr="00897B1B">
        <w:t xml:space="preserve"> provides a graphic depiction of the results of the literature search</w:t>
      </w:r>
      <w:r w:rsidR="007501B9">
        <w:t xml:space="preserve">. </w:t>
      </w:r>
      <w:r>
        <w:t>T</w:t>
      </w:r>
      <w:r w:rsidRPr="00897B1B">
        <w:t>he most common reason for exclud</w:t>
      </w:r>
      <w:r>
        <w:t>ing</w:t>
      </w:r>
      <w:r w:rsidRPr="00897B1B">
        <w:t xml:space="preserve"> studies was wrong setting</w:t>
      </w:r>
      <w:r>
        <w:t>, wrong intervention, single review only</w:t>
      </w:r>
      <w:r w:rsidRPr="00FC631D">
        <w:t>.</w:t>
      </w:r>
      <w:r w:rsidRPr="00897B1B">
        <w:t xml:space="preserve"> </w:t>
      </w:r>
      <w:r>
        <w:t>Among</w:t>
      </w:r>
      <w:r w:rsidRPr="00897B1B">
        <w:t xml:space="preserve"> the excluded studies,</w:t>
      </w:r>
      <w:r>
        <w:t xml:space="preserve"> 16 were protocols only. Two studies performed a single medication review for aged care residents during the trial, and nine studies compared intervention effect of training non-pharmacy professionals</w:t>
      </w:r>
      <w:r w:rsidR="007501B9">
        <w:t xml:space="preserve">. </w:t>
      </w:r>
      <w:r>
        <w:t xml:space="preserve">All references from excluded studies were examined </w:t>
      </w:r>
      <w:r w:rsidRPr="00897B1B">
        <w:t xml:space="preserve">to identify any </w:t>
      </w:r>
      <w:r>
        <w:t>further</w:t>
      </w:r>
      <w:r w:rsidRPr="00897B1B">
        <w:t xml:space="preserve"> </w:t>
      </w:r>
      <w:r>
        <w:t>relevant studies</w:t>
      </w:r>
      <w:r w:rsidR="007501B9">
        <w:t xml:space="preserve">. </w:t>
      </w:r>
      <w:r w:rsidRPr="00DD12A0">
        <w:t>After review, four studies met the inclusion criteria</w:t>
      </w:r>
      <w:r w:rsidR="007501B9">
        <w:t xml:space="preserve">. </w:t>
      </w:r>
    </w:p>
    <w:p w14:paraId="1029F796" w14:textId="435C7559" w:rsidR="001616E7" w:rsidRDefault="001616E7" w:rsidP="007501B9">
      <w:r w:rsidRPr="00DD12A0">
        <w:t>None of these studies were limited to the aged-</w:t>
      </w:r>
      <w:r>
        <w:t>care population with mild cognitive impairment</w:t>
      </w:r>
      <w:r w:rsidR="007501B9">
        <w:t xml:space="preserve">. </w:t>
      </w:r>
      <w:r>
        <w:t xml:space="preserve">Thus, the </w:t>
      </w:r>
      <w:proofErr w:type="spellStart"/>
      <w:r w:rsidR="001E580A">
        <w:t>ReMInDAR</w:t>
      </w:r>
      <w:proofErr w:type="spellEnd"/>
      <w:r>
        <w:t xml:space="preserve"> trial forms the basis of the evidence for this submission.</w:t>
      </w:r>
    </w:p>
    <w:p w14:paraId="350C0046" w14:textId="77777777" w:rsidR="001616E7" w:rsidRPr="00897B1B" w:rsidRDefault="001616E7" w:rsidP="007501B9">
      <w:r w:rsidRPr="0038322B">
        <w:rPr>
          <w:noProof/>
        </w:rPr>
        <w:lastRenderedPageBreak/>
        <w:drawing>
          <wp:inline distT="0" distB="0" distL="0" distR="0" wp14:anchorId="547ABF91" wp14:editId="451A9F84">
            <wp:extent cx="4913906" cy="5004630"/>
            <wp:effectExtent l="0" t="0" r="1270" b="5715"/>
            <wp:docPr id="38" name="Picture 38" descr="The search criteria resulted in 1792 potentially relevant records; 316 were duplicates and 1353 were deemed as irrelevant after screening of the title or abstract level. A full-text analysis was completed for 123 studies, of which four RCTs(20-23) met the inclusion criteria. " title="PRISMA flow diagram of assessment process for literature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orjg\Pictures\Screenshots\Screenshot (1727).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25264" cy="5016197"/>
                    </a:xfrm>
                    <a:prstGeom prst="rect">
                      <a:avLst/>
                    </a:prstGeom>
                    <a:noFill/>
                    <a:ln>
                      <a:noFill/>
                    </a:ln>
                  </pic:spPr>
                </pic:pic>
              </a:graphicData>
            </a:graphic>
          </wp:inline>
        </w:drawing>
      </w:r>
    </w:p>
    <w:p w14:paraId="28733B8C" w14:textId="4400BFF8" w:rsidR="001616E7" w:rsidRPr="00DD12A0" w:rsidRDefault="001616E7" w:rsidP="00897C5B">
      <w:pPr>
        <w:pStyle w:val="Caption"/>
      </w:pPr>
      <w:bookmarkStart w:id="342" w:name="_Ref64539621"/>
      <w:r w:rsidRPr="00DD12A0">
        <w:t xml:space="preserve">Figure </w:t>
      </w:r>
      <w:bookmarkEnd w:id="342"/>
      <w:r w:rsidR="001E580A">
        <w:t>AppB-1</w:t>
      </w:r>
      <w:r w:rsidRPr="00DD12A0">
        <w:t xml:space="preserve"> Summary of the process used to identify and select studies for assessment </w:t>
      </w:r>
    </w:p>
    <w:p w14:paraId="67C03396" w14:textId="77777777" w:rsidR="001616E7" w:rsidRPr="00897B1B" w:rsidRDefault="001616E7" w:rsidP="00897C5B">
      <w:pPr>
        <w:pStyle w:val="Heading3"/>
      </w:pPr>
      <w:bookmarkStart w:id="343" w:name="_Toc395200773"/>
      <w:bookmarkStart w:id="344" w:name="_Toc428263173"/>
      <w:bookmarkStart w:id="345" w:name="_Toc117758318"/>
      <w:r w:rsidRPr="00897B1B">
        <w:t>Appraisal of the evidence</w:t>
      </w:r>
      <w:bookmarkEnd w:id="343"/>
      <w:bookmarkEnd w:id="344"/>
      <w:bookmarkEnd w:id="345"/>
    </w:p>
    <w:p w14:paraId="5387F781" w14:textId="2C9E9D45" w:rsidR="001616E7" w:rsidRPr="00897B1B" w:rsidRDefault="001616E7" w:rsidP="007501B9">
      <w:r w:rsidRPr="00897B1B">
        <w:t>Appraisal of the evidenc</w:t>
      </w:r>
      <w:r w:rsidR="001E580A">
        <w:t>e was conducted in four stages:</w:t>
      </w:r>
    </w:p>
    <w:p w14:paraId="222EECED" w14:textId="77777777" w:rsidR="001616E7" w:rsidRPr="00657145" w:rsidRDefault="001616E7" w:rsidP="0033621F">
      <w:pPr>
        <w:pStyle w:val="ListBullet"/>
      </w:pPr>
      <w:r w:rsidRPr="00657145">
        <w:t xml:space="preserve">Stage 1: Appraisal of the risk of bias within individual studies </w:t>
      </w:r>
      <w:r>
        <w:t xml:space="preserve">included in the review. </w:t>
      </w:r>
      <w:r w:rsidRPr="00657145">
        <w:t xml:space="preserve">Some </w:t>
      </w:r>
      <w:proofErr w:type="gramStart"/>
      <w:r w:rsidRPr="00657145">
        <w:t>risk</w:t>
      </w:r>
      <w:proofErr w:type="gramEnd"/>
      <w:r w:rsidRPr="00657145">
        <w:t xml:space="preserve"> of bias items were assessed for the study as a whole, while others were assessed at th</w:t>
      </w:r>
      <w:r>
        <w:t>e outcome level</w:t>
      </w:r>
      <w:r w:rsidRPr="00657145">
        <w:t xml:space="preserve">. </w:t>
      </w:r>
    </w:p>
    <w:p w14:paraId="7D440A7F" w14:textId="22DA3774" w:rsidR="001616E7" w:rsidRPr="00657145" w:rsidRDefault="001616E7" w:rsidP="0033621F">
      <w:pPr>
        <w:pStyle w:val="ListBullet"/>
      </w:pPr>
      <w:r w:rsidRPr="00657145">
        <w:t>Stage 2: Extraction of pre-specified outcomes for this assessment, synthesising (a narrative synthesis) to determine an estimate of effect per outcome,</w:t>
      </w:r>
      <w:r>
        <w:t xml:space="preserve"> </w:t>
      </w:r>
      <w:r w:rsidRPr="00657145">
        <w:t>a determining the assumed baseline risk</w:t>
      </w:r>
      <w:r w:rsidR="001E580A">
        <w:t>.</w:t>
      </w:r>
    </w:p>
    <w:p w14:paraId="3653B880" w14:textId="77777777" w:rsidR="001616E7" w:rsidRPr="00657145" w:rsidRDefault="001616E7" w:rsidP="0033621F">
      <w:pPr>
        <w:pStyle w:val="ListBullet"/>
      </w:pPr>
      <w:r w:rsidRPr="00657145">
        <w:t xml:space="preserve">Stage 3: Rating the overall quality of the evidence per outcome across studies based on the study limitations (risk of bias), imprecision, inconsistency of results, indirectness of evidence, and the likelihood of publication bias. This was </w:t>
      </w:r>
      <w:r>
        <w:t>undertaken</w:t>
      </w:r>
      <w:r w:rsidRPr="00657145">
        <w:t xml:space="preserve"> to provide an indication of the confidence in the estimate of effect in the context of Australian clinical practice</w:t>
      </w:r>
      <w:r>
        <w:t>.</w:t>
      </w:r>
    </w:p>
    <w:p w14:paraId="44D9E4D6" w14:textId="77777777" w:rsidR="001616E7" w:rsidRPr="00657145" w:rsidRDefault="001616E7" w:rsidP="0033621F">
      <w:pPr>
        <w:pStyle w:val="ListBullet"/>
      </w:pPr>
      <w:r w:rsidRPr="00657145">
        <w:t xml:space="preserve">Stage 4: Integration of this evidence for conclusions about the net clinical benefit of the intervention in the content of Australian clinical practice. </w:t>
      </w:r>
    </w:p>
    <w:p w14:paraId="762CB384" w14:textId="77777777" w:rsidR="001616E7" w:rsidRPr="00897B1B" w:rsidRDefault="001616E7" w:rsidP="00897C5B">
      <w:pPr>
        <w:pStyle w:val="Heading2"/>
      </w:pPr>
      <w:bookmarkStart w:id="346" w:name="_Toc428263174"/>
      <w:bookmarkStart w:id="347" w:name="_Toc117758319"/>
      <w:r w:rsidRPr="00897B1B">
        <w:lastRenderedPageBreak/>
        <w:t>Risk of Bias Assessment</w:t>
      </w:r>
      <w:bookmarkEnd w:id="346"/>
      <w:bookmarkEnd w:id="347"/>
    </w:p>
    <w:p w14:paraId="2BEFBDA0" w14:textId="4EBC479E" w:rsidR="001616E7" w:rsidRDefault="001616E7" w:rsidP="001E580A">
      <w:pPr>
        <w:pStyle w:val="Comment"/>
        <w:jc w:val="left"/>
        <w:rPr>
          <w:i w:val="0"/>
        </w:rPr>
      </w:pPr>
      <w:r>
        <w:rPr>
          <w:i w:val="0"/>
        </w:rPr>
        <w:t>Ev</w:t>
      </w:r>
      <w:r w:rsidRPr="00897B1B">
        <w:rPr>
          <w:i w:val="0"/>
        </w:rPr>
        <w:t xml:space="preserve">idence quality for each outcome of included RCTs </w:t>
      </w:r>
      <w:r>
        <w:rPr>
          <w:i w:val="0"/>
        </w:rPr>
        <w:t>was</w:t>
      </w:r>
      <w:r w:rsidRPr="00897B1B">
        <w:rPr>
          <w:i w:val="0"/>
        </w:rPr>
        <w:t xml:space="preserve"> assessed using the Cochrane Collaboration</w:t>
      </w:r>
      <w:r>
        <w:rPr>
          <w:i w:val="0"/>
        </w:rPr>
        <w:t xml:space="preserve"> Risk of B</w:t>
      </w:r>
      <w:r w:rsidRPr="00897B1B">
        <w:rPr>
          <w:i w:val="0"/>
        </w:rPr>
        <w:t>ias tool.</w:t>
      </w:r>
      <w:r w:rsidRPr="00897B1B">
        <w:rPr>
          <w:i w:val="0"/>
        </w:rPr>
        <w:fldChar w:fldCharType="begin"/>
      </w:r>
      <w:r w:rsidR="00C86345">
        <w:rPr>
          <w:i w:val="0"/>
        </w:rPr>
        <w:instrText xml:space="preserve"> ADDIN EN.CITE &lt;EndNote&gt;&lt;Cite&gt;&lt;Author&gt;HigginsJPT&lt;/Author&gt;&lt;Year&gt;2011&lt;/Year&gt;&lt;RecNum&gt;14&lt;/RecNum&gt;&lt;DisplayText&gt;(93)&lt;/DisplayText&gt;&lt;record&gt;&lt;rec-number&gt;14&lt;/rec-number&gt;&lt;foreign-keys&gt;&lt;key app="EN" db-id="eeezzstvhp5ss3eptfpxdww9tvawrfef0xa5" timestamp="1615264268"&gt;14&lt;/key&gt;&lt;/foreign-keys&gt;&lt;ref-type name="Journal Article"&gt;17&lt;/ref-type&gt;&lt;contributors&gt;&lt;authors&gt;&lt;author&gt;HigginsJPT, AltmanDG&lt;/author&gt;&lt;author&gt;Sterne, JAC&lt;/author&gt;&lt;/authors&gt;&lt;/contributors&gt;&lt;titles&gt;&lt;title&gt;Chapter 8: Assessing risk of bias in included studies&lt;/title&gt;&lt;secondary-title&gt;Cochrane handbook for systematic reviews of interventions version&lt;/secondary-title&gt;&lt;/titles&gt;&lt;periodical&gt;&lt;full-title&gt;Cochrane handbook for systematic reviews of interventions version&lt;/full-title&gt;&lt;/periodical&gt;&lt;pages&gt;243-96&lt;/pages&gt;&lt;volume&gt;5&lt;/volume&gt;&lt;number&gt;0&lt;/number&gt;&lt;dates&gt;&lt;year&gt;2011&lt;/year&gt;&lt;/dates&gt;&lt;urls&gt;&lt;/urls&gt;&lt;/record&gt;&lt;/Cite&gt;&lt;/EndNote&gt;</w:instrText>
      </w:r>
      <w:r w:rsidRPr="00897B1B">
        <w:rPr>
          <w:i w:val="0"/>
        </w:rPr>
        <w:fldChar w:fldCharType="separate"/>
      </w:r>
      <w:r w:rsidR="00C86345">
        <w:rPr>
          <w:i w:val="0"/>
          <w:noProof/>
        </w:rPr>
        <w:t>(</w:t>
      </w:r>
      <w:hyperlink w:anchor="_ENREF_93" w:tooltip="HigginsJPT, 2011 #14" w:history="1">
        <w:r w:rsidR="00EB6EA4">
          <w:rPr>
            <w:i w:val="0"/>
            <w:noProof/>
          </w:rPr>
          <w:t>93</w:t>
        </w:r>
      </w:hyperlink>
      <w:r w:rsidR="00C86345">
        <w:rPr>
          <w:i w:val="0"/>
          <w:noProof/>
        </w:rPr>
        <w:t>)</w:t>
      </w:r>
      <w:r w:rsidRPr="00897B1B">
        <w:rPr>
          <w:i w:val="0"/>
        </w:rPr>
        <w:fldChar w:fldCharType="end"/>
      </w:r>
      <w:r w:rsidRPr="00897B1B">
        <w:rPr>
          <w:i w:val="0"/>
        </w:rPr>
        <w:t xml:space="preserve"> </w:t>
      </w:r>
      <w:r>
        <w:rPr>
          <w:i w:val="0"/>
        </w:rPr>
        <w:t xml:space="preserve">The </w:t>
      </w:r>
      <w:r w:rsidRPr="00897B1B">
        <w:rPr>
          <w:i w:val="0"/>
        </w:rPr>
        <w:t>standard list of criteria included</w:t>
      </w:r>
      <w:r>
        <w:rPr>
          <w:i w:val="0"/>
        </w:rPr>
        <w:t>:</w:t>
      </w:r>
      <w:r w:rsidRPr="00897B1B">
        <w:rPr>
          <w:i w:val="0"/>
        </w:rPr>
        <w:t xml:space="preserve"> random sequence generation (selection bias); allocation concealment (selection bias)</w:t>
      </w:r>
      <w:r>
        <w:rPr>
          <w:i w:val="0"/>
        </w:rPr>
        <w:t>;</w:t>
      </w:r>
      <w:r w:rsidRPr="00897B1B">
        <w:rPr>
          <w:i w:val="0"/>
        </w:rPr>
        <w:t xml:space="preserve"> blinding of participants and personnel (performance bias); blinding of outcome assessment (detection bias); incomplete outcome data (attrition bias); selective reporting (reporting bias)</w:t>
      </w:r>
      <w:r>
        <w:rPr>
          <w:i w:val="0"/>
        </w:rPr>
        <w:t>;</w:t>
      </w:r>
      <w:r w:rsidR="001E580A">
        <w:rPr>
          <w:i w:val="0"/>
        </w:rPr>
        <w:t xml:space="preserve"> and other sources of bias.</w:t>
      </w:r>
    </w:p>
    <w:p w14:paraId="274A618B" w14:textId="58E118F7" w:rsidR="001616E7" w:rsidRDefault="001616E7" w:rsidP="001E580A">
      <w:pPr>
        <w:pStyle w:val="Comment"/>
        <w:jc w:val="left"/>
        <w:rPr>
          <w:i w:val="0"/>
        </w:rPr>
      </w:pPr>
      <w:proofErr w:type="gramStart"/>
      <w:r>
        <w:rPr>
          <w:i w:val="0"/>
        </w:rPr>
        <w:t>The majority of</w:t>
      </w:r>
      <w:proofErr w:type="gramEnd"/>
      <w:r>
        <w:rPr>
          <w:i w:val="0"/>
        </w:rPr>
        <w:t xml:space="preserve"> the studies had performance bias, with detection bias also present.</w:t>
      </w:r>
    </w:p>
    <w:p w14:paraId="4E87A215" w14:textId="42A34B37" w:rsidR="001E580A" w:rsidRDefault="001E580A" w:rsidP="001E580A">
      <w:pPr>
        <w:pStyle w:val="Comment"/>
        <w:jc w:val="left"/>
        <w:rPr>
          <w:i w:val="0"/>
        </w:rPr>
      </w:pPr>
      <w:r>
        <w:rPr>
          <w:i w:val="0"/>
          <w:noProof/>
        </w:rPr>
        <w:drawing>
          <wp:inline distT="0" distB="0" distL="0" distR="0" wp14:anchorId="1DF35013" wp14:editId="41185634">
            <wp:extent cx="4979504" cy="2154497"/>
            <wp:effectExtent l="0" t="0" r="0" b="0"/>
            <wp:docPr id="21" name="Picture 21" descr="Proportion of bias was: random sequence generation (selection bias)=(75% low risk); allocation concealment (selection bias) = 75% low risk; blinding of participants and personnel (perfomance bias) = 25% low risk, 75% high risk; blinding of outcome assessment (detection bias) = 650% low risk, 350% high risk; incomplete outcome data (attrition bias) = 75% low risk; selective reporting (reporting bias) 25% low risk, 25% high risk; other bias = 75% low risk" title="Summary of risk of bias, assessed with Cochrane’s Risk of Bias to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01739" cy="2164118"/>
                    </a:xfrm>
                    <a:prstGeom prst="rect">
                      <a:avLst/>
                    </a:prstGeom>
                    <a:noFill/>
                  </pic:spPr>
                </pic:pic>
              </a:graphicData>
            </a:graphic>
          </wp:inline>
        </w:drawing>
      </w:r>
    </w:p>
    <w:p w14:paraId="6B8CD0BC" w14:textId="1AB9470C" w:rsidR="001616E7" w:rsidRPr="00897B1B" w:rsidRDefault="001E580A" w:rsidP="001616E7">
      <w:pPr>
        <w:pStyle w:val="Comment"/>
        <w:rPr>
          <w:i w:val="0"/>
          <w:noProof/>
        </w:rPr>
      </w:pPr>
      <w:r>
        <w:rPr>
          <w:i w:val="0"/>
          <w:noProof/>
        </w:rPr>
        <w:drawing>
          <wp:inline distT="0" distB="0" distL="0" distR="0" wp14:anchorId="54E60269" wp14:editId="430FB070">
            <wp:extent cx="2613929" cy="3717235"/>
            <wp:effectExtent l="0" t="0" r="0" b="0"/>
            <wp:docPr id="23" name="Picture 23" descr="Studies showing bias are:&#10;&#10;Random sequence generation = &#10;Allocation concealment = &#10;Blinding of participants and personnel = &#10;Blinding of outcome assessment =&#10;Incomplete outcome data = Selective Reporting =&#10;Other bias =  &#10;&#10;&#10;Frankenthal 2014&#10;Furniss 2000&#10;Lapane 2011&#10;Patterson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22607" cy="3729576"/>
                    </a:xfrm>
                    <a:prstGeom prst="rect">
                      <a:avLst/>
                    </a:prstGeom>
                    <a:noFill/>
                  </pic:spPr>
                </pic:pic>
              </a:graphicData>
            </a:graphic>
          </wp:inline>
        </w:drawing>
      </w:r>
    </w:p>
    <w:p w14:paraId="28BCFA4A" w14:textId="0440CB8F" w:rsidR="001616E7" w:rsidRPr="00897B1B" w:rsidRDefault="001616E7" w:rsidP="00897C5B">
      <w:pPr>
        <w:pStyle w:val="Caption"/>
      </w:pPr>
      <w:bookmarkStart w:id="348" w:name="_Ref65666260"/>
      <w:r w:rsidRPr="00897B1B">
        <w:t xml:space="preserve">Figure </w:t>
      </w:r>
      <w:bookmarkEnd w:id="348"/>
      <w:r w:rsidR="00E80C8F">
        <w:t>AppB-</w:t>
      </w:r>
      <w:r w:rsidR="00BD3662">
        <w:t>2</w:t>
      </w:r>
      <w:r w:rsidRPr="00897B1B">
        <w:t xml:space="preserve"> Summary of risk of bias, assessed with Cochrane</w:t>
      </w:r>
      <w:r>
        <w:t>’s</w:t>
      </w:r>
      <w:r w:rsidRPr="00897B1B">
        <w:t xml:space="preserve"> </w:t>
      </w:r>
      <w:r>
        <w:t>Risk of Bias tool (</w:t>
      </w:r>
      <w:r w:rsidRPr="00897B1B">
        <w:t>generated by Review Manager (</w:t>
      </w:r>
      <w:proofErr w:type="spellStart"/>
      <w:r w:rsidRPr="00897B1B">
        <w:t>RevMan</w:t>
      </w:r>
      <w:proofErr w:type="spellEnd"/>
      <w:r w:rsidRPr="00897B1B">
        <w:t xml:space="preserve">) </w:t>
      </w:r>
      <w:r>
        <w:t>v5.3)</w:t>
      </w:r>
    </w:p>
    <w:p w14:paraId="74DAAC2A" w14:textId="77777777" w:rsidR="001616E7" w:rsidRPr="00897B1B" w:rsidRDefault="001616E7" w:rsidP="00897C5B">
      <w:pPr>
        <w:pStyle w:val="Heading2"/>
      </w:pPr>
      <w:bookmarkStart w:id="349" w:name="_Toc428263175"/>
      <w:bookmarkStart w:id="350" w:name="_Toc117758320"/>
      <w:r w:rsidRPr="00897B1B">
        <w:lastRenderedPageBreak/>
        <w:t>Characteristics of the Evidence Base</w:t>
      </w:r>
      <w:bookmarkEnd w:id="349"/>
      <w:bookmarkEnd w:id="350"/>
    </w:p>
    <w:p w14:paraId="040BCBCF" w14:textId="35B7338E" w:rsidR="001616E7" w:rsidRDefault="001616E7" w:rsidP="007501B9">
      <w:r>
        <w:t>Key features of the studies are</w:t>
      </w:r>
      <w:r w:rsidRPr="00897B1B">
        <w:t xml:space="preserve"> provided in </w:t>
      </w:r>
      <w:r w:rsidRPr="00897B1B">
        <w:fldChar w:fldCharType="begin"/>
      </w:r>
      <w:r w:rsidRPr="00897B1B">
        <w:instrText xml:space="preserve"> REF _Ref399236533 \h  \* MERGEFORMAT </w:instrText>
      </w:r>
      <w:r w:rsidRPr="00897B1B">
        <w:fldChar w:fldCharType="separate"/>
      </w:r>
      <w:r w:rsidR="00164214" w:rsidRPr="00897B1B">
        <w:t xml:space="preserve">Table </w:t>
      </w:r>
      <w:r w:rsidR="00164214">
        <w:rPr>
          <w:noProof/>
        </w:rPr>
        <w:t>AppB-3</w:t>
      </w:r>
      <w:r w:rsidRPr="00897B1B">
        <w:fldChar w:fldCharType="end"/>
      </w:r>
      <w:r w:rsidR="00EB6EA4">
        <w:t>.</w:t>
      </w:r>
    </w:p>
    <w:p w14:paraId="5396841D" w14:textId="44E116FD" w:rsidR="001616E7" w:rsidRDefault="001616E7" w:rsidP="007501B9">
      <w:r>
        <w:t xml:space="preserve">Furniss </w:t>
      </w:r>
      <w:r w:rsidRPr="00EB6EA4">
        <w:rPr>
          <w:i/>
        </w:rPr>
        <w:t>et al</w:t>
      </w:r>
      <w:r>
        <w:t>.,</w:t>
      </w:r>
      <w:r w:rsidRPr="00DD12A0">
        <w:t xml:space="preserve"> </w:t>
      </w:r>
      <w:r w:rsidRPr="00897B1B">
        <w:fldChar w:fldCharType="begin"/>
      </w:r>
      <w:r w:rsidR="00C86345">
        <w:instrText xml:space="preserve"> ADDIN EN.CITE &lt;EndNote&gt;&lt;Cite&gt;&lt;Author&gt;Furniss&lt;/Author&gt;&lt;Year&gt;2000&lt;/Year&gt;&lt;RecNum&gt;4&lt;/RecNum&gt;&lt;DisplayText&gt;(21)&lt;/DisplayText&gt;&lt;record&gt;&lt;rec-number&gt;4&lt;/rec-number&gt;&lt;foreign-keys&gt;&lt;key app="EN" db-id="eeezzstvhp5ss3eptfpxdww9tvawrfef0xa5" timestamp="1615264266"&gt;4&lt;/key&gt;&lt;/foreign-keys&gt;&lt;ref-type name="Journal Article"&gt;17&lt;/ref-type&gt;&lt;contributors&gt;&lt;authors&gt;&lt;author&gt;Furniss, L.&lt;/author&gt;&lt;author&gt;Burns, A.&lt;/author&gt;&lt;author&gt;Craig, S. K.&lt;/author&gt;&lt;author&gt;Scobie, S.&lt;/author&gt;&lt;author&gt;Cooke, J.&lt;/author&gt;&lt;author&gt;Faragher, B.&lt;/author&gt;&lt;/authors&gt;&lt;/contributors&gt;&lt;auth-address&gt;Withington Hospital, Manchester.&lt;/auth-address&gt;&lt;titles&gt;&lt;title&gt;Effects of a pharmacist&amp;apos;s medication review in nursing homes. Randomised controlled trial&lt;/title&gt;&lt;secondary-title&gt;Br J Psychiatry&lt;/secondary-title&gt;&lt;/titles&gt;&lt;periodical&gt;&lt;full-title&gt;Br J Psychiatry&lt;/full-title&gt;&lt;/periodical&gt;&lt;pages&gt;563-7&lt;/pages&gt;&lt;volume&gt;176&lt;/volume&gt;&lt;edition&gt;2000/09/07&lt;/edition&gt;&lt;keywords&gt;&lt;keyword&gt;Aged&lt;/keyword&gt;&lt;keyword&gt;Aged, 80 and over&lt;/keyword&gt;&lt;keyword&gt;Female&lt;/keyword&gt;&lt;keyword&gt;*Homes for the Aged&lt;/keyword&gt;&lt;keyword&gt;Humans&lt;/keyword&gt;&lt;keyword&gt;Male&lt;/keyword&gt;&lt;keyword&gt;Mental Disorders/*drug therapy&lt;/keyword&gt;&lt;keyword&gt;*Pharmacists&lt;/keyword&gt;&lt;keyword&gt;Professional Practice&lt;/keyword&gt;&lt;keyword&gt;Prospective Studies&lt;/keyword&gt;&lt;/keywords&gt;&lt;dates&gt;&lt;year&gt;2000&lt;/year&gt;&lt;pub-dates&gt;&lt;date&gt;Jun&lt;/date&gt;&lt;/pub-dates&gt;&lt;/dates&gt;&lt;isbn&gt;0007-1250 (Print)&amp;#xD;0007-1250&lt;/isbn&gt;&lt;accession-num&gt;10974963&lt;/accession-num&gt;&lt;urls&gt;&lt;/urls&gt;&lt;electronic-resource-num&gt;10.1192/bjp.176.6.563&lt;/electronic-resource-num&gt;&lt;remote-database-provider&gt;NLM&lt;/remote-database-provider&gt;&lt;language&gt;eng&lt;/language&gt;&lt;/record&gt;&lt;/Cite&gt;&lt;/EndNote&gt;</w:instrText>
      </w:r>
      <w:r w:rsidRPr="00897B1B">
        <w:fldChar w:fldCharType="separate"/>
      </w:r>
      <w:r w:rsidR="00C86345">
        <w:rPr>
          <w:noProof/>
        </w:rPr>
        <w:t>(</w:t>
      </w:r>
      <w:hyperlink w:anchor="_ENREF_21" w:tooltip="Furniss, 2000 #4" w:history="1">
        <w:r w:rsidR="00EB6EA4">
          <w:rPr>
            <w:noProof/>
          </w:rPr>
          <w:t>21</w:t>
        </w:r>
      </w:hyperlink>
      <w:r w:rsidR="00C86345">
        <w:rPr>
          <w:noProof/>
        </w:rPr>
        <w:t>)</w:t>
      </w:r>
      <w:r w:rsidRPr="00897B1B">
        <w:fldChar w:fldCharType="end"/>
      </w:r>
      <w:r>
        <w:t xml:space="preserve"> tested the effectiveness of a single medicine review with a follow-up visit at three weeks</w:t>
      </w:r>
      <w:r w:rsidR="007501B9">
        <w:t xml:space="preserve">. </w:t>
      </w:r>
      <w:r>
        <w:t xml:space="preserve">Outcomes were assessed at four and eight months. </w:t>
      </w:r>
    </w:p>
    <w:p w14:paraId="5057240D" w14:textId="353AB22C" w:rsidR="001616E7" w:rsidRDefault="001616E7" w:rsidP="007501B9">
      <w:proofErr w:type="spellStart"/>
      <w:r>
        <w:t>Frankenthal</w:t>
      </w:r>
      <w:proofErr w:type="spellEnd"/>
      <w:r>
        <w:t xml:space="preserve"> </w:t>
      </w:r>
      <w:r w:rsidR="00EB6EA4" w:rsidRPr="00EB6EA4">
        <w:rPr>
          <w:i/>
        </w:rPr>
        <w:t>et al</w:t>
      </w:r>
      <w:r>
        <w:t>.,</w:t>
      </w:r>
      <w:r w:rsidRPr="00DD12A0">
        <w:t xml:space="preserve"> </w:t>
      </w:r>
      <w:r w:rsidRPr="00897B1B">
        <w:fldChar w:fldCharType="begin"/>
      </w:r>
      <w:r w:rsidR="00C86345">
        <w:instrText xml:space="preserve"> ADDIN EN.CITE &lt;EndNote&gt;&lt;Cite&gt;&lt;Author&gt;Frankenthal&lt;/Author&gt;&lt;Year&gt;2014&lt;/Year&gt;&lt;RecNum&gt;79&lt;/RecNum&gt;&lt;DisplayText&gt;(20)&lt;/DisplayText&gt;&lt;record&gt;&lt;rec-number&gt;79&lt;/rec-number&gt;&lt;foreign-keys&gt;&lt;key app="EN" db-id="9s5z5ped05vxdnede99vfsxhtzavzdzs2d5r" timestamp="1616566370"&gt;79&lt;/key&gt;&lt;/foreign-keys&gt;&lt;ref-type name="Journal Article"&gt;17&lt;/ref-type&gt;&lt;contributors&gt;&lt;authors&gt;&lt;author&gt;Frankenthal, Dvora&lt;/author&gt;&lt;author&gt;Lerman, Yaffa&lt;/author&gt;&lt;author&gt;Kalendaryev, Edward&lt;/author&gt;&lt;author&gt;Lerman, Yehuda&lt;/author&gt;&lt;/authors&gt;&lt;/contributors&gt;&lt;titles&gt;&lt;title&gt;Intervention with the screening tool of older persons potentially inappropriate prescriptions/screening tool to alert doctors to right treatment criteria in elderly residents of a chronic geriatric facility: a randomized clinical trial&lt;/title&gt;&lt;secondary-title&gt;Journal of the American Geriatrics Society&lt;/secondary-title&gt;&lt;/titles&gt;&lt;periodical&gt;&lt;full-title&gt;Journal of the American Geriatrics Society&lt;/full-title&gt;&lt;/periodical&gt;&lt;pages&gt;1658-1665&lt;/pages&gt;&lt;volume&gt;62&lt;/volume&gt;&lt;number&gt;9&lt;/number&gt;&lt;dates&gt;&lt;year&gt;2014&lt;/year&gt;&lt;/dates&gt;&lt;isbn&gt;0002-8614&lt;/isbn&gt;&lt;urls&gt;&lt;/urls&gt;&lt;/record&gt;&lt;/Cite&gt;&lt;/EndNote&gt;</w:instrText>
      </w:r>
      <w:r w:rsidRPr="00897B1B">
        <w:fldChar w:fldCharType="separate"/>
      </w:r>
      <w:r w:rsidR="00C86345">
        <w:rPr>
          <w:noProof/>
        </w:rPr>
        <w:t>(</w:t>
      </w:r>
      <w:hyperlink w:anchor="_ENREF_20" w:tooltip="Frankenthal, 2014 #79" w:history="1">
        <w:r w:rsidR="00EB6EA4">
          <w:rPr>
            <w:noProof/>
          </w:rPr>
          <w:t>20</w:t>
        </w:r>
      </w:hyperlink>
      <w:r w:rsidR="00C86345">
        <w:rPr>
          <w:noProof/>
        </w:rPr>
        <w:t>)</w:t>
      </w:r>
      <w:r w:rsidRPr="00897B1B">
        <w:fldChar w:fldCharType="end"/>
      </w:r>
      <w:r>
        <w:t xml:space="preserve"> tested the effectiveness of a pharmacist intervention comprising 2 visits over a 6 month period. The pharmacists used the Stop/Start criteria as part of their intervention. Follow-up was at 12 months.</w:t>
      </w:r>
    </w:p>
    <w:p w14:paraId="3A0EE68E" w14:textId="192963C1" w:rsidR="001616E7" w:rsidRDefault="001616E7" w:rsidP="007501B9">
      <w:pPr>
        <w:rPr>
          <w:color w:val="1C1D1E"/>
          <w:shd w:val="clear" w:color="auto" w:fill="FFFFFF"/>
        </w:rPr>
      </w:pPr>
      <w:r>
        <w:t xml:space="preserve">Patterson </w:t>
      </w:r>
      <w:r w:rsidR="00EB6EA4" w:rsidRPr="00EB6EA4">
        <w:rPr>
          <w:i/>
        </w:rPr>
        <w:t>et al</w:t>
      </w:r>
      <w:r>
        <w:t xml:space="preserve">., </w:t>
      </w:r>
      <w:r w:rsidR="00EB6EA4">
        <w:fldChar w:fldCharType="begin"/>
      </w:r>
      <w:r w:rsidR="00EB6EA4">
        <w:instrText xml:space="preserve"> ADDIN EN.CITE &lt;EndNote&gt;&lt;Cite&gt;&lt;Author&gt;Patterson&lt;/Author&gt;&lt;Year&gt;2010&lt;/Year&gt;&lt;RecNum&gt;81&lt;/RecNum&gt;&lt;DisplayText&gt;(23)&lt;/DisplayText&gt;&lt;record&gt;&lt;rec-number&gt;81&lt;/rec-number&gt;&lt;foreign-keys&gt;&lt;key app="EN" db-id="9s5z5ped05vxdnede99vfsxhtzavzdzs2d5r" timestamp="1616566476"&gt;81&lt;/key&gt;&lt;/foreign-keys&gt;&lt;ref-type name="Journal Article"&gt;17&lt;/ref-type&gt;&lt;contributors&gt;&lt;authors&gt;&lt;author&gt;Patterson, Susan M&lt;/author&gt;&lt;author&gt;Hughes, Carmel M&lt;/author&gt;&lt;author&gt;Crealey, Grainne&lt;/author&gt;&lt;author&gt;Cardwell, Chris&lt;/author&gt;&lt;author&gt;Lapane, Kate L&lt;/author&gt;&lt;/authors&gt;&lt;/contributors&gt;&lt;titles&gt;&lt;title&gt;An evaluation of an adapted US model of pharmaceutical care to improve psychoactive prescribing for nursing home residents in Northern Ireland (Fleetwood Northern Ireland study)&lt;/title&gt;&lt;secondary-title&gt;Journal of the American Geriatrics Society&lt;/secondary-title&gt;&lt;/titles&gt;&lt;periodical&gt;&lt;full-title&gt;Journal of the American Geriatrics Society&lt;/full-title&gt;&lt;/periodical&gt;&lt;pages&gt;44-53&lt;/pages&gt;&lt;volume&gt;58&lt;/volume&gt;&lt;number&gt;1&lt;/number&gt;&lt;dates&gt;&lt;year&gt;2010&lt;/year&gt;&lt;/dates&gt;&lt;isbn&gt;0002-8614&lt;/isbn&gt;&lt;urls&gt;&lt;/urls&gt;&lt;/record&gt;&lt;/Cite&gt;&lt;/EndNote&gt;</w:instrText>
      </w:r>
      <w:r w:rsidR="00EB6EA4">
        <w:fldChar w:fldCharType="separate"/>
      </w:r>
      <w:r w:rsidR="00EB6EA4">
        <w:rPr>
          <w:noProof/>
        </w:rPr>
        <w:t>(</w:t>
      </w:r>
      <w:hyperlink w:anchor="_ENREF_23" w:tooltip="Patterson, 2010 #81" w:history="1">
        <w:r w:rsidR="00EB6EA4">
          <w:rPr>
            <w:noProof/>
          </w:rPr>
          <w:t>23</w:t>
        </w:r>
      </w:hyperlink>
      <w:r w:rsidR="00EB6EA4">
        <w:rPr>
          <w:noProof/>
        </w:rPr>
        <w:t>)</w:t>
      </w:r>
      <w:r w:rsidR="00EB6EA4">
        <w:fldChar w:fldCharType="end"/>
      </w:r>
      <w:r w:rsidR="00EB6EA4">
        <w:t xml:space="preserve"> </w:t>
      </w:r>
      <w:r>
        <w:t xml:space="preserve">tested the effectiveness of monthly pharmacist services to aged-care residents with a focus on reducing use of psychoactive medicines. Pharmacists were supported with an algorithm adapted from a previous study. “[Pharmacists] </w:t>
      </w:r>
      <w:r w:rsidRPr="00CA50D4">
        <w:rPr>
          <w:i/>
          <w:color w:val="1C1D1E"/>
          <w:shd w:val="clear" w:color="auto" w:fill="FFFFFF"/>
        </w:rPr>
        <w:t>assessed the pharmaceutical care needs of each resident by interviewing the residents, their named nurses and their family members or caregivers. Potential and actual medication</w:t>
      </w:r>
      <w:r w:rsidRPr="00CA50D4">
        <w:rPr>
          <w:rFonts w:ascii="Cambria Math" w:hAnsi="Cambria Math" w:cs="Cambria Math"/>
          <w:i/>
          <w:color w:val="1C1D1E"/>
          <w:shd w:val="clear" w:color="auto" w:fill="FFFFFF"/>
        </w:rPr>
        <w:t>‐</w:t>
      </w:r>
      <w:r w:rsidRPr="00CA50D4">
        <w:rPr>
          <w:i/>
          <w:color w:val="1C1D1E"/>
          <w:shd w:val="clear" w:color="auto" w:fill="FFFFFF"/>
        </w:rPr>
        <w:t>related problems were identified, and recommendations for intervention were recorded. An algorithmic approach adapted from a previous study</w:t>
      </w:r>
      <w:hyperlink r:id="rId52" w:anchor="b16" w:history="1"/>
      <w:r w:rsidRPr="00CA50D4">
        <w:rPr>
          <w:i/>
          <w:color w:val="1C1D1E"/>
          <w:shd w:val="clear" w:color="auto" w:fill="FFFFFF"/>
        </w:rPr>
        <w:t> was used as a guide for study pharmacists to ascertain whether participating residents were receiving inappropriate psychoactive medication</w:t>
      </w:r>
      <w:r>
        <w:rPr>
          <w:i/>
          <w:color w:val="1C1D1E"/>
          <w:shd w:val="clear" w:color="auto" w:fill="FFFFFF"/>
        </w:rPr>
        <w:t>.</w:t>
      </w:r>
      <w:r w:rsidRPr="00A35B30">
        <w:rPr>
          <w:i/>
          <w:color w:val="1C1D1E"/>
          <w:shd w:val="clear" w:color="auto" w:fill="FFFFFF"/>
        </w:rPr>
        <w:t xml:space="preserve"> </w:t>
      </w:r>
      <w:r w:rsidRPr="00CA50D4">
        <w:rPr>
          <w:i/>
          <w:color w:val="1C1D1E"/>
          <w:shd w:val="clear" w:color="auto" w:fill="FFFFFF"/>
        </w:rPr>
        <w:t>”</w:t>
      </w:r>
      <w:r>
        <w:rPr>
          <w:i/>
          <w:color w:val="1C1D1E"/>
          <w:shd w:val="clear" w:color="auto" w:fill="FFFFFF"/>
        </w:rPr>
        <w:t xml:space="preserve"> </w:t>
      </w:r>
      <w:r w:rsidRPr="00A35B30">
        <w:rPr>
          <w:color w:val="1C1D1E"/>
          <w:shd w:val="clear" w:color="auto" w:fill="FFFFFF"/>
        </w:rPr>
        <w:t>Intervention participants were followed up monthly.</w:t>
      </w:r>
      <w:r>
        <w:rPr>
          <w:i/>
          <w:color w:val="1C1D1E"/>
          <w:shd w:val="clear" w:color="auto" w:fill="FFFFFF"/>
        </w:rPr>
        <w:t xml:space="preserve"> </w:t>
      </w:r>
      <w:r>
        <w:rPr>
          <w:color w:val="1C1D1E"/>
          <w:shd w:val="clear" w:color="auto" w:fill="FFFFFF"/>
        </w:rPr>
        <w:t xml:space="preserve">Follow-up was at 12 months. </w:t>
      </w:r>
    </w:p>
    <w:p w14:paraId="0A06A772" w14:textId="09826B3E" w:rsidR="006056B9" w:rsidRDefault="001616E7" w:rsidP="007501B9">
      <w:pPr>
        <w:rPr>
          <w:rFonts w:cstheme="minorHAnsi"/>
          <w:color w:val="1C1D1E"/>
          <w:shd w:val="clear" w:color="auto" w:fill="FFFFFF"/>
        </w:rPr>
      </w:pPr>
      <w:proofErr w:type="spellStart"/>
      <w:r>
        <w:rPr>
          <w:rFonts w:cstheme="minorHAnsi"/>
          <w:color w:val="1C1D1E"/>
          <w:shd w:val="clear" w:color="auto" w:fill="FFFFFF"/>
        </w:rPr>
        <w:t>Lapane</w:t>
      </w:r>
      <w:proofErr w:type="spellEnd"/>
      <w:r>
        <w:rPr>
          <w:rFonts w:cstheme="minorHAnsi"/>
          <w:color w:val="1C1D1E"/>
          <w:shd w:val="clear" w:color="auto" w:fill="FFFFFF"/>
        </w:rPr>
        <w:t xml:space="preserve"> </w:t>
      </w:r>
      <w:r w:rsidRPr="00EB6EA4">
        <w:rPr>
          <w:rFonts w:cstheme="minorHAnsi"/>
          <w:i/>
          <w:color w:val="1C1D1E"/>
          <w:shd w:val="clear" w:color="auto" w:fill="FFFFFF"/>
        </w:rPr>
        <w:t>et al</w:t>
      </w:r>
      <w:r>
        <w:rPr>
          <w:rFonts w:cstheme="minorHAnsi"/>
          <w:color w:val="1C1D1E"/>
          <w:shd w:val="clear" w:color="auto" w:fill="FFFFFF"/>
        </w:rPr>
        <w:t>.,</w:t>
      </w:r>
      <w:r w:rsidRPr="00DD12A0">
        <w:t xml:space="preserve"> </w:t>
      </w:r>
      <w:r w:rsidRPr="00897B1B">
        <w:fldChar w:fldCharType="begin"/>
      </w:r>
      <w:r w:rsidR="00C86345">
        <w:instrText xml:space="preserve"> ADDIN EN.CITE &lt;EndNote&gt;&lt;Cite&gt;&lt;Author&gt;Lapane&lt;/Author&gt;&lt;Year&gt;2011&lt;/Year&gt;&lt;RecNum&gt;80&lt;/RecNum&gt;&lt;DisplayText&gt;(22)&lt;/DisplayText&gt;&lt;record&gt;&lt;rec-number&gt;80&lt;/rec-number&gt;&lt;foreign-keys&gt;&lt;key app="EN" db-id="9s5z5ped05vxdnede99vfsxhtzavzdzs2d5r" timestamp="1616566440"&gt;80&lt;/key&gt;&lt;/foreign-keys&gt;&lt;ref-type name="Journal Article"&gt;17&lt;/ref-type&gt;&lt;contributors&gt;&lt;authors&gt;&lt;author&gt;Lapane, Kate L&lt;/author&gt;&lt;author&gt;Hughes, Carmel M&lt;/author&gt;&lt;author&gt;Daiello, Lori A&lt;/author&gt;&lt;author&gt;Cameron, Kathleen A&lt;/author&gt;&lt;author&gt;Feinberg, Janice&lt;/author&gt;&lt;/authors&gt;&lt;/contributors&gt;&lt;titles&gt;&lt;title&gt;Effect of a pharmacist</w:instrText>
      </w:r>
      <w:r w:rsidR="00C86345">
        <w:rPr>
          <w:rFonts w:ascii="Cambria Math" w:hAnsi="Cambria Math" w:cs="Cambria Math"/>
        </w:rPr>
        <w:instrText>‐</w:instrText>
      </w:r>
      <w:r w:rsidR="00C86345">
        <w:instrText>led multicomponent intervention focusing on the medication monitoring phase to prevent potential adverse drug events in nursing homes&lt;/title&gt;&lt;secondary-title&gt;Journal of the American Geriatrics Society&lt;/secondary-title&gt;&lt;/titles&gt;&lt;periodical&gt;&lt;full-title&gt;Journal of the American Geriatrics Society&lt;/full-title&gt;&lt;/periodical&gt;&lt;pages&gt;1238-1245&lt;/pages&gt;&lt;volume&gt;59&lt;/volume&gt;&lt;number&gt;7&lt;/number&gt;&lt;dates&gt;&lt;year&gt;2011&lt;/year&gt;&lt;/dates&gt;&lt;isbn&gt;0002-8614&lt;/isbn&gt;&lt;urls&gt;&lt;/urls&gt;&lt;/record&gt;&lt;/Cite&gt;&lt;/EndNote&gt;</w:instrText>
      </w:r>
      <w:r w:rsidRPr="00897B1B">
        <w:fldChar w:fldCharType="separate"/>
      </w:r>
      <w:r w:rsidR="00C86345">
        <w:rPr>
          <w:noProof/>
        </w:rPr>
        <w:t>(</w:t>
      </w:r>
      <w:hyperlink w:anchor="_ENREF_22" w:tooltip="Lapane, 2011 #80" w:history="1">
        <w:r w:rsidR="00EB6EA4">
          <w:rPr>
            <w:noProof/>
          </w:rPr>
          <w:t>22</w:t>
        </w:r>
      </w:hyperlink>
      <w:r w:rsidR="00C86345">
        <w:rPr>
          <w:noProof/>
        </w:rPr>
        <w:t>)</w:t>
      </w:r>
      <w:r w:rsidRPr="00897B1B">
        <w:fldChar w:fldCharType="end"/>
      </w:r>
      <w:r>
        <w:rPr>
          <w:rFonts w:cstheme="minorHAnsi"/>
          <w:color w:val="1C1D1E"/>
          <w:shd w:val="clear" w:color="auto" w:fill="FFFFFF"/>
        </w:rPr>
        <w:t xml:space="preserve"> tested the effectiveness of an algorithm generated from the clinical record to support pharmacists undertaking medicine reviews</w:t>
      </w:r>
      <w:r w:rsidR="007501B9">
        <w:rPr>
          <w:rFonts w:cstheme="minorHAnsi"/>
          <w:color w:val="1C1D1E"/>
          <w:shd w:val="clear" w:color="auto" w:fill="FFFFFF"/>
        </w:rPr>
        <w:t xml:space="preserve">. </w:t>
      </w:r>
      <w:r>
        <w:rPr>
          <w:rFonts w:cstheme="minorHAnsi"/>
          <w:color w:val="1C1D1E"/>
          <w:shd w:val="clear" w:color="auto" w:fill="FFFFFF"/>
        </w:rPr>
        <w:t>Pharmacists visited the facility monthly, with algorithms generated for all residents newly admitted as well as for all residents with a recent fall or case of delirium</w:t>
      </w:r>
      <w:r w:rsidR="007501B9">
        <w:rPr>
          <w:rFonts w:cstheme="minorHAnsi"/>
          <w:color w:val="1C1D1E"/>
          <w:shd w:val="clear" w:color="auto" w:fill="FFFFFF"/>
        </w:rPr>
        <w:t xml:space="preserve">. </w:t>
      </w:r>
      <w:r>
        <w:rPr>
          <w:rFonts w:cstheme="minorHAnsi"/>
          <w:color w:val="1C1D1E"/>
          <w:shd w:val="clear" w:color="auto" w:fill="FFFFFF"/>
        </w:rPr>
        <w:t>Mandated medicine reviews occurred quarterly or yearly as required</w:t>
      </w:r>
      <w:r w:rsidR="007501B9">
        <w:rPr>
          <w:rFonts w:cstheme="minorHAnsi"/>
          <w:color w:val="1C1D1E"/>
          <w:shd w:val="clear" w:color="auto" w:fill="FFFFFF"/>
        </w:rPr>
        <w:t xml:space="preserve">. </w:t>
      </w:r>
      <w:r>
        <w:rPr>
          <w:rFonts w:cstheme="minorHAnsi"/>
          <w:color w:val="1C1D1E"/>
          <w:shd w:val="clear" w:color="auto" w:fill="FFFFFF"/>
        </w:rPr>
        <w:t xml:space="preserve">The usual care group received a similar number of interventions as the intervention </w:t>
      </w:r>
      <w:proofErr w:type="gramStart"/>
      <w:r>
        <w:rPr>
          <w:rFonts w:cstheme="minorHAnsi"/>
          <w:color w:val="1C1D1E"/>
          <w:shd w:val="clear" w:color="auto" w:fill="FFFFFF"/>
        </w:rPr>
        <w:t>group,</w:t>
      </w:r>
      <w:proofErr w:type="gramEnd"/>
      <w:r>
        <w:rPr>
          <w:rFonts w:cstheme="minorHAnsi"/>
          <w:color w:val="1C1D1E"/>
          <w:shd w:val="clear" w:color="auto" w:fill="FFFFFF"/>
        </w:rPr>
        <w:t xml:space="preserve"> thus this intervention is really testing the additional benefit of the algorithm rath</w:t>
      </w:r>
      <w:r w:rsidR="00EB6EA4">
        <w:rPr>
          <w:rFonts w:cstheme="minorHAnsi"/>
          <w:color w:val="1C1D1E"/>
          <w:shd w:val="clear" w:color="auto" w:fill="FFFFFF"/>
        </w:rPr>
        <w:t>er than the pharmacist service.</w:t>
      </w:r>
    </w:p>
    <w:tbl>
      <w:tblPr>
        <w:tblW w:w="5000" w:type="pct"/>
        <w:tblLook w:val="0000" w:firstRow="0" w:lastRow="0" w:firstColumn="0" w:lastColumn="0" w:noHBand="0" w:noVBand="0"/>
        <w:tblCaption w:val="Key features of the included evidence comparing the Intervention and Control group"/>
        <w:tblDescription w:val="Key features of the included evidence comparing the Intervention and Control group"/>
      </w:tblPr>
      <w:tblGrid>
        <w:gridCol w:w="1271"/>
        <w:gridCol w:w="991"/>
        <w:gridCol w:w="1276"/>
        <w:gridCol w:w="1133"/>
        <w:gridCol w:w="1416"/>
        <w:gridCol w:w="1276"/>
        <w:gridCol w:w="1647"/>
      </w:tblGrid>
      <w:tr w:rsidR="00F7292C" w:rsidRPr="0033621F" w14:paraId="784FDD8F" w14:textId="77777777" w:rsidTr="0033621F">
        <w:trPr>
          <w:trHeight w:val="434"/>
          <w:tblHeader/>
        </w:trPr>
        <w:tc>
          <w:tcPr>
            <w:tcW w:w="705" w:type="pct"/>
            <w:tcBorders>
              <w:top w:val="single" w:sz="6" w:space="0" w:color="auto"/>
              <w:left w:val="single" w:sz="6" w:space="0" w:color="auto"/>
              <w:bottom w:val="single" w:sz="6" w:space="0" w:color="auto"/>
              <w:right w:val="single" w:sz="6" w:space="0" w:color="auto"/>
            </w:tcBorders>
            <w:shd w:val="clear" w:color="auto" w:fill="000000" w:themeFill="text1"/>
          </w:tcPr>
          <w:p w14:paraId="076FB186" w14:textId="53A1702B" w:rsidR="00F7292C" w:rsidRPr="0033621F" w:rsidRDefault="00F7292C" w:rsidP="0033621F">
            <w:pPr>
              <w:pStyle w:val="TableHeader"/>
              <w:rPr>
                <w:rFonts w:ascii="Arial Narrow" w:hAnsi="Arial Narrow"/>
                <w:sz w:val="20"/>
                <w:szCs w:val="20"/>
              </w:rPr>
            </w:pPr>
            <w:bookmarkStart w:id="351" w:name="Title_44" w:colFirst="0" w:colLast="0"/>
            <w:r w:rsidRPr="0033621F">
              <w:rPr>
                <w:rFonts w:ascii="Arial Narrow" w:hAnsi="Arial Narrow"/>
                <w:sz w:val="20"/>
                <w:szCs w:val="20"/>
              </w:rPr>
              <w:t>Trial/Study</w:t>
            </w:r>
            <w:bookmarkStart w:id="352" w:name="Title_45"/>
            <w:bookmarkEnd w:id="352"/>
          </w:p>
        </w:tc>
        <w:tc>
          <w:tcPr>
            <w:tcW w:w="550" w:type="pct"/>
            <w:tcBorders>
              <w:top w:val="single" w:sz="6" w:space="0" w:color="auto"/>
              <w:left w:val="single" w:sz="6" w:space="0" w:color="auto"/>
              <w:bottom w:val="single" w:sz="6" w:space="0" w:color="auto"/>
              <w:right w:val="single" w:sz="6" w:space="0" w:color="auto"/>
            </w:tcBorders>
            <w:shd w:val="clear" w:color="auto" w:fill="000000" w:themeFill="text1"/>
          </w:tcPr>
          <w:p w14:paraId="62FA1275" w14:textId="7358FE74" w:rsidR="00F7292C" w:rsidRPr="0033621F" w:rsidRDefault="00F7292C" w:rsidP="0033621F">
            <w:pPr>
              <w:pStyle w:val="TableHeader"/>
              <w:rPr>
                <w:rFonts w:ascii="Arial Narrow" w:hAnsi="Arial Narrow"/>
                <w:sz w:val="20"/>
                <w:szCs w:val="20"/>
              </w:rPr>
            </w:pPr>
            <w:r w:rsidRPr="0033621F">
              <w:rPr>
                <w:rFonts w:ascii="Arial Narrow" w:hAnsi="Arial Narrow"/>
                <w:sz w:val="20"/>
                <w:szCs w:val="20"/>
              </w:rPr>
              <w:t>Country</w:t>
            </w:r>
          </w:p>
        </w:tc>
        <w:tc>
          <w:tcPr>
            <w:tcW w:w="708" w:type="pct"/>
            <w:tcBorders>
              <w:top w:val="single" w:sz="6" w:space="0" w:color="auto"/>
              <w:left w:val="single" w:sz="6" w:space="0" w:color="auto"/>
              <w:bottom w:val="single" w:sz="6" w:space="0" w:color="auto"/>
              <w:right w:val="single" w:sz="6" w:space="0" w:color="auto"/>
            </w:tcBorders>
            <w:shd w:val="clear" w:color="auto" w:fill="000000" w:themeFill="text1"/>
          </w:tcPr>
          <w:p w14:paraId="62799BEE" w14:textId="77777777" w:rsidR="00F7292C" w:rsidRPr="0033621F" w:rsidRDefault="00F7292C" w:rsidP="0033621F">
            <w:pPr>
              <w:pStyle w:val="TableHeader"/>
              <w:rPr>
                <w:rFonts w:ascii="Arial Narrow" w:hAnsi="Arial Narrow"/>
                <w:sz w:val="20"/>
                <w:szCs w:val="20"/>
              </w:rPr>
            </w:pPr>
            <w:r w:rsidRPr="0033621F">
              <w:rPr>
                <w:rFonts w:ascii="Arial Narrow" w:hAnsi="Arial Narrow"/>
                <w:sz w:val="20"/>
                <w:szCs w:val="20"/>
              </w:rPr>
              <w:t>Total,</w:t>
            </w:r>
          </w:p>
          <w:p w14:paraId="2EA2F5DC" w14:textId="7F1C4F07" w:rsidR="00F7292C" w:rsidRPr="0033621F" w:rsidRDefault="00F7292C" w:rsidP="0033621F">
            <w:pPr>
              <w:pStyle w:val="TableHeader"/>
              <w:rPr>
                <w:rFonts w:ascii="Arial Narrow" w:hAnsi="Arial Narrow"/>
                <w:sz w:val="20"/>
                <w:szCs w:val="20"/>
              </w:rPr>
            </w:pPr>
            <w:r w:rsidRPr="0033621F">
              <w:rPr>
                <w:rFonts w:ascii="Arial Narrow" w:hAnsi="Arial Narrow"/>
                <w:sz w:val="20"/>
                <w:szCs w:val="20"/>
              </w:rPr>
              <w:t xml:space="preserve">No of participants </w:t>
            </w:r>
          </w:p>
        </w:tc>
        <w:tc>
          <w:tcPr>
            <w:tcW w:w="629" w:type="pct"/>
            <w:tcBorders>
              <w:top w:val="single" w:sz="6" w:space="0" w:color="auto"/>
              <w:left w:val="single" w:sz="6" w:space="0" w:color="auto"/>
              <w:bottom w:val="single" w:sz="6" w:space="0" w:color="auto"/>
              <w:right w:val="single" w:sz="6" w:space="0" w:color="auto"/>
            </w:tcBorders>
            <w:shd w:val="clear" w:color="auto" w:fill="000000" w:themeFill="text1"/>
          </w:tcPr>
          <w:p w14:paraId="17646313" w14:textId="1BCB03F5" w:rsidR="00F7292C" w:rsidRPr="0033621F" w:rsidRDefault="00F7292C" w:rsidP="0033621F">
            <w:pPr>
              <w:pStyle w:val="TableHeader"/>
              <w:rPr>
                <w:rFonts w:ascii="Arial Narrow" w:hAnsi="Arial Narrow"/>
                <w:sz w:val="20"/>
                <w:szCs w:val="20"/>
              </w:rPr>
            </w:pPr>
            <w:r w:rsidRPr="0033621F">
              <w:rPr>
                <w:rFonts w:ascii="Arial Narrow" w:hAnsi="Arial Narrow"/>
                <w:sz w:val="20"/>
                <w:szCs w:val="20"/>
              </w:rPr>
              <w:t xml:space="preserve">No of nursing homes </w:t>
            </w:r>
          </w:p>
        </w:tc>
        <w:tc>
          <w:tcPr>
            <w:tcW w:w="786" w:type="pct"/>
            <w:tcBorders>
              <w:top w:val="single" w:sz="6" w:space="0" w:color="auto"/>
              <w:left w:val="single" w:sz="6" w:space="0" w:color="auto"/>
              <w:bottom w:val="single" w:sz="6" w:space="0" w:color="auto"/>
              <w:right w:val="single" w:sz="6" w:space="0" w:color="auto"/>
            </w:tcBorders>
            <w:shd w:val="clear" w:color="auto" w:fill="000000" w:themeFill="text1"/>
          </w:tcPr>
          <w:p w14:paraId="0139827C" w14:textId="65A7BF6C" w:rsidR="00F7292C" w:rsidRPr="0033621F" w:rsidRDefault="00F7292C" w:rsidP="0033621F">
            <w:pPr>
              <w:pStyle w:val="TableHeader"/>
              <w:rPr>
                <w:rFonts w:ascii="Arial Narrow" w:hAnsi="Arial Narrow"/>
                <w:sz w:val="20"/>
                <w:szCs w:val="20"/>
              </w:rPr>
            </w:pPr>
            <w:r w:rsidRPr="0033621F">
              <w:rPr>
                <w:rFonts w:ascii="Arial Narrow" w:hAnsi="Arial Narrow"/>
                <w:sz w:val="20"/>
                <w:szCs w:val="20"/>
              </w:rPr>
              <w:t>Design/ duration</w:t>
            </w:r>
          </w:p>
        </w:tc>
        <w:tc>
          <w:tcPr>
            <w:tcW w:w="708" w:type="pct"/>
            <w:tcBorders>
              <w:top w:val="single" w:sz="6" w:space="0" w:color="auto"/>
              <w:left w:val="single" w:sz="6" w:space="0" w:color="auto"/>
              <w:bottom w:val="single" w:sz="6" w:space="0" w:color="auto"/>
              <w:right w:val="single" w:sz="6" w:space="0" w:color="auto"/>
            </w:tcBorders>
            <w:shd w:val="clear" w:color="auto" w:fill="000000" w:themeFill="text1"/>
          </w:tcPr>
          <w:p w14:paraId="164F7377" w14:textId="6F67889E" w:rsidR="00F7292C" w:rsidRPr="0033621F" w:rsidRDefault="00F7292C" w:rsidP="0033621F">
            <w:pPr>
              <w:pStyle w:val="TableHeader"/>
              <w:rPr>
                <w:rFonts w:ascii="Arial Narrow" w:hAnsi="Arial Narrow"/>
                <w:sz w:val="20"/>
                <w:szCs w:val="20"/>
              </w:rPr>
            </w:pPr>
            <w:r w:rsidRPr="0033621F">
              <w:rPr>
                <w:rFonts w:ascii="Arial Narrow" w:hAnsi="Arial Narrow"/>
                <w:sz w:val="20"/>
                <w:szCs w:val="20"/>
              </w:rPr>
              <w:t>Patient population</w:t>
            </w:r>
          </w:p>
        </w:tc>
        <w:tc>
          <w:tcPr>
            <w:tcW w:w="914" w:type="pct"/>
            <w:tcBorders>
              <w:top w:val="single" w:sz="6" w:space="0" w:color="auto"/>
              <w:left w:val="single" w:sz="6" w:space="0" w:color="auto"/>
              <w:bottom w:val="single" w:sz="6" w:space="0" w:color="auto"/>
              <w:right w:val="single" w:sz="6" w:space="0" w:color="auto"/>
            </w:tcBorders>
            <w:shd w:val="clear" w:color="auto" w:fill="000000" w:themeFill="text1"/>
          </w:tcPr>
          <w:p w14:paraId="010D5A5A" w14:textId="71F1154C" w:rsidR="00F7292C" w:rsidRPr="0033621F" w:rsidRDefault="00F7292C" w:rsidP="0033621F">
            <w:pPr>
              <w:pStyle w:val="TableHeader"/>
              <w:rPr>
                <w:rFonts w:ascii="Arial Narrow" w:hAnsi="Arial Narrow"/>
                <w:sz w:val="20"/>
                <w:szCs w:val="20"/>
              </w:rPr>
            </w:pPr>
            <w:r w:rsidRPr="0033621F">
              <w:rPr>
                <w:rFonts w:ascii="Arial Narrow" w:hAnsi="Arial Narrow"/>
                <w:sz w:val="20"/>
                <w:szCs w:val="20"/>
              </w:rPr>
              <w:t>Key outcome(s)</w:t>
            </w:r>
          </w:p>
        </w:tc>
      </w:tr>
      <w:bookmarkEnd w:id="351"/>
      <w:tr w:rsidR="00F7292C" w:rsidRPr="0033621F" w14:paraId="7B339D26" w14:textId="77777777" w:rsidTr="00F7292C">
        <w:trPr>
          <w:trHeight w:val="1176"/>
        </w:trPr>
        <w:tc>
          <w:tcPr>
            <w:tcW w:w="705" w:type="pct"/>
            <w:tcBorders>
              <w:top w:val="single" w:sz="6" w:space="0" w:color="auto"/>
              <w:left w:val="single" w:sz="6" w:space="0" w:color="auto"/>
              <w:bottom w:val="single" w:sz="6" w:space="0" w:color="auto"/>
              <w:right w:val="single" w:sz="6" w:space="0" w:color="auto"/>
            </w:tcBorders>
          </w:tcPr>
          <w:p w14:paraId="2AF3BB9D" w14:textId="77777777" w:rsidR="00F7292C" w:rsidRPr="0033621F" w:rsidRDefault="00F7292C" w:rsidP="0033621F">
            <w:pPr>
              <w:pStyle w:val="Tabletext1"/>
              <w:rPr>
                <w:rFonts w:ascii="Arial Narrow" w:hAnsi="Arial Narrow"/>
                <w:b/>
                <w:bCs/>
                <w:szCs w:val="20"/>
              </w:rPr>
            </w:pPr>
            <w:proofErr w:type="spellStart"/>
            <w:r w:rsidRPr="0033621F">
              <w:rPr>
                <w:rFonts w:ascii="Arial Narrow" w:hAnsi="Arial Narrow"/>
                <w:b/>
                <w:bCs/>
                <w:szCs w:val="20"/>
              </w:rPr>
              <w:t>Frankenthal</w:t>
            </w:r>
            <w:proofErr w:type="spellEnd"/>
            <w:r w:rsidRPr="0033621F">
              <w:rPr>
                <w:rFonts w:ascii="Arial Narrow" w:hAnsi="Arial Narrow"/>
                <w:b/>
                <w:bCs/>
                <w:szCs w:val="20"/>
              </w:rPr>
              <w:t xml:space="preserve"> 2014</w:t>
            </w:r>
          </w:p>
        </w:tc>
        <w:tc>
          <w:tcPr>
            <w:tcW w:w="550" w:type="pct"/>
            <w:tcBorders>
              <w:top w:val="single" w:sz="6" w:space="0" w:color="auto"/>
              <w:left w:val="single" w:sz="6" w:space="0" w:color="auto"/>
              <w:bottom w:val="single" w:sz="6" w:space="0" w:color="auto"/>
              <w:right w:val="single" w:sz="6" w:space="0" w:color="auto"/>
            </w:tcBorders>
          </w:tcPr>
          <w:p w14:paraId="637138A5" w14:textId="77777777" w:rsidR="00F7292C" w:rsidRPr="0033621F" w:rsidRDefault="00F7292C" w:rsidP="0033621F">
            <w:pPr>
              <w:pStyle w:val="Tabletext1"/>
              <w:rPr>
                <w:rFonts w:ascii="Arial Narrow" w:hAnsi="Arial Narrow"/>
                <w:szCs w:val="20"/>
              </w:rPr>
            </w:pPr>
            <w:r w:rsidRPr="0033621F">
              <w:rPr>
                <w:rFonts w:ascii="Arial Narrow" w:hAnsi="Arial Narrow"/>
                <w:szCs w:val="20"/>
              </w:rPr>
              <w:t>Israel</w:t>
            </w:r>
          </w:p>
        </w:tc>
        <w:tc>
          <w:tcPr>
            <w:tcW w:w="708" w:type="pct"/>
            <w:tcBorders>
              <w:top w:val="single" w:sz="6" w:space="0" w:color="auto"/>
              <w:left w:val="single" w:sz="6" w:space="0" w:color="auto"/>
              <w:bottom w:val="single" w:sz="6" w:space="0" w:color="auto"/>
              <w:right w:val="single" w:sz="6" w:space="0" w:color="auto"/>
            </w:tcBorders>
          </w:tcPr>
          <w:p w14:paraId="6BF8FEF0" w14:textId="77777777" w:rsidR="00F7292C" w:rsidRPr="0033621F" w:rsidRDefault="00F7292C" w:rsidP="0033621F">
            <w:pPr>
              <w:pStyle w:val="Tabletext1"/>
              <w:jc w:val="right"/>
              <w:rPr>
                <w:rFonts w:ascii="Arial Narrow" w:hAnsi="Arial Narrow"/>
                <w:szCs w:val="20"/>
              </w:rPr>
            </w:pPr>
            <w:r w:rsidRPr="0033621F">
              <w:rPr>
                <w:rFonts w:ascii="Arial Narrow" w:hAnsi="Arial Narrow"/>
                <w:szCs w:val="20"/>
              </w:rPr>
              <w:t>359</w:t>
            </w:r>
          </w:p>
          <w:p w14:paraId="7476F43B" w14:textId="77777777" w:rsidR="00F7292C" w:rsidRPr="0033621F" w:rsidRDefault="00F7292C" w:rsidP="0033621F">
            <w:pPr>
              <w:pStyle w:val="Tabletext1"/>
              <w:jc w:val="right"/>
              <w:rPr>
                <w:rFonts w:ascii="Arial Narrow" w:hAnsi="Arial Narrow"/>
                <w:szCs w:val="20"/>
              </w:rPr>
            </w:pPr>
            <w:r w:rsidRPr="0033621F">
              <w:rPr>
                <w:rFonts w:ascii="Arial Narrow" w:hAnsi="Arial Narrow"/>
                <w:szCs w:val="20"/>
              </w:rPr>
              <w:t xml:space="preserve">183 </w:t>
            </w:r>
            <w:proofErr w:type="gramStart"/>
            <w:r w:rsidRPr="0033621F">
              <w:rPr>
                <w:rFonts w:ascii="Arial Narrow" w:hAnsi="Arial Narrow"/>
                <w:szCs w:val="20"/>
              </w:rPr>
              <w:t>intervention</w:t>
            </w:r>
            <w:proofErr w:type="gramEnd"/>
          </w:p>
          <w:p w14:paraId="0996FE24" w14:textId="3BE50571" w:rsidR="00F7292C" w:rsidRPr="0033621F" w:rsidRDefault="00F7292C" w:rsidP="0033621F">
            <w:pPr>
              <w:pStyle w:val="Tabletext1"/>
              <w:jc w:val="right"/>
              <w:rPr>
                <w:rFonts w:ascii="Arial Narrow" w:hAnsi="Arial Narrow"/>
                <w:szCs w:val="20"/>
              </w:rPr>
            </w:pPr>
            <w:r w:rsidRPr="0033621F">
              <w:rPr>
                <w:rFonts w:ascii="Arial Narrow" w:hAnsi="Arial Narrow"/>
                <w:szCs w:val="20"/>
              </w:rPr>
              <w:t xml:space="preserve">176 </w:t>
            </w:r>
            <w:proofErr w:type="gramStart"/>
            <w:r w:rsidRPr="0033621F">
              <w:rPr>
                <w:rFonts w:ascii="Arial Narrow" w:hAnsi="Arial Narrow"/>
                <w:szCs w:val="20"/>
              </w:rPr>
              <w:t>control</w:t>
            </w:r>
            <w:proofErr w:type="gramEnd"/>
          </w:p>
        </w:tc>
        <w:tc>
          <w:tcPr>
            <w:tcW w:w="629" w:type="pct"/>
            <w:tcBorders>
              <w:top w:val="single" w:sz="6" w:space="0" w:color="auto"/>
              <w:left w:val="single" w:sz="6" w:space="0" w:color="auto"/>
              <w:bottom w:val="single" w:sz="6" w:space="0" w:color="auto"/>
              <w:right w:val="single" w:sz="6" w:space="0" w:color="auto"/>
            </w:tcBorders>
          </w:tcPr>
          <w:p w14:paraId="4C34D82F" w14:textId="77777777" w:rsidR="00F7292C" w:rsidRPr="0033621F" w:rsidRDefault="00F7292C" w:rsidP="0033621F">
            <w:pPr>
              <w:pStyle w:val="Tabletext1"/>
              <w:jc w:val="right"/>
              <w:rPr>
                <w:rFonts w:ascii="Arial Narrow" w:hAnsi="Arial Narrow"/>
                <w:szCs w:val="20"/>
              </w:rPr>
            </w:pPr>
            <w:r w:rsidRPr="0033621F">
              <w:rPr>
                <w:rFonts w:ascii="Arial Narrow" w:hAnsi="Arial Narrow"/>
                <w:szCs w:val="20"/>
              </w:rPr>
              <w:t>1</w:t>
            </w:r>
          </w:p>
        </w:tc>
        <w:tc>
          <w:tcPr>
            <w:tcW w:w="786" w:type="pct"/>
            <w:tcBorders>
              <w:top w:val="single" w:sz="6" w:space="0" w:color="auto"/>
              <w:left w:val="single" w:sz="6" w:space="0" w:color="auto"/>
              <w:bottom w:val="single" w:sz="6" w:space="0" w:color="auto"/>
              <w:right w:val="single" w:sz="6" w:space="0" w:color="auto"/>
            </w:tcBorders>
          </w:tcPr>
          <w:p w14:paraId="22566DE3" w14:textId="77777777" w:rsidR="00F7292C" w:rsidRPr="0033621F" w:rsidRDefault="00F7292C" w:rsidP="0033621F">
            <w:pPr>
              <w:pStyle w:val="Tabletext1"/>
              <w:rPr>
                <w:rFonts w:ascii="Arial Narrow" w:hAnsi="Arial Narrow"/>
                <w:szCs w:val="20"/>
              </w:rPr>
            </w:pPr>
            <w:r w:rsidRPr="0033621F">
              <w:rPr>
                <w:rFonts w:ascii="Arial Narrow" w:hAnsi="Arial Narrow"/>
                <w:szCs w:val="20"/>
              </w:rPr>
              <w:t>RCT, 12mnths</w:t>
            </w:r>
          </w:p>
        </w:tc>
        <w:tc>
          <w:tcPr>
            <w:tcW w:w="708" w:type="pct"/>
            <w:tcBorders>
              <w:top w:val="single" w:sz="6" w:space="0" w:color="auto"/>
              <w:left w:val="single" w:sz="6" w:space="0" w:color="auto"/>
              <w:bottom w:val="single" w:sz="6" w:space="0" w:color="auto"/>
              <w:right w:val="single" w:sz="6" w:space="0" w:color="auto"/>
            </w:tcBorders>
          </w:tcPr>
          <w:p w14:paraId="68C26159" w14:textId="77777777" w:rsidR="00F7292C" w:rsidRPr="0033621F" w:rsidRDefault="00F7292C" w:rsidP="0033621F">
            <w:pPr>
              <w:pStyle w:val="Tabletext1"/>
              <w:rPr>
                <w:rFonts w:ascii="Arial Narrow" w:hAnsi="Arial Narrow"/>
                <w:szCs w:val="20"/>
              </w:rPr>
            </w:pPr>
            <w:r w:rsidRPr="0033621F">
              <w:rPr>
                <w:rFonts w:ascii="Arial Narrow" w:hAnsi="Arial Narrow"/>
                <w:szCs w:val="20"/>
              </w:rPr>
              <w:t xml:space="preserve">Residents aged over 65 years </w:t>
            </w:r>
          </w:p>
        </w:tc>
        <w:tc>
          <w:tcPr>
            <w:tcW w:w="914" w:type="pct"/>
            <w:tcBorders>
              <w:top w:val="single" w:sz="6" w:space="0" w:color="auto"/>
              <w:left w:val="single" w:sz="6" w:space="0" w:color="auto"/>
              <w:bottom w:val="single" w:sz="6" w:space="0" w:color="auto"/>
              <w:right w:val="single" w:sz="6" w:space="0" w:color="auto"/>
            </w:tcBorders>
          </w:tcPr>
          <w:p w14:paraId="041D82E7" w14:textId="77777777" w:rsidR="00F7292C" w:rsidRPr="0033621F" w:rsidRDefault="00F7292C" w:rsidP="0033621F">
            <w:pPr>
              <w:pStyle w:val="Tabletext1"/>
              <w:rPr>
                <w:rFonts w:ascii="Arial Narrow" w:hAnsi="Arial Narrow"/>
                <w:szCs w:val="20"/>
              </w:rPr>
            </w:pPr>
            <w:r w:rsidRPr="0033621F">
              <w:rPr>
                <w:rFonts w:ascii="Arial Narrow" w:hAnsi="Arial Narrow"/>
                <w:szCs w:val="20"/>
              </w:rPr>
              <w:t xml:space="preserve">Appropriateness of medication </w:t>
            </w:r>
            <w:proofErr w:type="gramStart"/>
            <w:r w:rsidRPr="0033621F">
              <w:rPr>
                <w:rFonts w:ascii="Arial Narrow" w:hAnsi="Arial Narrow"/>
                <w:szCs w:val="20"/>
              </w:rPr>
              <w:t>use,  hospitalisation</w:t>
            </w:r>
            <w:proofErr w:type="gramEnd"/>
            <w:r w:rsidRPr="0033621F">
              <w:rPr>
                <w:rFonts w:ascii="Arial Narrow" w:hAnsi="Arial Narrow"/>
                <w:szCs w:val="20"/>
              </w:rPr>
              <w:t>, adverse event</w:t>
            </w:r>
          </w:p>
        </w:tc>
      </w:tr>
      <w:tr w:rsidR="00F7292C" w:rsidRPr="0033621F" w14:paraId="08838D4E" w14:textId="77777777" w:rsidTr="00F7292C">
        <w:trPr>
          <w:trHeight w:val="1320"/>
        </w:trPr>
        <w:tc>
          <w:tcPr>
            <w:tcW w:w="705" w:type="pct"/>
            <w:tcBorders>
              <w:top w:val="single" w:sz="6" w:space="0" w:color="auto"/>
              <w:left w:val="single" w:sz="6" w:space="0" w:color="auto"/>
              <w:bottom w:val="single" w:sz="6" w:space="0" w:color="auto"/>
              <w:right w:val="single" w:sz="6" w:space="0" w:color="auto"/>
            </w:tcBorders>
          </w:tcPr>
          <w:p w14:paraId="0620B4B8" w14:textId="77777777" w:rsidR="00F7292C" w:rsidRPr="0033621F" w:rsidRDefault="00F7292C" w:rsidP="0033621F">
            <w:pPr>
              <w:pStyle w:val="Tabletext1"/>
              <w:rPr>
                <w:rFonts w:ascii="Arial Narrow" w:hAnsi="Arial Narrow"/>
                <w:b/>
                <w:bCs/>
                <w:szCs w:val="20"/>
              </w:rPr>
            </w:pPr>
            <w:r w:rsidRPr="0033621F">
              <w:rPr>
                <w:rFonts w:ascii="Arial Narrow" w:hAnsi="Arial Narrow"/>
                <w:b/>
                <w:bCs/>
                <w:szCs w:val="20"/>
              </w:rPr>
              <w:t>Furniss 2000</w:t>
            </w:r>
          </w:p>
        </w:tc>
        <w:tc>
          <w:tcPr>
            <w:tcW w:w="550" w:type="pct"/>
            <w:tcBorders>
              <w:top w:val="single" w:sz="6" w:space="0" w:color="auto"/>
              <w:left w:val="single" w:sz="6" w:space="0" w:color="auto"/>
              <w:bottom w:val="single" w:sz="6" w:space="0" w:color="auto"/>
              <w:right w:val="single" w:sz="6" w:space="0" w:color="auto"/>
            </w:tcBorders>
          </w:tcPr>
          <w:p w14:paraId="2FC19857" w14:textId="77777777" w:rsidR="00F7292C" w:rsidRPr="0033621F" w:rsidRDefault="00F7292C" w:rsidP="0033621F">
            <w:pPr>
              <w:pStyle w:val="Tabletext1"/>
              <w:rPr>
                <w:rFonts w:ascii="Arial Narrow" w:hAnsi="Arial Narrow"/>
                <w:szCs w:val="20"/>
              </w:rPr>
            </w:pPr>
            <w:r w:rsidRPr="0033621F">
              <w:rPr>
                <w:rFonts w:ascii="Arial Narrow" w:hAnsi="Arial Narrow"/>
                <w:szCs w:val="20"/>
              </w:rPr>
              <w:t>UK</w:t>
            </w:r>
          </w:p>
        </w:tc>
        <w:tc>
          <w:tcPr>
            <w:tcW w:w="708" w:type="pct"/>
            <w:tcBorders>
              <w:top w:val="single" w:sz="6" w:space="0" w:color="auto"/>
              <w:left w:val="single" w:sz="6" w:space="0" w:color="auto"/>
              <w:bottom w:val="single" w:sz="6" w:space="0" w:color="auto"/>
              <w:right w:val="single" w:sz="6" w:space="0" w:color="auto"/>
            </w:tcBorders>
          </w:tcPr>
          <w:p w14:paraId="779DDCD2" w14:textId="77777777" w:rsidR="00F7292C" w:rsidRPr="0033621F" w:rsidRDefault="00F7292C" w:rsidP="0033621F">
            <w:pPr>
              <w:pStyle w:val="Tabletext1"/>
              <w:jc w:val="right"/>
              <w:rPr>
                <w:rFonts w:ascii="Arial Narrow" w:hAnsi="Arial Narrow"/>
                <w:szCs w:val="20"/>
              </w:rPr>
            </w:pPr>
            <w:r w:rsidRPr="0033621F">
              <w:rPr>
                <w:rFonts w:ascii="Arial Narrow" w:hAnsi="Arial Narrow"/>
                <w:szCs w:val="20"/>
              </w:rPr>
              <w:t>300</w:t>
            </w:r>
          </w:p>
          <w:p w14:paraId="376A9EB6" w14:textId="77777777" w:rsidR="00F7292C" w:rsidRPr="0033621F" w:rsidRDefault="00F7292C" w:rsidP="0033621F">
            <w:pPr>
              <w:pStyle w:val="Tabletext1"/>
              <w:jc w:val="right"/>
              <w:rPr>
                <w:rFonts w:ascii="Arial Narrow" w:hAnsi="Arial Narrow"/>
                <w:szCs w:val="20"/>
              </w:rPr>
            </w:pPr>
            <w:r w:rsidRPr="0033621F">
              <w:rPr>
                <w:rFonts w:ascii="Arial Narrow" w:hAnsi="Arial Narrow"/>
                <w:szCs w:val="20"/>
              </w:rPr>
              <w:t xml:space="preserve">158 </w:t>
            </w:r>
            <w:proofErr w:type="gramStart"/>
            <w:r w:rsidRPr="0033621F">
              <w:rPr>
                <w:rFonts w:ascii="Arial Narrow" w:hAnsi="Arial Narrow"/>
                <w:szCs w:val="20"/>
              </w:rPr>
              <w:t>intervention</w:t>
            </w:r>
            <w:proofErr w:type="gramEnd"/>
          </w:p>
          <w:p w14:paraId="30FDFC80" w14:textId="1A8FEE02" w:rsidR="00F7292C" w:rsidRPr="0033621F" w:rsidRDefault="00F7292C" w:rsidP="0033621F">
            <w:pPr>
              <w:pStyle w:val="Tabletext1"/>
              <w:jc w:val="right"/>
              <w:rPr>
                <w:rFonts w:ascii="Arial Narrow" w:hAnsi="Arial Narrow"/>
                <w:szCs w:val="20"/>
              </w:rPr>
            </w:pPr>
            <w:r w:rsidRPr="0033621F">
              <w:rPr>
                <w:rFonts w:ascii="Arial Narrow" w:hAnsi="Arial Narrow"/>
                <w:szCs w:val="20"/>
              </w:rPr>
              <w:t xml:space="preserve">142 </w:t>
            </w:r>
            <w:proofErr w:type="gramStart"/>
            <w:r w:rsidRPr="0033621F">
              <w:rPr>
                <w:rFonts w:ascii="Arial Narrow" w:hAnsi="Arial Narrow"/>
                <w:szCs w:val="20"/>
              </w:rPr>
              <w:t>control</w:t>
            </w:r>
            <w:proofErr w:type="gramEnd"/>
          </w:p>
        </w:tc>
        <w:tc>
          <w:tcPr>
            <w:tcW w:w="629" w:type="pct"/>
            <w:tcBorders>
              <w:top w:val="single" w:sz="6" w:space="0" w:color="auto"/>
              <w:left w:val="single" w:sz="6" w:space="0" w:color="auto"/>
              <w:bottom w:val="single" w:sz="6" w:space="0" w:color="auto"/>
              <w:right w:val="single" w:sz="6" w:space="0" w:color="auto"/>
            </w:tcBorders>
          </w:tcPr>
          <w:p w14:paraId="756D7115" w14:textId="77777777" w:rsidR="00F7292C" w:rsidRPr="0033621F" w:rsidRDefault="00F7292C" w:rsidP="0033621F">
            <w:pPr>
              <w:pStyle w:val="Tabletext1"/>
              <w:jc w:val="right"/>
              <w:rPr>
                <w:rFonts w:ascii="Arial Narrow" w:hAnsi="Arial Narrow"/>
                <w:szCs w:val="20"/>
              </w:rPr>
            </w:pPr>
            <w:r w:rsidRPr="0033621F">
              <w:rPr>
                <w:rFonts w:ascii="Arial Narrow" w:hAnsi="Arial Narrow"/>
                <w:szCs w:val="20"/>
              </w:rPr>
              <w:t>14</w:t>
            </w:r>
          </w:p>
        </w:tc>
        <w:tc>
          <w:tcPr>
            <w:tcW w:w="786" w:type="pct"/>
            <w:tcBorders>
              <w:top w:val="single" w:sz="6" w:space="0" w:color="auto"/>
              <w:left w:val="single" w:sz="6" w:space="0" w:color="auto"/>
              <w:bottom w:val="single" w:sz="6" w:space="0" w:color="auto"/>
              <w:right w:val="single" w:sz="6" w:space="0" w:color="auto"/>
            </w:tcBorders>
          </w:tcPr>
          <w:p w14:paraId="02982161" w14:textId="77777777" w:rsidR="00F7292C" w:rsidRPr="0033621F" w:rsidRDefault="00F7292C" w:rsidP="0033621F">
            <w:pPr>
              <w:pStyle w:val="Tabletext1"/>
              <w:rPr>
                <w:rFonts w:ascii="Arial Narrow" w:hAnsi="Arial Narrow"/>
                <w:szCs w:val="20"/>
              </w:rPr>
            </w:pPr>
            <w:r w:rsidRPr="0033621F">
              <w:rPr>
                <w:rFonts w:ascii="Arial Narrow" w:hAnsi="Arial Narrow"/>
                <w:szCs w:val="20"/>
              </w:rPr>
              <w:t xml:space="preserve">RCT, 4 </w:t>
            </w:r>
            <w:proofErr w:type="spellStart"/>
            <w:r w:rsidRPr="0033621F">
              <w:rPr>
                <w:rFonts w:ascii="Arial Narrow" w:hAnsi="Arial Narrow"/>
                <w:szCs w:val="20"/>
              </w:rPr>
              <w:t>mnths</w:t>
            </w:r>
            <w:proofErr w:type="spellEnd"/>
          </w:p>
        </w:tc>
        <w:tc>
          <w:tcPr>
            <w:tcW w:w="708" w:type="pct"/>
            <w:tcBorders>
              <w:top w:val="single" w:sz="6" w:space="0" w:color="auto"/>
              <w:left w:val="single" w:sz="6" w:space="0" w:color="auto"/>
              <w:bottom w:val="single" w:sz="6" w:space="0" w:color="auto"/>
              <w:right w:val="single" w:sz="6" w:space="0" w:color="auto"/>
            </w:tcBorders>
          </w:tcPr>
          <w:p w14:paraId="21452556" w14:textId="77777777" w:rsidR="00F7292C" w:rsidRPr="0033621F" w:rsidRDefault="00F7292C" w:rsidP="0033621F">
            <w:pPr>
              <w:pStyle w:val="Tabletext1"/>
              <w:rPr>
                <w:rFonts w:ascii="Arial Narrow" w:hAnsi="Arial Narrow"/>
                <w:szCs w:val="20"/>
              </w:rPr>
            </w:pPr>
            <w:r w:rsidRPr="0033621F">
              <w:rPr>
                <w:rFonts w:ascii="Arial Narrow" w:hAnsi="Arial Narrow"/>
                <w:szCs w:val="20"/>
              </w:rPr>
              <w:t xml:space="preserve">Residents aged over 65 years </w:t>
            </w:r>
          </w:p>
        </w:tc>
        <w:tc>
          <w:tcPr>
            <w:tcW w:w="914" w:type="pct"/>
            <w:tcBorders>
              <w:top w:val="single" w:sz="6" w:space="0" w:color="auto"/>
              <w:left w:val="single" w:sz="6" w:space="0" w:color="auto"/>
              <w:bottom w:val="single" w:sz="6" w:space="0" w:color="auto"/>
              <w:right w:val="single" w:sz="6" w:space="0" w:color="auto"/>
            </w:tcBorders>
          </w:tcPr>
          <w:p w14:paraId="74B61654" w14:textId="6D0BB855" w:rsidR="00F7292C" w:rsidRPr="0033621F" w:rsidRDefault="00F7292C" w:rsidP="0033621F">
            <w:pPr>
              <w:pStyle w:val="Tabletext1"/>
              <w:rPr>
                <w:rFonts w:ascii="Arial Narrow" w:hAnsi="Arial Narrow"/>
                <w:szCs w:val="20"/>
              </w:rPr>
            </w:pPr>
            <w:r w:rsidRPr="0033621F">
              <w:rPr>
                <w:rFonts w:ascii="Arial Narrow" w:hAnsi="Arial Narrow"/>
                <w:szCs w:val="20"/>
              </w:rPr>
              <w:t xml:space="preserve">No of prescribed medicines, MMSE, hospitalisation, adverse event, death  </w:t>
            </w:r>
          </w:p>
        </w:tc>
      </w:tr>
      <w:tr w:rsidR="00F7292C" w:rsidRPr="0033621F" w14:paraId="6D2A86B2" w14:textId="77777777" w:rsidTr="00F7292C">
        <w:trPr>
          <w:trHeight w:val="1423"/>
        </w:trPr>
        <w:tc>
          <w:tcPr>
            <w:tcW w:w="705" w:type="pct"/>
            <w:tcBorders>
              <w:top w:val="single" w:sz="6" w:space="0" w:color="auto"/>
              <w:left w:val="single" w:sz="6" w:space="0" w:color="auto"/>
              <w:bottom w:val="single" w:sz="6" w:space="0" w:color="auto"/>
              <w:right w:val="single" w:sz="6" w:space="0" w:color="auto"/>
            </w:tcBorders>
          </w:tcPr>
          <w:p w14:paraId="39D09552" w14:textId="77777777" w:rsidR="00F7292C" w:rsidRPr="0033621F" w:rsidRDefault="00F7292C" w:rsidP="0033621F">
            <w:pPr>
              <w:pStyle w:val="Tabletext1"/>
              <w:rPr>
                <w:rFonts w:ascii="Arial Narrow" w:hAnsi="Arial Narrow"/>
                <w:b/>
                <w:bCs/>
                <w:szCs w:val="20"/>
              </w:rPr>
            </w:pPr>
            <w:proofErr w:type="spellStart"/>
            <w:r w:rsidRPr="0033621F">
              <w:rPr>
                <w:rFonts w:ascii="Arial Narrow" w:hAnsi="Arial Narrow"/>
                <w:b/>
                <w:bCs/>
                <w:szCs w:val="20"/>
              </w:rPr>
              <w:lastRenderedPageBreak/>
              <w:t>Lapane</w:t>
            </w:r>
            <w:proofErr w:type="spellEnd"/>
            <w:r w:rsidRPr="0033621F">
              <w:rPr>
                <w:rFonts w:ascii="Arial Narrow" w:hAnsi="Arial Narrow"/>
                <w:b/>
                <w:bCs/>
                <w:szCs w:val="20"/>
              </w:rPr>
              <w:t xml:space="preserve"> 2011</w:t>
            </w:r>
          </w:p>
        </w:tc>
        <w:tc>
          <w:tcPr>
            <w:tcW w:w="550" w:type="pct"/>
            <w:tcBorders>
              <w:top w:val="single" w:sz="6" w:space="0" w:color="auto"/>
              <w:left w:val="single" w:sz="6" w:space="0" w:color="auto"/>
              <w:bottom w:val="single" w:sz="6" w:space="0" w:color="auto"/>
              <w:right w:val="single" w:sz="6" w:space="0" w:color="auto"/>
            </w:tcBorders>
          </w:tcPr>
          <w:p w14:paraId="11FD362C" w14:textId="77777777" w:rsidR="00F7292C" w:rsidRPr="0033621F" w:rsidRDefault="00F7292C" w:rsidP="0033621F">
            <w:pPr>
              <w:pStyle w:val="Tabletext1"/>
              <w:rPr>
                <w:rFonts w:ascii="Arial Narrow" w:hAnsi="Arial Narrow"/>
                <w:szCs w:val="20"/>
              </w:rPr>
            </w:pPr>
            <w:r w:rsidRPr="0033621F">
              <w:rPr>
                <w:rFonts w:ascii="Arial Narrow" w:hAnsi="Arial Narrow"/>
                <w:szCs w:val="20"/>
              </w:rPr>
              <w:t>USA</w:t>
            </w:r>
          </w:p>
        </w:tc>
        <w:tc>
          <w:tcPr>
            <w:tcW w:w="708" w:type="pct"/>
            <w:tcBorders>
              <w:top w:val="single" w:sz="6" w:space="0" w:color="auto"/>
              <w:left w:val="single" w:sz="6" w:space="0" w:color="auto"/>
              <w:bottom w:val="single" w:sz="6" w:space="0" w:color="auto"/>
              <w:right w:val="single" w:sz="6" w:space="0" w:color="auto"/>
            </w:tcBorders>
          </w:tcPr>
          <w:p w14:paraId="726C0FBC" w14:textId="77777777" w:rsidR="00F7292C" w:rsidRPr="0033621F" w:rsidRDefault="00F7292C" w:rsidP="0033621F">
            <w:pPr>
              <w:pStyle w:val="Tabletext1"/>
              <w:jc w:val="right"/>
              <w:rPr>
                <w:rFonts w:ascii="Arial Narrow" w:hAnsi="Arial Narrow"/>
                <w:szCs w:val="20"/>
              </w:rPr>
            </w:pPr>
            <w:r w:rsidRPr="0033621F">
              <w:rPr>
                <w:rFonts w:ascii="Arial Narrow" w:hAnsi="Arial Narrow"/>
                <w:szCs w:val="20"/>
              </w:rPr>
              <w:t>3321</w:t>
            </w:r>
          </w:p>
          <w:p w14:paraId="60616E7C" w14:textId="77777777" w:rsidR="00F7292C" w:rsidRPr="0033621F" w:rsidRDefault="00F7292C" w:rsidP="0033621F">
            <w:pPr>
              <w:pStyle w:val="Tabletext1"/>
              <w:jc w:val="right"/>
              <w:rPr>
                <w:rFonts w:ascii="Arial Narrow" w:hAnsi="Arial Narrow"/>
                <w:szCs w:val="20"/>
              </w:rPr>
            </w:pPr>
            <w:r w:rsidRPr="0033621F">
              <w:rPr>
                <w:rFonts w:ascii="Arial Narrow" w:hAnsi="Arial Narrow"/>
                <w:szCs w:val="20"/>
              </w:rPr>
              <w:t>1769 intervention</w:t>
            </w:r>
          </w:p>
          <w:p w14:paraId="3A13DF1F" w14:textId="0E13953A" w:rsidR="00F7292C" w:rsidRPr="0033621F" w:rsidRDefault="00F7292C" w:rsidP="0033621F">
            <w:pPr>
              <w:pStyle w:val="Tabletext1"/>
              <w:jc w:val="right"/>
              <w:rPr>
                <w:rFonts w:ascii="Arial Narrow" w:hAnsi="Arial Narrow"/>
                <w:szCs w:val="20"/>
              </w:rPr>
            </w:pPr>
            <w:r w:rsidRPr="0033621F">
              <w:rPr>
                <w:rFonts w:ascii="Arial Narrow" w:hAnsi="Arial Narrow"/>
                <w:szCs w:val="20"/>
              </w:rPr>
              <w:t>1552 control</w:t>
            </w:r>
          </w:p>
        </w:tc>
        <w:tc>
          <w:tcPr>
            <w:tcW w:w="629" w:type="pct"/>
            <w:tcBorders>
              <w:top w:val="single" w:sz="6" w:space="0" w:color="auto"/>
              <w:left w:val="single" w:sz="6" w:space="0" w:color="auto"/>
              <w:bottom w:val="single" w:sz="6" w:space="0" w:color="auto"/>
              <w:right w:val="single" w:sz="6" w:space="0" w:color="auto"/>
            </w:tcBorders>
          </w:tcPr>
          <w:p w14:paraId="3413BEED" w14:textId="77777777" w:rsidR="00F7292C" w:rsidRPr="0033621F" w:rsidRDefault="00F7292C" w:rsidP="0033621F">
            <w:pPr>
              <w:pStyle w:val="Tabletext1"/>
              <w:jc w:val="right"/>
              <w:rPr>
                <w:rFonts w:ascii="Arial Narrow" w:hAnsi="Arial Narrow"/>
                <w:szCs w:val="20"/>
              </w:rPr>
            </w:pPr>
            <w:r w:rsidRPr="0033621F">
              <w:rPr>
                <w:rFonts w:ascii="Arial Narrow" w:hAnsi="Arial Narrow"/>
                <w:szCs w:val="20"/>
              </w:rPr>
              <w:t>25</w:t>
            </w:r>
          </w:p>
        </w:tc>
        <w:tc>
          <w:tcPr>
            <w:tcW w:w="786" w:type="pct"/>
            <w:tcBorders>
              <w:top w:val="single" w:sz="6" w:space="0" w:color="auto"/>
              <w:left w:val="single" w:sz="6" w:space="0" w:color="auto"/>
              <w:bottom w:val="single" w:sz="6" w:space="0" w:color="auto"/>
              <w:right w:val="single" w:sz="6" w:space="0" w:color="auto"/>
            </w:tcBorders>
          </w:tcPr>
          <w:p w14:paraId="7490491C" w14:textId="77777777" w:rsidR="00F7292C" w:rsidRPr="0033621F" w:rsidRDefault="00F7292C" w:rsidP="0033621F">
            <w:pPr>
              <w:pStyle w:val="Tabletext1"/>
              <w:rPr>
                <w:rFonts w:ascii="Arial Narrow" w:hAnsi="Arial Narrow"/>
                <w:szCs w:val="20"/>
              </w:rPr>
            </w:pPr>
            <w:r w:rsidRPr="0033621F">
              <w:rPr>
                <w:rFonts w:ascii="Arial Narrow" w:hAnsi="Arial Narrow"/>
                <w:szCs w:val="20"/>
              </w:rPr>
              <w:t xml:space="preserve">RCT, 12 </w:t>
            </w:r>
            <w:proofErr w:type="spellStart"/>
            <w:r w:rsidRPr="0033621F">
              <w:rPr>
                <w:rFonts w:ascii="Arial Narrow" w:hAnsi="Arial Narrow"/>
                <w:szCs w:val="20"/>
              </w:rPr>
              <w:t>mnths</w:t>
            </w:r>
            <w:proofErr w:type="spellEnd"/>
          </w:p>
        </w:tc>
        <w:tc>
          <w:tcPr>
            <w:tcW w:w="708" w:type="pct"/>
            <w:tcBorders>
              <w:top w:val="single" w:sz="6" w:space="0" w:color="auto"/>
              <w:left w:val="single" w:sz="6" w:space="0" w:color="auto"/>
              <w:bottom w:val="single" w:sz="6" w:space="0" w:color="auto"/>
              <w:right w:val="single" w:sz="6" w:space="0" w:color="auto"/>
            </w:tcBorders>
          </w:tcPr>
          <w:p w14:paraId="5E51AE28" w14:textId="77777777" w:rsidR="00F7292C" w:rsidRPr="0033621F" w:rsidRDefault="00F7292C" w:rsidP="0033621F">
            <w:pPr>
              <w:pStyle w:val="Tabletext1"/>
              <w:rPr>
                <w:rFonts w:ascii="Arial Narrow" w:hAnsi="Arial Narrow"/>
                <w:szCs w:val="20"/>
              </w:rPr>
            </w:pPr>
            <w:r w:rsidRPr="0033621F">
              <w:rPr>
                <w:rFonts w:ascii="Arial Narrow" w:hAnsi="Arial Narrow"/>
                <w:szCs w:val="20"/>
              </w:rPr>
              <w:t xml:space="preserve">Residents aged over 65 years </w:t>
            </w:r>
          </w:p>
        </w:tc>
        <w:tc>
          <w:tcPr>
            <w:tcW w:w="914" w:type="pct"/>
            <w:tcBorders>
              <w:top w:val="single" w:sz="6" w:space="0" w:color="auto"/>
              <w:left w:val="single" w:sz="6" w:space="0" w:color="auto"/>
              <w:bottom w:val="single" w:sz="6" w:space="0" w:color="auto"/>
              <w:right w:val="single" w:sz="6" w:space="0" w:color="auto"/>
            </w:tcBorders>
          </w:tcPr>
          <w:p w14:paraId="7E931F73" w14:textId="77777777" w:rsidR="00F7292C" w:rsidRPr="0033621F" w:rsidRDefault="00F7292C" w:rsidP="0033621F">
            <w:pPr>
              <w:pStyle w:val="Tabletext1"/>
              <w:rPr>
                <w:rFonts w:ascii="Arial Narrow" w:hAnsi="Arial Narrow"/>
                <w:szCs w:val="20"/>
              </w:rPr>
            </w:pPr>
            <w:r w:rsidRPr="0033621F">
              <w:rPr>
                <w:rFonts w:ascii="Arial Narrow" w:hAnsi="Arial Narrow"/>
                <w:szCs w:val="20"/>
              </w:rPr>
              <w:t>Mortality, hospitalisation potentially due to adverse drug events, cognition RAI_MDS</w:t>
            </w:r>
          </w:p>
        </w:tc>
      </w:tr>
      <w:tr w:rsidR="00F7292C" w:rsidRPr="0033621F" w14:paraId="67886F79" w14:textId="77777777" w:rsidTr="00F7292C">
        <w:trPr>
          <w:trHeight w:val="1363"/>
        </w:trPr>
        <w:tc>
          <w:tcPr>
            <w:tcW w:w="705" w:type="pct"/>
            <w:tcBorders>
              <w:top w:val="single" w:sz="6" w:space="0" w:color="auto"/>
              <w:left w:val="single" w:sz="6" w:space="0" w:color="auto"/>
              <w:bottom w:val="single" w:sz="6" w:space="0" w:color="auto"/>
              <w:right w:val="single" w:sz="6" w:space="0" w:color="auto"/>
            </w:tcBorders>
          </w:tcPr>
          <w:p w14:paraId="137E47B0" w14:textId="77777777" w:rsidR="00F7292C" w:rsidRPr="0033621F" w:rsidRDefault="00F7292C" w:rsidP="0033621F">
            <w:pPr>
              <w:pStyle w:val="Tabletext1"/>
              <w:rPr>
                <w:rFonts w:ascii="Arial Narrow" w:hAnsi="Arial Narrow"/>
                <w:b/>
                <w:bCs/>
                <w:szCs w:val="20"/>
              </w:rPr>
            </w:pPr>
            <w:r w:rsidRPr="0033621F">
              <w:rPr>
                <w:rFonts w:ascii="Arial Narrow" w:hAnsi="Arial Narrow"/>
                <w:b/>
                <w:bCs/>
                <w:szCs w:val="20"/>
              </w:rPr>
              <w:t>Patterson 2010</w:t>
            </w:r>
          </w:p>
        </w:tc>
        <w:tc>
          <w:tcPr>
            <w:tcW w:w="550" w:type="pct"/>
            <w:tcBorders>
              <w:top w:val="single" w:sz="6" w:space="0" w:color="auto"/>
              <w:left w:val="single" w:sz="6" w:space="0" w:color="auto"/>
              <w:bottom w:val="single" w:sz="6" w:space="0" w:color="auto"/>
              <w:right w:val="single" w:sz="6" w:space="0" w:color="auto"/>
            </w:tcBorders>
          </w:tcPr>
          <w:p w14:paraId="6E90E980" w14:textId="77777777" w:rsidR="00F7292C" w:rsidRPr="0033621F" w:rsidRDefault="00F7292C" w:rsidP="0033621F">
            <w:pPr>
              <w:pStyle w:val="Tabletext1"/>
              <w:rPr>
                <w:rFonts w:ascii="Arial Narrow" w:hAnsi="Arial Narrow"/>
                <w:szCs w:val="20"/>
              </w:rPr>
            </w:pPr>
            <w:r w:rsidRPr="0033621F">
              <w:rPr>
                <w:rFonts w:ascii="Arial Narrow" w:hAnsi="Arial Narrow"/>
                <w:szCs w:val="20"/>
              </w:rPr>
              <w:t>Ireland</w:t>
            </w:r>
          </w:p>
        </w:tc>
        <w:tc>
          <w:tcPr>
            <w:tcW w:w="708" w:type="pct"/>
            <w:tcBorders>
              <w:top w:val="single" w:sz="6" w:space="0" w:color="auto"/>
              <w:left w:val="single" w:sz="6" w:space="0" w:color="auto"/>
              <w:bottom w:val="single" w:sz="6" w:space="0" w:color="auto"/>
              <w:right w:val="single" w:sz="6" w:space="0" w:color="auto"/>
            </w:tcBorders>
          </w:tcPr>
          <w:p w14:paraId="6CAB0108" w14:textId="77777777" w:rsidR="00F7292C" w:rsidRPr="0033621F" w:rsidRDefault="00F7292C" w:rsidP="0033621F">
            <w:pPr>
              <w:pStyle w:val="Tabletext1"/>
              <w:jc w:val="right"/>
              <w:rPr>
                <w:rFonts w:ascii="Arial Narrow" w:hAnsi="Arial Narrow"/>
                <w:szCs w:val="20"/>
              </w:rPr>
            </w:pPr>
            <w:r w:rsidRPr="0033621F">
              <w:rPr>
                <w:rFonts w:ascii="Arial Narrow" w:hAnsi="Arial Narrow"/>
                <w:szCs w:val="20"/>
              </w:rPr>
              <w:t>334</w:t>
            </w:r>
          </w:p>
          <w:p w14:paraId="73FF6110" w14:textId="77777777" w:rsidR="00F7292C" w:rsidRPr="0033621F" w:rsidRDefault="00F7292C" w:rsidP="0033621F">
            <w:pPr>
              <w:pStyle w:val="Tabletext1"/>
              <w:jc w:val="right"/>
              <w:rPr>
                <w:rFonts w:ascii="Arial Narrow" w:hAnsi="Arial Narrow"/>
                <w:szCs w:val="20"/>
              </w:rPr>
            </w:pPr>
            <w:r w:rsidRPr="0033621F">
              <w:rPr>
                <w:rFonts w:ascii="Arial Narrow" w:hAnsi="Arial Narrow"/>
                <w:szCs w:val="20"/>
              </w:rPr>
              <w:t xml:space="preserve">173 </w:t>
            </w:r>
            <w:proofErr w:type="gramStart"/>
            <w:r w:rsidRPr="0033621F">
              <w:rPr>
                <w:rFonts w:ascii="Arial Narrow" w:hAnsi="Arial Narrow"/>
                <w:szCs w:val="20"/>
              </w:rPr>
              <w:t>intervention</w:t>
            </w:r>
            <w:proofErr w:type="gramEnd"/>
          </w:p>
          <w:p w14:paraId="485AC70A" w14:textId="7AB111E1" w:rsidR="00F7292C" w:rsidRPr="0033621F" w:rsidRDefault="00F7292C" w:rsidP="0033621F">
            <w:pPr>
              <w:pStyle w:val="Tabletext1"/>
              <w:jc w:val="right"/>
              <w:rPr>
                <w:rFonts w:ascii="Arial Narrow" w:hAnsi="Arial Narrow"/>
                <w:szCs w:val="20"/>
              </w:rPr>
            </w:pPr>
            <w:r w:rsidRPr="0033621F">
              <w:rPr>
                <w:rFonts w:ascii="Arial Narrow" w:hAnsi="Arial Narrow"/>
                <w:szCs w:val="20"/>
              </w:rPr>
              <w:t xml:space="preserve">161 </w:t>
            </w:r>
            <w:proofErr w:type="gramStart"/>
            <w:r w:rsidRPr="0033621F">
              <w:rPr>
                <w:rFonts w:ascii="Arial Narrow" w:hAnsi="Arial Narrow"/>
                <w:szCs w:val="20"/>
              </w:rPr>
              <w:t>control</w:t>
            </w:r>
            <w:proofErr w:type="gramEnd"/>
          </w:p>
        </w:tc>
        <w:tc>
          <w:tcPr>
            <w:tcW w:w="629" w:type="pct"/>
            <w:tcBorders>
              <w:top w:val="single" w:sz="6" w:space="0" w:color="auto"/>
              <w:left w:val="single" w:sz="6" w:space="0" w:color="auto"/>
              <w:bottom w:val="single" w:sz="6" w:space="0" w:color="auto"/>
              <w:right w:val="single" w:sz="6" w:space="0" w:color="auto"/>
            </w:tcBorders>
          </w:tcPr>
          <w:p w14:paraId="51DFDFA1" w14:textId="77777777" w:rsidR="00F7292C" w:rsidRPr="0033621F" w:rsidRDefault="00F7292C" w:rsidP="0033621F">
            <w:pPr>
              <w:pStyle w:val="Tabletext1"/>
              <w:jc w:val="right"/>
              <w:rPr>
                <w:rFonts w:ascii="Arial Narrow" w:hAnsi="Arial Narrow"/>
                <w:szCs w:val="20"/>
              </w:rPr>
            </w:pPr>
            <w:r w:rsidRPr="0033621F">
              <w:rPr>
                <w:rFonts w:ascii="Arial Narrow" w:hAnsi="Arial Narrow"/>
                <w:szCs w:val="20"/>
              </w:rPr>
              <w:t>11</w:t>
            </w:r>
          </w:p>
        </w:tc>
        <w:tc>
          <w:tcPr>
            <w:tcW w:w="786" w:type="pct"/>
            <w:tcBorders>
              <w:top w:val="single" w:sz="6" w:space="0" w:color="auto"/>
              <w:left w:val="single" w:sz="6" w:space="0" w:color="auto"/>
              <w:bottom w:val="single" w:sz="6" w:space="0" w:color="auto"/>
              <w:right w:val="single" w:sz="6" w:space="0" w:color="auto"/>
            </w:tcBorders>
          </w:tcPr>
          <w:p w14:paraId="149303B3" w14:textId="77777777" w:rsidR="00F7292C" w:rsidRPr="0033621F" w:rsidRDefault="00F7292C" w:rsidP="0033621F">
            <w:pPr>
              <w:pStyle w:val="Tabletext1"/>
              <w:rPr>
                <w:rFonts w:ascii="Arial Narrow" w:hAnsi="Arial Narrow"/>
                <w:szCs w:val="20"/>
              </w:rPr>
            </w:pPr>
            <w:proofErr w:type="spellStart"/>
            <w:r w:rsidRPr="0033621F">
              <w:rPr>
                <w:rFonts w:ascii="Arial Narrow" w:hAnsi="Arial Narrow"/>
                <w:szCs w:val="20"/>
              </w:rPr>
              <w:t>cRCT</w:t>
            </w:r>
            <w:proofErr w:type="spellEnd"/>
            <w:r w:rsidRPr="0033621F">
              <w:rPr>
                <w:rFonts w:ascii="Arial Narrow" w:hAnsi="Arial Narrow"/>
                <w:szCs w:val="20"/>
              </w:rPr>
              <w:t xml:space="preserve">, 12mnths, pharmacist review every month </w:t>
            </w:r>
          </w:p>
        </w:tc>
        <w:tc>
          <w:tcPr>
            <w:tcW w:w="708" w:type="pct"/>
            <w:tcBorders>
              <w:top w:val="single" w:sz="6" w:space="0" w:color="auto"/>
              <w:left w:val="single" w:sz="6" w:space="0" w:color="auto"/>
              <w:bottom w:val="single" w:sz="6" w:space="0" w:color="auto"/>
              <w:right w:val="single" w:sz="6" w:space="0" w:color="auto"/>
            </w:tcBorders>
          </w:tcPr>
          <w:p w14:paraId="6701A631" w14:textId="77777777" w:rsidR="00F7292C" w:rsidRPr="0033621F" w:rsidRDefault="00F7292C" w:rsidP="0033621F">
            <w:pPr>
              <w:pStyle w:val="Tabletext1"/>
              <w:rPr>
                <w:rFonts w:ascii="Arial Narrow" w:hAnsi="Arial Narrow"/>
                <w:szCs w:val="20"/>
              </w:rPr>
            </w:pPr>
            <w:r w:rsidRPr="0033621F">
              <w:rPr>
                <w:rFonts w:ascii="Arial Narrow" w:hAnsi="Arial Narrow"/>
                <w:szCs w:val="20"/>
              </w:rPr>
              <w:t xml:space="preserve">Residents aged over 65 years </w:t>
            </w:r>
          </w:p>
        </w:tc>
        <w:tc>
          <w:tcPr>
            <w:tcW w:w="914" w:type="pct"/>
            <w:tcBorders>
              <w:top w:val="single" w:sz="6" w:space="0" w:color="auto"/>
              <w:left w:val="single" w:sz="6" w:space="0" w:color="auto"/>
              <w:bottom w:val="single" w:sz="6" w:space="0" w:color="auto"/>
              <w:right w:val="single" w:sz="6" w:space="0" w:color="auto"/>
            </w:tcBorders>
          </w:tcPr>
          <w:p w14:paraId="4551A089" w14:textId="24D0D765" w:rsidR="00F7292C" w:rsidRPr="0033621F" w:rsidRDefault="00F7292C" w:rsidP="0033621F">
            <w:pPr>
              <w:pStyle w:val="Tabletext1"/>
              <w:rPr>
                <w:rFonts w:ascii="Arial Narrow" w:hAnsi="Arial Narrow"/>
                <w:szCs w:val="20"/>
              </w:rPr>
            </w:pPr>
            <w:r w:rsidRPr="0033621F">
              <w:rPr>
                <w:rFonts w:ascii="Arial Narrow" w:hAnsi="Arial Narrow"/>
                <w:szCs w:val="20"/>
              </w:rPr>
              <w:t xml:space="preserve">Proportion of residents with inappropriate psychoactive medications, no of falls </w:t>
            </w:r>
          </w:p>
        </w:tc>
      </w:tr>
    </w:tbl>
    <w:p w14:paraId="76712EA2" w14:textId="32FCC7D5" w:rsidR="001616E7" w:rsidRPr="006056B9" w:rsidRDefault="001616E7" w:rsidP="00897C5B">
      <w:pPr>
        <w:pStyle w:val="Caption"/>
        <w:rPr>
          <w:rStyle w:val="TablenotesChar0"/>
          <w:rFonts w:asciiTheme="minorHAnsi" w:hAnsiTheme="minorHAnsi" w:cstheme="minorBidi"/>
          <w:snapToGrid/>
          <w:sz w:val="22"/>
          <w:lang w:eastAsia="en-AU"/>
        </w:rPr>
      </w:pPr>
      <w:bookmarkStart w:id="353" w:name="_Ref399236533"/>
      <w:bookmarkStart w:id="354" w:name="_Toc399251133"/>
      <w:r w:rsidRPr="00897B1B">
        <w:t xml:space="preserve">Table </w:t>
      </w:r>
      <w:r w:rsidR="00BD3662">
        <w:t>AppB-3</w:t>
      </w:r>
      <w:bookmarkEnd w:id="353"/>
      <w:bookmarkEnd w:id="354"/>
      <w:r w:rsidRPr="00897B1B">
        <w:t xml:space="preserve"> </w:t>
      </w:r>
      <w:r w:rsidRPr="00897B1B">
        <w:rPr>
          <w:snapToGrid w:val="0"/>
          <w:lang w:eastAsia="en-US"/>
        </w:rPr>
        <w:t xml:space="preserve">Key features of the included evidence </w:t>
      </w:r>
      <w:r w:rsidRPr="002A46AF">
        <w:rPr>
          <w:snapToGrid w:val="0"/>
          <w:lang w:eastAsia="en-US"/>
        </w:rPr>
        <w:t xml:space="preserve">comparing </w:t>
      </w:r>
      <w:r>
        <w:rPr>
          <w:snapToGrid w:val="0"/>
          <w:lang w:eastAsia="en-US"/>
        </w:rPr>
        <w:t xml:space="preserve">the </w:t>
      </w:r>
      <w:r w:rsidRPr="002A46AF">
        <w:t xml:space="preserve">Intervention </w:t>
      </w:r>
      <w:r>
        <w:t xml:space="preserve">and </w:t>
      </w:r>
      <w:r w:rsidRPr="002A46AF">
        <w:t>Control group</w:t>
      </w:r>
    </w:p>
    <w:p w14:paraId="6F16E1C7" w14:textId="19CE63A5" w:rsidR="001616E7" w:rsidRPr="00BD3662" w:rsidRDefault="001616E7" w:rsidP="0033621F">
      <w:pPr>
        <w:pStyle w:val="CommentText"/>
        <w:rPr>
          <w:rStyle w:val="TablenotesChar0"/>
          <w:rFonts w:ascii="Calibri" w:hAnsi="Calibri" w:cs="Tahoma"/>
          <w:sz w:val="22"/>
        </w:rPr>
      </w:pPr>
      <w:r w:rsidRPr="00BD3662">
        <w:rPr>
          <w:rStyle w:val="TablenotesChar0"/>
          <w:rFonts w:cstheme="minorHAnsi"/>
          <w:sz w:val="22"/>
        </w:rPr>
        <w:t>R</w:t>
      </w:r>
      <w:r w:rsidR="006056B9">
        <w:rPr>
          <w:rStyle w:val="TablenotesChar0"/>
          <w:rFonts w:cstheme="minorHAnsi"/>
          <w:sz w:val="22"/>
        </w:rPr>
        <w:t>CT</w:t>
      </w:r>
      <w:r w:rsidRPr="00BD3662">
        <w:rPr>
          <w:rStyle w:val="TablenotesChar0"/>
          <w:rFonts w:cstheme="minorHAnsi"/>
          <w:sz w:val="22"/>
        </w:rPr>
        <w:t>=randomise</w:t>
      </w:r>
      <w:r w:rsidR="006056B9">
        <w:rPr>
          <w:rStyle w:val="TablenotesChar0"/>
          <w:rFonts w:cstheme="minorHAnsi"/>
          <w:sz w:val="22"/>
        </w:rPr>
        <w:t xml:space="preserve"> control trial</w:t>
      </w:r>
      <w:r w:rsidRPr="00BD3662">
        <w:rPr>
          <w:rStyle w:val="TablenotesChar0"/>
          <w:rFonts w:cstheme="minorHAnsi"/>
          <w:sz w:val="22"/>
        </w:rPr>
        <w:t xml:space="preserve">; </w:t>
      </w:r>
      <w:proofErr w:type="spellStart"/>
      <w:r w:rsidRPr="00BD3662">
        <w:rPr>
          <w:rStyle w:val="TablenotesChar0"/>
          <w:rFonts w:cstheme="minorHAnsi"/>
          <w:sz w:val="22"/>
        </w:rPr>
        <w:t>mnths</w:t>
      </w:r>
      <w:proofErr w:type="spellEnd"/>
      <w:r w:rsidRPr="00BD3662">
        <w:rPr>
          <w:rStyle w:val="TablenotesChar0"/>
          <w:rFonts w:cstheme="minorHAnsi"/>
          <w:sz w:val="22"/>
        </w:rPr>
        <w:t>= months; MMSE=</w:t>
      </w:r>
      <w:r w:rsidR="006056B9">
        <w:rPr>
          <w:rStyle w:val="TablenotesChar0"/>
          <w:rFonts w:cstheme="minorHAnsi"/>
          <w:sz w:val="22"/>
        </w:rPr>
        <w:t xml:space="preserve">Mini-Mental State Examination; </w:t>
      </w:r>
      <w:r w:rsidRPr="00BD3662">
        <w:rPr>
          <w:rStyle w:val="TablenotesChar0"/>
          <w:rFonts w:cstheme="minorHAnsi"/>
          <w:sz w:val="22"/>
        </w:rPr>
        <w:t>RAI_MDS= Resident Assessment Indicator-Minimum Data Set&gt;</w:t>
      </w:r>
    </w:p>
    <w:p w14:paraId="5BE082E8" w14:textId="77777777" w:rsidR="001616E7" w:rsidRPr="00E024EC" w:rsidRDefault="001616E7" w:rsidP="00897C5B">
      <w:pPr>
        <w:pStyle w:val="Heading2"/>
      </w:pPr>
      <w:bookmarkStart w:id="355" w:name="_Toc428263176"/>
      <w:bookmarkStart w:id="356" w:name="_Toc117758321"/>
      <w:r w:rsidRPr="00E024EC">
        <w:t>Outcome Measures and Analysis</w:t>
      </w:r>
      <w:bookmarkEnd w:id="355"/>
      <w:bookmarkEnd w:id="356"/>
    </w:p>
    <w:p w14:paraId="4F0AE29C" w14:textId="4CBB484F" w:rsidR="001616E7" w:rsidRPr="00897B1B" w:rsidRDefault="001616E7" w:rsidP="007501B9">
      <w:r w:rsidRPr="00897B1B">
        <w:t xml:space="preserve">Outcomes extracted from all relevant studies are consistent with those identified in the PICO. Assessment of cognitive function of participants in two groups </w:t>
      </w:r>
      <w:r>
        <w:t>was</w:t>
      </w:r>
      <w:r w:rsidRPr="00897B1B">
        <w:t xml:space="preserve"> completed in </w:t>
      </w:r>
      <w:r>
        <w:t>all</w:t>
      </w:r>
      <w:r w:rsidRPr="00897B1B">
        <w:t xml:space="preserve"> studies.</w:t>
      </w:r>
      <w:r>
        <w:fldChar w:fldCharType="begin">
          <w:fldData xml:space="preserve">PEVuZE5vdGU+PENpdGU+PEF1dGhvcj5GcmFua2VudGhhbDwvQXV0aG9yPjxZZWFyPjIwMTQ8L1ll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</w:fldData>
        </w:fldChar>
      </w:r>
      <w:r w:rsidR="00C86345">
        <w:instrText xml:space="preserve"> ADDIN EN.CITE </w:instrText>
      </w:r>
      <w:r w:rsidR="00C86345">
        <w:fldChar w:fldCharType="begin">
          <w:fldData xml:space="preserve">PEVuZE5vdGU+PENpdGU+PEF1dGhvcj5GcmFua2VudGhhbDwvQXV0aG9yPjxZZWFyPjIwMTQ8L1ll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</w:fldData>
        </w:fldChar>
      </w:r>
      <w:r w:rsidR="00C86345">
        <w:instrText xml:space="preserve"> ADDIN EN.CITE.DATA </w:instrText>
      </w:r>
      <w:r w:rsidR="00C86345">
        <w:fldChar w:fldCharType="end"/>
      </w:r>
      <w:r>
        <w:fldChar w:fldCharType="separate"/>
      </w:r>
      <w:r w:rsidR="00C86345">
        <w:rPr>
          <w:noProof/>
        </w:rPr>
        <w:t>(</w:t>
      </w:r>
      <w:hyperlink w:anchor="_ENREF_20" w:tooltip="Frankenthal, 2014 #79" w:history="1">
        <w:r w:rsidR="00EB6EA4">
          <w:rPr>
            <w:noProof/>
          </w:rPr>
          <w:t>20-23</w:t>
        </w:r>
      </w:hyperlink>
      <w:r w:rsidR="00C86345">
        <w:rPr>
          <w:noProof/>
        </w:rPr>
        <w:t>)</w:t>
      </w:r>
      <w:r>
        <w:fldChar w:fldCharType="end"/>
      </w:r>
      <w:r>
        <w:t xml:space="preserve">. The prevalence of </w:t>
      </w:r>
      <w:r w:rsidRPr="00897B1B">
        <w:t>adverse events</w:t>
      </w:r>
      <w:r>
        <w:t xml:space="preserve"> was compared in all studies</w:t>
      </w:r>
      <w:r w:rsidRPr="00897B1B">
        <w:t xml:space="preserve">, </w:t>
      </w:r>
      <w:r>
        <w:t>however,</w:t>
      </w:r>
      <w:r w:rsidRPr="00897B1B">
        <w:t xml:space="preserve"> </w:t>
      </w:r>
      <w:r>
        <w:t xml:space="preserve">Patterson </w:t>
      </w:r>
      <w:r w:rsidRPr="00EB6EA4">
        <w:rPr>
          <w:i/>
        </w:rPr>
        <w:t>et al</w:t>
      </w:r>
      <w:r w:rsidRPr="00897B1B">
        <w:t xml:space="preserve"> reported</w:t>
      </w:r>
      <w:r>
        <w:t xml:space="preserve"> residents who had falls during the intervention</w:t>
      </w:r>
      <w:r w:rsidR="007501B9">
        <w:t xml:space="preserve">. </w:t>
      </w:r>
    </w:p>
    <w:p w14:paraId="6FA45CD3" w14:textId="7F3B5219" w:rsidR="001616E7" w:rsidRPr="00897B1B" w:rsidRDefault="001616E7" w:rsidP="007501B9">
      <w:r>
        <w:t>One study</w:t>
      </w:r>
      <w:r w:rsidRPr="00897B1B">
        <w:t xml:space="preserve"> assessed integration of </w:t>
      </w:r>
      <w:r>
        <w:t>an electronic tool to reduce the incidence of potential delirium, falls due to adverse drug events.</w:t>
      </w:r>
      <w:r>
        <w:fldChar w:fldCharType="begin"/>
      </w:r>
      <w:r w:rsidR="00C86345">
        <w:instrText xml:space="preserve"> ADDIN EN.CITE &lt;EndNote&gt;&lt;Cite&gt;&lt;Author&gt;Lapane&lt;/Author&gt;&lt;Year&gt;2011&lt;/Year&gt;&lt;RecNum&gt;80&lt;/RecNum&gt;&lt;DisplayText&gt;(22)&lt;/DisplayText&gt;&lt;record&gt;&lt;rec-number&gt;80&lt;/rec-number&gt;&lt;foreign-keys&gt;&lt;key app="EN" db-id="9s5z5ped05vxdnede99vfsxhtzavzdzs2d5r" timestamp="1616566440"&gt;80&lt;/key&gt;&lt;/foreign-keys&gt;&lt;ref-type name="Journal Article"&gt;17&lt;/ref-type&gt;&lt;contributors&gt;&lt;authors&gt;&lt;author&gt;Lapane, Kate L&lt;/author&gt;&lt;author&gt;Hughes, Carmel M&lt;/author&gt;&lt;author&gt;Daiello, Lori A&lt;/author&gt;&lt;author&gt;Cameron, Kathleen A&lt;/author&gt;&lt;author&gt;Feinberg, Janice&lt;/author&gt;&lt;/authors&gt;&lt;/contributors&gt;&lt;titles&gt;&lt;title&gt;Effect of a pharmacist</w:instrText>
      </w:r>
      <w:r w:rsidR="00C86345">
        <w:rPr>
          <w:rFonts w:ascii="Cambria Math" w:hAnsi="Cambria Math" w:cs="Cambria Math"/>
        </w:rPr>
        <w:instrText>‐</w:instrText>
      </w:r>
      <w:r w:rsidR="00C86345">
        <w:instrText>led multicomponent intervention focusing on the medication monitoring phase to prevent potential adverse drug events in nursing homes&lt;/title&gt;&lt;secondary-title&gt;Journal of the American Geriatrics Society&lt;/secondary-title&gt;&lt;/titles&gt;&lt;periodical&gt;&lt;full-title&gt;Journal of the American Geriatrics Society&lt;/full-title&gt;&lt;/periodical&gt;&lt;pages&gt;1238-1245&lt;/pages&gt;&lt;volume&gt;59&lt;/volume&gt;&lt;number&gt;7&lt;/number&gt;&lt;dates&gt;&lt;year&gt;2011&lt;/year&gt;&lt;/dates&gt;&lt;isbn&gt;0002-8614&lt;/isbn&gt;&lt;urls&gt;&lt;/urls&gt;&lt;/record&gt;&lt;/Cite&gt;&lt;/EndNote&gt;</w:instrText>
      </w:r>
      <w:r>
        <w:fldChar w:fldCharType="separate"/>
      </w:r>
      <w:r w:rsidR="00C86345">
        <w:rPr>
          <w:noProof/>
        </w:rPr>
        <w:t>(</w:t>
      </w:r>
      <w:hyperlink w:anchor="_ENREF_22" w:tooltip="Lapane, 2011 #80" w:history="1">
        <w:r w:rsidR="00EB6EA4">
          <w:rPr>
            <w:noProof/>
          </w:rPr>
          <w:t>22</w:t>
        </w:r>
      </w:hyperlink>
      <w:r w:rsidR="00C86345">
        <w:rPr>
          <w:noProof/>
        </w:rPr>
        <w:t>)</w:t>
      </w:r>
      <w:r>
        <w:fldChar w:fldCharType="end"/>
      </w:r>
      <w:r w:rsidRPr="00897B1B">
        <w:t xml:space="preserve"> </w:t>
      </w:r>
    </w:p>
    <w:p w14:paraId="0F8A08E9" w14:textId="3D33975D" w:rsidR="001616E7" w:rsidRPr="008264E6" w:rsidRDefault="001616E7" w:rsidP="00897C5B">
      <w:pPr>
        <w:pStyle w:val="Heading3"/>
      </w:pPr>
      <w:bookmarkStart w:id="357" w:name="_Toc117758322"/>
      <w:r w:rsidRPr="008264E6">
        <w:t>Cognitive function</w:t>
      </w:r>
      <w:bookmarkEnd w:id="357"/>
    </w:p>
    <w:p w14:paraId="3D8488AB" w14:textId="77777777" w:rsidR="001616E7" w:rsidRDefault="001616E7" w:rsidP="007501B9">
      <w:r>
        <w:t xml:space="preserve">No studies assessed mild cognitive impairment. </w:t>
      </w:r>
    </w:p>
    <w:p w14:paraId="207BE08A" w14:textId="2D1753EE" w:rsidR="001616E7" w:rsidRPr="00D16904" w:rsidRDefault="001616E7" w:rsidP="007501B9">
      <w:pPr>
        <w:rPr>
          <w:rFonts w:cs="Calibri"/>
        </w:rPr>
      </w:pPr>
      <w:r>
        <w:t xml:space="preserve">Furniss </w:t>
      </w:r>
      <w:r w:rsidRPr="00EB6EA4">
        <w:rPr>
          <w:i/>
        </w:rPr>
        <w:t>et al</w:t>
      </w:r>
      <w:r>
        <w:t xml:space="preserve">., </w:t>
      </w:r>
      <w:r w:rsidRPr="00897B1B">
        <w:fldChar w:fldCharType="begin"/>
      </w:r>
      <w:r w:rsidR="00C86345">
        <w:instrText xml:space="preserve"> ADDIN EN.CITE &lt;EndNote&gt;&lt;Cite&gt;&lt;Author&gt;Furniss&lt;/Author&gt;&lt;Year&gt;2000&lt;/Year&gt;&lt;RecNum&gt;4&lt;/RecNum&gt;&lt;DisplayText&gt;(21)&lt;/DisplayText&gt;&lt;record&gt;&lt;rec-number&gt;4&lt;/rec-number&gt;&lt;foreign-keys&gt;&lt;key app="EN" db-id="eeezzstvhp5ss3eptfpxdww9tvawrfef0xa5" timestamp="1615264266"&gt;4&lt;/key&gt;&lt;/foreign-keys&gt;&lt;ref-type name="Journal Article"&gt;17&lt;/ref-type&gt;&lt;contributors&gt;&lt;authors&gt;&lt;author&gt;Furniss, L.&lt;/author&gt;&lt;author&gt;Burns, A.&lt;/author&gt;&lt;author&gt;Craig, S. K.&lt;/author&gt;&lt;author&gt;Scobie, S.&lt;/author&gt;&lt;author&gt;Cooke, J.&lt;/author&gt;&lt;author&gt;Faragher, B.&lt;/author&gt;&lt;/authors&gt;&lt;/contributors&gt;&lt;auth-address&gt;Withington Hospital, Manchester.&lt;/auth-address&gt;&lt;titles&gt;&lt;title&gt;Effects of a pharmacist&amp;apos;s medication review in nursing homes. Randomised controlled trial&lt;/title&gt;&lt;secondary-title&gt;Br J Psychiatry&lt;/secondary-title&gt;&lt;/titles&gt;&lt;periodical&gt;&lt;full-title&gt;Br J Psychiatry&lt;/full-title&gt;&lt;/periodical&gt;&lt;pages&gt;563-7&lt;/pages&gt;&lt;volume&gt;176&lt;/volume&gt;&lt;edition&gt;2000/09/07&lt;/edition&gt;&lt;keywords&gt;&lt;keyword&gt;Aged&lt;/keyword&gt;&lt;keyword&gt;Aged, 80 and over&lt;/keyword&gt;&lt;keyword&gt;Female&lt;/keyword&gt;&lt;keyword&gt;*Homes for the Aged&lt;/keyword&gt;&lt;keyword&gt;Humans&lt;/keyword&gt;&lt;keyword&gt;Male&lt;/keyword&gt;&lt;keyword&gt;Mental Disorders/*drug therapy&lt;/keyword&gt;&lt;keyword&gt;*Pharmacists&lt;/keyword&gt;&lt;keyword&gt;Professional Practice&lt;/keyword&gt;&lt;keyword&gt;Prospective Studies&lt;/keyword&gt;&lt;/keywords&gt;&lt;dates&gt;&lt;year&gt;2000&lt;/year&gt;&lt;pub-dates&gt;&lt;date&gt;Jun&lt;/date&gt;&lt;/pub-dates&gt;&lt;/dates&gt;&lt;isbn&gt;0007-1250 (Print)&amp;#xD;0007-1250&lt;/isbn&gt;&lt;accession-num&gt;10974963&lt;/accession-num&gt;&lt;urls&gt;&lt;/urls&gt;&lt;electronic-resource-num&gt;10.1192/bjp.176.6.563&lt;/electronic-resource-num&gt;&lt;remote-database-provider&gt;NLM&lt;/remote-database-provider&gt;&lt;language&gt;eng&lt;/language&gt;&lt;/record&gt;&lt;/Cite&gt;&lt;/EndNote&gt;</w:instrText>
      </w:r>
      <w:r w:rsidRPr="00897B1B">
        <w:fldChar w:fldCharType="separate"/>
      </w:r>
      <w:r w:rsidR="00C86345">
        <w:rPr>
          <w:noProof/>
        </w:rPr>
        <w:t>(</w:t>
      </w:r>
      <w:hyperlink w:anchor="_ENREF_21" w:tooltip="Furniss, 2000 #4" w:history="1">
        <w:r w:rsidR="00EB6EA4">
          <w:rPr>
            <w:noProof/>
          </w:rPr>
          <w:t>21</w:t>
        </w:r>
      </w:hyperlink>
      <w:r w:rsidR="00C86345">
        <w:rPr>
          <w:noProof/>
        </w:rPr>
        <w:t>)</w:t>
      </w:r>
      <w:r w:rsidRPr="00897B1B">
        <w:fldChar w:fldCharType="end"/>
      </w:r>
      <w:r w:rsidRPr="00897B1B">
        <w:t xml:space="preserve"> applied the Mini-Mental State Examination (MMSE) (n=4) to identify the cognitive function of the participants.</w:t>
      </w:r>
      <w:r>
        <w:t xml:space="preserve"> </w:t>
      </w:r>
      <w:r w:rsidRPr="00897B1B">
        <w:t xml:space="preserve">MMSE is a validated clinical tool for grading cognitive deterioration, often used in the elderly. A decrease of 1-2 points in MMSE </w:t>
      </w:r>
      <w:r w:rsidRPr="00D16904">
        <w:rPr>
          <w:rFonts w:cs="Calibri"/>
        </w:rPr>
        <w:t>score is considered to be minimal clinically significant.</w:t>
      </w:r>
      <w:r w:rsidRPr="00D16904">
        <w:rPr>
          <w:rFonts w:cs="Calibri"/>
        </w:rPr>
        <w:fldChar w:fldCharType="begin"/>
      </w:r>
      <w:r w:rsidR="00C86345">
        <w:rPr>
          <w:rFonts w:cs="Calibri"/>
        </w:rPr>
        <w:instrText xml:space="preserve"> ADDIN EN.CITE &lt;EndNote&gt;&lt;Cite&gt;&lt;Author&gt;Andrews&lt;/Author&gt;&lt;Year&gt;2019&lt;/Year&gt;&lt;RecNum&gt;19&lt;/RecNum&gt;&lt;DisplayText&gt;(94)&lt;/DisplayText&gt;&lt;record&gt;&lt;rec-number&gt;19&lt;/rec-number&gt;&lt;foreign-keys&gt;&lt;key app="EN" db-id="eeezzstvhp5ss3eptfpxdww9tvawrfef0xa5" timestamp="1615264269"&gt;19&lt;/key&gt;&lt;/foreign-keys&gt;&lt;ref-type name="Journal Article"&gt;17&lt;/ref-type&gt;&lt;contributors&gt;&lt;authors&gt;&lt;author&gt;Andrews, J Scott&lt;/author&gt;&lt;author&gt;Desai, Urvi&lt;/author&gt;&lt;author&gt;Kirson, Noam Y&lt;/author&gt;&lt;author&gt;Zichlin, Miriam L&lt;/author&gt;&lt;author&gt;Ball, Daniel E&lt;/author&gt;&lt;author&gt;Matthews, Brandy R&lt;/author&gt;&lt;/authors&gt;&lt;/contributors&gt;&lt;titles&gt;&lt;title&gt;Disease severity and minimal clinically important differences in clinical outcome assessments for Alzheimer&amp;apos;s disease clinical trials&lt;/title&gt;&lt;secondary-title&gt;Alzheimer&amp;apos;s &amp;amp; Dementia: Translational Research &amp;amp; Clinical Interventions&lt;/secondary-title&gt;&lt;/titles&gt;&lt;periodical&gt;&lt;full-title&gt;Alzheimer&amp;apos;s &amp;amp; Dementia: Translational Research &amp;amp; Clinical Interventions&lt;/full-title&gt;&lt;/periodical&gt;&lt;pages&gt;354-363&lt;/pages&gt;&lt;volume&gt;5&lt;/volume&gt;&lt;dates&gt;&lt;year&gt;2019&lt;/year&gt;&lt;/dates&gt;&lt;isbn&gt;2352-8737&lt;/isbn&gt;&lt;urls&gt;&lt;/urls&gt;&lt;/record&gt;&lt;/Cite&gt;&lt;/EndNote&gt;</w:instrText>
      </w:r>
      <w:r w:rsidRPr="00D16904">
        <w:rPr>
          <w:rFonts w:cs="Calibri"/>
        </w:rPr>
        <w:fldChar w:fldCharType="separate"/>
      </w:r>
      <w:r w:rsidR="00C86345">
        <w:rPr>
          <w:rFonts w:cs="Calibri"/>
          <w:noProof/>
        </w:rPr>
        <w:t>(</w:t>
      </w:r>
      <w:hyperlink w:anchor="_ENREF_94" w:tooltip="Andrews, 2019 #19" w:history="1">
        <w:r w:rsidR="00EB6EA4">
          <w:rPr>
            <w:rFonts w:cs="Calibri"/>
            <w:noProof/>
          </w:rPr>
          <w:t>94</w:t>
        </w:r>
      </w:hyperlink>
      <w:r w:rsidR="00C86345">
        <w:rPr>
          <w:rFonts w:cs="Calibri"/>
          <w:noProof/>
        </w:rPr>
        <w:t>)</w:t>
      </w:r>
      <w:r w:rsidRPr="00D16904">
        <w:rPr>
          <w:rFonts w:cs="Calibri"/>
        </w:rPr>
        <w:fldChar w:fldCharType="end"/>
      </w:r>
    </w:p>
    <w:p w14:paraId="4B61CE7F" w14:textId="48F6B370" w:rsidR="001616E7" w:rsidRDefault="001616E7" w:rsidP="007501B9">
      <w:proofErr w:type="spellStart"/>
      <w:r>
        <w:t>Lapane</w:t>
      </w:r>
      <w:proofErr w:type="spellEnd"/>
      <w:r>
        <w:t xml:space="preserve"> assessed </w:t>
      </w:r>
      <w:r w:rsidRPr="00897B1B">
        <w:t xml:space="preserve">delirium </w:t>
      </w:r>
      <w:r>
        <w:t xml:space="preserve">using the </w:t>
      </w:r>
      <w:r>
        <w:rPr>
          <w:color w:val="000000"/>
          <w:shd w:val="clear" w:color="auto" w:fill="FFFFFF"/>
        </w:rPr>
        <w:t>validated Nursing Home Confusion Assessment Method (NH-CAM)</w:t>
      </w:r>
      <w:r>
        <w:t>.</w:t>
      </w:r>
      <w:r w:rsidRPr="00897B1B">
        <w:fldChar w:fldCharType="begin"/>
      </w:r>
      <w:r w:rsidR="00C86345">
        <w:instrText xml:space="preserve"> ADDIN EN.CITE &lt;EndNote&gt;&lt;Cite&gt;&lt;Author&gt;Lapane&lt;/Author&gt;&lt;Year&gt;2011&lt;/Year&gt;&lt;RecNum&gt;80&lt;/RecNum&gt;&lt;DisplayText&gt;(22)&lt;/DisplayText&gt;&lt;record&gt;&lt;rec-number&gt;80&lt;/rec-number&gt;&lt;foreign-keys&gt;&lt;key app="EN" db-id="9s5z5ped05vxdnede99vfsxhtzavzdzs2d5r" timestamp="1616566440"&gt;80&lt;/key&gt;&lt;/foreign-keys&gt;&lt;ref-type name="Journal Article"&gt;17&lt;/ref-type&gt;&lt;contributors&gt;&lt;authors&gt;&lt;author&gt;Lapane, Kate L&lt;/author&gt;&lt;author&gt;Hughes, Carmel M&lt;/author&gt;&lt;author&gt;Daiello, Lori A&lt;/author&gt;&lt;author&gt;Cameron, Kathleen A&lt;/author&gt;&lt;author&gt;Feinberg, Janice&lt;/author&gt;&lt;/authors&gt;&lt;/contributors&gt;&lt;titles&gt;&lt;title&gt;Effect of a pharmacist</w:instrText>
      </w:r>
      <w:r w:rsidR="00C86345">
        <w:rPr>
          <w:rFonts w:ascii="Cambria Math" w:hAnsi="Cambria Math" w:cs="Cambria Math"/>
        </w:rPr>
        <w:instrText>‐</w:instrText>
      </w:r>
      <w:r w:rsidR="00C86345">
        <w:instrText>led multicomponent intervention focusing on the medication monitoring phase to prevent potential adverse drug events in nursing homes&lt;/title&gt;&lt;secondary-title&gt;Journal of the American Geriatrics Society&lt;/secondary-title&gt;&lt;/titles&gt;&lt;periodical&gt;&lt;full-title&gt;Journal of the American Geriatrics Society&lt;/full-title&gt;&lt;/periodical&gt;&lt;pages&gt;1238-1245&lt;/pages&gt;&lt;volume&gt;59&lt;/volume&gt;&lt;number&gt;7&lt;/number&gt;&lt;dates&gt;&lt;year&gt;2011&lt;/year&gt;&lt;/dates&gt;&lt;isbn&gt;0002-8614&lt;/isbn&gt;&lt;urls&gt;&lt;/urls&gt;&lt;/record&gt;&lt;/Cite&gt;&lt;/EndNote&gt;</w:instrText>
      </w:r>
      <w:r w:rsidRPr="00897B1B">
        <w:fldChar w:fldCharType="separate"/>
      </w:r>
      <w:r w:rsidR="00C86345">
        <w:rPr>
          <w:noProof/>
        </w:rPr>
        <w:t>(</w:t>
      </w:r>
      <w:hyperlink w:anchor="_ENREF_22" w:tooltip="Lapane, 2011 #80" w:history="1">
        <w:r w:rsidR="00EB6EA4">
          <w:rPr>
            <w:noProof/>
          </w:rPr>
          <w:t>22</w:t>
        </w:r>
      </w:hyperlink>
      <w:r w:rsidR="00C86345">
        <w:rPr>
          <w:noProof/>
        </w:rPr>
        <w:t>)</w:t>
      </w:r>
      <w:r w:rsidRPr="00897B1B">
        <w:fldChar w:fldCharType="end"/>
      </w:r>
    </w:p>
    <w:p w14:paraId="023BB91B" w14:textId="7F4290FD" w:rsidR="001616E7" w:rsidRPr="008264E6" w:rsidRDefault="001616E7" w:rsidP="00897C5B">
      <w:pPr>
        <w:pStyle w:val="Heading3"/>
      </w:pPr>
      <w:bookmarkStart w:id="358" w:name="_Toc117758323"/>
      <w:r w:rsidRPr="008264E6">
        <w:lastRenderedPageBreak/>
        <w:t>Falls</w:t>
      </w:r>
      <w:bookmarkEnd w:id="358"/>
    </w:p>
    <w:p w14:paraId="4838E18D" w14:textId="0E4214B6" w:rsidR="001616E7" w:rsidRPr="00897B1B" w:rsidRDefault="001616E7" w:rsidP="007501B9">
      <w:r>
        <w:t>Three RCTs</w:t>
      </w:r>
      <w:r w:rsidRPr="00897B1B">
        <w:t xml:space="preserve"> </w:t>
      </w:r>
      <w:r>
        <w:t>compared</w:t>
      </w:r>
      <w:r w:rsidRPr="00897B1B">
        <w:t xml:space="preserve"> the occurrence of falls experience</w:t>
      </w:r>
      <w:r>
        <w:t>d</w:t>
      </w:r>
      <w:r w:rsidRPr="00897B1B">
        <w:t xml:space="preserve"> by residents in the intervention and control groups</w:t>
      </w:r>
      <w:r w:rsidR="00EB6EA4">
        <w:t xml:space="preserve"> </w:t>
      </w:r>
      <w:r>
        <w:fldChar w:fldCharType="begin">
          <w:fldData xml:space="preserve">PEVuZE5vdGU+PENpdGU+PEF1dGhvcj5GcmFua2VudGhhbDwvQXV0aG9yPjxZZWFyPjIwMTQ8L1ll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=
</w:fldData>
        </w:fldChar>
      </w:r>
      <w:r w:rsidR="00C86345">
        <w:instrText xml:space="preserve"> ADDIN EN.CITE </w:instrText>
      </w:r>
      <w:r w:rsidR="00C86345">
        <w:fldChar w:fldCharType="begin">
          <w:fldData xml:space="preserve">PEVuZE5vdGU+PENpdGU+PEF1dGhvcj5GcmFua2VudGhhbDwvQXV0aG9yPjxZZWFyPjIwMTQ8L1ll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=
</w:fldData>
        </w:fldChar>
      </w:r>
      <w:r w:rsidR="00C86345">
        <w:instrText xml:space="preserve"> ADDIN EN.CITE.DATA </w:instrText>
      </w:r>
      <w:r w:rsidR="00C86345">
        <w:fldChar w:fldCharType="end"/>
      </w:r>
      <w:r>
        <w:fldChar w:fldCharType="separate"/>
      </w:r>
      <w:r w:rsidR="00C86345">
        <w:rPr>
          <w:noProof/>
        </w:rPr>
        <w:t>(</w:t>
      </w:r>
      <w:hyperlink w:anchor="_ENREF_20" w:tooltip="Frankenthal, 2014 #79" w:history="1">
        <w:r w:rsidR="00EB6EA4">
          <w:rPr>
            <w:noProof/>
          </w:rPr>
          <w:t>20</w:t>
        </w:r>
      </w:hyperlink>
      <w:r w:rsidR="00C86345">
        <w:rPr>
          <w:noProof/>
        </w:rPr>
        <w:t xml:space="preserve">, </w:t>
      </w:r>
      <w:hyperlink w:anchor="_ENREF_22" w:tooltip="Lapane, 2011 #80" w:history="1">
        <w:r w:rsidR="00EB6EA4">
          <w:rPr>
            <w:noProof/>
          </w:rPr>
          <w:t>22</w:t>
        </w:r>
      </w:hyperlink>
      <w:r w:rsidR="00C86345">
        <w:rPr>
          <w:noProof/>
        </w:rPr>
        <w:t xml:space="preserve">, </w:t>
      </w:r>
      <w:hyperlink w:anchor="_ENREF_23" w:tooltip="Patterson, 2010 #81" w:history="1">
        <w:r w:rsidR="00EB6EA4">
          <w:rPr>
            <w:noProof/>
          </w:rPr>
          <w:t>23</w:t>
        </w:r>
      </w:hyperlink>
      <w:r w:rsidR="00C86345">
        <w:rPr>
          <w:noProof/>
        </w:rPr>
        <w:t>)</w:t>
      </w:r>
      <w:r>
        <w:fldChar w:fldCharType="end"/>
      </w:r>
      <w:r w:rsidRPr="00897B1B">
        <w:t xml:space="preserve">. </w:t>
      </w:r>
      <w:r>
        <w:t>Due to inconsistent reporting w</w:t>
      </w:r>
      <w:r w:rsidRPr="00897B1B">
        <w:t xml:space="preserve">e performed a meta-analysis for </w:t>
      </w:r>
      <w:r>
        <w:t>only two</w:t>
      </w:r>
      <w:r w:rsidRPr="00897B1B">
        <w:t xml:space="preserve"> studies.</w:t>
      </w:r>
      <w:r>
        <w:fldChar w:fldCharType="begin"/>
      </w:r>
      <w:r w:rsidR="00C86345">
        <w:instrText xml:space="preserve"> ADDIN EN.CITE &lt;EndNote&gt;&lt;Cite&gt;&lt;Author&gt;Lapane&lt;/Author&gt;&lt;Year&gt;2011&lt;/Year&gt;&lt;RecNum&gt;80&lt;/RecNum&gt;&lt;DisplayText&gt;(22, 23)&lt;/DisplayText&gt;&lt;record&gt;&lt;rec-number&gt;80&lt;/rec-number&gt;&lt;foreign-keys&gt;&lt;key app="EN" db-id="9s5z5ped05vxdnede99vfsxhtzavzdzs2d5r" timestamp="1616566440"&gt;80&lt;/key&gt;&lt;/foreign-keys&gt;&lt;ref-type name="Journal Article"&gt;17&lt;/ref-type&gt;&lt;contributors&gt;&lt;authors&gt;&lt;author&gt;Lapane, Kate L&lt;/author&gt;&lt;author&gt;Hughes, Carmel M&lt;/author&gt;&lt;author&gt;Daiello, Lori A&lt;/author&gt;&lt;author&gt;Cameron, Kathleen A&lt;/author&gt;&lt;author&gt;Feinberg, Janice&lt;/author&gt;&lt;/authors&gt;&lt;/contributors&gt;&lt;titles&gt;&lt;title&gt;Effect of a pharmacist</w:instrText>
      </w:r>
      <w:r w:rsidR="00C86345">
        <w:rPr>
          <w:rFonts w:ascii="Cambria Math" w:hAnsi="Cambria Math" w:cs="Cambria Math"/>
        </w:rPr>
        <w:instrText>‐</w:instrText>
      </w:r>
      <w:r w:rsidR="00C86345">
        <w:instrText>led multicomponent intervention focusing on the medication monitoring phase to prevent potential adverse drug events in nursing homes&lt;/title&gt;&lt;secondary-title&gt;Journal of the American Geriatrics Society&lt;/secondary-title&gt;&lt;/titles&gt;&lt;periodical&gt;&lt;full-title&gt;Journal of the American Geriatrics Society&lt;/full-title&gt;&lt;/periodical&gt;&lt;pages&gt;1238-1245&lt;/pages&gt;&lt;volume&gt;59&lt;/volume&gt;&lt;number&gt;7&lt;/number&gt;&lt;dates&gt;&lt;year&gt;2011&lt;/year&gt;&lt;/dates&gt;&lt;isbn&gt;0002-8614&lt;/isbn&gt;&lt;urls&gt;&lt;/urls&gt;&lt;/record&gt;&lt;/Cite&gt;&lt;Cite&gt;&lt;Author&gt;Patterson&lt;/Author&gt;&lt;Year&gt;2010&lt;/Year&gt;&lt;RecNum&gt;81&lt;/RecNum&gt;&lt;record&gt;&lt;rec-number&gt;81&lt;/rec-number&gt;&lt;foreign-keys&gt;&lt;key app="EN" db-id="9s5z5ped05vxdnede99vfsxhtzavzdzs2d5r" timestamp="1616566476"&gt;81&lt;/key&gt;&lt;/foreign-keys&gt;&lt;ref-type name="Journal Article"&gt;17&lt;/ref-type&gt;&lt;contributors&gt;&lt;authors&gt;&lt;author&gt;Patterson, Susan M&lt;/author&gt;&lt;author&gt;Hughes, Carmel M&lt;/author&gt;&lt;author&gt;Crealey, Grainne&lt;/author&gt;&lt;author&gt;Cardwell, Chris&lt;/author&gt;&lt;author&gt;Lapane, Kate L&lt;/author&gt;&lt;/authors&gt;&lt;/contributors&gt;&lt;titles&gt;&lt;title&gt;An evaluation of an adapted US model of pharmaceutical care to improve psychoactive prescribing for nursing home residents in Northern Ireland (Fleetwood Northern Ireland study)&lt;/title&gt;&lt;secondary-title&gt;Journal of the American Geriatrics Society&lt;/secondary-title&gt;&lt;/titles&gt;&lt;periodical&gt;&lt;full-title&gt;Journal of the American Geriatrics Society&lt;/full-title&gt;&lt;/periodical&gt;&lt;pages&gt;44-53&lt;/pages&gt;&lt;volume&gt;58&lt;/volume&gt;&lt;number&gt;1&lt;/number&gt;&lt;dates&gt;&lt;year&gt;2010&lt;/year&gt;&lt;/dates&gt;&lt;isbn&gt;0002-8614&lt;/isbn&gt;&lt;urls&gt;&lt;/urls&gt;&lt;/record&gt;&lt;/Cite&gt;&lt;/EndNote&gt;</w:instrText>
      </w:r>
      <w:r>
        <w:fldChar w:fldCharType="separate"/>
      </w:r>
      <w:r w:rsidR="00C86345">
        <w:rPr>
          <w:noProof/>
        </w:rPr>
        <w:t>(</w:t>
      </w:r>
      <w:hyperlink w:anchor="_ENREF_22" w:tooltip="Lapane, 2011 #80" w:history="1">
        <w:r w:rsidR="00EB6EA4">
          <w:rPr>
            <w:noProof/>
          </w:rPr>
          <w:t>22</w:t>
        </w:r>
      </w:hyperlink>
      <w:r w:rsidR="00C86345">
        <w:rPr>
          <w:noProof/>
        </w:rPr>
        <w:t xml:space="preserve">, </w:t>
      </w:r>
      <w:hyperlink w:anchor="_ENREF_23" w:tooltip="Patterson, 2010 #81" w:history="1">
        <w:r w:rsidR="00EB6EA4">
          <w:rPr>
            <w:noProof/>
          </w:rPr>
          <w:t>23</w:t>
        </w:r>
      </w:hyperlink>
      <w:r w:rsidR="00C86345">
        <w:rPr>
          <w:noProof/>
        </w:rPr>
        <w:t>)</w:t>
      </w:r>
      <w:r>
        <w:fldChar w:fldCharType="end"/>
      </w:r>
      <w:r w:rsidRPr="00897B1B">
        <w:t xml:space="preserve"> </w:t>
      </w:r>
      <w:proofErr w:type="spellStart"/>
      <w:r w:rsidRPr="00897B1B">
        <w:t>Lapane</w:t>
      </w:r>
      <w:proofErr w:type="spellEnd"/>
      <w:r w:rsidRPr="00897B1B">
        <w:t xml:space="preserve"> </w:t>
      </w:r>
      <w:r w:rsidRPr="00EB6EA4">
        <w:rPr>
          <w:i/>
        </w:rPr>
        <w:t>et al</w:t>
      </w:r>
      <w:r w:rsidRPr="00897B1B">
        <w:t xml:space="preserve"> reported repeat measurements for newly administered residents, and these were included in the analysis.</w:t>
      </w:r>
      <w:r w:rsidRPr="00897B1B">
        <w:fldChar w:fldCharType="begin"/>
      </w:r>
      <w:r w:rsidR="00C86345">
        <w:instrText xml:space="preserve"> ADDIN EN.CITE &lt;EndNote&gt;&lt;Cite&gt;&lt;Author&gt;Lapane&lt;/Author&gt;&lt;Year&gt;2011&lt;/Year&gt;&lt;RecNum&gt;80&lt;/RecNum&gt;&lt;DisplayText&gt;(22)&lt;/DisplayText&gt;&lt;record&gt;&lt;rec-number&gt;80&lt;/rec-number&gt;&lt;foreign-keys&gt;&lt;key app="EN" db-id="9s5z5ped05vxdnede99vfsxhtzavzdzs2d5r" timestamp="1616566440"&gt;80&lt;/key&gt;&lt;/foreign-keys&gt;&lt;ref-type name="Journal Article"&gt;17&lt;/ref-type&gt;&lt;contributors&gt;&lt;authors&gt;&lt;author&gt;Lapane, Kate L&lt;/author&gt;&lt;author&gt;Hughes, Carmel M&lt;/author&gt;&lt;author&gt;Daiello, Lori A&lt;/author&gt;&lt;author&gt;Cameron, Kathleen A&lt;/author&gt;&lt;author&gt;Feinberg, Janice&lt;/author&gt;&lt;/authors&gt;&lt;/contributors&gt;&lt;titles&gt;&lt;title&gt;Effect of a pharmacist</w:instrText>
      </w:r>
      <w:r w:rsidR="00C86345">
        <w:rPr>
          <w:rFonts w:ascii="Cambria Math" w:hAnsi="Cambria Math" w:cs="Cambria Math"/>
        </w:rPr>
        <w:instrText>‐</w:instrText>
      </w:r>
      <w:r w:rsidR="00C86345">
        <w:instrText>led multicomponent intervention focusing on the medication monitoring phase to prevent potential adverse drug events in nursing homes&lt;/title&gt;&lt;secondary-title&gt;Journal of the American Geriatrics Society&lt;/secondary-title&gt;&lt;/titles&gt;&lt;periodical&gt;&lt;full-title&gt;Journal of the American Geriatrics Society&lt;/full-title&gt;&lt;/periodical&gt;&lt;pages&gt;1238-1245&lt;/pages&gt;&lt;volume&gt;59&lt;/volume&gt;&lt;number&gt;7&lt;/number&gt;&lt;dates&gt;&lt;year&gt;2011&lt;/year&gt;&lt;/dates&gt;&lt;isbn&gt;0002-8614&lt;/isbn&gt;&lt;urls&gt;&lt;/urls&gt;&lt;/record&gt;&lt;/Cite&gt;&lt;/EndNote&gt;</w:instrText>
      </w:r>
      <w:r w:rsidRPr="00897B1B">
        <w:fldChar w:fldCharType="separate"/>
      </w:r>
      <w:r w:rsidR="00C86345">
        <w:rPr>
          <w:noProof/>
        </w:rPr>
        <w:t>(</w:t>
      </w:r>
      <w:hyperlink w:anchor="_ENREF_22" w:tooltip="Lapane, 2011 #80" w:history="1">
        <w:r w:rsidR="00EB6EA4">
          <w:rPr>
            <w:noProof/>
          </w:rPr>
          <w:t>22</w:t>
        </w:r>
      </w:hyperlink>
      <w:r w:rsidR="00C86345">
        <w:rPr>
          <w:noProof/>
        </w:rPr>
        <w:t>)</w:t>
      </w:r>
      <w:r w:rsidRPr="00897B1B">
        <w:fldChar w:fldCharType="end"/>
      </w:r>
      <w:r w:rsidRPr="00897B1B">
        <w:t xml:space="preserve"> </w:t>
      </w:r>
    </w:p>
    <w:p w14:paraId="4931C686" w14:textId="37C141AE" w:rsidR="001616E7" w:rsidRPr="008264E6" w:rsidRDefault="001616E7" w:rsidP="00897C5B">
      <w:pPr>
        <w:pStyle w:val="Heading3"/>
      </w:pPr>
      <w:bookmarkStart w:id="359" w:name="_Toc117758324"/>
      <w:r w:rsidRPr="008264E6">
        <w:t>Hospitalisation</w:t>
      </w:r>
      <w:bookmarkEnd w:id="359"/>
    </w:p>
    <w:p w14:paraId="1599ED88" w14:textId="3DE2F9F2" w:rsidR="001616E7" w:rsidRDefault="001616E7" w:rsidP="007501B9">
      <w:r w:rsidRPr="00897B1B">
        <w:t xml:space="preserve">Hospitalisation was </w:t>
      </w:r>
      <w:r>
        <w:t>reported as an outcome in two studies:</w:t>
      </w:r>
      <w:r>
        <w:rPr>
          <w:rStyle w:val="CommentReference"/>
        </w:rPr>
        <w:t xml:space="preserve"> </w:t>
      </w:r>
      <w:r>
        <w:t xml:space="preserve"> </w:t>
      </w:r>
      <w:proofErr w:type="spellStart"/>
      <w:r w:rsidRPr="00897B1B">
        <w:t>Frankenthal</w:t>
      </w:r>
      <w:proofErr w:type="spellEnd"/>
      <w:r w:rsidRPr="00897B1B">
        <w:t xml:space="preserve"> </w:t>
      </w:r>
      <w:r w:rsidRPr="00EB6EA4">
        <w:rPr>
          <w:i/>
        </w:rPr>
        <w:t>et al</w:t>
      </w:r>
      <w:r>
        <w:t>.,</w:t>
      </w:r>
      <w:r w:rsidRPr="00DD12A0">
        <w:t xml:space="preserve"> </w:t>
      </w:r>
      <w:r w:rsidRPr="00897B1B">
        <w:fldChar w:fldCharType="begin"/>
      </w:r>
      <w:r w:rsidR="00C86345">
        <w:instrText xml:space="preserve"> ADDIN EN.CITE &lt;EndNote&gt;&lt;Cite&gt;&lt;Author&gt;Frankenthal&lt;/Author&gt;&lt;Year&gt;2014&lt;/Year&gt;&lt;RecNum&gt;79&lt;/RecNum&gt;&lt;DisplayText&gt;(20)&lt;/DisplayText&gt;&lt;record&gt;&lt;rec-number&gt;79&lt;/rec-number&gt;&lt;foreign-keys&gt;&lt;key app="EN" db-id="9s5z5ped05vxdnede99vfsxhtzavzdzs2d5r" timestamp="1616566370"&gt;79&lt;/key&gt;&lt;/foreign-keys&gt;&lt;ref-type name="Journal Article"&gt;17&lt;/ref-type&gt;&lt;contributors&gt;&lt;authors&gt;&lt;author&gt;Frankenthal, Dvora&lt;/author&gt;&lt;author&gt;Lerman, Yaffa&lt;/author&gt;&lt;author&gt;Kalendaryev, Edward&lt;/author&gt;&lt;author&gt;Lerman, Yehuda&lt;/author&gt;&lt;/authors&gt;&lt;/contributors&gt;&lt;titles&gt;&lt;title&gt;Intervention with the screening tool of older persons potentially inappropriate prescriptions/screening tool to alert doctors to right treatment criteria in elderly residents of a chronic geriatric facility: a randomized clinical trial&lt;/title&gt;&lt;secondary-title&gt;Journal of the American Geriatrics Society&lt;/secondary-title&gt;&lt;/titles&gt;&lt;periodical&gt;&lt;full-title&gt;Journal of the American Geriatrics Society&lt;/full-title&gt;&lt;/periodical&gt;&lt;pages&gt;1658-1665&lt;/pages&gt;&lt;volume&gt;62&lt;/volume&gt;&lt;number&gt;9&lt;/number&gt;&lt;dates&gt;&lt;year&gt;2014&lt;/year&gt;&lt;/dates&gt;&lt;isbn&gt;0002-8614&lt;/isbn&gt;&lt;urls&gt;&lt;/urls&gt;&lt;/record&gt;&lt;/Cite&gt;&lt;/EndNote&gt;</w:instrText>
      </w:r>
      <w:r w:rsidRPr="00897B1B">
        <w:fldChar w:fldCharType="separate"/>
      </w:r>
      <w:r w:rsidR="00C86345">
        <w:rPr>
          <w:noProof/>
        </w:rPr>
        <w:t>(</w:t>
      </w:r>
      <w:hyperlink w:anchor="_ENREF_20" w:tooltip="Frankenthal, 2014 #79" w:history="1">
        <w:r w:rsidR="00EB6EA4">
          <w:rPr>
            <w:noProof/>
          </w:rPr>
          <w:t>20</w:t>
        </w:r>
      </w:hyperlink>
      <w:r w:rsidR="00C86345">
        <w:rPr>
          <w:noProof/>
        </w:rPr>
        <w:t>)</w:t>
      </w:r>
      <w:r w:rsidRPr="00897B1B">
        <w:fldChar w:fldCharType="end"/>
      </w:r>
      <w:r>
        <w:t xml:space="preserve"> who reported all cause hospital admissions, and </w:t>
      </w:r>
      <w:proofErr w:type="spellStart"/>
      <w:r w:rsidRPr="00897B1B">
        <w:t>Lapane</w:t>
      </w:r>
      <w:proofErr w:type="spellEnd"/>
      <w:r w:rsidRPr="00897B1B">
        <w:t xml:space="preserve"> </w:t>
      </w:r>
      <w:r w:rsidRPr="00EB6EA4">
        <w:rPr>
          <w:i/>
        </w:rPr>
        <w:t>et al</w:t>
      </w:r>
      <w:r w:rsidRPr="00897B1B">
        <w:t>.</w:t>
      </w:r>
      <w:r w:rsidRPr="00897B1B">
        <w:fldChar w:fldCharType="begin"/>
      </w:r>
      <w:r w:rsidR="00C86345">
        <w:instrText xml:space="preserve"> ADDIN EN.CITE &lt;EndNote&gt;&lt;Cite&gt;&lt;Author&gt;Lapane&lt;/Author&gt;&lt;Year&gt;2011&lt;/Year&gt;&lt;RecNum&gt;80&lt;/RecNum&gt;&lt;DisplayText&gt;(22)&lt;/DisplayText&gt;&lt;record&gt;&lt;rec-number&gt;80&lt;/rec-number&gt;&lt;foreign-keys&gt;&lt;key app="EN" db-id="9s5z5ped05vxdnede99vfsxhtzavzdzs2d5r" timestamp="1616566440"&gt;80&lt;/key&gt;&lt;/foreign-keys&gt;&lt;ref-type name="Journal Article"&gt;17&lt;/ref-type&gt;&lt;contributors&gt;&lt;authors&gt;&lt;author&gt;Lapane, Kate L&lt;/author&gt;&lt;author&gt;Hughes, Carmel M&lt;/author&gt;&lt;author&gt;Daiello, Lori A&lt;/author&gt;&lt;author&gt;Cameron, Kathleen A&lt;/author&gt;&lt;author&gt;Feinberg, Janice&lt;/author&gt;&lt;/authors&gt;&lt;/contributors&gt;&lt;titles&gt;&lt;title&gt;Effect of a pharmacist</w:instrText>
      </w:r>
      <w:r w:rsidR="00C86345">
        <w:rPr>
          <w:rFonts w:ascii="Cambria Math" w:hAnsi="Cambria Math" w:cs="Cambria Math"/>
        </w:rPr>
        <w:instrText>‐</w:instrText>
      </w:r>
      <w:r w:rsidR="00C86345">
        <w:instrText>led multicomponent intervention focusing on the medication monitoring phase to prevent potential adverse drug events in nursing homes&lt;/title&gt;&lt;secondary-title&gt;Journal of the American Geriatrics Society&lt;/secondary-title&gt;&lt;/titles&gt;&lt;periodical&gt;&lt;full-title&gt;Journal of the American Geriatrics Society&lt;/full-title&gt;&lt;/periodical&gt;&lt;pages&gt;1238-1245&lt;/pages&gt;&lt;volume&gt;59&lt;/volume&gt;&lt;number&gt;7&lt;/number&gt;&lt;dates&gt;&lt;year&gt;2011&lt;/year&gt;&lt;/dates&gt;&lt;isbn&gt;0002-8614&lt;/isbn&gt;&lt;urls&gt;&lt;/urls&gt;&lt;/record&gt;&lt;/Cite&gt;&lt;/EndNote&gt;</w:instrText>
      </w:r>
      <w:r w:rsidRPr="00897B1B">
        <w:fldChar w:fldCharType="separate"/>
      </w:r>
      <w:r w:rsidR="00C86345">
        <w:rPr>
          <w:noProof/>
        </w:rPr>
        <w:t>(</w:t>
      </w:r>
      <w:hyperlink w:anchor="_ENREF_22" w:tooltip="Lapane, 2011 #80" w:history="1">
        <w:r w:rsidR="00EB6EA4">
          <w:rPr>
            <w:noProof/>
          </w:rPr>
          <w:t>22</w:t>
        </w:r>
      </w:hyperlink>
      <w:r w:rsidR="00C86345">
        <w:rPr>
          <w:noProof/>
        </w:rPr>
        <w:t>)</w:t>
      </w:r>
      <w:r w:rsidRPr="00897B1B">
        <w:fldChar w:fldCharType="end"/>
      </w:r>
      <w:r>
        <w:t>, who reported both all cause</w:t>
      </w:r>
      <w:r w:rsidRPr="00897B1B">
        <w:t xml:space="preserve"> hospitalisation and hospitalisation</w:t>
      </w:r>
      <w:r>
        <w:t xml:space="preserve"> due to </w:t>
      </w:r>
      <w:r w:rsidRPr="00897B1B">
        <w:t xml:space="preserve">potential </w:t>
      </w:r>
      <w:r>
        <w:t>adverse medicine events.</w:t>
      </w:r>
      <w:r w:rsidRPr="00897B1B">
        <w:t xml:space="preserve"> </w:t>
      </w:r>
    </w:p>
    <w:p w14:paraId="4D3A2EA1" w14:textId="0C018F26" w:rsidR="001616E7" w:rsidRPr="008264E6" w:rsidRDefault="001616E7" w:rsidP="00897C5B">
      <w:pPr>
        <w:pStyle w:val="Heading3"/>
      </w:pPr>
      <w:bookmarkStart w:id="360" w:name="_Toc117758325"/>
      <w:r w:rsidRPr="008264E6">
        <w:t>Mortality</w:t>
      </w:r>
      <w:bookmarkEnd w:id="360"/>
    </w:p>
    <w:p w14:paraId="4C1BC77B" w14:textId="0FEC20D0" w:rsidR="001616E7" w:rsidRPr="00897B1B" w:rsidRDefault="001616E7" w:rsidP="007501B9">
      <w:r>
        <w:t>Three</w:t>
      </w:r>
      <w:r w:rsidRPr="00897B1B">
        <w:t xml:space="preserve"> </w:t>
      </w:r>
      <w:r>
        <w:t xml:space="preserve">RCTs reported </w:t>
      </w:r>
      <w:r w:rsidRPr="00897B1B">
        <w:t xml:space="preserve">mortality rates for </w:t>
      </w:r>
      <w:r>
        <w:t xml:space="preserve">3,621 </w:t>
      </w:r>
      <w:r w:rsidRPr="00897B1B">
        <w:t xml:space="preserve">residents in </w:t>
      </w:r>
      <w:r>
        <w:t>39</w:t>
      </w:r>
      <w:r w:rsidRPr="00897B1B">
        <w:t xml:space="preserve"> aged care facilities.</w:t>
      </w:r>
      <w:r>
        <w:fldChar w:fldCharType="begin">
          <w:fldData xml:space="preserve">PEVuZE5vdGU+PENpdGU+PEF1dGhvcj5GcmFua2VudGhhbDwvQXV0aG9yPjxZZWFyPjIwMTQ8L1ll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</w:fldData>
        </w:fldChar>
      </w:r>
      <w:r w:rsidR="00C86345">
        <w:instrText xml:space="preserve"> ADDIN EN.CITE </w:instrText>
      </w:r>
      <w:r w:rsidR="00C86345">
        <w:fldChar w:fldCharType="begin">
          <w:fldData xml:space="preserve">PEVuZE5vdGU+PENpdGU+PEF1dGhvcj5GcmFua2VudGhhbDwvQXV0aG9yPjxZZWFyPjIwMTQ8L1ll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</w:fldData>
        </w:fldChar>
      </w:r>
      <w:r w:rsidR="00C86345">
        <w:instrText xml:space="preserve"> ADDIN EN.CITE.DATA </w:instrText>
      </w:r>
      <w:r w:rsidR="00C86345">
        <w:fldChar w:fldCharType="end"/>
      </w:r>
      <w:r>
        <w:fldChar w:fldCharType="separate"/>
      </w:r>
      <w:r w:rsidR="00C86345">
        <w:rPr>
          <w:noProof/>
        </w:rPr>
        <w:t>(</w:t>
      </w:r>
      <w:hyperlink w:anchor="_ENREF_20" w:tooltip="Frankenthal, 2014 #79" w:history="1">
        <w:r w:rsidR="00EB6EA4">
          <w:rPr>
            <w:noProof/>
          </w:rPr>
          <w:t>20-22</w:t>
        </w:r>
      </w:hyperlink>
      <w:r w:rsidR="00C86345">
        <w:rPr>
          <w:noProof/>
        </w:rPr>
        <w:t>)</w:t>
      </w:r>
      <w:r>
        <w:fldChar w:fldCharType="end"/>
      </w:r>
      <w:r>
        <w:t xml:space="preserve"> </w:t>
      </w:r>
      <w:r w:rsidRPr="00897B1B">
        <w:t xml:space="preserve">Studies assessed the mortality with Kaplan-Meier survival curves and the Cox proportional hazards model to compare survival in the intervention and control groups. </w:t>
      </w:r>
    </w:p>
    <w:p w14:paraId="60C09039" w14:textId="62C96AFE" w:rsidR="001616E7" w:rsidRDefault="001616E7" w:rsidP="007501B9">
      <w:proofErr w:type="spellStart"/>
      <w:r w:rsidRPr="00897B1B">
        <w:t>Frankenthal</w:t>
      </w:r>
      <w:proofErr w:type="spellEnd"/>
      <w:r w:rsidRPr="00897B1B">
        <w:t xml:space="preserve"> </w:t>
      </w:r>
      <w:r w:rsidRPr="00EB6EA4">
        <w:rPr>
          <w:i/>
        </w:rPr>
        <w:t>et al</w:t>
      </w:r>
      <w:r w:rsidRPr="00897B1B">
        <w:t xml:space="preserve"> estimated mortality as number of deaths over 12-months</w:t>
      </w:r>
      <w:r>
        <w:t>.</w:t>
      </w:r>
      <w:r w:rsidRPr="00897B1B">
        <w:fldChar w:fldCharType="begin"/>
      </w:r>
      <w:r w:rsidR="00C86345">
        <w:instrText xml:space="preserve"> ADDIN EN.CITE &lt;EndNote&gt;&lt;Cite&gt;&lt;Author&gt;Frankenthal&lt;/Author&gt;&lt;Year&gt;2014&lt;/Year&gt;&lt;RecNum&gt;79&lt;/RecNum&gt;&lt;DisplayText&gt;(20)&lt;/DisplayText&gt;&lt;record&gt;&lt;rec-number&gt;79&lt;/rec-number&gt;&lt;foreign-keys&gt;&lt;key app="EN" db-id="9s5z5ped05vxdnede99vfsxhtzavzdzs2d5r" timestamp="1616566370"&gt;79&lt;/key&gt;&lt;/foreign-keys&gt;&lt;ref-type name="Journal Article"&gt;17&lt;/ref-type&gt;&lt;contributors&gt;&lt;authors&gt;&lt;author&gt;Frankenthal, Dvora&lt;/author&gt;&lt;author&gt;Lerman, Yaffa&lt;/author&gt;&lt;author&gt;Kalendaryev, Edward&lt;/author&gt;&lt;author&gt;Lerman, Yehuda&lt;/author&gt;&lt;/authors&gt;&lt;/contributors&gt;&lt;titles&gt;&lt;title&gt;Intervention with the screening tool of older persons potentially inappropriate prescriptions/screening tool to alert doctors to right treatment criteria in elderly residents of a chronic geriatric facility: a randomized clinical trial&lt;/title&gt;&lt;secondary-title&gt;Journal of the American Geriatrics Society&lt;/secondary-title&gt;&lt;/titles&gt;&lt;periodical&gt;&lt;full-title&gt;Journal of the American Geriatrics Society&lt;/full-title&gt;&lt;/periodical&gt;&lt;pages&gt;1658-1665&lt;/pages&gt;&lt;volume&gt;62&lt;/volume&gt;&lt;number&gt;9&lt;/number&gt;&lt;dates&gt;&lt;year&gt;2014&lt;/year&gt;&lt;/dates&gt;&lt;isbn&gt;0002-8614&lt;/isbn&gt;&lt;urls&gt;&lt;/urls&gt;&lt;/record&gt;&lt;/Cite&gt;&lt;/EndNote&gt;</w:instrText>
      </w:r>
      <w:r w:rsidRPr="00897B1B">
        <w:fldChar w:fldCharType="separate"/>
      </w:r>
      <w:r w:rsidR="00C86345">
        <w:rPr>
          <w:noProof/>
        </w:rPr>
        <w:t>(</w:t>
      </w:r>
      <w:hyperlink w:anchor="_ENREF_20" w:tooltip="Frankenthal, 2014 #79" w:history="1">
        <w:r w:rsidR="00EB6EA4">
          <w:rPr>
            <w:noProof/>
          </w:rPr>
          <w:t>20</w:t>
        </w:r>
      </w:hyperlink>
      <w:r w:rsidR="00C86345">
        <w:rPr>
          <w:noProof/>
        </w:rPr>
        <w:t>)</w:t>
      </w:r>
      <w:r w:rsidRPr="00897B1B">
        <w:fldChar w:fldCharType="end"/>
      </w:r>
      <w:r w:rsidRPr="00897B1B">
        <w:t xml:space="preserve"> Furniss </w:t>
      </w:r>
      <w:r w:rsidRPr="00EB6EA4">
        <w:rPr>
          <w:i/>
        </w:rPr>
        <w:t>et al</w:t>
      </w:r>
      <w:r w:rsidRPr="00897B1B">
        <w:t xml:space="preserve"> reported it over 8- months. </w:t>
      </w:r>
      <w:proofErr w:type="spellStart"/>
      <w:r w:rsidRPr="00897B1B">
        <w:t>Lapane</w:t>
      </w:r>
      <w:proofErr w:type="spellEnd"/>
      <w:r w:rsidRPr="00897B1B">
        <w:t xml:space="preserve"> et al provided repeated measurements for average percentage of mortality per 1000 person-months.</w:t>
      </w:r>
      <w:r w:rsidRPr="00897B1B">
        <w:fldChar w:fldCharType="begin"/>
      </w:r>
      <w:r w:rsidR="00C86345">
        <w:instrText xml:space="preserve"> ADDIN EN.CITE &lt;EndNote&gt;&lt;Cite&gt;&lt;Author&gt;Lapane&lt;/Author&gt;&lt;Year&gt;2011&lt;/Year&gt;&lt;RecNum&gt;80&lt;/RecNum&gt;&lt;DisplayText&gt;(22)&lt;/DisplayText&gt;&lt;record&gt;&lt;rec-number&gt;80&lt;/rec-number&gt;&lt;foreign-keys&gt;&lt;key app="EN" db-id="9s5z5ped05vxdnede99vfsxhtzavzdzs2d5r" timestamp="1616566440"&gt;80&lt;/key&gt;&lt;/foreign-keys&gt;&lt;ref-type name="Journal Article"&gt;17&lt;/ref-type&gt;&lt;contributors&gt;&lt;authors&gt;&lt;author&gt;Lapane, Kate L&lt;/author&gt;&lt;author&gt;Hughes, Carmel M&lt;/author&gt;&lt;author&gt;Daiello, Lori A&lt;/author&gt;&lt;author&gt;Cameron, Kathleen A&lt;/author&gt;&lt;author&gt;Feinberg, Janice&lt;/author&gt;&lt;/authors&gt;&lt;/contributors&gt;&lt;titles&gt;&lt;title&gt;Effect of a pharmacist</w:instrText>
      </w:r>
      <w:r w:rsidR="00C86345">
        <w:rPr>
          <w:rFonts w:ascii="Cambria Math" w:hAnsi="Cambria Math" w:cs="Cambria Math"/>
        </w:rPr>
        <w:instrText>‐</w:instrText>
      </w:r>
      <w:r w:rsidR="00C86345">
        <w:instrText>led multicomponent intervention focusing on the medication monitoring phase to prevent potential adverse drug events in nursing homes&lt;/title&gt;&lt;secondary-title&gt;Journal of the American Geriatrics Society&lt;/secondary-title&gt;&lt;/titles&gt;&lt;periodical&gt;&lt;full-title&gt;Journal of the American Geriatrics Society&lt;/full-title&gt;&lt;/periodical&gt;&lt;pages&gt;1238-1245&lt;/pages&gt;&lt;volume&gt;59&lt;/volume&gt;&lt;number&gt;7&lt;/number&gt;&lt;dates&gt;&lt;year&gt;2011&lt;/year&gt;&lt;/dates&gt;&lt;isbn&gt;0002-8614&lt;/isbn&gt;&lt;urls&gt;&lt;/urls&gt;&lt;/record&gt;&lt;/Cite&gt;&lt;/EndNote&gt;</w:instrText>
      </w:r>
      <w:r w:rsidRPr="00897B1B">
        <w:fldChar w:fldCharType="separate"/>
      </w:r>
      <w:r w:rsidR="00C86345">
        <w:rPr>
          <w:noProof/>
        </w:rPr>
        <w:t>(</w:t>
      </w:r>
      <w:hyperlink w:anchor="_ENREF_22" w:tooltip="Lapane, 2011 #80" w:history="1">
        <w:r w:rsidR="00EB6EA4">
          <w:rPr>
            <w:noProof/>
          </w:rPr>
          <w:t>22</w:t>
        </w:r>
      </w:hyperlink>
      <w:r w:rsidR="00C86345">
        <w:rPr>
          <w:noProof/>
        </w:rPr>
        <w:t>)</w:t>
      </w:r>
      <w:r w:rsidRPr="00897B1B">
        <w:fldChar w:fldCharType="end"/>
      </w:r>
      <w:r w:rsidRPr="00897B1B">
        <w:t xml:space="preserve"> </w:t>
      </w:r>
    </w:p>
    <w:p w14:paraId="5669D30A" w14:textId="77777777" w:rsidR="001616E7" w:rsidRPr="00897B1B" w:rsidRDefault="001616E7" w:rsidP="00897C5B">
      <w:pPr>
        <w:pStyle w:val="Heading2"/>
      </w:pPr>
      <w:bookmarkStart w:id="361" w:name="_Toc428263177"/>
      <w:bookmarkStart w:id="362" w:name="_Toc117758326"/>
      <w:r w:rsidRPr="00897B1B">
        <w:t>Results of the Systematic Literature review</w:t>
      </w:r>
      <w:bookmarkEnd w:id="361"/>
      <w:bookmarkEnd w:id="362"/>
    </w:p>
    <w:p w14:paraId="34D21BE6" w14:textId="56E60964" w:rsidR="001616E7" w:rsidRDefault="001616E7" w:rsidP="007501B9">
      <w:r>
        <w:t>We located n</w:t>
      </w:r>
      <w:r w:rsidRPr="00232030">
        <w:t xml:space="preserve">o previous research that </w:t>
      </w:r>
      <w:r>
        <w:t xml:space="preserve">aimed to </w:t>
      </w:r>
      <w:r w:rsidRPr="00232030">
        <w:t>assess the effect of ongoing pharmacist assessment to prevent deterioration due to medicine use in persons in aged care who were not cognitively impaired or frail</w:t>
      </w:r>
      <w:r w:rsidR="007501B9">
        <w:t xml:space="preserve">. </w:t>
      </w:r>
      <w:r>
        <w:t>Further, n</w:t>
      </w:r>
      <w:r w:rsidRPr="00232030">
        <w:t xml:space="preserve">o previous research </w:t>
      </w:r>
      <w:r>
        <w:t xml:space="preserve">aimed </w:t>
      </w:r>
      <w:r w:rsidRPr="00232030">
        <w:t>to prevent mild cognitive impairment</w:t>
      </w:r>
      <w:r>
        <w:t xml:space="preserve"> or used assessment tools to detect mild cognitive impairment</w:t>
      </w:r>
      <w:r w:rsidRPr="00232030">
        <w:t>.</w:t>
      </w:r>
      <w:r>
        <w:t xml:space="preserve"> The limitation of prior research is that cognitive assessment tools used would only detect major changes in cognition. No previous published </w:t>
      </w:r>
      <w:r w:rsidRPr="00897B1B">
        <w:t xml:space="preserve">studies </w:t>
      </w:r>
      <w:r>
        <w:t>used the</w:t>
      </w:r>
      <w:r w:rsidRPr="00897B1B">
        <w:t xml:space="preserve"> Montreal Cognitive Assessment (MoCA). MoCA is validated for detecting mild cognitive impairment in older people</w:t>
      </w:r>
      <w:r>
        <w:t xml:space="preserve"> and was the tool used in the </w:t>
      </w:r>
      <w:proofErr w:type="spellStart"/>
      <w:r>
        <w:t>ReMInDAR</w:t>
      </w:r>
      <w:proofErr w:type="spellEnd"/>
      <w:r>
        <w:t xml:space="preserve"> trial</w:t>
      </w:r>
      <w:r w:rsidRPr="00897B1B">
        <w:t>.</w:t>
      </w:r>
      <w:r w:rsidRPr="00897B1B">
        <w:fldChar w:fldCharType="begin"/>
      </w:r>
      <w:r w:rsidR="00EB6EA4">
        <w:instrText xml:space="preserve"> ADDIN EN.CITE &lt;EndNote&gt;&lt;Cite&gt;&lt;Author&gt;Lim&lt;/Author&gt;&lt;Year&gt;2020&lt;/Year&gt;&lt;RecNum&gt;22&lt;/RecNum&gt;&lt;DisplayText&gt;(36)&lt;/DisplayText&gt;&lt;record&gt;&lt;rec-number&gt;22&lt;/rec-number&gt;&lt;foreign-keys&gt;&lt;key app="EN" db-id="eeezzstvhp5ss3eptfpxdww9tvawrfef0xa5" timestamp="1615264270"&gt;22&lt;/key&gt;&lt;/foreign-keys&gt;&lt;ref-type name="Journal Article"&gt;17&lt;/ref-type&gt;&lt;contributors&gt;&lt;authors&gt;&lt;author&gt;Lim, Renly&lt;/author&gt;&lt;author&gt;Bereznicki, Luke&lt;/author&gt;&lt;author&gt;Corlis, Megan&lt;/author&gt;&lt;author&gt;Ellett, Lisa M Kalisch&lt;/author&gt;&lt;author&gt;Kang, Ai Choo&lt;/author&gt;&lt;author&gt;Merlin, Tracy&lt;/author&gt;&lt;author&gt;Parfitt, Gaynor&lt;/author&gt;&lt;author&gt;Pratt, Nicole L&lt;/author&gt;&lt;author&gt;Rowett, Debra&lt;/author&gt;&lt;author&gt;Torode, Stacey&lt;/author&gt;&lt;/authors&gt;&lt;/contributors&gt;&lt;titles&gt;&lt;title&gt;Reducing medicine-induced deterioration and adverse reactions (ReMInDAR) trial: study protocol for a randomised controlled trial in residential aged-care facilities assessing frailty as the primary outcome&lt;/title&gt;&lt;secondary-title&gt;BMJ open&lt;/secondary-title&gt;&lt;/titles&gt;&lt;periodical&gt;&lt;full-title&gt;BMJ open&lt;/full-title&gt;&lt;/periodical&gt;&lt;pages&gt;e032851&lt;/pages&gt;&lt;volume&gt;10&lt;/volume&gt;&lt;number&gt;4&lt;/number&gt;&lt;dates&gt;&lt;year&gt;2020&lt;/year&gt;&lt;/dates&gt;&lt;isbn&gt;2044-6055&lt;/isbn&gt;&lt;urls&gt;&lt;/urls&gt;&lt;/record&gt;&lt;/Cite&gt;&lt;/EndNote&gt;</w:instrText>
      </w:r>
      <w:r w:rsidRPr="00897B1B">
        <w:fldChar w:fldCharType="separate"/>
      </w:r>
      <w:r w:rsidR="00EB6EA4">
        <w:rPr>
          <w:noProof/>
        </w:rPr>
        <w:t>(</w:t>
      </w:r>
      <w:hyperlink w:anchor="_ENREF_36" w:tooltip="Lim, 2020 #22" w:history="1">
        <w:r w:rsidR="00EB6EA4">
          <w:rPr>
            <w:noProof/>
          </w:rPr>
          <w:t>36</w:t>
        </w:r>
      </w:hyperlink>
      <w:r w:rsidR="00EB6EA4">
        <w:rPr>
          <w:noProof/>
        </w:rPr>
        <w:t>)</w:t>
      </w:r>
      <w:r w:rsidRPr="00897B1B">
        <w:fldChar w:fldCharType="end"/>
      </w:r>
      <w:r w:rsidRPr="00897B1B">
        <w:t xml:space="preserve"> </w:t>
      </w:r>
      <w:bookmarkStart w:id="363" w:name="_Ref65943917"/>
      <w:r>
        <w:t xml:space="preserve"> Thus, the </w:t>
      </w:r>
      <w:proofErr w:type="spellStart"/>
      <w:r w:rsidR="00BD3662">
        <w:t>ReMInDAR</w:t>
      </w:r>
      <w:proofErr w:type="spellEnd"/>
      <w:r>
        <w:t xml:space="preserve"> trial forms the basis of th</w:t>
      </w:r>
      <w:r w:rsidR="00BD3662">
        <w:t>e evidence for the submission.</w:t>
      </w:r>
    </w:p>
    <w:p w14:paraId="7B85044B" w14:textId="32DD5D9A" w:rsidR="001616E7" w:rsidRPr="00576805" w:rsidRDefault="001616E7" w:rsidP="00897C5B">
      <w:pPr>
        <w:pStyle w:val="Heading3"/>
      </w:pPr>
      <w:bookmarkStart w:id="364" w:name="_Toc117758327"/>
      <w:r w:rsidRPr="00576805">
        <w:t>Cognition</w:t>
      </w:r>
      <w:bookmarkEnd w:id="364"/>
    </w:p>
    <w:p w14:paraId="3902A4DC" w14:textId="4C94EF55" w:rsidR="001616E7" w:rsidRDefault="001616E7" w:rsidP="007501B9">
      <w:pPr>
        <w:rPr>
          <w:rFonts w:cstheme="minorHAnsi"/>
        </w:rPr>
      </w:pPr>
      <w:r w:rsidRPr="00897B1B">
        <w:t xml:space="preserve">Furniss </w:t>
      </w:r>
      <w:r w:rsidRPr="00EB6EA4">
        <w:rPr>
          <w:i/>
        </w:rPr>
        <w:t>et al</w:t>
      </w:r>
      <w:r w:rsidRPr="00897B1B">
        <w:t xml:space="preserve"> used MMSE to </w:t>
      </w:r>
      <w:r>
        <w:t>assess</w:t>
      </w:r>
      <w:r w:rsidRPr="00897B1B">
        <w:t xml:space="preserve"> cognition of 330 elderly residents in the UK.</w:t>
      </w:r>
      <w:r w:rsidRPr="00897B1B">
        <w:fldChar w:fldCharType="begin"/>
      </w:r>
      <w:r w:rsidR="00C86345">
        <w:instrText xml:space="preserve"> ADDIN EN.CITE &lt;EndNote&gt;&lt;Cite&gt;&lt;Author&gt;Furniss&lt;/Author&gt;&lt;Year&gt;2000&lt;/Year&gt;&lt;RecNum&gt;4&lt;/RecNum&gt;&lt;DisplayText&gt;(21)&lt;/DisplayText&gt;&lt;record&gt;&lt;rec-number&gt;4&lt;/rec-number&gt;&lt;foreign-keys&gt;&lt;key app="EN" db-id="eeezzstvhp5ss3eptfpxdww9tvawrfef0xa5" timestamp="1615264266"&gt;4&lt;/key&gt;&lt;/foreign-keys&gt;&lt;ref-type name="Journal Article"&gt;17&lt;/ref-type&gt;&lt;contributors&gt;&lt;authors&gt;&lt;author&gt;Furniss, L.&lt;/author&gt;&lt;author&gt;Burns, A.&lt;/author&gt;&lt;author&gt;Craig, S. K.&lt;/author&gt;&lt;author&gt;Scobie, S.&lt;/author&gt;&lt;author&gt;Cooke, J.&lt;/author&gt;&lt;author&gt;Faragher, B.&lt;/author&gt;&lt;/authors&gt;&lt;/contributors&gt;&lt;auth-address&gt;Withington Hospital, Manchester.&lt;/auth-address&gt;&lt;titles&gt;&lt;title&gt;Effects of a pharmacist&amp;apos;s medication review in nursing homes. Randomised controlled trial&lt;/title&gt;&lt;secondary-title&gt;Br J Psychiatry&lt;/secondary-title&gt;&lt;/titles&gt;&lt;periodical&gt;&lt;full-title&gt;Br J Psychiatry&lt;/full-title&gt;&lt;/periodical&gt;&lt;pages&gt;563-7&lt;/pages&gt;&lt;volume&gt;176&lt;/volume&gt;&lt;edition&gt;2000/09/07&lt;/edition&gt;&lt;keywords&gt;&lt;keyword&gt;Aged&lt;/keyword&gt;&lt;keyword&gt;Aged, 80 and over&lt;/keyword&gt;&lt;keyword&gt;Female&lt;/keyword&gt;&lt;keyword&gt;*Homes for the Aged&lt;/keyword&gt;&lt;keyword&gt;Humans&lt;/keyword&gt;&lt;keyword&gt;Male&lt;/keyword&gt;&lt;keyword&gt;Mental Disorders/*drug therapy&lt;/keyword&gt;&lt;keyword&gt;*Pharmacists&lt;/keyword&gt;&lt;keyword&gt;Professional Practice&lt;/keyword&gt;&lt;keyword&gt;Prospective Studies&lt;/keyword&gt;&lt;/keywords&gt;&lt;dates&gt;&lt;year&gt;2000&lt;/year&gt;&lt;pub-dates&gt;&lt;date&gt;Jun&lt;/date&gt;&lt;/pub-dates&gt;&lt;/dates&gt;&lt;isbn&gt;0007-1250 (Print)&amp;#xD;0007-1250&lt;/isbn&gt;&lt;accession-num&gt;10974963&lt;/accession-num&gt;&lt;urls&gt;&lt;/urls&gt;&lt;electronic-resource-num&gt;10.1192/bjp.176.6.563&lt;/electronic-resource-num&gt;&lt;remote-database-provider&gt;NLM&lt;/remote-database-provider&gt;&lt;language&gt;eng&lt;/language&gt;&lt;/record&gt;&lt;/Cite&gt;&lt;/EndNote&gt;</w:instrText>
      </w:r>
      <w:r w:rsidRPr="00897B1B">
        <w:fldChar w:fldCharType="separate"/>
      </w:r>
      <w:r w:rsidR="00C86345">
        <w:rPr>
          <w:noProof/>
        </w:rPr>
        <w:t>(</w:t>
      </w:r>
      <w:hyperlink w:anchor="_ENREF_21" w:tooltip="Furniss, 2000 #4" w:history="1">
        <w:r w:rsidR="00EB6EA4">
          <w:rPr>
            <w:noProof/>
          </w:rPr>
          <w:t>21</w:t>
        </w:r>
      </w:hyperlink>
      <w:r w:rsidR="00C86345">
        <w:rPr>
          <w:noProof/>
        </w:rPr>
        <w:t>)</w:t>
      </w:r>
      <w:r w:rsidRPr="00897B1B">
        <w:fldChar w:fldCharType="end"/>
      </w:r>
      <w:r w:rsidRPr="00897B1B">
        <w:t xml:space="preserve"> </w:t>
      </w:r>
      <w:r>
        <w:t>At baseline more than 70% of the cohort had cognit</w:t>
      </w:r>
      <w:r w:rsidR="0004349F">
        <w:t>ive impairment with more of the</w:t>
      </w:r>
      <w:r w:rsidRPr="00897B1B">
        <w:t xml:space="preserve"> intervention group </w:t>
      </w:r>
      <w:r>
        <w:t xml:space="preserve">have cognitive impairment </w:t>
      </w:r>
      <w:r w:rsidRPr="00897B1B">
        <w:t>(</w:t>
      </w:r>
      <w:r>
        <w:t xml:space="preserve">mean MMSE </w:t>
      </w:r>
      <w:r w:rsidRPr="00897B1B">
        <w:t>13.8) than in the control group (</w:t>
      </w:r>
      <w:r>
        <w:t xml:space="preserve">mean MMSE </w:t>
      </w:r>
      <w:r w:rsidRPr="00897B1B">
        <w:t xml:space="preserve">15.6). </w:t>
      </w:r>
      <w:r>
        <w:t xml:space="preserve">The intervention did not affect cognition. </w:t>
      </w:r>
      <w:r w:rsidRPr="00CA7799">
        <w:rPr>
          <w:rFonts w:cstheme="minorHAnsi"/>
        </w:rPr>
        <w:fldChar w:fldCharType="begin"/>
      </w:r>
      <w:r w:rsidR="00C86345">
        <w:rPr>
          <w:rFonts w:cstheme="minorHAnsi"/>
        </w:rPr>
        <w:instrText xml:space="preserve"> ADDIN EN.CITE &lt;EndNote&gt;&lt;Cite&gt;&lt;Author&gt;Furniss&lt;/Author&gt;&lt;Year&gt;2000&lt;/Year&gt;&lt;RecNum&gt;4&lt;/RecNum&gt;&lt;DisplayText&gt;(21)&lt;/DisplayText&gt;&lt;record&gt;&lt;rec-number&gt;4&lt;/rec-number&gt;&lt;foreign-keys&gt;&lt;key app="EN" db-id="eeezzstvhp5ss3eptfpxdww9tvawrfef0xa5" timestamp="1615264266"&gt;4&lt;/key&gt;&lt;/foreign-keys&gt;&lt;ref-type name="Journal Article"&gt;17&lt;/ref-type&gt;&lt;contributors&gt;&lt;authors&gt;&lt;author&gt;Furniss, L.&lt;/author&gt;&lt;author&gt;Burns, A.&lt;/author&gt;&lt;author&gt;Craig, S. K.&lt;/author&gt;&lt;author&gt;Scobie, S.&lt;/author&gt;&lt;author&gt;Cooke, J.&lt;/author&gt;&lt;author&gt;Faragher, B.&lt;/author&gt;&lt;/authors&gt;&lt;/contributors&gt;&lt;auth-address&gt;Withington Hospital, Manchester.&lt;/auth-address&gt;&lt;titles&gt;&lt;title&gt;Effects of a pharmacist&amp;apos;s medication review in nursing homes. Randomised controlled trial&lt;/title&gt;&lt;secondary-title&gt;Br J Psychiatry&lt;/secondary-title&gt;&lt;/titles&gt;&lt;periodical&gt;&lt;full-title&gt;Br J Psychiatry&lt;/full-title&gt;&lt;/periodical&gt;&lt;pages&gt;563-7&lt;/pages&gt;&lt;volume&gt;176&lt;/volume&gt;&lt;edition&gt;2000/09/07&lt;/edition&gt;&lt;keywords&gt;&lt;keyword&gt;Aged&lt;/keyword&gt;&lt;keyword&gt;Aged, 80 and over&lt;/keyword&gt;&lt;keyword&gt;Female&lt;/keyword&gt;&lt;keyword&gt;*Homes for the Aged&lt;/keyword&gt;&lt;keyword&gt;Humans&lt;/keyword&gt;&lt;keyword&gt;Male&lt;/keyword&gt;&lt;keyword&gt;Mental Disorders/*drug therapy&lt;/keyword&gt;&lt;keyword&gt;*Pharmacists&lt;/keyword&gt;&lt;keyword&gt;Professional Practice&lt;/keyword&gt;&lt;keyword&gt;Prospective Studies&lt;/keyword&gt;&lt;/keywords&gt;&lt;dates&gt;&lt;year&gt;2000&lt;/year&gt;&lt;pub-dates&gt;&lt;date&gt;Jun&lt;/date&gt;&lt;/pub-dates&gt;&lt;/dates&gt;&lt;isbn&gt;0007-1250 (Print)&amp;#xD;0007-1250&lt;/isbn&gt;&lt;accession-num&gt;10974963&lt;/accession-num&gt;&lt;urls&gt;&lt;/urls&gt;&lt;electronic-resource-num&gt;10.1192/bjp.176.6.563&lt;/electronic-resource-num&gt;&lt;remote-database-provider&gt;NLM&lt;/remote-database-provider&gt;&lt;language&gt;eng&lt;/language&gt;&lt;/record&gt;&lt;/Cite&gt;&lt;/EndNote&gt;</w:instrText>
      </w:r>
      <w:r w:rsidRPr="00CA7799">
        <w:rPr>
          <w:rFonts w:cstheme="minorHAnsi"/>
        </w:rPr>
        <w:fldChar w:fldCharType="separate"/>
      </w:r>
      <w:r w:rsidR="00C86345">
        <w:rPr>
          <w:rFonts w:cstheme="minorHAnsi"/>
          <w:noProof/>
        </w:rPr>
        <w:t>(</w:t>
      </w:r>
      <w:hyperlink w:anchor="_ENREF_21" w:tooltip="Furniss, 2000 #4" w:history="1">
        <w:r w:rsidR="00EB6EA4">
          <w:rPr>
            <w:rFonts w:cstheme="minorHAnsi"/>
            <w:noProof/>
          </w:rPr>
          <w:t>21</w:t>
        </w:r>
      </w:hyperlink>
      <w:r w:rsidR="00C86345">
        <w:rPr>
          <w:rFonts w:cstheme="minorHAnsi"/>
          <w:noProof/>
        </w:rPr>
        <w:t>)</w:t>
      </w:r>
      <w:r w:rsidRPr="00CA7799">
        <w:rPr>
          <w:rFonts w:cstheme="minorHAnsi"/>
        </w:rPr>
        <w:fldChar w:fldCharType="end"/>
      </w:r>
      <w:r w:rsidRPr="00CA7799">
        <w:rPr>
          <w:rFonts w:cstheme="minorHAnsi"/>
        </w:rPr>
        <w:t xml:space="preserve"> </w:t>
      </w:r>
    </w:p>
    <w:p w14:paraId="357B7040" w14:textId="77777777" w:rsidR="001616E7" w:rsidRPr="00897B1B" w:rsidRDefault="001616E7" w:rsidP="00897C5B">
      <w:pPr>
        <w:pStyle w:val="Heading3"/>
      </w:pPr>
      <w:bookmarkStart w:id="365" w:name="_Toc117758328"/>
      <w:r>
        <w:lastRenderedPageBreak/>
        <w:t>Delirium</w:t>
      </w:r>
      <w:bookmarkEnd w:id="365"/>
    </w:p>
    <w:p w14:paraId="5B8E2968" w14:textId="5A82CB7A" w:rsidR="001616E7" w:rsidRDefault="001616E7" w:rsidP="007501B9">
      <w:r>
        <w:t xml:space="preserve">Onset of potential delirium was measured by </w:t>
      </w:r>
      <w:proofErr w:type="spellStart"/>
      <w:r>
        <w:t>Lapane</w:t>
      </w:r>
      <w:proofErr w:type="spellEnd"/>
      <w:r>
        <w:t xml:space="preserve"> </w:t>
      </w:r>
      <w:r w:rsidRPr="00EB6EA4">
        <w:rPr>
          <w:i/>
        </w:rPr>
        <w:t>et al</w:t>
      </w:r>
      <w:r>
        <w:t>.</w:t>
      </w:r>
      <w:r w:rsidRPr="00DD12A0">
        <w:t xml:space="preserve"> </w:t>
      </w:r>
      <w:r w:rsidRPr="00897B1B">
        <w:fldChar w:fldCharType="begin"/>
      </w:r>
      <w:r w:rsidR="00C86345">
        <w:instrText xml:space="preserve"> ADDIN EN.CITE &lt;EndNote&gt;&lt;Cite&gt;&lt;Author&gt;Lapane&lt;/Author&gt;&lt;Year&gt;2011&lt;/Year&gt;&lt;RecNum&gt;80&lt;/RecNum&gt;&lt;DisplayText&gt;(22)&lt;/DisplayText&gt;&lt;record&gt;&lt;rec-number&gt;80&lt;/rec-number&gt;&lt;foreign-keys&gt;&lt;key app="EN" db-id="9s5z5ped05vxdnede99vfsxhtzavzdzs2d5r" timestamp="1616566440"&gt;80&lt;/key&gt;&lt;/foreign-keys&gt;&lt;ref-type name="Journal Article"&gt;17&lt;/ref-type&gt;&lt;contributors&gt;&lt;authors&gt;&lt;author&gt;Lapane, Kate L&lt;/author&gt;&lt;author&gt;Hughes, Carmel M&lt;/author&gt;&lt;author&gt;Daiello, Lori A&lt;/author&gt;&lt;author&gt;Cameron, Kathleen A&lt;/author&gt;&lt;author&gt;Feinberg, Janice&lt;/author&gt;&lt;/authors&gt;&lt;/contributors&gt;&lt;titles&gt;&lt;title&gt;Effect of a pharmacist</w:instrText>
      </w:r>
      <w:r w:rsidR="00C86345">
        <w:rPr>
          <w:rFonts w:ascii="Cambria Math" w:hAnsi="Cambria Math" w:cs="Cambria Math"/>
        </w:rPr>
        <w:instrText>‐</w:instrText>
      </w:r>
      <w:r w:rsidR="00C86345">
        <w:instrText>led multicomponent intervention focusing on the medication monitoring phase to prevent potential adverse drug events in nursing homes&lt;/title&gt;&lt;secondary-title&gt;Journal of the American Geriatrics Society&lt;/secondary-title&gt;&lt;/titles&gt;&lt;periodical&gt;&lt;full-title&gt;Journal of the American Geriatrics Society&lt;/full-title&gt;&lt;/periodical&gt;&lt;pages&gt;1238-1245&lt;/pages&gt;&lt;volume&gt;59&lt;/volume&gt;&lt;number&gt;7&lt;/number&gt;&lt;dates&gt;&lt;year&gt;2011&lt;/year&gt;&lt;/dates&gt;&lt;isbn&gt;0002-8614&lt;/isbn&gt;&lt;urls&gt;&lt;/urls&gt;&lt;/record&gt;&lt;/Cite&gt;&lt;/EndNote&gt;</w:instrText>
      </w:r>
      <w:r w:rsidRPr="00897B1B">
        <w:fldChar w:fldCharType="separate"/>
      </w:r>
      <w:r w:rsidR="00C86345">
        <w:rPr>
          <w:noProof/>
        </w:rPr>
        <w:t>(</w:t>
      </w:r>
      <w:hyperlink w:anchor="_ENREF_22" w:tooltip="Lapane, 2011 #80" w:history="1">
        <w:r w:rsidR="00EB6EA4">
          <w:rPr>
            <w:noProof/>
          </w:rPr>
          <w:t>22</w:t>
        </w:r>
      </w:hyperlink>
      <w:r w:rsidR="00C86345">
        <w:rPr>
          <w:noProof/>
        </w:rPr>
        <w:t>)</w:t>
      </w:r>
      <w:r w:rsidRPr="00897B1B">
        <w:fldChar w:fldCharType="end"/>
      </w:r>
      <w:r>
        <w:t xml:space="preserve">, Overall the intervention had no effect on delirium, (adjusted HR </w:t>
      </w:r>
      <w:r w:rsidRPr="00576805">
        <w:t>0.93, 95%CI 0.80–1.09) however, in persons newly admitted to aged care a statistically significant reduction was observed. (</w:t>
      </w:r>
      <w:r w:rsidR="00BD3662" w:rsidRPr="00897B1B">
        <w:t>Adjusted</w:t>
      </w:r>
      <w:r w:rsidRPr="00897B1B">
        <w:t xml:space="preserve"> HR=0.42, 95% CI=0.35– 0.52). </w:t>
      </w:r>
    </w:p>
    <w:p w14:paraId="77D752AB" w14:textId="77777777" w:rsidR="001616E7" w:rsidRPr="00897B1B" w:rsidRDefault="001616E7" w:rsidP="00897C5B">
      <w:pPr>
        <w:pStyle w:val="Heading3"/>
      </w:pPr>
      <w:bookmarkStart w:id="366" w:name="_Toc395200779"/>
      <w:bookmarkStart w:id="367" w:name="_Toc404331838"/>
      <w:bookmarkStart w:id="368" w:name="_Toc428263179"/>
      <w:bookmarkStart w:id="369" w:name="_Toc117758329"/>
      <w:bookmarkEnd w:id="363"/>
      <w:r w:rsidRPr="00897B1B">
        <w:t>Hospitalisation</w:t>
      </w:r>
      <w:bookmarkEnd w:id="366"/>
      <w:bookmarkEnd w:id="367"/>
      <w:bookmarkEnd w:id="368"/>
      <w:bookmarkEnd w:id="369"/>
    </w:p>
    <w:p w14:paraId="1A8B6CCC" w14:textId="77777777" w:rsidR="001616E7" w:rsidRDefault="001616E7" w:rsidP="007501B9">
      <w:r>
        <w:t>Two</w:t>
      </w:r>
      <w:r w:rsidRPr="00897B1B">
        <w:t xml:space="preserve"> RCTs </w:t>
      </w:r>
      <w:r>
        <w:t>assessed</w:t>
      </w:r>
      <w:r w:rsidRPr="00897B1B">
        <w:t xml:space="preserve"> hospitalisation </w:t>
      </w:r>
      <w:r>
        <w:t>as an outcome. Neither found no difference in hospitalisations (all cause) or potential adverse medicine event related hospitalisations.</w:t>
      </w:r>
      <w:r w:rsidRPr="00897B1B">
        <w:t xml:space="preserve"> </w:t>
      </w:r>
    </w:p>
    <w:p w14:paraId="71D99F8E" w14:textId="77777777" w:rsidR="001616E7" w:rsidRPr="00897B1B" w:rsidRDefault="001616E7" w:rsidP="00897C5B">
      <w:pPr>
        <w:pStyle w:val="Heading3"/>
      </w:pPr>
      <w:bookmarkStart w:id="370" w:name="_Toc117758330"/>
      <w:r w:rsidRPr="00897B1B">
        <w:t>Falls</w:t>
      </w:r>
      <w:bookmarkEnd w:id="370"/>
    </w:p>
    <w:p w14:paraId="44CAF56F" w14:textId="5FA5AAB8" w:rsidR="001616E7" w:rsidRPr="00897B1B" w:rsidRDefault="001616E7" w:rsidP="007501B9">
      <w:r>
        <w:t>Three</w:t>
      </w:r>
      <w:r w:rsidRPr="00897B1B">
        <w:t xml:space="preserve"> studies investigated falls experienced by </w:t>
      </w:r>
      <w:r>
        <w:t xml:space="preserve">4014 </w:t>
      </w:r>
      <w:r w:rsidRPr="00897B1B">
        <w:t xml:space="preserve">residents living across </w:t>
      </w:r>
      <w:r>
        <w:t>37</w:t>
      </w:r>
      <w:r w:rsidRPr="00897B1B">
        <w:t xml:space="preserve"> nursing homes</w:t>
      </w:r>
      <w:r>
        <w:t>.</w:t>
      </w:r>
      <w:r>
        <w:fldChar w:fldCharType="begin">
          <w:fldData xml:space="preserve">PEVuZE5vdGU+PENpdGU+PEF1dGhvcj5GcmFua2VudGhhbDwvQXV0aG9yPjxZZWFyPjIwMTQ8L1ll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=
</w:fldData>
        </w:fldChar>
      </w:r>
      <w:r w:rsidR="00C86345">
        <w:instrText xml:space="preserve"> ADDIN EN.CITE </w:instrText>
      </w:r>
      <w:r w:rsidR="00C86345">
        <w:fldChar w:fldCharType="begin">
          <w:fldData xml:space="preserve">PEVuZE5vdGU+PENpdGU+PEF1dGhvcj5GcmFua2VudGhhbDwvQXV0aG9yPjxZZWFyPjIwMTQ8L1ll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=
</w:fldData>
        </w:fldChar>
      </w:r>
      <w:r w:rsidR="00C86345">
        <w:instrText xml:space="preserve"> ADDIN EN.CITE.DATA </w:instrText>
      </w:r>
      <w:r w:rsidR="00C86345">
        <w:fldChar w:fldCharType="end"/>
      </w:r>
      <w:r>
        <w:fldChar w:fldCharType="separate"/>
      </w:r>
      <w:r w:rsidR="00C86345">
        <w:rPr>
          <w:noProof/>
        </w:rPr>
        <w:t>(</w:t>
      </w:r>
      <w:hyperlink w:anchor="_ENREF_20" w:tooltip="Frankenthal, 2014 #79" w:history="1">
        <w:r w:rsidR="00EB6EA4">
          <w:rPr>
            <w:noProof/>
          </w:rPr>
          <w:t>20</w:t>
        </w:r>
      </w:hyperlink>
      <w:r w:rsidR="00C86345">
        <w:rPr>
          <w:noProof/>
        </w:rPr>
        <w:t xml:space="preserve">, </w:t>
      </w:r>
      <w:hyperlink w:anchor="_ENREF_22" w:tooltip="Lapane, 2011 #80" w:history="1">
        <w:r w:rsidR="00EB6EA4">
          <w:rPr>
            <w:noProof/>
          </w:rPr>
          <w:t>22</w:t>
        </w:r>
      </w:hyperlink>
      <w:r w:rsidR="00C86345">
        <w:rPr>
          <w:noProof/>
        </w:rPr>
        <w:t xml:space="preserve">, </w:t>
      </w:r>
      <w:hyperlink w:anchor="_ENREF_23" w:tooltip="Patterson, 2010 #81" w:history="1">
        <w:r w:rsidR="00EB6EA4">
          <w:rPr>
            <w:noProof/>
          </w:rPr>
          <w:t>23</w:t>
        </w:r>
      </w:hyperlink>
      <w:r w:rsidR="00C86345">
        <w:rPr>
          <w:noProof/>
        </w:rPr>
        <w:t>)</w:t>
      </w:r>
      <w:r>
        <w:fldChar w:fldCharType="end"/>
      </w:r>
      <w:r w:rsidRPr="00897B1B">
        <w:t xml:space="preserve"> </w:t>
      </w:r>
      <w:r>
        <w:t>None of the studies reported a difference</w:t>
      </w:r>
      <w:r w:rsidR="007501B9">
        <w:t xml:space="preserve">. </w:t>
      </w:r>
    </w:p>
    <w:p w14:paraId="39367E10" w14:textId="77777777" w:rsidR="001616E7" w:rsidRDefault="001616E7" w:rsidP="00897C5B">
      <w:pPr>
        <w:pStyle w:val="Heading3"/>
      </w:pPr>
      <w:bookmarkStart w:id="371" w:name="_Toc117758331"/>
      <w:r w:rsidRPr="00897B1B">
        <w:t>Mortality</w:t>
      </w:r>
      <w:bookmarkEnd w:id="371"/>
    </w:p>
    <w:p w14:paraId="7A8F0460" w14:textId="04453945" w:rsidR="001616E7" w:rsidRPr="00897B1B" w:rsidRDefault="001616E7" w:rsidP="007501B9">
      <w:pPr>
        <w:rPr>
          <w:sz w:val="16"/>
          <w:szCs w:val="16"/>
        </w:rPr>
      </w:pPr>
      <w:proofErr w:type="spellStart"/>
      <w:r w:rsidRPr="00897B1B">
        <w:t>Frankenthal</w:t>
      </w:r>
      <w:proofErr w:type="spellEnd"/>
      <w:r w:rsidRPr="00897B1B">
        <w:t xml:space="preserve"> </w:t>
      </w:r>
      <w:r w:rsidRPr="00EB6EA4">
        <w:rPr>
          <w:i/>
        </w:rPr>
        <w:t>et al</w:t>
      </w:r>
      <w:r>
        <w:t xml:space="preserve"> </w:t>
      </w:r>
      <w:r w:rsidRPr="00897B1B">
        <w:fldChar w:fldCharType="begin"/>
      </w:r>
      <w:r w:rsidR="00C86345">
        <w:instrText xml:space="preserve"> ADDIN EN.CITE &lt;EndNote&gt;&lt;Cite&gt;&lt;Author&gt;Frankenthal&lt;/Author&gt;&lt;Year&gt;2014&lt;/Year&gt;&lt;RecNum&gt;79&lt;/RecNum&gt;&lt;DisplayText&gt;(20)&lt;/DisplayText&gt;&lt;record&gt;&lt;rec-number&gt;79&lt;/rec-number&gt;&lt;foreign-keys&gt;&lt;key app="EN" db-id="9s5z5ped05vxdnede99vfsxhtzavzdzs2d5r" timestamp="1616566370"&gt;79&lt;/key&gt;&lt;/foreign-keys&gt;&lt;ref-type name="Journal Article"&gt;17&lt;/ref-type&gt;&lt;contributors&gt;&lt;authors&gt;&lt;author&gt;Frankenthal, Dvora&lt;/author&gt;&lt;author&gt;Lerman, Yaffa&lt;/author&gt;&lt;author&gt;Kalendaryev, Edward&lt;/author&gt;&lt;author&gt;Lerman, Yehuda&lt;/author&gt;&lt;/authors&gt;&lt;/contributors&gt;&lt;titles&gt;&lt;title&gt;Intervention with the screening tool of older persons potentially inappropriate prescriptions/screening tool to alert doctors to right treatment criteria in elderly residents of a chronic geriatric facility: a randomized clinical trial&lt;/title&gt;&lt;secondary-title&gt;Journal of the American Geriatrics Society&lt;/secondary-title&gt;&lt;/titles&gt;&lt;periodical&gt;&lt;full-title&gt;Journal of the American Geriatrics Society&lt;/full-title&gt;&lt;/periodical&gt;&lt;pages&gt;1658-1665&lt;/pages&gt;&lt;volume&gt;62&lt;/volume&gt;&lt;number&gt;9&lt;/number&gt;&lt;dates&gt;&lt;year&gt;2014&lt;/year&gt;&lt;/dates&gt;&lt;isbn&gt;0002-8614&lt;/isbn&gt;&lt;urls&gt;&lt;/urls&gt;&lt;/record&gt;&lt;/Cite&gt;&lt;/EndNote&gt;</w:instrText>
      </w:r>
      <w:r w:rsidRPr="00897B1B">
        <w:fldChar w:fldCharType="separate"/>
      </w:r>
      <w:r w:rsidR="00C86345">
        <w:rPr>
          <w:noProof/>
        </w:rPr>
        <w:t>(</w:t>
      </w:r>
      <w:hyperlink w:anchor="_ENREF_20" w:tooltip="Frankenthal, 2014 #79" w:history="1">
        <w:r w:rsidR="00EB6EA4">
          <w:rPr>
            <w:noProof/>
          </w:rPr>
          <w:t>20</w:t>
        </w:r>
      </w:hyperlink>
      <w:r w:rsidR="00C86345">
        <w:rPr>
          <w:noProof/>
        </w:rPr>
        <w:t>)</w:t>
      </w:r>
      <w:r w:rsidRPr="00897B1B">
        <w:fldChar w:fldCharType="end"/>
      </w:r>
      <w:r w:rsidRPr="00897B1B">
        <w:t xml:space="preserve"> </w:t>
      </w:r>
      <w:r>
        <w:t xml:space="preserve">and </w:t>
      </w:r>
      <w:proofErr w:type="spellStart"/>
      <w:r>
        <w:t>Lapane</w:t>
      </w:r>
      <w:proofErr w:type="spellEnd"/>
      <w:r>
        <w:t xml:space="preserve"> </w:t>
      </w:r>
      <w:r w:rsidRPr="00EB6EA4">
        <w:rPr>
          <w:i/>
        </w:rPr>
        <w:t>et al</w:t>
      </w:r>
      <w:r>
        <w:t>.,</w:t>
      </w:r>
      <w:r w:rsidRPr="00DD12A0">
        <w:t xml:space="preserve"> </w:t>
      </w:r>
      <w:r w:rsidRPr="00897B1B">
        <w:fldChar w:fldCharType="begin"/>
      </w:r>
      <w:r w:rsidR="00C86345">
        <w:instrText xml:space="preserve"> ADDIN EN.CITE &lt;EndNote&gt;&lt;Cite&gt;&lt;Author&gt;Lapane&lt;/Author&gt;&lt;Year&gt;2011&lt;/Year&gt;&lt;RecNum&gt;80&lt;/RecNum&gt;&lt;DisplayText&gt;(22)&lt;/DisplayText&gt;&lt;record&gt;&lt;rec-number&gt;80&lt;/rec-number&gt;&lt;foreign-keys&gt;&lt;key app="EN" db-id="9s5z5ped05vxdnede99vfsxhtzavzdzs2d5r" timestamp="1616566440"&gt;80&lt;/key&gt;&lt;/foreign-keys&gt;&lt;ref-type name="Journal Article"&gt;17&lt;/ref-type&gt;&lt;contributors&gt;&lt;authors&gt;&lt;author&gt;Lapane, Kate L&lt;/author&gt;&lt;author&gt;Hughes, Carmel M&lt;/author&gt;&lt;author&gt;Daiello, Lori A&lt;/author&gt;&lt;author&gt;Cameron, Kathleen A&lt;/author&gt;&lt;author&gt;Feinberg, Janice&lt;/author&gt;&lt;/authors&gt;&lt;/contributors&gt;&lt;titles&gt;&lt;title&gt;Effect of a pharmacist</w:instrText>
      </w:r>
      <w:r w:rsidR="00C86345">
        <w:rPr>
          <w:rFonts w:ascii="Cambria Math" w:hAnsi="Cambria Math" w:cs="Cambria Math"/>
        </w:rPr>
        <w:instrText>‐</w:instrText>
      </w:r>
      <w:r w:rsidR="00C86345">
        <w:instrText>led multicomponent intervention focusing on the medication monitoring phase to prevent potential adverse drug events in nursing homes&lt;/title&gt;&lt;secondary-title&gt;Journal of the American Geriatrics Society&lt;/secondary-title&gt;&lt;/titles&gt;&lt;periodical&gt;&lt;full-title&gt;Journal of the American Geriatrics Society&lt;/full-title&gt;&lt;/periodical&gt;&lt;pages&gt;1238-1245&lt;/pages&gt;&lt;volume&gt;59&lt;/volume&gt;&lt;number&gt;7&lt;/number&gt;&lt;dates&gt;&lt;year&gt;2011&lt;/year&gt;&lt;/dates&gt;&lt;isbn&gt;0002-8614&lt;/isbn&gt;&lt;urls&gt;&lt;/urls&gt;&lt;/record&gt;&lt;/Cite&gt;&lt;/EndNote&gt;</w:instrText>
      </w:r>
      <w:r w:rsidRPr="00897B1B">
        <w:fldChar w:fldCharType="separate"/>
      </w:r>
      <w:r w:rsidR="00C86345">
        <w:rPr>
          <w:noProof/>
        </w:rPr>
        <w:t>(</w:t>
      </w:r>
      <w:hyperlink w:anchor="_ENREF_22" w:tooltip="Lapane, 2011 #80" w:history="1">
        <w:r w:rsidR="00EB6EA4">
          <w:rPr>
            <w:noProof/>
          </w:rPr>
          <w:t>22</w:t>
        </w:r>
      </w:hyperlink>
      <w:r w:rsidR="00C86345">
        <w:rPr>
          <w:noProof/>
        </w:rPr>
        <w:t>)</w:t>
      </w:r>
      <w:r w:rsidRPr="00897B1B">
        <w:fldChar w:fldCharType="end"/>
      </w:r>
      <w:r>
        <w:t xml:space="preserve">, both reported death as an outcome, with neither showing a significant difference. </w:t>
      </w:r>
    </w:p>
    <w:p w14:paraId="1F5C31FE" w14:textId="1599EFFA" w:rsidR="0079447F" w:rsidRPr="0079447F" w:rsidRDefault="0079447F" w:rsidP="007501B9">
      <w:pPr>
        <w:rPr>
          <w:rFonts w:cstheme="minorHAnsi"/>
        </w:rPr>
      </w:pPr>
      <w:r>
        <w:rPr>
          <w:shd w:val="clear" w:color="auto" w:fill="FFFFFF"/>
        </w:rPr>
        <w:br w:type="page"/>
      </w:r>
    </w:p>
    <w:p w14:paraId="6B661F97" w14:textId="6A4A0C54" w:rsidR="007A7960" w:rsidRPr="006A0103" w:rsidRDefault="00193B87" w:rsidP="00391CFD">
      <w:pPr>
        <w:pStyle w:val="Heading1"/>
      </w:pPr>
      <w:bookmarkStart w:id="372" w:name="_Ref364237249"/>
      <w:bookmarkStart w:id="373" w:name="_Ref190841600"/>
      <w:bookmarkStart w:id="374" w:name="_Toc379118101"/>
      <w:bookmarkStart w:id="375" w:name="_Toc381796504"/>
      <w:bookmarkStart w:id="376" w:name="_Toc117758332"/>
      <w:bookmarkEnd w:id="336"/>
      <w:r w:rsidRPr="006A0103">
        <w:lastRenderedPageBreak/>
        <w:t xml:space="preserve">Appendix </w:t>
      </w:r>
      <w:fldSimple w:instr=" SEQ Appendix \* ALPHABETIC ">
        <w:r w:rsidR="00164214">
          <w:rPr>
            <w:noProof/>
          </w:rPr>
          <w:t>C</w:t>
        </w:r>
      </w:fldSimple>
      <w:bookmarkEnd w:id="372"/>
      <w:r w:rsidR="00A33D93">
        <w:rPr>
          <w:noProof/>
        </w:rPr>
        <w:t xml:space="preserve">: </w:t>
      </w:r>
      <w:bookmarkEnd w:id="337"/>
      <w:bookmarkEnd w:id="338"/>
      <w:bookmarkEnd w:id="373"/>
      <w:bookmarkEnd w:id="374"/>
      <w:bookmarkEnd w:id="375"/>
      <w:r w:rsidR="00B67434" w:rsidRPr="006A0103">
        <w:t>Supplementary methodology documentation</w:t>
      </w:r>
      <w:bookmarkEnd w:id="376"/>
    </w:p>
    <w:p w14:paraId="793092D2" w14:textId="6B045527" w:rsidR="008844F3" w:rsidRPr="006A0103" w:rsidRDefault="004C08CD" w:rsidP="00897C5B">
      <w:pPr>
        <w:pStyle w:val="Heading2"/>
      </w:pPr>
      <w:bookmarkStart w:id="377" w:name="_Toc117758333"/>
      <w:bookmarkStart w:id="378" w:name="_Ref192056948"/>
      <w:bookmarkStart w:id="379" w:name="_Ref169423889"/>
      <w:r>
        <w:t>C.1</w:t>
      </w:r>
      <w:r w:rsidR="00C06ACB">
        <w:tab/>
      </w:r>
      <w:r w:rsidR="008844F3" w:rsidRPr="006A0103">
        <w:t>Pharmacist intervention documentation record</w:t>
      </w:r>
      <w:bookmarkEnd w:id="377"/>
    </w:p>
    <w:p w14:paraId="32EA21AE" w14:textId="091C1CF7" w:rsidR="00B67434" w:rsidRDefault="00612340" w:rsidP="007501B9">
      <w:hyperlink w:anchor="_Alternative_Text_for" w:history="1">
        <w:r w:rsidR="007D6A65" w:rsidRPr="0033621F">
          <w:rPr>
            <w:rStyle w:val="Hyperlink"/>
          </w:rPr>
          <w:t>Alternative Text for Figure APP C-1</w:t>
        </w:r>
      </w:hyperlink>
    </w:p>
    <w:p w14:paraId="5AA30174" w14:textId="68B092AC" w:rsidR="00B67434" w:rsidRDefault="00434B26" w:rsidP="007501B9">
      <w:r>
        <w:rPr>
          <w:noProof/>
        </w:rPr>
        <w:drawing>
          <wp:inline distT="0" distB="0" distL="0" distR="0" wp14:anchorId="5A246B77" wp14:editId="3796CCAD">
            <wp:extent cx="5400000" cy="6893452"/>
            <wp:effectExtent l="0" t="0" r="0" b="3175"/>
            <wp:docPr id="27" name="Picture 27" descr="Assessment report for review for MID. Refer to hyperllinked alternative text for full description." title="Figure AppC-1: assessment report for review of 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00000" cy="6893452"/>
                    </a:xfrm>
                    <a:prstGeom prst="rect">
                      <a:avLst/>
                    </a:prstGeom>
                    <a:noFill/>
                  </pic:spPr>
                </pic:pic>
              </a:graphicData>
            </a:graphic>
          </wp:inline>
        </w:drawing>
      </w:r>
    </w:p>
    <w:p w14:paraId="6D3786E9" w14:textId="77777777" w:rsidR="00434B26" w:rsidRDefault="00434B26" w:rsidP="007501B9">
      <w:r>
        <w:rPr>
          <w:noProof/>
        </w:rPr>
        <w:lastRenderedPageBreak/>
        <w:drawing>
          <wp:inline distT="0" distB="0" distL="0" distR="0" wp14:anchorId="4B8055A9" wp14:editId="14B135D3">
            <wp:extent cx="6023610" cy="7437755"/>
            <wp:effectExtent l="0" t="0" r="0" b="0"/>
            <wp:docPr id="28" name="Picture 28" descr="Assessment report for review for MID. Refer to hyperllinked alternative text for full description." title="Fig APP C-1 c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23610" cy="7437755"/>
                    </a:xfrm>
                    <a:prstGeom prst="rect">
                      <a:avLst/>
                    </a:prstGeom>
                    <a:noFill/>
                  </pic:spPr>
                </pic:pic>
              </a:graphicData>
            </a:graphic>
          </wp:inline>
        </w:drawing>
      </w:r>
      <w:r w:rsidR="00B67434">
        <w:br w:type="page"/>
      </w:r>
      <w:r>
        <w:rPr>
          <w:noProof/>
        </w:rPr>
        <w:lastRenderedPageBreak/>
        <w:drawing>
          <wp:inline distT="0" distB="0" distL="0" distR="0" wp14:anchorId="58B490A5" wp14:editId="038F6A91">
            <wp:extent cx="6096635" cy="8126730"/>
            <wp:effectExtent l="0" t="0" r="0" b="7620"/>
            <wp:docPr id="29" name="Picture 29" descr="Assessment report for review for MID. Refer to hyperllinked alternative text for full description." title="Fivure APP C-1 c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96635" cy="8126730"/>
                    </a:xfrm>
                    <a:prstGeom prst="rect">
                      <a:avLst/>
                    </a:prstGeom>
                    <a:noFill/>
                  </pic:spPr>
                </pic:pic>
              </a:graphicData>
            </a:graphic>
          </wp:inline>
        </w:drawing>
      </w:r>
      <w:r w:rsidR="00B67434">
        <w:br w:type="page"/>
      </w:r>
      <w:r>
        <w:rPr>
          <w:noProof/>
        </w:rPr>
        <w:lastRenderedPageBreak/>
        <w:drawing>
          <wp:inline distT="0" distB="0" distL="0" distR="0" wp14:anchorId="26915A75" wp14:editId="2A6CD619">
            <wp:extent cx="5907405" cy="7815580"/>
            <wp:effectExtent l="0" t="0" r="0" b="0"/>
            <wp:docPr id="30" name="Picture 30" descr="Assessment report for review for MID. Refer to hyperllinked alternative text for full description." title="Figure APP C-1 c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07405" cy="7815580"/>
                    </a:xfrm>
                    <a:prstGeom prst="rect">
                      <a:avLst/>
                    </a:prstGeom>
                    <a:noFill/>
                  </pic:spPr>
                </pic:pic>
              </a:graphicData>
            </a:graphic>
          </wp:inline>
        </w:drawing>
      </w:r>
      <w:r w:rsidR="00B67434">
        <w:br w:type="page"/>
      </w:r>
      <w:r>
        <w:rPr>
          <w:noProof/>
        </w:rPr>
        <w:lastRenderedPageBreak/>
        <w:drawing>
          <wp:inline distT="0" distB="0" distL="0" distR="0" wp14:anchorId="0E4D8ED0" wp14:editId="6DC8A47A">
            <wp:extent cx="5913755" cy="3590925"/>
            <wp:effectExtent l="0" t="0" r="0" b="9525"/>
            <wp:docPr id="31" name="Picture 31" descr="Assessment report for review for MID. Refer to hyperllinked alternative text for full description." title="Figure APP C-1 c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13755" cy="3590925"/>
                    </a:xfrm>
                    <a:prstGeom prst="rect">
                      <a:avLst/>
                    </a:prstGeom>
                    <a:noFill/>
                  </pic:spPr>
                </pic:pic>
              </a:graphicData>
            </a:graphic>
          </wp:inline>
        </w:drawing>
      </w:r>
    </w:p>
    <w:p w14:paraId="10352FE1" w14:textId="49B2B247" w:rsidR="00434B26" w:rsidRDefault="00434B26" w:rsidP="00434B26">
      <w:pPr>
        <w:pStyle w:val="FigureandTablelegend"/>
      </w:pPr>
      <w:r w:rsidRPr="00B564CD">
        <w:t xml:space="preserve">FIGURE </w:t>
      </w:r>
      <w:r>
        <w:t>APP C-1</w:t>
      </w:r>
      <w:r w:rsidRPr="00B564CD">
        <w:t>: pharmacist report template example</w:t>
      </w:r>
    </w:p>
    <w:p w14:paraId="749412EA" w14:textId="036E65E1" w:rsidR="00B67434" w:rsidRDefault="00B67434" w:rsidP="007501B9">
      <w:r>
        <w:br w:type="page"/>
      </w:r>
    </w:p>
    <w:p w14:paraId="577D8710" w14:textId="5E20463B" w:rsidR="008844F3" w:rsidRDefault="004C08CD" w:rsidP="00897C5B">
      <w:pPr>
        <w:pStyle w:val="Heading2"/>
      </w:pPr>
      <w:bookmarkStart w:id="380" w:name="_C.2_Statistical_analysis"/>
      <w:bookmarkStart w:id="381" w:name="_Toc117758334"/>
      <w:bookmarkEnd w:id="380"/>
      <w:r w:rsidRPr="004C08CD">
        <w:lastRenderedPageBreak/>
        <w:t>C.2</w:t>
      </w:r>
      <w:r w:rsidR="00C06ACB">
        <w:rPr>
          <w:sz w:val="22"/>
        </w:rPr>
        <w:tab/>
      </w:r>
      <w:r w:rsidR="008844F3">
        <w:t>Statistical analysis plan</w:t>
      </w:r>
      <w:bookmarkEnd w:id="381"/>
    </w:p>
    <w:p w14:paraId="341750F7" w14:textId="322A8124" w:rsidR="00B67434" w:rsidRPr="00B67434" w:rsidRDefault="007D6A65" w:rsidP="007501B9">
      <w:r w:rsidRPr="007D6A65">
        <w:t xml:space="preserve">See attachment ‘MSAC Section </w:t>
      </w:r>
      <w:r w:rsidR="00BE0059">
        <w:t>C2</w:t>
      </w:r>
      <w:r w:rsidRPr="007D6A65">
        <w:t xml:space="preserve">_ </w:t>
      </w:r>
      <w:proofErr w:type="spellStart"/>
      <w:r w:rsidRPr="007D6A65">
        <w:t>ReMInDAR</w:t>
      </w:r>
      <w:proofErr w:type="spellEnd"/>
      <w:r w:rsidRPr="007D6A65">
        <w:t xml:space="preserve"> </w:t>
      </w:r>
      <w:r>
        <w:t>Statistical analysis plan’</w:t>
      </w:r>
      <w:r w:rsidRPr="007D6A65">
        <w:t>.</w:t>
      </w:r>
      <w:r w:rsidR="00B67434">
        <w:br w:type="page"/>
      </w:r>
    </w:p>
    <w:p w14:paraId="05B3458F" w14:textId="1FD62B82" w:rsidR="008844F3" w:rsidRDefault="004C08CD" w:rsidP="00897C5B">
      <w:pPr>
        <w:pStyle w:val="Heading2"/>
      </w:pPr>
      <w:bookmarkStart w:id="382" w:name="_Toc117758335"/>
      <w:r>
        <w:lastRenderedPageBreak/>
        <w:t>C.3</w:t>
      </w:r>
      <w:r w:rsidR="00C06ACB">
        <w:tab/>
      </w:r>
      <w:r w:rsidR="008844F3">
        <w:t>Health economics analysis plan</w:t>
      </w:r>
      <w:bookmarkEnd w:id="382"/>
    </w:p>
    <w:p w14:paraId="05B05591" w14:textId="2132966A" w:rsidR="00B44575" w:rsidRPr="006A0103" w:rsidRDefault="00BE5A1E" w:rsidP="007501B9">
      <w:r w:rsidRPr="007D6A65">
        <w:t xml:space="preserve">See attachment ‘MSAC Section </w:t>
      </w:r>
      <w:r>
        <w:t>C3</w:t>
      </w:r>
      <w:r w:rsidRPr="007D6A65">
        <w:t xml:space="preserve">_ </w:t>
      </w:r>
      <w:proofErr w:type="spellStart"/>
      <w:r w:rsidRPr="007D6A65">
        <w:t>ReMInDAR</w:t>
      </w:r>
      <w:proofErr w:type="spellEnd"/>
      <w:r w:rsidRPr="007D6A65">
        <w:t xml:space="preserve"> </w:t>
      </w:r>
      <w:r>
        <w:t>Health Economics analysis plan’</w:t>
      </w:r>
      <w:r w:rsidR="00B44575">
        <w:br w:type="page"/>
      </w:r>
    </w:p>
    <w:p w14:paraId="49804322" w14:textId="7181824E" w:rsidR="008844F3" w:rsidRPr="00B12D4B" w:rsidRDefault="004C08CD" w:rsidP="00897C5B">
      <w:pPr>
        <w:pStyle w:val="Heading2"/>
      </w:pPr>
      <w:bookmarkStart w:id="383" w:name="_Toc117758336"/>
      <w:r>
        <w:lastRenderedPageBreak/>
        <w:t>C.4</w:t>
      </w:r>
      <w:r w:rsidR="00C06ACB">
        <w:tab/>
      </w:r>
      <w:proofErr w:type="spellStart"/>
      <w:r w:rsidR="008844F3" w:rsidRPr="00B12D4B">
        <w:t>ReMInDAR</w:t>
      </w:r>
      <w:proofErr w:type="spellEnd"/>
      <w:r w:rsidR="008844F3" w:rsidRPr="00B12D4B">
        <w:t xml:space="preserve"> contracted performance indicators</w:t>
      </w:r>
      <w:bookmarkEnd w:id="383"/>
    </w:p>
    <w:p w14:paraId="589C546E" w14:textId="54F2EF56" w:rsidR="00253FF2" w:rsidRPr="006A0103" w:rsidRDefault="00253FF2" w:rsidP="007501B9">
      <w:r w:rsidRPr="006A0103">
        <w:t xml:space="preserve">Summary of success for </w:t>
      </w:r>
      <w:r w:rsidR="005F4ACA">
        <w:t xml:space="preserve">the </w:t>
      </w:r>
      <w:proofErr w:type="spellStart"/>
      <w:r w:rsidRPr="006A0103">
        <w:t>ReMInDAR</w:t>
      </w:r>
      <w:proofErr w:type="spellEnd"/>
      <w:r w:rsidRPr="006A0103">
        <w:t xml:space="preserve"> trial as evidence by contract performance indicators </w:t>
      </w:r>
      <w:r w:rsidR="005F4ACA">
        <w:t>is</w:t>
      </w:r>
      <w:r w:rsidRPr="006A0103">
        <w:t xml:space="preserve"> demonstrated by:</w:t>
      </w:r>
    </w:p>
    <w:p w14:paraId="005FDB14" w14:textId="26B698C4" w:rsidR="00253FF2" w:rsidRPr="006A0103" w:rsidRDefault="00D11D97" w:rsidP="0033621F">
      <w:pPr>
        <w:pStyle w:val="ListBullet"/>
      </w:pPr>
      <w:r w:rsidRPr="006A0103">
        <w:t xml:space="preserve">Evidence of resident or </w:t>
      </w:r>
      <w:r w:rsidR="00253FF2" w:rsidRPr="006A0103">
        <w:t xml:space="preserve">consumer collaboration in trial design and throughout its operation (Table </w:t>
      </w:r>
      <w:r w:rsidR="004F4EFC" w:rsidRPr="006A0103">
        <w:t>C1</w:t>
      </w:r>
      <w:proofErr w:type="gramStart"/>
      <w:r w:rsidR="00253FF2" w:rsidRPr="006A0103">
        <w:t>);</w:t>
      </w:r>
      <w:proofErr w:type="gramEnd"/>
    </w:p>
    <w:p w14:paraId="78643CF1" w14:textId="0F44FFC4" w:rsidR="00253FF2" w:rsidRPr="006A0103" w:rsidRDefault="00253FF2" w:rsidP="0033621F">
      <w:pPr>
        <w:pStyle w:val="ListBullet"/>
      </w:pPr>
      <w:r w:rsidRPr="006A0103">
        <w:t xml:space="preserve">Expanded pathways of service delivery by pharmacists that improve documented </w:t>
      </w:r>
      <w:r w:rsidR="00D11D97" w:rsidRPr="006A0103">
        <w:t xml:space="preserve">resident </w:t>
      </w:r>
      <w:r w:rsidRPr="006A0103">
        <w:t xml:space="preserve">health outcomes to inform a cost-effective analysis (Tables </w:t>
      </w:r>
      <w:r w:rsidR="004F4EFC" w:rsidRPr="006A0103">
        <w:t>C2</w:t>
      </w:r>
      <w:r w:rsidRPr="006A0103">
        <w:t xml:space="preserve"> and </w:t>
      </w:r>
      <w:r w:rsidR="004F4EFC" w:rsidRPr="006A0103">
        <w:t>C3</w:t>
      </w:r>
      <w:r w:rsidRPr="006A0103">
        <w:t>); and</w:t>
      </w:r>
    </w:p>
    <w:p w14:paraId="3882EFF9" w14:textId="1942DDA7" w:rsidR="00253FF2" w:rsidRPr="006A0103" w:rsidRDefault="00253FF2" w:rsidP="0033621F">
      <w:pPr>
        <w:pStyle w:val="ListBullet"/>
        <w:rPr>
          <w:b/>
        </w:rPr>
      </w:pPr>
      <w:r w:rsidRPr="006A0103">
        <w:t xml:space="preserve">Cost-effective, expanded pathways of service delivery by community pharmacy that improve </w:t>
      </w:r>
      <w:r w:rsidR="005F4ACA">
        <w:t>r</w:t>
      </w:r>
      <w:r w:rsidR="00D11D97" w:rsidRPr="006A0103">
        <w:t>esident</w:t>
      </w:r>
      <w:r w:rsidRPr="006A0103">
        <w:t xml:space="preserve"> health outcomes (</w:t>
      </w:r>
      <w:r w:rsidR="005F4ACA">
        <w:t>R</w:t>
      </w:r>
      <w:r w:rsidRPr="006A0103">
        <w:t>eported in March 2021).</w:t>
      </w:r>
    </w:p>
    <w:p w14:paraId="123D0671" w14:textId="569D84FB" w:rsidR="00253FF2" w:rsidRPr="006A0103" w:rsidRDefault="004C08CD" w:rsidP="00897C5B">
      <w:pPr>
        <w:pStyle w:val="Heading3"/>
      </w:pPr>
      <w:bookmarkStart w:id="384" w:name="_Toc117758337"/>
      <w:r>
        <w:t>C.4.1</w:t>
      </w:r>
      <w:r w:rsidR="00C06ACB">
        <w:tab/>
      </w:r>
      <w:r w:rsidR="00D11D97" w:rsidRPr="006A0103">
        <w:t>Resident</w:t>
      </w:r>
      <w:r w:rsidR="00253FF2" w:rsidRPr="006A0103">
        <w:t xml:space="preserve"> and Consumer Collaboration</w:t>
      </w:r>
      <w:bookmarkEnd w:id="384"/>
    </w:p>
    <w:p w14:paraId="4A2CCE81" w14:textId="7E8A6457" w:rsidR="00253FF2" w:rsidRPr="006A0103" w:rsidRDefault="00253FF2" w:rsidP="007501B9">
      <w:r w:rsidRPr="006A0103">
        <w:t xml:space="preserve">In addition to the engagement with residents and families prior to the recruitment process onsite at each of the trial facilities, the </w:t>
      </w:r>
      <w:proofErr w:type="spellStart"/>
      <w:r w:rsidRPr="006A0103">
        <w:t>ReMInDAR</w:t>
      </w:r>
      <w:proofErr w:type="spellEnd"/>
      <w:r w:rsidRPr="006A0103">
        <w:t xml:space="preserve"> trial collaborated with the Consumer Advisory Group that was established to formally consult with consumer representatives and improve trial design based on their feedback (Table </w:t>
      </w:r>
      <w:r w:rsidR="005541D7">
        <w:t xml:space="preserve">App </w:t>
      </w:r>
      <w:r w:rsidR="004F4EFC" w:rsidRPr="006A0103">
        <w:t>C1</w:t>
      </w:r>
      <w:r w:rsidRPr="006A0103">
        <w:t>).</w:t>
      </w:r>
    </w:p>
    <w:tbl>
      <w:tblPr>
        <w:tblStyle w:val="ListTable3"/>
        <w:tblW w:w="5000" w:type="pct"/>
        <w:tblLook w:val="04A0" w:firstRow="1" w:lastRow="0" w:firstColumn="1" w:lastColumn="0" w:noHBand="0" w:noVBand="1"/>
      </w:tblPr>
      <w:tblGrid>
        <w:gridCol w:w="1495"/>
        <w:gridCol w:w="7521"/>
      </w:tblGrid>
      <w:tr w:rsidR="00253FF2" w:rsidRPr="0033621F" w14:paraId="262F50C4" w14:textId="77777777" w:rsidTr="0033621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829" w:type="pct"/>
          </w:tcPr>
          <w:p w14:paraId="33FB0035" w14:textId="77777777" w:rsidR="00253FF2" w:rsidRPr="0033621F" w:rsidRDefault="00253FF2" w:rsidP="0033621F">
            <w:pPr>
              <w:pStyle w:val="TableHeader"/>
              <w:rPr>
                <w:b/>
                <w:bCs w:val="0"/>
              </w:rPr>
            </w:pPr>
            <w:bookmarkStart w:id="385" w:name="Title_10" w:colFirst="0" w:colLast="0"/>
            <w:r w:rsidRPr="0033621F">
              <w:rPr>
                <w:b/>
                <w:bCs w:val="0"/>
              </w:rPr>
              <w:t>Objective</w:t>
            </w:r>
          </w:p>
        </w:tc>
        <w:tc>
          <w:tcPr>
            <w:tcW w:w="4171" w:type="pct"/>
          </w:tcPr>
          <w:p w14:paraId="3F43C6D3" w14:textId="61012E9D" w:rsidR="00253FF2" w:rsidRPr="0033621F" w:rsidRDefault="00253FF2" w:rsidP="0033621F">
            <w:pPr>
              <w:pStyle w:val="TableHeader"/>
              <w:cnfStyle w:val="100000000000" w:firstRow="1" w:lastRow="0" w:firstColumn="0" w:lastColumn="0" w:oddVBand="0" w:evenVBand="0" w:oddHBand="0" w:evenHBand="0" w:firstRowFirstColumn="0" w:firstRowLastColumn="0" w:lastRowFirstColumn="0" w:lastRowLastColumn="0"/>
              <w:rPr>
                <w:b/>
                <w:bCs w:val="0"/>
              </w:rPr>
            </w:pPr>
            <w:r w:rsidRPr="0033621F">
              <w:rPr>
                <w:b/>
                <w:bCs w:val="0"/>
              </w:rPr>
              <w:t>‘</w:t>
            </w:r>
            <w:r w:rsidR="00D11D97" w:rsidRPr="0033621F">
              <w:rPr>
                <w:b/>
                <w:bCs w:val="0"/>
              </w:rPr>
              <w:t>Resident</w:t>
            </w:r>
            <w:r w:rsidRPr="0033621F">
              <w:rPr>
                <w:b/>
                <w:bCs w:val="0"/>
              </w:rPr>
              <w:t xml:space="preserve"> or consumer collaboration in trial design and throughout its operation’</w:t>
            </w:r>
          </w:p>
        </w:tc>
      </w:tr>
      <w:bookmarkEnd w:id="385"/>
      <w:tr w:rsidR="00253FF2" w:rsidRPr="004C08CD" w14:paraId="3BCFC2F1" w14:textId="77777777" w:rsidTr="00336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pct"/>
          </w:tcPr>
          <w:p w14:paraId="003A26F4" w14:textId="77777777" w:rsidR="00253FF2" w:rsidRPr="00596660" w:rsidRDefault="00253FF2" w:rsidP="0033621F">
            <w:pPr>
              <w:pStyle w:val="Tabletext1"/>
              <w:rPr>
                <w:b w:val="0"/>
                <w:bCs w:val="0"/>
              </w:rPr>
            </w:pPr>
            <w:r w:rsidRPr="00596660">
              <w:rPr>
                <w:b w:val="0"/>
                <w:bCs w:val="0"/>
              </w:rPr>
              <w:t>Measure</w:t>
            </w:r>
          </w:p>
        </w:tc>
        <w:tc>
          <w:tcPr>
            <w:tcW w:w="4171" w:type="pct"/>
          </w:tcPr>
          <w:p w14:paraId="51F51783" w14:textId="587F1127" w:rsidR="00253FF2" w:rsidRPr="00596660" w:rsidRDefault="00253FF2" w:rsidP="00596660">
            <w:pPr>
              <w:pStyle w:val="ListBullet"/>
              <w:cnfStyle w:val="000000100000" w:firstRow="0" w:lastRow="0" w:firstColumn="0" w:lastColumn="0" w:oddVBand="0" w:evenVBand="0" w:oddHBand="1" w:evenHBand="0" w:firstRowFirstColumn="0" w:firstRowLastColumn="0" w:lastRowFirstColumn="0" w:lastRowLastColumn="0"/>
              <w:rPr>
                <w:sz w:val="20"/>
                <w:szCs w:val="22"/>
              </w:rPr>
            </w:pPr>
            <w:r w:rsidRPr="00596660">
              <w:rPr>
                <w:sz w:val="20"/>
                <w:szCs w:val="22"/>
              </w:rPr>
              <w:t xml:space="preserve">Numbers of </w:t>
            </w:r>
            <w:r w:rsidR="00D11D97" w:rsidRPr="00596660">
              <w:rPr>
                <w:sz w:val="20"/>
                <w:szCs w:val="22"/>
              </w:rPr>
              <w:t>residents</w:t>
            </w:r>
            <w:r w:rsidRPr="00596660">
              <w:rPr>
                <w:sz w:val="20"/>
                <w:szCs w:val="22"/>
              </w:rPr>
              <w:t xml:space="preserve"> or consumers who engage with the trial during trial design and operation</w:t>
            </w:r>
          </w:p>
          <w:p w14:paraId="4293D143" w14:textId="31347278" w:rsidR="00253FF2" w:rsidRPr="004C08CD" w:rsidRDefault="00253FF2" w:rsidP="0033621F">
            <w:pPr>
              <w:pStyle w:val="Tabletext1"/>
              <w:cnfStyle w:val="000000100000" w:firstRow="0" w:lastRow="0" w:firstColumn="0" w:lastColumn="0" w:oddVBand="0" w:evenVBand="0" w:oddHBand="1" w:evenHBand="0" w:firstRowFirstColumn="0" w:firstRowLastColumn="0" w:lastRowFirstColumn="0" w:lastRowLastColumn="0"/>
            </w:pPr>
            <w:r w:rsidRPr="004C08CD">
              <w:t>(Note: this does not include recruitment)</w:t>
            </w:r>
          </w:p>
        </w:tc>
      </w:tr>
      <w:tr w:rsidR="00253FF2" w:rsidRPr="004C08CD" w14:paraId="79BCBC70" w14:textId="77777777" w:rsidTr="0033621F">
        <w:tc>
          <w:tcPr>
            <w:cnfStyle w:val="001000000000" w:firstRow="0" w:lastRow="0" w:firstColumn="1" w:lastColumn="0" w:oddVBand="0" w:evenVBand="0" w:oddHBand="0" w:evenHBand="0" w:firstRowFirstColumn="0" w:firstRowLastColumn="0" w:lastRowFirstColumn="0" w:lastRowLastColumn="0"/>
            <w:tcW w:w="829" w:type="pct"/>
          </w:tcPr>
          <w:p w14:paraId="2C767BF5" w14:textId="77777777" w:rsidR="00253FF2" w:rsidRPr="00596660" w:rsidRDefault="00253FF2" w:rsidP="0033621F">
            <w:pPr>
              <w:pStyle w:val="Tabletext1"/>
              <w:rPr>
                <w:b w:val="0"/>
                <w:bCs w:val="0"/>
              </w:rPr>
            </w:pPr>
            <w:r w:rsidRPr="00596660">
              <w:rPr>
                <w:b w:val="0"/>
                <w:bCs w:val="0"/>
              </w:rPr>
              <w:t>Definition &amp; Rationale</w:t>
            </w:r>
          </w:p>
        </w:tc>
        <w:tc>
          <w:tcPr>
            <w:tcW w:w="4171" w:type="pct"/>
          </w:tcPr>
          <w:p w14:paraId="587E28C4" w14:textId="48E5EA99" w:rsidR="00253FF2" w:rsidRPr="00596660" w:rsidRDefault="00D11D97" w:rsidP="00596660">
            <w:pPr>
              <w:pStyle w:val="ListBullet"/>
              <w:ind w:left="357" w:hanging="357"/>
              <w:cnfStyle w:val="000000000000" w:firstRow="0" w:lastRow="0" w:firstColumn="0" w:lastColumn="0" w:oddVBand="0" w:evenVBand="0" w:oddHBand="0" w:evenHBand="0" w:firstRowFirstColumn="0" w:firstRowLastColumn="0" w:lastRowFirstColumn="0" w:lastRowLastColumn="0"/>
              <w:rPr>
                <w:sz w:val="20"/>
                <w:szCs w:val="22"/>
              </w:rPr>
            </w:pPr>
            <w:r w:rsidRPr="00596660">
              <w:rPr>
                <w:sz w:val="20"/>
                <w:szCs w:val="22"/>
              </w:rPr>
              <w:t>Resident</w:t>
            </w:r>
            <w:r w:rsidR="00253FF2" w:rsidRPr="00596660">
              <w:rPr>
                <w:sz w:val="20"/>
                <w:szCs w:val="22"/>
              </w:rPr>
              <w:t xml:space="preserve"> and consumer collaboration with the trial will improve trial design</w:t>
            </w:r>
          </w:p>
          <w:p w14:paraId="7AEEBAF8" w14:textId="0E748218" w:rsidR="00253FF2" w:rsidRPr="00596660" w:rsidRDefault="00D11D97" w:rsidP="00596660">
            <w:pPr>
              <w:pStyle w:val="ListBullet"/>
              <w:ind w:left="357" w:hanging="357"/>
              <w:cnfStyle w:val="000000000000" w:firstRow="0" w:lastRow="0" w:firstColumn="0" w:lastColumn="0" w:oddVBand="0" w:evenVBand="0" w:oddHBand="0" w:evenHBand="0" w:firstRowFirstColumn="0" w:firstRowLastColumn="0" w:lastRowFirstColumn="0" w:lastRowLastColumn="0"/>
              <w:rPr>
                <w:sz w:val="20"/>
                <w:szCs w:val="22"/>
              </w:rPr>
            </w:pPr>
            <w:r w:rsidRPr="00596660">
              <w:rPr>
                <w:sz w:val="20"/>
                <w:szCs w:val="22"/>
              </w:rPr>
              <w:t>Resident</w:t>
            </w:r>
            <w:r w:rsidR="00253FF2" w:rsidRPr="00596660">
              <w:rPr>
                <w:sz w:val="20"/>
                <w:szCs w:val="22"/>
              </w:rPr>
              <w:t xml:space="preserve"> and consumer collaboration with the trial will improve participation rates</w:t>
            </w:r>
          </w:p>
          <w:p w14:paraId="3387BF25" w14:textId="0EBCD485" w:rsidR="00253FF2" w:rsidRPr="004C08CD" w:rsidRDefault="00D11D97" w:rsidP="00596660">
            <w:pPr>
              <w:pStyle w:val="ListBullet"/>
              <w:ind w:left="357" w:hanging="357"/>
              <w:cnfStyle w:val="000000000000" w:firstRow="0" w:lastRow="0" w:firstColumn="0" w:lastColumn="0" w:oddVBand="0" w:evenVBand="0" w:oddHBand="0" w:evenHBand="0" w:firstRowFirstColumn="0" w:firstRowLastColumn="0" w:lastRowFirstColumn="0" w:lastRowLastColumn="0"/>
            </w:pPr>
            <w:r w:rsidRPr="00596660">
              <w:rPr>
                <w:sz w:val="20"/>
                <w:szCs w:val="22"/>
              </w:rPr>
              <w:t>Resident</w:t>
            </w:r>
            <w:r w:rsidR="00253FF2" w:rsidRPr="00596660">
              <w:rPr>
                <w:sz w:val="20"/>
                <w:szCs w:val="22"/>
              </w:rPr>
              <w:t xml:space="preserve"> and consumer collaboration will ensure that if the trial objectives are successful the program could be better implemented in pharmacy and aged care practice at a national level</w:t>
            </w:r>
          </w:p>
        </w:tc>
      </w:tr>
      <w:tr w:rsidR="00253FF2" w:rsidRPr="004C08CD" w14:paraId="1D93E4F9" w14:textId="77777777" w:rsidTr="00336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pct"/>
          </w:tcPr>
          <w:p w14:paraId="58961843" w14:textId="77777777" w:rsidR="00253FF2" w:rsidRPr="00596660" w:rsidRDefault="00253FF2" w:rsidP="0033621F">
            <w:pPr>
              <w:pStyle w:val="Tabletext1"/>
              <w:rPr>
                <w:b w:val="0"/>
                <w:bCs w:val="0"/>
              </w:rPr>
            </w:pPr>
            <w:r w:rsidRPr="00596660">
              <w:rPr>
                <w:b w:val="0"/>
                <w:bCs w:val="0"/>
              </w:rPr>
              <w:t>Frequency</w:t>
            </w:r>
          </w:p>
        </w:tc>
        <w:tc>
          <w:tcPr>
            <w:tcW w:w="4171" w:type="pct"/>
          </w:tcPr>
          <w:p w14:paraId="112D9AAF" w14:textId="77777777" w:rsidR="00253FF2" w:rsidRPr="00596660" w:rsidRDefault="00253FF2" w:rsidP="00596660">
            <w:pPr>
              <w:pStyle w:val="ListBullet"/>
              <w:ind w:left="357" w:hanging="357"/>
              <w:cnfStyle w:val="000000100000" w:firstRow="0" w:lastRow="0" w:firstColumn="0" w:lastColumn="0" w:oddVBand="0" w:evenVBand="0" w:oddHBand="1" w:evenHBand="0" w:firstRowFirstColumn="0" w:firstRowLastColumn="0" w:lastRowFirstColumn="0" w:lastRowLastColumn="0"/>
              <w:rPr>
                <w:sz w:val="20"/>
                <w:szCs w:val="22"/>
              </w:rPr>
            </w:pPr>
            <w:r w:rsidRPr="00596660">
              <w:rPr>
                <w:sz w:val="20"/>
                <w:szCs w:val="22"/>
              </w:rPr>
              <w:t>Ongoing measure</w:t>
            </w:r>
          </w:p>
        </w:tc>
      </w:tr>
      <w:tr w:rsidR="00253FF2" w:rsidRPr="004C08CD" w14:paraId="5BED16C2" w14:textId="77777777" w:rsidTr="0033621F">
        <w:tc>
          <w:tcPr>
            <w:cnfStyle w:val="001000000000" w:firstRow="0" w:lastRow="0" w:firstColumn="1" w:lastColumn="0" w:oddVBand="0" w:evenVBand="0" w:oddHBand="0" w:evenHBand="0" w:firstRowFirstColumn="0" w:firstRowLastColumn="0" w:lastRowFirstColumn="0" w:lastRowLastColumn="0"/>
            <w:tcW w:w="829" w:type="pct"/>
          </w:tcPr>
          <w:p w14:paraId="4DC3DD2D" w14:textId="77777777" w:rsidR="00253FF2" w:rsidRPr="00596660" w:rsidRDefault="00253FF2" w:rsidP="0033621F">
            <w:pPr>
              <w:pStyle w:val="Tabletext1"/>
              <w:rPr>
                <w:b w:val="0"/>
                <w:bCs w:val="0"/>
              </w:rPr>
            </w:pPr>
            <w:r w:rsidRPr="00596660">
              <w:rPr>
                <w:b w:val="0"/>
                <w:bCs w:val="0"/>
              </w:rPr>
              <w:t>Indicator &amp; Status</w:t>
            </w:r>
          </w:p>
        </w:tc>
        <w:tc>
          <w:tcPr>
            <w:tcW w:w="4171" w:type="pct"/>
          </w:tcPr>
          <w:p w14:paraId="6E08F471" w14:textId="10C358DB" w:rsidR="00253FF2" w:rsidRPr="00596660" w:rsidRDefault="00253FF2" w:rsidP="00596660">
            <w:pPr>
              <w:pStyle w:val="ListBullet"/>
              <w:ind w:left="357" w:hanging="357"/>
              <w:cnfStyle w:val="000000000000" w:firstRow="0" w:lastRow="0" w:firstColumn="0" w:lastColumn="0" w:oddVBand="0" w:evenVBand="0" w:oddHBand="0" w:evenHBand="0" w:firstRowFirstColumn="0" w:firstRowLastColumn="0" w:lastRowFirstColumn="0" w:lastRowLastColumn="0"/>
              <w:rPr>
                <w:sz w:val="20"/>
                <w:szCs w:val="22"/>
              </w:rPr>
            </w:pPr>
            <w:r w:rsidRPr="00596660">
              <w:rPr>
                <w:sz w:val="20"/>
                <w:szCs w:val="22"/>
              </w:rPr>
              <w:t xml:space="preserve">Consumer Advisory Group collaboration </w:t>
            </w:r>
            <w:r w:rsidR="0033621F" w:rsidRPr="00596660">
              <w:rPr>
                <w:sz w:val="20"/>
                <w:szCs w:val="22"/>
              </w:rPr>
              <w:t>–</w:t>
            </w:r>
            <w:r w:rsidRPr="00596660">
              <w:rPr>
                <w:sz w:val="20"/>
                <w:szCs w:val="22"/>
              </w:rPr>
              <w:t xml:space="preserve"> The consumer advisory group include</w:t>
            </w:r>
            <w:r w:rsidR="005F4ACA" w:rsidRPr="00596660">
              <w:rPr>
                <w:sz w:val="20"/>
                <w:szCs w:val="22"/>
              </w:rPr>
              <w:t>d</w:t>
            </w:r>
            <w:r w:rsidRPr="00596660">
              <w:rPr>
                <w:sz w:val="20"/>
                <w:szCs w:val="22"/>
              </w:rPr>
              <w:t xml:space="preserve"> representation from the following consumer groups Consumer Health Forum of Australia; Health Consumers Alliance of SA; Primary Health Network (PHN) Adelaide Consumer Groups representative; Helping Hand consumer representative; Southern Cross Care SA &amp; NT consumer group; Southern Cross Care Tasmania consumer representative; and the Aged Rights Advocacy Service.</w:t>
            </w:r>
          </w:p>
          <w:p w14:paraId="68967EDF" w14:textId="77777777" w:rsidR="00253FF2" w:rsidRPr="00596660" w:rsidRDefault="00253FF2" w:rsidP="00853EEA">
            <w:pPr>
              <w:pStyle w:val="ListBullet"/>
              <w:numPr>
                <w:ilvl w:val="1"/>
                <w:numId w:val="20"/>
              </w:numPr>
              <w:ind w:left="803" w:hanging="425"/>
              <w:cnfStyle w:val="000000000000" w:firstRow="0" w:lastRow="0" w:firstColumn="0" w:lastColumn="0" w:oddVBand="0" w:evenVBand="0" w:oddHBand="0" w:evenHBand="0" w:firstRowFirstColumn="0" w:firstRowLastColumn="0" w:lastRowFirstColumn="0" w:lastRowLastColumn="0"/>
              <w:rPr>
                <w:sz w:val="20"/>
                <w:szCs w:val="22"/>
              </w:rPr>
            </w:pPr>
            <w:r w:rsidRPr="00596660">
              <w:rPr>
                <w:sz w:val="20"/>
                <w:szCs w:val="22"/>
              </w:rPr>
              <w:t xml:space="preserve">The Terms of Reference for the advisory group were agreed at the first meeting held on 2 July </w:t>
            </w:r>
            <w:proofErr w:type="gramStart"/>
            <w:r w:rsidRPr="00596660">
              <w:rPr>
                <w:sz w:val="20"/>
                <w:szCs w:val="22"/>
              </w:rPr>
              <w:t>2018;</w:t>
            </w:r>
            <w:proofErr w:type="gramEnd"/>
            <w:r w:rsidRPr="00596660">
              <w:rPr>
                <w:sz w:val="20"/>
                <w:szCs w:val="22"/>
              </w:rPr>
              <w:t xml:space="preserve"> </w:t>
            </w:r>
          </w:p>
          <w:p w14:paraId="708E1989" w14:textId="608DB0CA" w:rsidR="00253FF2" w:rsidRPr="00596660" w:rsidRDefault="005F4ACA" w:rsidP="00853EEA">
            <w:pPr>
              <w:pStyle w:val="ListBullet"/>
              <w:numPr>
                <w:ilvl w:val="1"/>
                <w:numId w:val="20"/>
              </w:numPr>
              <w:ind w:left="803" w:hanging="425"/>
              <w:cnfStyle w:val="000000000000" w:firstRow="0" w:lastRow="0" w:firstColumn="0" w:lastColumn="0" w:oddVBand="0" w:evenVBand="0" w:oddHBand="0" w:evenHBand="0" w:firstRowFirstColumn="0" w:firstRowLastColumn="0" w:lastRowFirstColumn="0" w:lastRowLastColumn="0"/>
              <w:rPr>
                <w:sz w:val="20"/>
                <w:szCs w:val="22"/>
              </w:rPr>
            </w:pPr>
            <w:r w:rsidRPr="00596660">
              <w:rPr>
                <w:sz w:val="20"/>
                <w:szCs w:val="22"/>
              </w:rPr>
              <w:t>Subsequent</w:t>
            </w:r>
            <w:r w:rsidR="00253FF2" w:rsidRPr="00596660">
              <w:rPr>
                <w:sz w:val="20"/>
                <w:szCs w:val="22"/>
              </w:rPr>
              <w:t xml:space="preserve"> meetings </w:t>
            </w:r>
            <w:r w:rsidRPr="00596660">
              <w:rPr>
                <w:sz w:val="20"/>
                <w:szCs w:val="22"/>
              </w:rPr>
              <w:t>were</w:t>
            </w:r>
            <w:r w:rsidR="00253FF2" w:rsidRPr="00596660">
              <w:rPr>
                <w:sz w:val="20"/>
                <w:szCs w:val="22"/>
              </w:rPr>
              <w:t xml:space="preserve"> held </w:t>
            </w:r>
            <w:r w:rsidRPr="00596660">
              <w:rPr>
                <w:sz w:val="20"/>
                <w:szCs w:val="22"/>
              </w:rPr>
              <w:t xml:space="preserve">on </w:t>
            </w:r>
            <w:r w:rsidR="00253FF2" w:rsidRPr="00596660">
              <w:rPr>
                <w:sz w:val="20"/>
                <w:szCs w:val="22"/>
              </w:rPr>
              <w:t>6 March 2019, 8 April 2020</w:t>
            </w:r>
            <w:r w:rsidRPr="00596660">
              <w:rPr>
                <w:sz w:val="20"/>
                <w:szCs w:val="22"/>
              </w:rPr>
              <w:t>,</w:t>
            </w:r>
            <w:r w:rsidR="00253FF2" w:rsidRPr="00596660">
              <w:rPr>
                <w:sz w:val="20"/>
                <w:szCs w:val="22"/>
              </w:rPr>
              <w:t xml:space="preserve"> 7 October </w:t>
            </w:r>
            <w:proofErr w:type="gramStart"/>
            <w:r w:rsidR="00253FF2" w:rsidRPr="00596660">
              <w:rPr>
                <w:sz w:val="20"/>
                <w:szCs w:val="22"/>
              </w:rPr>
              <w:t>2020</w:t>
            </w:r>
            <w:proofErr w:type="gramEnd"/>
            <w:r w:rsidRPr="00596660">
              <w:rPr>
                <w:sz w:val="20"/>
                <w:szCs w:val="22"/>
              </w:rPr>
              <w:t xml:space="preserve"> and a joint meeting of both stakeholder groups on 19 March 2021</w:t>
            </w:r>
            <w:r w:rsidR="00253FF2" w:rsidRPr="00596660">
              <w:rPr>
                <w:sz w:val="20"/>
                <w:szCs w:val="22"/>
              </w:rPr>
              <w:t>.</w:t>
            </w:r>
          </w:p>
          <w:p w14:paraId="2C8EFE07" w14:textId="77777777" w:rsidR="00253FF2" w:rsidRPr="00596660" w:rsidRDefault="00253FF2" w:rsidP="00596660">
            <w:pPr>
              <w:pStyle w:val="ListBullet"/>
              <w:ind w:left="357" w:hanging="357"/>
              <w:cnfStyle w:val="000000000000" w:firstRow="0" w:lastRow="0" w:firstColumn="0" w:lastColumn="0" w:oddVBand="0" w:evenVBand="0" w:oddHBand="0" w:evenHBand="0" w:firstRowFirstColumn="0" w:firstRowLastColumn="0" w:lastRowFirstColumn="0" w:lastRowLastColumn="0"/>
              <w:rPr>
                <w:sz w:val="20"/>
                <w:szCs w:val="22"/>
              </w:rPr>
            </w:pPr>
            <w:r w:rsidRPr="00596660">
              <w:rPr>
                <w:sz w:val="20"/>
                <w:szCs w:val="22"/>
              </w:rPr>
              <w:t>Resident and family engagement – There was engagement with residents and family members for each of the 39 trial sites</w:t>
            </w:r>
            <w:r w:rsidR="005F4ACA" w:rsidRPr="00596660">
              <w:rPr>
                <w:sz w:val="20"/>
                <w:szCs w:val="22"/>
              </w:rPr>
              <w:t>,</w:t>
            </w:r>
            <w:r w:rsidRPr="00596660">
              <w:rPr>
                <w:sz w:val="20"/>
                <w:szCs w:val="22"/>
              </w:rPr>
              <w:t xml:space="preserve"> either through resident and family meetings or through flyers distributed to potentially eligible residents. Engagement with resident and family members commenced on 19 June 2018 and was completed on 26 June 2019 after final recruitment. Feedback from </w:t>
            </w:r>
            <w:r w:rsidRPr="00596660">
              <w:rPr>
                <w:sz w:val="20"/>
                <w:szCs w:val="22"/>
              </w:rPr>
              <w:lastRenderedPageBreak/>
              <w:t>early meetings was used to inform the improvement of communication messages and documentation.</w:t>
            </w:r>
          </w:p>
          <w:p w14:paraId="16768586" w14:textId="60845D68" w:rsidR="005F4ACA" w:rsidRPr="004C08CD" w:rsidRDefault="005F4ACA" w:rsidP="00596660">
            <w:pPr>
              <w:pStyle w:val="ListBullet"/>
              <w:ind w:left="357" w:hanging="357"/>
              <w:cnfStyle w:val="000000000000" w:firstRow="0" w:lastRow="0" w:firstColumn="0" w:lastColumn="0" w:oddVBand="0" w:evenVBand="0" w:oddHBand="0" w:evenHBand="0" w:firstRowFirstColumn="0" w:firstRowLastColumn="0" w:lastRowFirstColumn="0" w:lastRowLastColumn="0"/>
            </w:pPr>
            <w:r w:rsidRPr="00596660">
              <w:rPr>
                <w:sz w:val="20"/>
                <w:szCs w:val="22"/>
              </w:rPr>
              <w:t>Interviews with 7 residents who participated in the trial to gain feedback on trial implementation</w:t>
            </w:r>
          </w:p>
        </w:tc>
      </w:tr>
    </w:tbl>
    <w:p w14:paraId="318EE958" w14:textId="40ED4078" w:rsidR="00253FF2" w:rsidRPr="00B12D4B" w:rsidRDefault="00253FF2" w:rsidP="00897C5B">
      <w:pPr>
        <w:pStyle w:val="Caption"/>
      </w:pPr>
      <w:r w:rsidRPr="00B12D4B">
        <w:lastRenderedPageBreak/>
        <w:t>Table</w:t>
      </w:r>
      <w:r w:rsidR="001E0942" w:rsidRPr="00B12D4B">
        <w:t xml:space="preserve"> App</w:t>
      </w:r>
      <w:r w:rsidRPr="00B12D4B">
        <w:t xml:space="preserve"> </w:t>
      </w:r>
      <w:r w:rsidR="004F4EFC" w:rsidRPr="00B12D4B">
        <w:t>C-1</w:t>
      </w:r>
      <w:r w:rsidRPr="00B12D4B">
        <w:t>: Contracted Performance Indicator 1 – demonstration of</w:t>
      </w:r>
      <w:r w:rsidR="00D11D97" w:rsidRPr="00B12D4B">
        <w:t xml:space="preserve"> resident</w:t>
      </w:r>
      <w:r w:rsidRPr="00B12D4B">
        <w:t xml:space="preserve"> and consumer engagement.</w:t>
      </w:r>
    </w:p>
    <w:p w14:paraId="529A98C7" w14:textId="467A8552" w:rsidR="00253FF2" w:rsidRPr="006A0103" w:rsidRDefault="004C08CD" w:rsidP="00897C5B">
      <w:pPr>
        <w:pStyle w:val="Heading3"/>
      </w:pPr>
      <w:bookmarkStart w:id="386" w:name="_Toc117758338"/>
      <w:r>
        <w:t>C.4.2</w:t>
      </w:r>
      <w:r w:rsidR="00C06ACB">
        <w:tab/>
      </w:r>
      <w:r w:rsidR="00253FF2" w:rsidRPr="006A0103">
        <w:t>Expanded pathways of pharmacist service delivery</w:t>
      </w:r>
      <w:bookmarkEnd w:id="386"/>
      <w:r w:rsidR="00253FF2" w:rsidRPr="006A0103">
        <w:t xml:space="preserve"> </w:t>
      </w:r>
    </w:p>
    <w:p w14:paraId="0FE3F2E5" w14:textId="5C0AB427" w:rsidR="00253FF2" w:rsidRPr="006A0103" w:rsidRDefault="00253FF2" w:rsidP="007501B9">
      <w:r w:rsidRPr="006A0103">
        <w:t xml:space="preserve">A total of 28 pharmacists </w:t>
      </w:r>
      <w:r w:rsidR="00036427" w:rsidRPr="006A0103">
        <w:t xml:space="preserve">with between </w:t>
      </w:r>
      <w:proofErr w:type="gramStart"/>
      <w:r w:rsidR="00036427" w:rsidRPr="006A0103">
        <w:t>2 and 35 or more years’</w:t>
      </w:r>
      <w:proofErr w:type="gramEnd"/>
      <w:r w:rsidR="00036427" w:rsidRPr="006A0103">
        <w:t xml:space="preserve"> experience </w:t>
      </w:r>
      <w:r w:rsidRPr="006A0103">
        <w:t xml:space="preserve">were engaged to deliver the </w:t>
      </w:r>
      <w:proofErr w:type="spellStart"/>
      <w:r w:rsidRPr="006A0103">
        <w:t>ReMInDAR</w:t>
      </w:r>
      <w:proofErr w:type="spellEnd"/>
      <w:r w:rsidRPr="006A0103">
        <w:t xml:space="preserve"> service (</w:t>
      </w:r>
      <w:r w:rsidR="004F4EFC" w:rsidRPr="006A0103">
        <w:t xml:space="preserve">Tables </w:t>
      </w:r>
      <w:r w:rsidR="005541D7">
        <w:t xml:space="preserve">App </w:t>
      </w:r>
      <w:r w:rsidR="004F4EFC" w:rsidRPr="006A0103">
        <w:t xml:space="preserve">C2 and </w:t>
      </w:r>
      <w:r w:rsidR="005541D7">
        <w:t xml:space="preserve">App </w:t>
      </w:r>
      <w:r w:rsidR="004F4EFC" w:rsidRPr="006A0103">
        <w:t>C3</w:t>
      </w:r>
      <w:r w:rsidRPr="006A0103">
        <w:t>)</w:t>
      </w:r>
      <w:r w:rsidR="007501B9">
        <w:t xml:space="preserve">. </w:t>
      </w:r>
      <w:r w:rsidRPr="006A0103">
        <w:t xml:space="preserve">The “Detection of Medication Induced Deterioration’ training program for pharmacists for the </w:t>
      </w:r>
      <w:proofErr w:type="spellStart"/>
      <w:r w:rsidRPr="006A0103">
        <w:t>ReMInDAR</w:t>
      </w:r>
      <w:proofErr w:type="spellEnd"/>
      <w:r w:rsidRPr="006A0103">
        <w:t xml:space="preserve"> trial was developed and subsequently accredited by the Pharmaceutical Society of Australia (CX20034)</w:t>
      </w:r>
      <w:r w:rsidR="007501B9">
        <w:t xml:space="preserve">. </w:t>
      </w:r>
      <w:r w:rsidRPr="006A0103">
        <w:t>This training program delivered 23 initial training sessions outlining medicine-induced deterioration and the use of the assessment tools to facilitate detection and reporting</w:t>
      </w:r>
      <w:r w:rsidR="007501B9">
        <w:t xml:space="preserve">. </w:t>
      </w:r>
      <w:r w:rsidRPr="006A0103">
        <w:t>The training was re-enforced through delivery of 33 one-on-one on-site peer support sessions for the pharmacists, and 6 peer discussion sessions w</w:t>
      </w:r>
      <w:r w:rsidR="00036427" w:rsidRPr="006A0103">
        <w:t>hich occurred every two months.</w:t>
      </w:r>
    </w:p>
    <w:tbl>
      <w:tblPr>
        <w:tblStyle w:val="ListTable3"/>
        <w:tblW w:w="5000" w:type="pct"/>
        <w:tblLook w:val="04A0" w:firstRow="1" w:lastRow="0" w:firstColumn="1" w:lastColumn="0" w:noHBand="0" w:noVBand="1"/>
      </w:tblPr>
      <w:tblGrid>
        <w:gridCol w:w="1509"/>
        <w:gridCol w:w="7507"/>
      </w:tblGrid>
      <w:tr w:rsidR="00253FF2" w:rsidRPr="00596660" w14:paraId="599AF835" w14:textId="77777777" w:rsidTr="0059666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837" w:type="pct"/>
          </w:tcPr>
          <w:p w14:paraId="36EA048C" w14:textId="77777777" w:rsidR="00253FF2" w:rsidRPr="00596660" w:rsidRDefault="00253FF2" w:rsidP="00596660">
            <w:pPr>
              <w:pStyle w:val="TableHeader"/>
              <w:rPr>
                <w:b/>
                <w:bCs w:val="0"/>
              </w:rPr>
            </w:pPr>
            <w:bookmarkStart w:id="387" w:name="Title_11" w:colFirst="0" w:colLast="0"/>
            <w:r w:rsidRPr="00596660">
              <w:rPr>
                <w:b/>
                <w:bCs w:val="0"/>
              </w:rPr>
              <w:t>Objective</w:t>
            </w:r>
          </w:p>
        </w:tc>
        <w:tc>
          <w:tcPr>
            <w:tcW w:w="4163" w:type="pct"/>
          </w:tcPr>
          <w:p w14:paraId="4ABD4208" w14:textId="3919C1FE" w:rsidR="00253FF2" w:rsidRPr="00596660" w:rsidRDefault="00253FF2" w:rsidP="00596660">
            <w:pPr>
              <w:pStyle w:val="TableHeader"/>
              <w:cnfStyle w:val="100000000000" w:firstRow="1" w:lastRow="0" w:firstColumn="0" w:lastColumn="0" w:oddVBand="0" w:evenVBand="0" w:oddHBand="0" w:evenHBand="0" w:firstRowFirstColumn="0" w:firstRowLastColumn="0" w:lastRowFirstColumn="0" w:lastRowLastColumn="0"/>
              <w:rPr>
                <w:b/>
                <w:bCs w:val="0"/>
              </w:rPr>
            </w:pPr>
            <w:r w:rsidRPr="00596660">
              <w:rPr>
                <w:b/>
                <w:bCs w:val="0"/>
              </w:rPr>
              <w:t xml:space="preserve">‘Expanded pathways of service delivery by pharmacists that improve documented </w:t>
            </w:r>
            <w:r w:rsidR="00D11D97" w:rsidRPr="00596660">
              <w:rPr>
                <w:b/>
                <w:bCs w:val="0"/>
              </w:rPr>
              <w:t>resident</w:t>
            </w:r>
            <w:r w:rsidRPr="00596660">
              <w:rPr>
                <w:b/>
                <w:bCs w:val="0"/>
              </w:rPr>
              <w:t xml:space="preserve"> health outcomes to inform a cost-effective analysis’</w:t>
            </w:r>
          </w:p>
        </w:tc>
      </w:tr>
      <w:bookmarkEnd w:id="387"/>
      <w:tr w:rsidR="00253FF2" w:rsidRPr="00E024EC" w14:paraId="50F342EF" w14:textId="77777777" w:rsidTr="005966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7" w:type="pct"/>
          </w:tcPr>
          <w:p w14:paraId="2930F826" w14:textId="77777777" w:rsidR="00253FF2" w:rsidRPr="00596660" w:rsidRDefault="00253FF2" w:rsidP="00596660">
            <w:pPr>
              <w:pStyle w:val="Tabletext1"/>
              <w:rPr>
                <w:b w:val="0"/>
                <w:bCs w:val="0"/>
              </w:rPr>
            </w:pPr>
            <w:r w:rsidRPr="00596660">
              <w:rPr>
                <w:b w:val="0"/>
                <w:bCs w:val="0"/>
              </w:rPr>
              <w:t>Measure</w:t>
            </w:r>
          </w:p>
        </w:tc>
        <w:tc>
          <w:tcPr>
            <w:tcW w:w="4163" w:type="pct"/>
          </w:tcPr>
          <w:p w14:paraId="56AC9D0D" w14:textId="77777777" w:rsidR="00253FF2" w:rsidRPr="00596660" w:rsidRDefault="00253FF2" w:rsidP="00596660">
            <w:pPr>
              <w:pStyle w:val="ListBullet"/>
              <w:cnfStyle w:val="000000100000" w:firstRow="0" w:lastRow="0" w:firstColumn="0" w:lastColumn="0" w:oddVBand="0" w:evenVBand="0" w:oddHBand="1" w:evenHBand="0" w:firstRowFirstColumn="0" w:firstRowLastColumn="0" w:lastRowFirstColumn="0" w:lastRowLastColumn="0"/>
              <w:rPr>
                <w:sz w:val="20"/>
                <w:szCs w:val="22"/>
              </w:rPr>
            </w:pPr>
            <w:r w:rsidRPr="00596660">
              <w:rPr>
                <w:sz w:val="20"/>
                <w:szCs w:val="22"/>
              </w:rPr>
              <w:t>Pharmacist agreement to undertake service delivery</w:t>
            </w:r>
          </w:p>
          <w:p w14:paraId="3711CDFF" w14:textId="77777777" w:rsidR="00253FF2" w:rsidRPr="00596660" w:rsidRDefault="00253FF2" w:rsidP="00596660">
            <w:pPr>
              <w:pStyle w:val="ListBullet"/>
              <w:cnfStyle w:val="000000100000" w:firstRow="0" w:lastRow="0" w:firstColumn="0" w:lastColumn="0" w:oddVBand="0" w:evenVBand="0" w:oddHBand="1" w:evenHBand="0" w:firstRowFirstColumn="0" w:firstRowLastColumn="0" w:lastRowFirstColumn="0" w:lastRowLastColumn="0"/>
              <w:rPr>
                <w:sz w:val="20"/>
                <w:szCs w:val="22"/>
              </w:rPr>
            </w:pPr>
            <w:r w:rsidRPr="00596660">
              <w:rPr>
                <w:sz w:val="20"/>
                <w:szCs w:val="22"/>
              </w:rPr>
              <w:t>Pharmacist training</w:t>
            </w:r>
          </w:p>
          <w:p w14:paraId="4118740C" w14:textId="77777777" w:rsidR="00253FF2" w:rsidRPr="00596660" w:rsidRDefault="00253FF2" w:rsidP="00596660">
            <w:pPr>
              <w:pStyle w:val="ListBullet"/>
              <w:cnfStyle w:val="000000100000" w:firstRow="0" w:lastRow="0" w:firstColumn="0" w:lastColumn="0" w:oddVBand="0" w:evenVBand="0" w:oddHBand="1" w:evenHBand="0" w:firstRowFirstColumn="0" w:firstRowLastColumn="0" w:lastRowFirstColumn="0" w:lastRowLastColumn="0"/>
              <w:rPr>
                <w:sz w:val="20"/>
                <w:szCs w:val="22"/>
              </w:rPr>
            </w:pPr>
            <w:r w:rsidRPr="00596660">
              <w:rPr>
                <w:sz w:val="20"/>
                <w:szCs w:val="22"/>
              </w:rPr>
              <w:t xml:space="preserve">Pharmacist satisfaction with service delivery process </w:t>
            </w:r>
          </w:p>
          <w:p w14:paraId="6228C3FA" w14:textId="445F81B3" w:rsidR="00253FF2" w:rsidRPr="00E024EC" w:rsidRDefault="00253FF2" w:rsidP="00596660">
            <w:pPr>
              <w:pStyle w:val="ListBullet"/>
              <w:cnfStyle w:val="000000100000" w:firstRow="0" w:lastRow="0" w:firstColumn="0" w:lastColumn="0" w:oddVBand="0" w:evenVBand="0" w:oddHBand="1" w:evenHBand="0" w:firstRowFirstColumn="0" w:firstRowLastColumn="0" w:lastRowFirstColumn="0" w:lastRowLastColumn="0"/>
            </w:pPr>
            <w:r w:rsidRPr="00596660">
              <w:rPr>
                <w:sz w:val="20"/>
                <w:szCs w:val="22"/>
              </w:rPr>
              <w:t xml:space="preserve">Improvements in documented </w:t>
            </w:r>
            <w:r w:rsidR="00D11D97" w:rsidRPr="00596660">
              <w:rPr>
                <w:sz w:val="20"/>
                <w:szCs w:val="22"/>
              </w:rPr>
              <w:t xml:space="preserve">resident </w:t>
            </w:r>
            <w:r w:rsidRPr="00596660">
              <w:rPr>
                <w:sz w:val="20"/>
                <w:szCs w:val="22"/>
              </w:rPr>
              <w:t>health outcomes (end of trial)</w:t>
            </w:r>
          </w:p>
        </w:tc>
      </w:tr>
      <w:tr w:rsidR="00253FF2" w:rsidRPr="00E024EC" w14:paraId="2EB613B6" w14:textId="77777777" w:rsidTr="00596660">
        <w:tc>
          <w:tcPr>
            <w:cnfStyle w:val="001000000000" w:firstRow="0" w:lastRow="0" w:firstColumn="1" w:lastColumn="0" w:oddVBand="0" w:evenVBand="0" w:oddHBand="0" w:evenHBand="0" w:firstRowFirstColumn="0" w:firstRowLastColumn="0" w:lastRowFirstColumn="0" w:lastRowLastColumn="0"/>
            <w:tcW w:w="837" w:type="pct"/>
          </w:tcPr>
          <w:p w14:paraId="1F5BA0FE" w14:textId="77777777" w:rsidR="00253FF2" w:rsidRPr="00596660" w:rsidRDefault="00253FF2" w:rsidP="00596660">
            <w:pPr>
              <w:pStyle w:val="Tabletext1"/>
              <w:rPr>
                <w:b w:val="0"/>
                <w:bCs w:val="0"/>
              </w:rPr>
            </w:pPr>
            <w:r w:rsidRPr="00596660">
              <w:rPr>
                <w:b w:val="0"/>
                <w:bCs w:val="0"/>
              </w:rPr>
              <w:t>Definition &amp; Rationale</w:t>
            </w:r>
          </w:p>
        </w:tc>
        <w:tc>
          <w:tcPr>
            <w:tcW w:w="4163" w:type="pct"/>
          </w:tcPr>
          <w:p w14:paraId="193C05C5" w14:textId="45F08C16" w:rsidR="00253FF2" w:rsidRPr="00E024EC" w:rsidRDefault="00B70150" w:rsidP="00596660">
            <w:pPr>
              <w:pStyle w:val="ListBullet"/>
              <w:cnfStyle w:val="000000000000" w:firstRow="0" w:lastRow="0" w:firstColumn="0" w:lastColumn="0" w:oddVBand="0" w:evenVBand="0" w:oddHBand="0" w:evenHBand="0" w:firstRowFirstColumn="0" w:firstRowLastColumn="0" w:lastRowFirstColumn="0" w:lastRowLastColumn="0"/>
            </w:pPr>
            <w:r w:rsidRPr="00E024EC">
              <w:t>The proposed pharmacist-</w:t>
            </w:r>
            <w:r w:rsidR="00253FF2" w:rsidRPr="00E024EC">
              <w:t xml:space="preserve">led ‘prevention service for </w:t>
            </w:r>
            <w:r w:rsidR="00DF7550" w:rsidRPr="00E024EC">
              <w:t>medicine-induced</w:t>
            </w:r>
            <w:r w:rsidR="00253FF2" w:rsidRPr="00E024EC">
              <w:t xml:space="preserve"> deterioration and adverse events’ in aged care is currently not available in any private or public settings in Australia. </w:t>
            </w:r>
            <w:r w:rsidR="005F4ACA" w:rsidRPr="00E024EC">
              <w:t>T</w:t>
            </w:r>
            <w:r w:rsidR="00253FF2" w:rsidRPr="00E024EC">
              <w:t xml:space="preserve">he pharmacist service will provide a platform for a new standard of care which is likely to be easily integrated into existing practice, and which is readily accessible to residents in </w:t>
            </w:r>
            <w:r w:rsidR="00812C48" w:rsidRPr="00E024EC">
              <w:t>aged care</w:t>
            </w:r>
            <w:r w:rsidR="00253FF2" w:rsidRPr="00E024EC">
              <w:t xml:space="preserve"> settings. </w:t>
            </w:r>
          </w:p>
        </w:tc>
      </w:tr>
      <w:tr w:rsidR="00253FF2" w:rsidRPr="00E024EC" w14:paraId="6C196FF8" w14:textId="77777777" w:rsidTr="005966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7" w:type="pct"/>
          </w:tcPr>
          <w:p w14:paraId="1A1EE8FD" w14:textId="77777777" w:rsidR="00253FF2" w:rsidRPr="00596660" w:rsidRDefault="00253FF2" w:rsidP="00596660">
            <w:pPr>
              <w:pStyle w:val="Tabletext1"/>
              <w:rPr>
                <w:b w:val="0"/>
                <w:bCs w:val="0"/>
              </w:rPr>
            </w:pPr>
            <w:r w:rsidRPr="00596660">
              <w:rPr>
                <w:b w:val="0"/>
                <w:bCs w:val="0"/>
              </w:rPr>
              <w:t>Frequency</w:t>
            </w:r>
          </w:p>
        </w:tc>
        <w:tc>
          <w:tcPr>
            <w:tcW w:w="4163" w:type="pct"/>
          </w:tcPr>
          <w:p w14:paraId="2EDCEA68" w14:textId="77777777" w:rsidR="00253FF2" w:rsidRPr="00E024EC" w:rsidRDefault="00253FF2" w:rsidP="00596660">
            <w:pPr>
              <w:pStyle w:val="ListBullet"/>
              <w:cnfStyle w:val="000000100000" w:firstRow="0" w:lastRow="0" w:firstColumn="0" w:lastColumn="0" w:oddVBand="0" w:evenVBand="0" w:oddHBand="1" w:evenHBand="0" w:firstRowFirstColumn="0" w:firstRowLastColumn="0" w:lastRowFirstColumn="0" w:lastRowLastColumn="0"/>
            </w:pPr>
            <w:r w:rsidRPr="00E024EC">
              <w:t>Bi-annually (or at trial completion)</w:t>
            </w:r>
          </w:p>
        </w:tc>
      </w:tr>
      <w:tr w:rsidR="00253FF2" w:rsidRPr="00E024EC" w14:paraId="0B34AD60" w14:textId="77777777" w:rsidTr="00596660">
        <w:tc>
          <w:tcPr>
            <w:cnfStyle w:val="001000000000" w:firstRow="0" w:lastRow="0" w:firstColumn="1" w:lastColumn="0" w:oddVBand="0" w:evenVBand="0" w:oddHBand="0" w:evenHBand="0" w:firstRowFirstColumn="0" w:firstRowLastColumn="0" w:lastRowFirstColumn="0" w:lastRowLastColumn="0"/>
            <w:tcW w:w="837" w:type="pct"/>
          </w:tcPr>
          <w:p w14:paraId="26E97548" w14:textId="77777777" w:rsidR="00253FF2" w:rsidRPr="00596660" w:rsidRDefault="00253FF2" w:rsidP="00596660">
            <w:pPr>
              <w:pStyle w:val="Tabletext1"/>
              <w:rPr>
                <w:b w:val="0"/>
                <w:bCs w:val="0"/>
              </w:rPr>
            </w:pPr>
            <w:r w:rsidRPr="00596660">
              <w:rPr>
                <w:b w:val="0"/>
                <w:bCs w:val="0"/>
              </w:rPr>
              <w:t>Indicator &amp; Status</w:t>
            </w:r>
          </w:p>
        </w:tc>
        <w:tc>
          <w:tcPr>
            <w:tcW w:w="4163" w:type="pct"/>
          </w:tcPr>
          <w:p w14:paraId="65450C1E" w14:textId="77777777" w:rsidR="00253FF2" w:rsidRPr="00596660" w:rsidRDefault="00253FF2" w:rsidP="00596660">
            <w:pPr>
              <w:pStyle w:val="ListBullet"/>
              <w:cnfStyle w:val="000000000000" w:firstRow="0" w:lastRow="0" w:firstColumn="0" w:lastColumn="0" w:oddVBand="0" w:evenVBand="0" w:oddHBand="0" w:evenHBand="0" w:firstRowFirstColumn="0" w:firstRowLastColumn="0" w:lastRowFirstColumn="0" w:lastRowLastColumn="0"/>
              <w:rPr>
                <w:sz w:val="20"/>
                <w:szCs w:val="22"/>
              </w:rPr>
            </w:pPr>
            <w:r w:rsidRPr="00596660">
              <w:rPr>
                <w:sz w:val="20"/>
                <w:szCs w:val="22"/>
              </w:rPr>
              <w:t xml:space="preserve">Service agreements signed with all pharmacists </w:t>
            </w:r>
          </w:p>
          <w:p w14:paraId="24EEC73F" w14:textId="77777777" w:rsidR="00253FF2" w:rsidRPr="00596660" w:rsidRDefault="00253FF2" w:rsidP="00596660">
            <w:pPr>
              <w:pStyle w:val="ListBullet"/>
              <w:cnfStyle w:val="000000000000" w:firstRow="0" w:lastRow="0" w:firstColumn="0" w:lastColumn="0" w:oddVBand="0" w:evenVBand="0" w:oddHBand="0" w:evenHBand="0" w:firstRowFirstColumn="0" w:firstRowLastColumn="0" w:lastRowFirstColumn="0" w:lastRowLastColumn="0"/>
              <w:rPr>
                <w:sz w:val="20"/>
                <w:szCs w:val="22"/>
              </w:rPr>
            </w:pPr>
            <w:r w:rsidRPr="00596660">
              <w:rPr>
                <w:sz w:val="20"/>
                <w:szCs w:val="22"/>
              </w:rPr>
              <w:t xml:space="preserve">Training of pharmacists </w:t>
            </w:r>
          </w:p>
          <w:p w14:paraId="775E8863" w14:textId="77777777" w:rsidR="00253FF2" w:rsidRPr="00596660" w:rsidRDefault="00253FF2" w:rsidP="00596660">
            <w:pPr>
              <w:pStyle w:val="ListBullet"/>
              <w:cnfStyle w:val="000000000000" w:firstRow="0" w:lastRow="0" w:firstColumn="0" w:lastColumn="0" w:oddVBand="0" w:evenVBand="0" w:oddHBand="0" w:evenHBand="0" w:firstRowFirstColumn="0" w:firstRowLastColumn="0" w:lastRowFirstColumn="0" w:lastRowLastColumn="0"/>
              <w:rPr>
                <w:sz w:val="20"/>
                <w:szCs w:val="22"/>
              </w:rPr>
            </w:pPr>
            <w:r w:rsidRPr="00596660">
              <w:rPr>
                <w:sz w:val="20"/>
                <w:szCs w:val="22"/>
              </w:rPr>
              <w:t>Pharmacist retention during trial (minimal changes to intervention pharmacists during service delivery)</w:t>
            </w:r>
          </w:p>
          <w:p w14:paraId="00A32944" w14:textId="77777777" w:rsidR="00253FF2" w:rsidRPr="00596660" w:rsidRDefault="00253FF2" w:rsidP="00596660">
            <w:pPr>
              <w:pStyle w:val="ListBullet"/>
              <w:cnfStyle w:val="000000000000" w:firstRow="0" w:lastRow="0" w:firstColumn="0" w:lastColumn="0" w:oddVBand="0" w:evenVBand="0" w:oddHBand="0" w:evenHBand="0" w:firstRowFirstColumn="0" w:firstRowLastColumn="0" w:lastRowFirstColumn="0" w:lastRowLastColumn="0"/>
              <w:rPr>
                <w:sz w:val="20"/>
                <w:szCs w:val="22"/>
              </w:rPr>
            </w:pPr>
            <w:r w:rsidRPr="00596660">
              <w:rPr>
                <w:sz w:val="20"/>
                <w:szCs w:val="22"/>
              </w:rPr>
              <w:t xml:space="preserve">Pharmacist participation in discussion panels every two months </w:t>
            </w:r>
          </w:p>
          <w:p w14:paraId="0E72CD61" w14:textId="77777777" w:rsidR="00253FF2" w:rsidRPr="00596660" w:rsidRDefault="00253FF2" w:rsidP="00596660">
            <w:pPr>
              <w:pStyle w:val="ListBullet"/>
              <w:cnfStyle w:val="000000000000" w:firstRow="0" w:lastRow="0" w:firstColumn="0" w:lastColumn="0" w:oddVBand="0" w:evenVBand="0" w:oddHBand="0" w:evenHBand="0" w:firstRowFirstColumn="0" w:firstRowLastColumn="0" w:lastRowFirstColumn="0" w:lastRowLastColumn="0"/>
              <w:rPr>
                <w:sz w:val="20"/>
                <w:szCs w:val="22"/>
              </w:rPr>
            </w:pPr>
            <w:r w:rsidRPr="00596660">
              <w:rPr>
                <w:sz w:val="20"/>
                <w:szCs w:val="22"/>
              </w:rPr>
              <w:t>Pharmacists interviewed to provide feedback and evaluation of training.</w:t>
            </w:r>
          </w:p>
          <w:p w14:paraId="653DB424" w14:textId="527C5CBC" w:rsidR="00253FF2" w:rsidRPr="00E024EC" w:rsidRDefault="00E024EC" w:rsidP="00596660">
            <w:pPr>
              <w:pStyle w:val="Tabletext1"/>
              <w:cnfStyle w:val="000000000000" w:firstRow="0" w:lastRow="0" w:firstColumn="0" w:lastColumn="0" w:oddVBand="0" w:evenVBand="0" w:oddHBand="0" w:evenHBand="0" w:firstRowFirstColumn="0" w:firstRowLastColumn="0" w:lastRowFirstColumn="0" w:lastRowLastColumn="0"/>
            </w:pPr>
            <w:r w:rsidRPr="00E024EC">
              <w:t xml:space="preserve">The </w:t>
            </w:r>
            <w:proofErr w:type="spellStart"/>
            <w:r w:rsidRPr="00E024EC">
              <w:t>ReMInDAR</w:t>
            </w:r>
            <w:proofErr w:type="spellEnd"/>
            <w:r w:rsidRPr="00E024EC">
              <w:t xml:space="preserve"> final report provides the evidence of improved cognition </w:t>
            </w:r>
            <w:proofErr w:type="gramStart"/>
            <w:r w:rsidRPr="00E024EC">
              <w:t>as a result of</w:t>
            </w:r>
            <w:proofErr w:type="gramEnd"/>
            <w:r w:rsidRPr="00E024EC">
              <w:t xml:space="preserve"> the expanded pharmacy service</w:t>
            </w:r>
            <w:r w:rsidR="00253FF2" w:rsidRPr="00E024EC">
              <w:t>.</w:t>
            </w:r>
            <w:r w:rsidRPr="00E024EC">
              <w:t xml:space="preserve"> The service resulted in a statistically significant difference in cognition scores in favour of the intervention group. The </w:t>
            </w:r>
            <w:r w:rsidRPr="00E024EC">
              <w:lastRenderedPageBreak/>
              <w:t>analysis identified that in the intervention arm an additional 12% of residents avoided clinically significant cognitive decline in 12 months</w:t>
            </w:r>
            <w:r w:rsidR="007501B9">
              <w:t xml:space="preserve">. </w:t>
            </w:r>
            <w:r w:rsidRPr="00E024EC">
              <w:t xml:space="preserve">This represents a NNT (number needed to treat/provide intervention to) of 8.33. </w:t>
            </w:r>
            <w:proofErr w:type="spellStart"/>
            <w:r w:rsidRPr="00E024EC">
              <w:t>i.e</w:t>
            </w:r>
            <w:proofErr w:type="spellEnd"/>
            <w:r w:rsidRPr="00E024EC">
              <w:t xml:space="preserve"> for every 8.33 residents that pharmacists reviewed 8 weekly over a year, it would be expected that one would avoid a </w:t>
            </w:r>
            <w:proofErr w:type="gramStart"/>
            <w:r w:rsidRPr="00E024EC">
              <w:t>clinically-relevant</w:t>
            </w:r>
            <w:proofErr w:type="gramEnd"/>
            <w:r w:rsidRPr="00E024EC">
              <w:t xml:space="preserve"> cognitive decline.</w:t>
            </w:r>
          </w:p>
        </w:tc>
      </w:tr>
    </w:tbl>
    <w:p w14:paraId="3A251A12" w14:textId="784CEF07" w:rsidR="004C08CD" w:rsidRDefault="00253FF2" w:rsidP="00897C5B">
      <w:pPr>
        <w:pStyle w:val="Caption"/>
      </w:pPr>
      <w:r w:rsidRPr="00B12D4B">
        <w:lastRenderedPageBreak/>
        <w:t xml:space="preserve">Table </w:t>
      </w:r>
      <w:r w:rsidR="001E0942" w:rsidRPr="00B12D4B">
        <w:t xml:space="preserve">App </w:t>
      </w:r>
      <w:r w:rsidR="004F4EFC" w:rsidRPr="00B12D4B">
        <w:t>C2</w:t>
      </w:r>
      <w:r w:rsidRPr="00B12D4B">
        <w:t xml:space="preserve">: Contracted Performance Indicator 2 – demonstration of expanded pathways of pharmacist service delivery that improve documented </w:t>
      </w:r>
      <w:r w:rsidR="00D11D97" w:rsidRPr="00B12D4B">
        <w:t>resident</w:t>
      </w:r>
      <w:r w:rsidRPr="00B12D4B">
        <w:t xml:space="preserve"> health outcomes to inform</w:t>
      </w:r>
      <w:r w:rsidR="004C08CD">
        <w:t xml:space="preserve"> a cost effectiveness analysis.</w:t>
      </w:r>
    </w:p>
    <w:tbl>
      <w:tblPr>
        <w:tblStyle w:val="ListTable3"/>
        <w:tblW w:w="5000" w:type="pct"/>
        <w:tblLook w:val="04A0" w:firstRow="1" w:lastRow="0" w:firstColumn="1" w:lastColumn="0" w:noHBand="0" w:noVBand="1"/>
      </w:tblPr>
      <w:tblGrid>
        <w:gridCol w:w="7739"/>
        <w:gridCol w:w="1277"/>
      </w:tblGrid>
      <w:tr w:rsidR="00253FF2" w:rsidRPr="00596660" w14:paraId="30C5A797" w14:textId="77777777" w:rsidTr="0059666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292" w:type="pct"/>
          </w:tcPr>
          <w:p w14:paraId="3C65EB7F" w14:textId="77777777" w:rsidR="00253FF2" w:rsidRPr="00596660" w:rsidRDefault="00253FF2" w:rsidP="00596660">
            <w:pPr>
              <w:pStyle w:val="TableHeader"/>
              <w:rPr>
                <w:b/>
                <w:bCs w:val="0"/>
              </w:rPr>
            </w:pPr>
            <w:bookmarkStart w:id="388" w:name="Title_12" w:colFirst="0" w:colLast="0"/>
            <w:r w:rsidRPr="00596660">
              <w:rPr>
                <w:b/>
                <w:bCs w:val="0"/>
              </w:rPr>
              <w:t>Training and engagement of pharmacists</w:t>
            </w:r>
          </w:p>
        </w:tc>
        <w:tc>
          <w:tcPr>
            <w:tcW w:w="708" w:type="pct"/>
          </w:tcPr>
          <w:p w14:paraId="2D084180" w14:textId="77777777" w:rsidR="00253FF2" w:rsidRPr="00596660" w:rsidRDefault="00253FF2" w:rsidP="00596660">
            <w:pPr>
              <w:pStyle w:val="TableHeader"/>
              <w:cnfStyle w:val="100000000000" w:firstRow="1" w:lastRow="0" w:firstColumn="0" w:lastColumn="0" w:oddVBand="0" w:evenVBand="0" w:oddHBand="0" w:evenHBand="0" w:firstRowFirstColumn="0" w:firstRowLastColumn="0" w:lastRowFirstColumn="0" w:lastRowLastColumn="0"/>
              <w:rPr>
                <w:b/>
                <w:bCs w:val="0"/>
              </w:rPr>
            </w:pPr>
            <w:r w:rsidRPr="00596660">
              <w:rPr>
                <w:b/>
                <w:bCs w:val="0"/>
              </w:rPr>
              <w:t>n</w:t>
            </w:r>
          </w:p>
        </w:tc>
      </w:tr>
      <w:bookmarkEnd w:id="388"/>
      <w:tr w:rsidR="00253FF2" w:rsidRPr="004C08CD" w14:paraId="70DBD461" w14:textId="77777777" w:rsidTr="005966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92" w:type="pct"/>
          </w:tcPr>
          <w:p w14:paraId="29BB0866" w14:textId="77777777" w:rsidR="00253FF2" w:rsidRPr="00596660" w:rsidRDefault="00253FF2" w:rsidP="00596660">
            <w:pPr>
              <w:pStyle w:val="Tabletext1"/>
              <w:rPr>
                <w:b w:val="0"/>
                <w:bCs w:val="0"/>
              </w:rPr>
            </w:pPr>
            <w:r w:rsidRPr="00596660">
              <w:rPr>
                <w:b w:val="0"/>
                <w:bCs w:val="0"/>
              </w:rPr>
              <w:t>Total pharmacists engaged</w:t>
            </w:r>
          </w:p>
        </w:tc>
        <w:tc>
          <w:tcPr>
            <w:tcW w:w="708" w:type="pct"/>
          </w:tcPr>
          <w:p w14:paraId="073E01E8" w14:textId="77777777" w:rsidR="00253FF2" w:rsidRPr="004C08CD" w:rsidRDefault="00253FF2" w:rsidP="00596660">
            <w:pPr>
              <w:pStyle w:val="Tabletext1"/>
              <w:jc w:val="right"/>
              <w:cnfStyle w:val="000000100000" w:firstRow="0" w:lastRow="0" w:firstColumn="0" w:lastColumn="0" w:oddVBand="0" w:evenVBand="0" w:oddHBand="1" w:evenHBand="0" w:firstRowFirstColumn="0" w:firstRowLastColumn="0" w:lastRowFirstColumn="0" w:lastRowLastColumn="0"/>
            </w:pPr>
            <w:r w:rsidRPr="004C08CD">
              <w:t>28</w:t>
            </w:r>
          </w:p>
        </w:tc>
      </w:tr>
      <w:tr w:rsidR="00253FF2" w:rsidRPr="004C08CD" w14:paraId="2C1B423F" w14:textId="77777777" w:rsidTr="00596660">
        <w:tc>
          <w:tcPr>
            <w:cnfStyle w:val="001000000000" w:firstRow="0" w:lastRow="0" w:firstColumn="1" w:lastColumn="0" w:oddVBand="0" w:evenVBand="0" w:oddHBand="0" w:evenHBand="0" w:firstRowFirstColumn="0" w:firstRowLastColumn="0" w:lastRowFirstColumn="0" w:lastRowLastColumn="0"/>
            <w:tcW w:w="4292" w:type="pct"/>
          </w:tcPr>
          <w:p w14:paraId="3C6F88CC" w14:textId="77777777" w:rsidR="00253FF2" w:rsidRPr="00596660" w:rsidRDefault="00253FF2" w:rsidP="00596660">
            <w:pPr>
              <w:pStyle w:val="Tabletext1"/>
              <w:rPr>
                <w:b w:val="0"/>
                <w:bCs w:val="0"/>
              </w:rPr>
            </w:pPr>
            <w:r w:rsidRPr="00596660">
              <w:rPr>
                <w:b w:val="0"/>
                <w:bCs w:val="0"/>
              </w:rPr>
              <w:t>Accredited pharmacists</w:t>
            </w:r>
          </w:p>
        </w:tc>
        <w:tc>
          <w:tcPr>
            <w:tcW w:w="708" w:type="pct"/>
          </w:tcPr>
          <w:p w14:paraId="1DDFC1D1" w14:textId="77777777" w:rsidR="00253FF2" w:rsidRPr="004C08CD" w:rsidRDefault="00253FF2" w:rsidP="00596660">
            <w:pPr>
              <w:pStyle w:val="Tabletext1"/>
              <w:jc w:val="right"/>
              <w:cnfStyle w:val="000000000000" w:firstRow="0" w:lastRow="0" w:firstColumn="0" w:lastColumn="0" w:oddVBand="0" w:evenVBand="0" w:oddHBand="0" w:evenHBand="0" w:firstRowFirstColumn="0" w:firstRowLastColumn="0" w:lastRowFirstColumn="0" w:lastRowLastColumn="0"/>
            </w:pPr>
            <w:r w:rsidRPr="004C08CD">
              <w:t>14</w:t>
            </w:r>
          </w:p>
        </w:tc>
      </w:tr>
      <w:tr w:rsidR="00253FF2" w:rsidRPr="004C08CD" w14:paraId="0E2B85CA" w14:textId="77777777" w:rsidTr="005966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92" w:type="pct"/>
          </w:tcPr>
          <w:p w14:paraId="2CC94421" w14:textId="77777777" w:rsidR="00253FF2" w:rsidRPr="00596660" w:rsidRDefault="00253FF2" w:rsidP="00596660">
            <w:pPr>
              <w:pStyle w:val="Tabletext1"/>
              <w:rPr>
                <w:b w:val="0"/>
                <w:bCs w:val="0"/>
              </w:rPr>
            </w:pPr>
            <w:r w:rsidRPr="00596660">
              <w:rPr>
                <w:b w:val="0"/>
                <w:bCs w:val="0"/>
              </w:rPr>
              <w:t>Community pharmacists</w:t>
            </w:r>
          </w:p>
        </w:tc>
        <w:tc>
          <w:tcPr>
            <w:tcW w:w="708" w:type="pct"/>
          </w:tcPr>
          <w:p w14:paraId="40476647" w14:textId="77777777" w:rsidR="00253FF2" w:rsidRPr="004C08CD" w:rsidRDefault="00253FF2" w:rsidP="00596660">
            <w:pPr>
              <w:pStyle w:val="Tabletext1"/>
              <w:jc w:val="right"/>
              <w:cnfStyle w:val="000000100000" w:firstRow="0" w:lastRow="0" w:firstColumn="0" w:lastColumn="0" w:oddVBand="0" w:evenVBand="0" w:oddHBand="1" w:evenHBand="0" w:firstRowFirstColumn="0" w:firstRowLastColumn="0" w:lastRowFirstColumn="0" w:lastRowLastColumn="0"/>
            </w:pPr>
            <w:r w:rsidRPr="004C08CD">
              <w:t>20</w:t>
            </w:r>
          </w:p>
        </w:tc>
      </w:tr>
      <w:tr w:rsidR="00253FF2" w:rsidRPr="004C08CD" w14:paraId="4F6315F3" w14:textId="77777777" w:rsidTr="00596660">
        <w:tc>
          <w:tcPr>
            <w:cnfStyle w:val="001000000000" w:firstRow="0" w:lastRow="0" w:firstColumn="1" w:lastColumn="0" w:oddVBand="0" w:evenVBand="0" w:oddHBand="0" w:evenHBand="0" w:firstRowFirstColumn="0" w:firstRowLastColumn="0" w:lastRowFirstColumn="0" w:lastRowLastColumn="0"/>
            <w:tcW w:w="4292" w:type="pct"/>
          </w:tcPr>
          <w:p w14:paraId="36B8619D" w14:textId="77777777" w:rsidR="00253FF2" w:rsidRPr="00596660" w:rsidRDefault="00253FF2" w:rsidP="00596660">
            <w:pPr>
              <w:pStyle w:val="Tabletext1"/>
              <w:rPr>
                <w:b w:val="0"/>
                <w:bCs w:val="0"/>
              </w:rPr>
            </w:pPr>
            <w:r w:rsidRPr="00596660">
              <w:rPr>
                <w:b w:val="0"/>
                <w:bCs w:val="0"/>
              </w:rPr>
              <w:t>Hospital pharmacists</w:t>
            </w:r>
          </w:p>
        </w:tc>
        <w:tc>
          <w:tcPr>
            <w:tcW w:w="708" w:type="pct"/>
          </w:tcPr>
          <w:p w14:paraId="5A858599" w14:textId="77777777" w:rsidR="00253FF2" w:rsidRPr="004C08CD" w:rsidRDefault="00253FF2" w:rsidP="00596660">
            <w:pPr>
              <w:pStyle w:val="Tabletext1"/>
              <w:jc w:val="right"/>
              <w:cnfStyle w:val="000000000000" w:firstRow="0" w:lastRow="0" w:firstColumn="0" w:lastColumn="0" w:oddVBand="0" w:evenVBand="0" w:oddHBand="0" w:evenHBand="0" w:firstRowFirstColumn="0" w:firstRowLastColumn="0" w:lastRowFirstColumn="0" w:lastRowLastColumn="0"/>
            </w:pPr>
            <w:r w:rsidRPr="004C08CD">
              <w:t>1</w:t>
            </w:r>
          </w:p>
        </w:tc>
      </w:tr>
      <w:tr w:rsidR="00253FF2" w:rsidRPr="004C08CD" w14:paraId="125EBF05" w14:textId="77777777" w:rsidTr="005966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92" w:type="pct"/>
          </w:tcPr>
          <w:p w14:paraId="274DDD2D" w14:textId="77777777" w:rsidR="00253FF2" w:rsidRPr="00596660" w:rsidRDefault="00253FF2" w:rsidP="00596660">
            <w:pPr>
              <w:pStyle w:val="Tabletext1"/>
              <w:rPr>
                <w:b w:val="0"/>
                <w:bCs w:val="0"/>
              </w:rPr>
            </w:pPr>
            <w:r w:rsidRPr="00596660">
              <w:rPr>
                <w:b w:val="0"/>
                <w:bCs w:val="0"/>
              </w:rPr>
              <w:t>Total number of training sessions for pharmacists in protocol and standard operating procedures</w:t>
            </w:r>
          </w:p>
        </w:tc>
        <w:tc>
          <w:tcPr>
            <w:tcW w:w="708" w:type="pct"/>
          </w:tcPr>
          <w:p w14:paraId="712ACF47" w14:textId="77777777" w:rsidR="00253FF2" w:rsidRPr="004C08CD" w:rsidRDefault="00253FF2" w:rsidP="00596660">
            <w:pPr>
              <w:pStyle w:val="Tabletext1"/>
              <w:jc w:val="right"/>
              <w:cnfStyle w:val="000000100000" w:firstRow="0" w:lastRow="0" w:firstColumn="0" w:lastColumn="0" w:oddVBand="0" w:evenVBand="0" w:oddHBand="1" w:evenHBand="0" w:firstRowFirstColumn="0" w:firstRowLastColumn="0" w:lastRowFirstColumn="0" w:lastRowLastColumn="0"/>
            </w:pPr>
            <w:r w:rsidRPr="004C08CD">
              <w:t>23</w:t>
            </w:r>
          </w:p>
        </w:tc>
      </w:tr>
      <w:tr w:rsidR="00253FF2" w:rsidRPr="004C08CD" w14:paraId="410DCF96" w14:textId="77777777" w:rsidTr="00596660">
        <w:tc>
          <w:tcPr>
            <w:cnfStyle w:val="001000000000" w:firstRow="0" w:lastRow="0" w:firstColumn="1" w:lastColumn="0" w:oddVBand="0" w:evenVBand="0" w:oddHBand="0" w:evenHBand="0" w:firstRowFirstColumn="0" w:firstRowLastColumn="0" w:lastRowFirstColumn="0" w:lastRowLastColumn="0"/>
            <w:tcW w:w="4292" w:type="pct"/>
          </w:tcPr>
          <w:p w14:paraId="57D2EFC4" w14:textId="77777777" w:rsidR="00253FF2" w:rsidRPr="00596660" w:rsidRDefault="00253FF2" w:rsidP="00596660">
            <w:pPr>
              <w:pStyle w:val="Tabletext1"/>
              <w:rPr>
                <w:b w:val="0"/>
                <w:bCs w:val="0"/>
              </w:rPr>
            </w:pPr>
            <w:r w:rsidRPr="00596660">
              <w:rPr>
                <w:b w:val="0"/>
                <w:bCs w:val="0"/>
              </w:rPr>
              <w:t>Total number of sessions of onsite peer support and training of pharmacist in protocol (incl. follow up sessions)</w:t>
            </w:r>
          </w:p>
        </w:tc>
        <w:tc>
          <w:tcPr>
            <w:tcW w:w="708" w:type="pct"/>
          </w:tcPr>
          <w:p w14:paraId="524520F2" w14:textId="77777777" w:rsidR="00253FF2" w:rsidRPr="004C08CD" w:rsidRDefault="00253FF2" w:rsidP="00596660">
            <w:pPr>
              <w:pStyle w:val="Tabletext1"/>
              <w:jc w:val="right"/>
              <w:cnfStyle w:val="000000000000" w:firstRow="0" w:lastRow="0" w:firstColumn="0" w:lastColumn="0" w:oddVBand="0" w:evenVBand="0" w:oddHBand="0" w:evenHBand="0" w:firstRowFirstColumn="0" w:firstRowLastColumn="0" w:lastRowFirstColumn="0" w:lastRowLastColumn="0"/>
            </w:pPr>
            <w:r w:rsidRPr="004C08CD">
              <w:t>33</w:t>
            </w:r>
          </w:p>
        </w:tc>
      </w:tr>
      <w:tr w:rsidR="00253FF2" w:rsidRPr="004C08CD" w14:paraId="5AB648A0" w14:textId="77777777" w:rsidTr="005966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92" w:type="pct"/>
          </w:tcPr>
          <w:p w14:paraId="49E18801" w14:textId="77777777" w:rsidR="00253FF2" w:rsidRPr="00596660" w:rsidRDefault="00253FF2" w:rsidP="00596660">
            <w:pPr>
              <w:pStyle w:val="Tabletext1"/>
              <w:rPr>
                <w:b w:val="0"/>
                <w:bCs w:val="0"/>
              </w:rPr>
            </w:pPr>
            <w:r w:rsidRPr="00596660">
              <w:rPr>
                <w:b w:val="0"/>
                <w:bCs w:val="0"/>
              </w:rPr>
              <w:t>Number of peer group discussion sessions delivered every 2 months</w:t>
            </w:r>
          </w:p>
        </w:tc>
        <w:tc>
          <w:tcPr>
            <w:tcW w:w="708" w:type="pct"/>
          </w:tcPr>
          <w:p w14:paraId="6C2B7862" w14:textId="77777777" w:rsidR="00253FF2" w:rsidRPr="004C08CD" w:rsidRDefault="00253FF2" w:rsidP="00596660">
            <w:pPr>
              <w:pStyle w:val="Tabletext1"/>
              <w:jc w:val="right"/>
              <w:cnfStyle w:val="000000100000" w:firstRow="0" w:lastRow="0" w:firstColumn="0" w:lastColumn="0" w:oddVBand="0" w:evenVBand="0" w:oddHBand="1" w:evenHBand="0" w:firstRowFirstColumn="0" w:firstRowLastColumn="0" w:lastRowFirstColumn="0" w:lastRowLastColumn="0"/>
            </w:pPr>
            <w:r w:rsidRPr="004C08CD">
              <w:t>6</w:t>
            </w:r>
          </w:p>
        </w:tc>
      </w:tr>
    </w:tbl>
    <w:p w14:paraId="1E0D1A3D" w14:textId="201CC51B" w:rsidR="00253FF2" w:rsidRPr="00B12D4B" w:rsidRDefault="00253FF2" w:rsidP="00897C5B">
      <w:pPr>
        <w:pStyle w:val="Caption"/>
      </w:pPr>
      <w:r w:rsidRPr="00B12D4B">
        <w:t>Table</w:t>
      </w:r>
      <w:r w:rsidR="001E0942" w:rsidRPr="00B12D4B">
        <w:t xml:space="preserve"> App </w:t>
      </w:r>
      <w:r w:rsidR="004F4EFC" w:rsidRPr="00B12D4B">
        <w:t>C3</w:t>
      </w:r>
      <w:r w:rsidRPr="00B12D4B">
        <w:t xml:space="preserve">: Summary table of engagement and training activities for pharmacists for </w:t>
      </w:r>
      <w:proofErr w:type="spellStart"/>
      <w:r w:rsidRPr="00B12D4B">
        <w:t>ReMInDAR</w:t>
      </w:r>
      <w:proofErr w:type="spellEnd"/>
      <w:r w:rsidRPr="00B12D4B">
        <w:t xml:space="preserve"> trial.</w:t>
      </w:r>
    </w:p>
    <w:p w14:paraId="33A0463B" w14:textId="77777777" w:rsidR="00E024EC" w:rsidRDefault="00E024EC" w:rsidP="007501B9">
      <w:pPr>
        <w:rPr>
          <w:rFonts w:asciiTheme="majorHAnsi" w:eastAsiaTheme="majorEastAsia" w:hAnsiTheme="majorHAnsi" w:cstheme="majorBidi"/>
          <w:color w:val="0D0D0D" w:themeColor="text1" w:themeTint="F2"/>
          <w:sz w:val="24"/>
          <w:szCs w:val="24"/>
        </w:rPr>
      </w:pPr>
      <w:r>
        <w:br w:type="page"/>
      </w:r>
    </w:p>
    <w:p w14:paraId="21041BEB" w14:textId="32FBE040" w:rsidR="005541D7" w:rsidRPr="006A0103" w:rsidRDefault="005541D7" w:rsidP="00897C5B">
      <w:pPr>
        <w:pStyle w:val="Heading3"/>
      </w:pPr>
      <w:bookmarkStart w:id="389" w:name="_Toc117758339"/>
      <w:r>
        <w:lastRenderedPageBreak/>
        <w:t>C.4.3</w:t>
      </w:r>
      <w:r w:rsidR="00C06ACB">
        <w:tab/>
      </w:r>
      <w:r>
        <w:t>Cost effective, expanded pathways of service by community pharmacists</w:t>
      </w:r>
      <w:bookmarkEnd w:id="389"/>
      <w:r w:rsidRPr="006A0103">
        <w:t xml:space="preserve"> </w:t>
      </w:r>
    </w:p>
    <w:tbl>
      <w:tblPr>
        <w:tblStyle w:val="ListTable3"/>
        <w:tblW w:w="8926" w:type="dxa"/>
        <w:tblLook w:val="04A0" w:firstRow="1" w:lastRow="0" w:firstColumn="1" w:lastColumn="0" w:noHBand="0" w:noVBand="1"/>
      </w:tblPr>
      <w:tblGrid>
        <w:gridCol w:w="1413"/>
        <w:gridCol w:w="7513"/>
      </w:tblGrid>
      <w:tr w:rsidR="005541D7" w:rsidRPr="00B833B1" w14:paraId="1D41184E" w14:textId="77777777" w:rsidTr="00B833B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413" w:type="dxa"/>
          </w:tcPr>
          <w:p w14:paraId="4C2C3B66" w14:textId="77777777" w:rsidR="005541D7" w:rsidRPr="00B833B1" w:rsidRDefault="005541D7" w:rsidP="00B833B1">
            <w:pPr>
              <w:pStyle w:val="TableHeader"/>
              <w:rPr>
                <w:b/>
                <w:bCs w:val="0"/>
              </w:rPr>
            </w:pPr>
            <w:bookmarkStart w:id="390" w:name="Title_13" w:colFirst="0" w:colLast="0"/>
            <w:r w:rsidRPr="00B833B1">
              <w:rPr>
                <w:b/>
                <w:bCs w:val="0"/>
              </w:rPr>
              <w:t>Objective</w:t>
            </w:r>
          </w:p>
        </w:tc>
        <w:tc>
          <w:tcPr>
            <w:tcW w:w="7513" w:type="dxa"/>
          </w:tcPr>
          <w:p w14:paraId="57EF9557" w14:textId="77777777" w:rsidR="005541D7" w:rsidRPr="00B833B1" w:rsidRDefault="005541D7" w:rsidP="00B833B1">
            <w:pPr>
              <w:pStyle w:val="TableHeader"/>
              <w:cnfStyle w:val="100000000000" w:firstRow="1" w:lastRow="0" w:firstColumn="0" w:lastColumn="0" w:oddVBand="0" w:evenVBand="0" w:oddHBand="0" w:evenHBand="0" w:firstRowFirstColumn="0" w:firstRowLastColumn="0" w:lastRowFirstColumn="0" w:lastRowLastColumn="0"/>
              <w:rPr>
                <w:b/>
                <w:bCs w:val="0"/>
              </w:rPr>
            </w:pPr>
            <w:r w:rsidRPr="00B833B1">
              <w:rPr>
                <w:b/>
                <w:bCs w:val="0"/>
              </w:rPr>
              <w:t>‘Cost effective, expanded pathways of service by community pharmacy that improve patient health outcomes’</w:t>
            </w:r>
          </w:p>
        </w:tc>
      </w:tr>
      <w:bookmarkEnd w:id="390"/>
      <w:tr w:rsidR="005541D7" w:rsidRPr="00B833B1" w14:paraId="7EF1BE8D" w14:textId="77777777" w:rsidTr="00B833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54E18D0" w14:textId="77777777" w:rsidR="005541D7" w:rsidRPr="00B833B1" w:rsidRDefault="005541D7" w:rsidP="00B833B1">
            <w:pPr>
              <w:pStyle w:val="Tabletext1"/>
              <w:rPr>
                <w:b w:val="0"/>
                <w:bCs w:val="0"/>
              </w:rPr>
            </w:pPr>
            <w:r w:rsidRPr="00B833B1">
              <w:rPr>
                <w:b w:val="0"/>
                <w:bCs w:val="0"/>
              </w:rPr>
              <w:t>Measure</w:t>
            </w:r>
          </w:p>
        </w:tc>
        <w:tc>
          <w:tcPr>
            <w:tcW w:w="7513" w:type="dxa"/>
          </w:tcPr>
          <w:p w14:paraId="001AD169" w14:textId="77777777" w:rsidR="005541D7" w:rsidRPr="00B833B1" w:rsidRDefault="005541D7" w:rsidP="00B833B1">
            <w:pPr>
              <w:pStyle w:val="ListBullet"/>
              <w:cnfStyle w:val="000000100000" w:firstRow="0" w:lastRow="0" w:firstColumn="0" w:lastColumn="0" w:oddVBand="0" w:evenVBand="0" w:oddHBand="1" w:evenHBand="0" w:firstRowFirstColumn="0" w:firstRowLastColumn="0" w:lastRowFirstColumn="0" w:lastRowLastColumn="0"/>
              <w:rPr>
                <w:sz w:val="20"/>
                <w:szCs w:val="22"/>
              </w:rPr>
            </w:pPr>
            <w:r w:rsidRPr="00B833B1">
              <w:rPr>
                <w:sz w:val="20"/>
                <w:szCs w:val="22"/>
              </w:rPr>
              <w:t>Incremental cost or saving per adverse medicine event avoided (end of trial)</w:t>
            </w:r>
          </w:p>
          <w:p w14:paraId="1FE06790" w14:textId="77777777" w:rsidR="005541D7" w:rsidRPr="00B833B1" w:rsidRDefault="005541D7" w:rsidP="00B833B1">
            <w:pPr>
              <w:pStyle w:val="ListBullet"/>
              <w:cnfStyle w:val="000000100000" w:firstRow="0" w:lastRow="0" w:firstColumn="0" w:lastColumn="0" w:oddVBand="0" w:evenVBand="0" w:oddHBand="1" w:evenHBand="0" w:firstRowFirstColumn="0" w:firstRowLastColumn="0" w:lastRowFirstColumn="0" w:lastRowLastColumn="0"/>
              <w:rPr>
                <w:sz w:val="20"/>
                <w:szCs w:val="22"/>
              </w:rPr>
            </w:pPr>
            <w:r w:rsidRPr="00B833B1">
              <w:rPr>
                <w:sz w:val="20"/>
                <w:szCs w:val="22"/>
              </w:rPr>
              <w:t>Improvements in documented patient health outcomes (end of trial)</w:t>
            </w:r>
          </w:p>
        </w:tc>
      </w:tr>
      <w:tr w:rsidR="005541D7" w:rsidRPr="00B833B1" w14:paraId="33B10442" w14:textId="77777777" w:rsidTr="00B833B1">
        <w:tc>
          <w:tcPr>
            <w:cnfStyle w:val="001000000000" w:firstRow="0" w:lastRow="0" w:firstColumn="1" w:lastColumn="0" w:oddVBand="0" w:evenVBand="0" w:oddHBand="0" w:evenHBand="0" w:firstRowFirstColumn="0" w:firstRowLastColumn="0" w:lastRowFirstColumn="0" w:lastRowLastColumn="0"/>
            <w:tcW w:w="1413" w:type="dxa"/>
          </w:tcPr>
          <w:p w14:paraId="1B281B24" w14:textId="77777777" w:rsidR="005541D7" w:rsidRPr="00B833B1" w:rsidRDefault="005541D7" w:rsidP="00B833B1">
            <w:pPr>
              <w:pStyle w:val="Tabletext1"/>
              <w:rPr>
                <w:b w:val="0"/>
                <w:bCs w:val="0"/>
              </w:rPr>
            </w:pPr>
            <w:r w:rsidRPr="00B833B1">
              <w:rPr>
                <w:b w:val="0"/>
                <w:bCs w:val="0"/>
              </w:rPr>
              <w:t>Definition &amp; Rationale</w:t>
            </w:r>
          </w:p>
        </w:tc>
        <w:tc>
          <w:tcPr>
            <w:tcW w:w="7513" w:type="dxa"/>
          </w:tcPr>
          <w:p w14:paraId="6CA5E78D" w14:textId="77777777" w:rsidR="005541D7" w:rsidRPr="00B833B1" w:rsidRDefault="005541D7" w:rsidP="00B833B1">
            <w:pPr>
              <w:pStyle w:val="ListBullet"/>
              <w:cnfStyle w:val="000000000000" w:firstRow="0" w:lastRow="0" w:firstColumn="0" w:lastColumn="0" w:oddVBand="0" w:evenVBand="0" w:oddHBand="0" w:evenHBand="0" w:firstRowFirstColumn="0" w:firstRowLastColumn="0" w:lastRowFirstColumn="0" w:lastRowLastColumn="0"/>
              <w:rPr>
                <w:sz w:val="20"/>
                <w:szCs w:val="22"/>
              </w:rPr>
            </w:pPr>
            <w:r w:rsidRPr="00B833B1">
              <w:rPr>
                <w:sz w:val="20"/>
                <w:szCs w:val="22"/>
              </w:rPr>
              <w:t>The economic analysis will be a trial-based cost-effectiveness evaluation, with the intention to identify and report the incremental cost or saving per adverse medicine event avoided as the primary economic outcome of interest. The perspective of the analysis is the healthcare system.</w:t>
            </w:r>
          </w:p>
        </w:tc>
      </w:tr>
      <w:tr w:rsidR="005541D7" w:rsidRPr="00B833B1" w14:paraId="793D4F68" w14:textId="77777777" w:rsidTr="00B833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8FD3185" w14:textId="77777777" w:rsidR="005541D7" w:rsidRPr="00B833B1" w:rsidRDefault="005541D7" w:rsidP="00B833B1">
            <w:pPr>
              <w:pStyle w:val="Tabletext1"/>
              <w:rPr>
                <w:b w:val="0"/>
                <w:bCs w:val="0"/>
              </w:rPr>
            </w:pPr>
            <w:r w:rsidRPr="00B833B1">
              <w:rPr>
                <w:b w:val="0"/>
                <w:bCs w:val="0"/>
              </w:rPr>
              <w:t>Frequency</w:t>
            </w:r>
          </w:p>
        </w:tc>
        <w:tc>
          <w:tcPr>
            <w:tcW w:w="7513" w:type="dxa"/>
          </w:tcPr>
          <w:p w14:paraId="1461711E" w14:textId="77777777" w:rsidR="005541D7" w:rsidRPr="00B833B1" w:rsidRDefault="005541D7" w:rsidP="00B833B1">
            <w:pPr>
              <w:pStyle w:val="ListBullet"/>
              <w:cnfStyle w:val="000000100000" w:firstRow="0" w:lastRow="0" w:firstColumn="0" w:lastColumn="0" w:oddVBand="0" w:evenVBand="0" w:oddHBand="1" w:evenHBand="0" w:firstRowFirstColumn="0" w:firstRowLastColumn="0" w:lastRowFirstColumn="0" w:lastRowLastColumn="0"/>
              <w:rPr>
                <w:sz w:val="20"/>
                <w:szCs w:val="22"/>
              </w:rPr>
            </w:pPr>
            <w:r w:rsidRPr="00B833B1">
              <w:rPr>
                <w:sz w:val="20"/>
                <w:szCs w:val="22"/>
              </w:rPr>
              <w:t>End of project</w:t>
            </w:r>
          </w:p>
        </w:tc>
      </w:tr>
      <w:tr w:rsidR="005541D7" w:rsidRPr="00B833B1" w14:paraId="0E560EDC" w14:textId="77777777" w:rsidTr="00B833B1">
        <w:tc>
          <w:tcPr>
            <w:cnfStyle w:val="001000000000" w:firstRow="0" w:lastRow="0" w:firstColumn="1" w:lastColumn="0" w:oddVBand="0" w:evenVBand="0" w:oddHBand="0" w:evenHBand="0" w:firstRowFirstColumn="0" w:firstRowLastColumn="0" w:lastRowFirstColumn="0" w:lastRowLastColumn="0"/>
            <w:tcW w:w="1413" w:type="dxa"/>
          </w:tcPr>
          <w:p w14:paraId="401C3BDF" w14:textId="77777777" w:rsidR="005541D7" w:rsidRPr="00B833B1" w:rsidRDefault="005541D7" w:rsidP="00B833B1">
            <w:pPr>
              <w:pStyle w:val="Tabletext1"/>
              <w:rPr>
                <w:b w:val="0"/>
                <w:bCs w:val="0"/>
              </w:rPr>
            </w:pPr>
            <w:r w:rsidRPr="00B833B1">
              <w:rPr>
                <w:b w:val="0"/>
                <w:bCs w:val="0"/>
              </w:rPr>
              <w:t>Indicator &amp; Status</w:t>
            </w:r>
          </w:p>
        </w:tc>
        <w:tc>
          <w:tcPr>
            <w:tcW w:w="7513" w:type="dxa"/>
          </w:tcPr>
          <w:p w14:paraId="1631B3DB" w14:textId="4730D1F9" w:rsidR="005541D7" w:rsidRPr="00B833B1" w:rsidRDefault="005541D7" w:rsidP="00B833B1">
            <w:pPr>
              <w:pStyle w:val="ListBullet"/>
              <w:cnfStyle w:val="000000000000" w:firstRow="0" w:lastRow="0" w:firstColumn="0" w:lastColumn="0" w:oddVBand="0" w:evenVBand="0" w:oddHBand="0" w:evenHBand="0" w:firstRowFirstColumn="0" w:firstRowLastColumn="0" w:lastRowFirstColumn="0" w:lastRowLastColumn="0"/>
              <w:rPr>
                <w:sz w:val="20"/>
                <w:szCs w:val="22"/>
              </w:rPr>
            </w:pPr>
            <w:r w:rsidRPr="00B833B1">
              <w:rPr>
                <w:sz w:val="20"/>
                <w:szCs w:val="22"/>
              </w:rPr>
              <w:t>Resource use: – data collection record</w:t>
            </w:r>
            <w:r w:rsidR="00E024EC" w:rsidRPr="00B833B1">
              <w:rPr>
                <w:sz w:val="20"/>
                <w:szCs w:val="22"/>
              </w:rPr>
              <w:t>e</w:t>
            </w:r>
            <w:r w:rsidR="0004349F" w:rsidRPr="00B833B1">
              <w:rPr>
                <w:sz w:val="20"/>
                <w:szCs w:val="22"/>
              </w:rPr>
              <w:t>d</w:t>
            </w:r>
            <w:r w:rsidRPr="00B833B1">
              <w:rPr>
                <w:sz w:val="20"/>
                <w:szCs w:val="22"/>
              </w:rPr>
              <w:t xml:space="preserve"> time involving other health professionals (doctors, nurses, allied health), and other resource use identified in Residential Care Assessment Records (</w:t>
            </w:r>
            <w:proofErr w:type="spellStart"/>
            <w:proofErr w:type="gramStart"/>
            <w:r w:rsidRPr="00B833B1">
              <w:rPr>
                <w:sz w:val="20"/>
                <w:szCs w:val="22"/>
              </w:rPr>
              <w:t>eg</w:t>
            </w:r>
            <w:proofErr w:type="spellEnd"/>
            <w:proofErr w:type="gramEnd"/>
            <w:r w:rsidRPr="00B833B1">
              <w:rPr>
                <w:sz w:val="20"/>
                <w:szCs w:val="22"/>
              </w:rPr>
              <w:t xml:space="preserve"> medication changes, health services, hospitalisations etc). Data collection commenced from July 2018 and will conclude in June 2020</w:t>
            </w:r>
            <w:r w:rsidR="007501B9" w:rsidRPr="00B833B1">
              <w:rPr>
                <w:sz w:val="20"/>
                <w:szCs w:val="22"/>
              </w:rPr>
              <w:t xml:space="preserve">. </w:t>
            </w:r>
          </w:p>
          <w:p w14:paraId="18D17AAB" w14:textId="77777777" w:rsidR="005541D7" w:rsidRPr="00B833B1" w:rsidRDefault="005C6A83" w:rsidP="00B833B1">
            <w:pPr>
              <w:pStyle w:val="ListBullet"/>
              <w:cnfStyle w:val="000000000000" w:firstRow="0" w:lastRow="0" w:firstColumn="0" w:lastColumn="0" w:oddVBand="0" w:evenVBand="0" w:oddHBand="0" w:evenHBand="0" w:firstRowFirstColumn="0" w:firstRowLastColumn="0" w:lastRowFirstColumn="0" w:lastRowLastColumn="0"/>
              <w:rPr>
                <w:sz w:val="20"/>
                <w:szCs w:val="22"/>
              </w:rPr>
            </w:pPr>
            <w:r w:rsidRPr="00B833B1">
              <w:rPr>
                <w:sz w:val="20"/>
                <w:szCs w:val="22"/>
              </w:rPr>
              <w:t>Health Economic analysis (see Sections C, D and E)</w:t>
            </w:r>
          </w:p>
          <w:p w14:paraId="72895198" w14:textId="1D673D76" w:rsidR="00E024EC" w:rsidRPr="00B833B1" w:rsidRDefault="00E024EC" w:rsidP="00B833B1">
            <w:pPr>
              <w:pStyle w:val="ListBullet"/>
              <w:cnfStyle w:val="000000000000" w:firstRow="0" w:lastRow="0" w:firstColumn="0" w:lastColumn="0" w:oddVBand="0" w:evenVBand="0" w:oddHBand="0" w:evenHBand="0" w:firstRowFirstColumn="0" w:firstRowLastColumn="0" w:lastRowFirstColumn="0" w:lastRowLastColumn="0"/>
              <w:rPr>
                <w:sz w:val="20"/>
                <w:szCs w:val="22"/>
              </w:rPr>
            </w:pPr>
            <w:r w:rsidRPr="00B833B1">
              <w:rPr>
                <w:sz w:val="20"/>
                <w:szCs w:val="22"/>
              </w:rPr>
              <w:t>The health economic analysis showed the service equates to a trial-based incremental cost-effectiveness ratio of $15,342 per resident avoiding clinically significant cognitive decline.</w:t>
            </w:r>
          </w:p>
          <w:p w14:paraId="190C22F7" w14:textId="46826E9E" w:rsidR="00E024EC" w:rsidRPr="00B833B1" w:rsidRDefault="00E024EC" w:rsidP="00B833B1">
            <w:pPr>
              <w:pStyle w:val="ListBullet"/>
              <w:cnfStyle w:val="000000000000" w:firstRow="0" w:lastRow="0" w:firstColumn="0" w:lastColumn="0" w:oddVBand="0" w:evenVBand="0" w:oddHBand="0" w:evenHBand="0" w:firstRowFirstColumn="0" w:firstRowLastColumn="0" w:lastRowFirstColumn="0" w:lastRowLastColumn="0"/>
              <w:rPr>
                <w:sz w:val="20"/>
                <w:szCs w:val="22"/>
              </w:rPr>
            </w:pPr>
            <w:r w:rsidRPr="00B833B1">
              <w:rPr>
                <w:sz w:val="20"/>
                <w:szCs w:val="22"/>
              </w:rPr>
              <w:t>If the exploratory cost-effectiveness analysis only considers pharmacist and pharmaceutical costs the intervention would be considered dominant, as it has a positive health outcome; preventing a clinically significant cognitive decline in one resident for each 8.33 residents assessed regularly over a year, while concurrently delivering a net cost-saving of $650.</w:t>
            </w:r>
          </w:p>
          <w:p w14:paraId="6648B509" w14:textId="4091B0A8" w:rsidR="00E024EC" w:rsidRPr="00B833B1" w:rsidRDefault="00E024EC" w:rsidP="00B833B1">
            <w:pPr>
              <w:pStyle w:val="ListBullet"/>
              <w:cnfStyle w:val="000000000000" w:firstRow="0" w:lastRow="0" w:firstColumn="0" w:lastColumn="0" w:oddVBand="0" w:evenVBand="0" w:oddHBand="0" w:evenHBand="0" w:firstRowFirstColumn="0" w:firstRowLastColumn="0" w:lastRowFirstColumn="0" w:lastRowLastColumn="0"/>
              <w:rPr>
                <w:sz w:val="20"/>
                <w:szCs w:val="22"/>
              </w:rPr>
            </w:pPr>
            <w:r w:rsidRPr="00B833B1">
              <w:rPr>
                <w:sz w:val="20"/>
                <w:szCs w:val="22"/>
              </w:rPr>
              <w:t xml:space="preserve">Implementation of the service in the identified population would be expected to be deliver overall cost savings in the order of $0.2million to $1.2 million per year. </w:t>
            </w:r>
          </w:p>
        </w:tc>
      </w:tr>
    </w:tbl>
    <w:p w14:paraId="064AB16C" w14:textId="174FB0E8" w:rsidR="00855ADC" w:rsidRPr="006A0103" w:rsidRDefault="005541D7" w:rsidP="00897C5B">
      <w:pPr>
        <w:pStyle w:val="Caption"/>
      </w:pPr>
      <w:r w:rsidRPr="00B12D4B">
        <w:t>Table App C</w:t>
      </w:r>
      <w:r>
        <w:t>4</w:t>
      </w:r>
      <w:r w:rsidRPr="00B12D4B">
        <w:t>: Co</w:t>
      </w:r>
      <w:r>
        <w:t>ntracted Performance Indicator 3</w:t>
      </w:r>
      <w:r w:rsidRPr="00B12D4B">
        <w:t xml:space="preserve"> – demonstration of expanded pathways of pharmacist service delivery that improve documented resident health outcomes to inform</w:t>
      </w:r>
      <w:r>
        <w:t xml:space="preserve"> a cost effectiveness analysis.</w:t>
      </w:r>
    </w:p>
    <w:bookmarkEnd w:id="378"/>
    <w:bookmarkEnd w:id="379"/>
    <w:p w14:paraId="6D51AA68" w14:textId="77777777" w:rsidR="00B833B1" w:rsidRDefault="00B833B1">
      <w:pPr>
        <w:spacing w:before="0" w:after="0" w:line="240" w:lineRule="auto"/>
      </w:pPr>
      <w:r>
        <w:rPr>
          <w:b/>
          <w:bCs/>
        </w:rPr>
        <w:br w:type="page"/>
      </w:r>
    </w:p>
    <w:p w14:paraId="06B16AA3" w14:textId="748A00E8" w:rsidR="009C787D" w:rsidRPr="00183E4D" w:rsidRDefault="009C787D" w:rsidP="00391CFD">
      <w:pPr>
        <w:pStyle w:val="Heading1"/>
      </w:pPr>
      <w:bookmarkStart w:id="391" w:name="_Toc117758340"/>
      <w:r w:rsidRPr="00183E4D">
        <w:lastRenderedPageBreak/>
        <w:t xml:space="preserve">Appendix </w:t>
      </w:r>
      <w:r w:rsidR="00E62636">
        <w:t>D</w:t>
      </w:r>
      <w:r w:rsidR="00A33D93">
        <w:t xml:space="preserve">: </w:t>
      </w:r>
      <w:proofErr w:type="spellStart"/>
      <w:r>
        <w:t>ReMInDAR</w:t>
      </w:r>
      <w:proofErr w:type="spellEnd"/>
      <w:r>
        <w:t xml:space="preserve"> PICO</w:t>
      </w:r>
      <w:bookmarkEnd w:id="391"/>
    </w:p>
    <w:p w14:paraId="620637D9" w14:textId="54CE601E" w:rsidR="009C787D" w:rsidRPr="00183E4D" w:rsidRDefault="00BE0059" w:rsidP="007501B9">
      <w:pPr>
        <w:rPr>
          <w:rFonts w:eastAsiaTheme="minorHAnsi"/>
          <w:lang w:eastAsia="en-US"/>
        </w:rPr>
      </w:pPr>
      <w:r>
        <w:rPr>
          <w:rFonts w:eastAsiaTheme="minorHAnsi"/>
          <w:lang w:eastAsia="en-US"/>
        </w:rPr>
        <w:t>See attachment ‘MSAC Appendix</w:t>
      </w:r>
      <w:r w:rsidRPr="00BE0059">
        <w:rPr>
          <w:rFonts w:eastAsiaTheme="minorHAnsi"/>
          <w:lang w:eastAsia="en-US"/>
        </w:rPr>
        <w:t xml:space="preserve"> </w:t>
      </w:r>
      <w:r w:rsidR="00E62636">
        <w:rPr>
          <w:rFonts w:eastAsiaTheme="minorHAnsi"/>
          <w:lang w:eastAsia="en-US"/>
        </w:rPr>
        <w:t>D</w:t>
      </w:r>
      <w:r w:rsidRPr="00BE0059">
        <w:rPr>
          <w:rFonts w:eastAsiaTheme="minorHAnsi"/>
          <w:lang w:eastAsia="en-US"/>
        </w:rPr>
        <w:t xml:space="preserve">_PICO </w:t>
      </w:r>
      <w:proofErr w:type="spellStart"/>
      <w:r w:rsidRPr="00BE0059">
        <w:rPr>
          <w:rFonts w:eastAsiaTheme="minorHAnsi"/>
          <w:lang w:eastAsia="en-US"/>
        </w:rPr>
        <w:t>Confirmation_ReMInDAR</w:t>
      </w:r>
      <w:proofErr w:type="spellEnd"/>
      <w:r>
        <w:rPr>
          <w:rFonts w:eastAsiaTheme="minorHAnsi"/>
          <w:lang w:eastAsia="en-US"/>
        </w:rPr>
        <w:t>’</w:t>
      </w:r>
      <w:r w:rsidR="00C74262">
        <w:rPr>
          <w:rFonts w:eastAsiaTheme="minorHAnsi"/>
          <w:lang w:eastAsia="en-US"/>
        </w:rPr>
        <w:br w:type="page"/>
      </w:r>
    </w:p>
    <w:p w14:paraId="66FD2800" w14:textId="162E3998" w:rsidR="00F10DCE" w:rsidRDefault="00F10DCE" w:rsidP="00F10DCE">
      <w:pPr>
        <w:pStyle w:val="Heading1"/>
      </w:pPr>
      <w:bookmarkStart w:id="392" w:name="_Toc117758341"/>
      <w:bookmarkStart w:id="393" w:name="_Toc379118117"/>
      <w:bookmarkStart w:id="394" w:name="_Toc381796514"/>
      <w:r w:rsidRPr="00183E4D">
        <w:lastRenderedPageBreak/>
        <w:t xml:space="preserve">Appendix </w:t>
      </w:r>
      <w:r w:rsidR="00E62636">
        <w:t>E</w:t>
      </w:r>
      <w:r w:rsidR="00A33D93">
        <w:t xml:space="preserve">: </w:t>
      </w:r>
      <w:r>
        <w:t xml:space="preserve">Sensitivity </w:t>
      </w:r>
      <w:r w:rsidR="00E3009C">
        <w:t xml:space="preserve">and Post Hoc </w:t>
      </w:r>
      <w:r>
        <w:t>analyses</w:t>
      </w:r>
      <w:bookmarkEnd w:id="392"/>
    </w:p>
    <w:p w14:paraId="00A39D76" w14:textId="5F7CDAED" w:rsidR="00AE28D8" w:rsidRDefault="000A5006" w:rsidP="00897C5B">
      <w:pPr>
        <w:pStyle w:val="Heading2"/>
      </w:pPr>
      <w:bookmarkStart w:id="395" w:name="_Toc117758342"/>
      <w:r>
        <w:t>E.1</w:t>
      </w:r>
      <w:r w:rsidR="00C06ACB">
        <w:tab/>
      </w:r>
      <w:r w:rsidR="00AE28D8">
        <w:t>Sensitivity analyses of potential survivor bias</w:t>
      </w:r>
      <w:r w:rsidR="00A174DE">
        <w:t xml:space="preserve"> on death, weight and MoCA</w:t>
      </w:r>
      <w:bookmarkEnd w:id="395"/>
    </w:p>
    <w:p w14:paraId="483376B8" w14:textId="5068B929" w:rsidR="00AE28D8" w:rsidRDefault="00AE28D8" w:rsidP="007501B9">
      <w:r>
        <w:t xml:space="preserve">There was an imbalance in the number of deaths between the two treatment arms during the </w:t>
      </w:r>
      <w:proofErr w:type="gramStart"/>
      <w:r>
        <w:t>12 month</w:t>
      </w:r>
      <w:proofErr w:type="gramEnd"/>
      <w:r>
        <w:t xml:space="preserve"> follow-up</w:t>
      </w:r>
      <w:r w:rsidR="007501B9">
        <w:t xml:space="preserve">. </w:t>
      </w:r>
      <w:r>
        <w:t xml:space="preserve">Although up to 15-20% of the population was expected to die during the 12 month follow-up period </w:t>
      </w:r>
      <w:r w:rsidR="00204B26">
        <w:fldChar w:fldCharType="begin"/>
      </w:r>
      <w:r w:rsidR="00EB6EA4">
        <w:instrText xml:space="preserve"> ADDIN EN.CITE &lt;EndNote&gt;&lt;Cite&gt;&lt;Author&gt;Theou&lt;/Author&gt;&lt;Year&gt;2017&lt;/Year&gt;&lt;RecNum&gt;63&lt;/RecNum&gt;&lt;DisplayText&gt;(82)&lt;/DisplayText&gt;&lt;record&gt;&lt;rec-number&gt;63&lt;/rec-number&gt;&lt;foreign-keys&gt;&lt;key app="EN" db-id="9s5z5ped05vxdnede99vfsxhtzavzdzs2d5r" timestamp="1614143002"&gt;63&lt;/key&gt;&lt;/foreign-keys&gt;&lt;ref-type name="Journal Article"&gt;17&lt;/ref-type&gt;&lt;contributors&gt;&lt;authors&gt;&lt;author&gt;Theou, Olga&lt;/author&gt;&lt;author&gt;Blodgett, Joanna M&lt;/author&gt;&lt;author&gt;Godin, Judith&lt;/author&gt;&lt;author&gt;Rockwood, Kenneth&lt;/author&gt;&lt;/authors&gt;&lt;/contributors&gt;&lt;titles&gt;&lt;title&gt;Association between sedentary time and mortality across levels of frailty&lt;/title&gt;&lt;secondary-title&gt;Cmaj&lt;/secondary-title&gt;&lt;/titles&gt;&lt;periodical&gt;&lt;full-title&gt;Cmaj&lt;/full-title&gt;&lt;/periodical&gt;&lt;pages&gt;E1056-E1064&lt;/pages&gt;&lt;volume&gt;189&lt;/volume&gt;&lt;number&gt;33&lt;/number&gt;&lt;dates&gt;&lt;year&gt;2017&lt;/year&gt;&lt;/dates&gt;&lt;isbn&gt;0820-3946&lt;/isbn&gt;&lt;urls&gt;&lt;/urls&gt;&lt;/record&gt;&lt;/Cite&gt;&lt;/EndNote&gt;</w:instrText>
      </w:r>
      <w:r w:rsidR="00204B26">
        <w:fldChar w:fldCharType="separate"/>
      </w:r>
      <w:r w:rsidR="00EB6EA4">
        <w:rPr>
          <w:noProof/>
        </w:rPr>
        <w:t>(</w:t>
      </w:r>
      <w:hyperlink w:anchor="_ENREF_82" w:tooltip="Theou, 2017 #63" w:history="1">
        <w:r w:rsidR="00EB6EA4">
          <w:rPr>
            <w:noProof/>
          </w:rPr>
          <w:t>82</w:t>
        </w:r>
      </w:hyperlink>
      <w:r w:rsidR="00EB6EA4">
        <w:rPr>
          <w:noProof/>
        </w:rPr>
        <w:t>)</w:t>
      </w:r>
      <w:r w:rsidR="00204B26">
        <w:fldChar w:fldCharType="end"/>
      </w:r>
      <w:r w:rsidR="00204B26">
        <w:t>,</w:t>
      </w:r>
      <w:r>
        <w:t>the larger proportion of deaths in the intervention group (23/120, 19%) than in the control group (17/128, 13%) was investigated as a potential cause of bias due to a survivor effect</w:t>
      </w:r>
      <w:r w:rsidR="007501B9">
        <w:t xml:space="preserve">. </w:t>
      </w:r>
      <w:r>
        <w:t>This sensitivity analysis was pre-specified in the Statistical Analysis Plan (</w:t>
      </w:r>
      <w:r w:rsidR="00204B26">
        <w:t>Appendix C2</w:t>
      </w:r>
      <w:r>
        <w:t>) using the survivor average causal effect (SACE)</w:t>
      </w:r>
      <w:r w:rsidR="00204B26">
        <w:t xml:space="preserve"> </w:t>
      </w:r>
      <w:r w:rsidR="00204B26">
        <w:fldChar w:fldCharType="begin"/>
      </w:r>
      <w:r w:rsidR="00C86345">
        <w:instrText xml:space="preserve"> ADDIN EN.CITE &lt;EndNote&gt;&lt;Cite&gt;&lt;Author&gt;Chiba&lt;/Author&gt;&lt;Year&gt;2011&lt;/Year&gt;&lt;RecNum&gt;67&lt;/RecNum&gt;&lt;DisplayText&gt;(95)&lt;/DisplayText&gt;&lt;record&gt;&lt;rec-number&gt;67&lt;/rec-number&gt;&lt;foreign-keys&gt;&lt;key app="EN" db-id="9s5z5ped05vxdnede99vfsxhtzavzdzs2d5r" timestamp="1614903587"&gt;67&lt;/key&gt;&lt;/foreign-keys&gt;&lt;ref-type name="Journal Article"&gt;17&lt;/ref-type&gt;&lt;contributors&gt;&lt;authors&gt;&lt;author&gt;Chiba, Yasutaka&lt;/author&gt;&lt;author&gt;VanderWeele, Tyler J&lt;/author&gt;&lt;/authors&gt;&lt;/contributors&gt;&lt;titles&gt;&lt;title&gt;A simple method for principal strata effects when the outcome has been truncated due to death&lt;/title&gt;&lt;secondary-title&gt;American journal of epidemiology&lt;/secondary-title&gt;&lt;/titles&gt;&lt;periodical&gt;&lt;full-title&gt;American journal of epidemiology&lt;/full-title&gt;&lt;/periodical&gt;&lt;pages&gt;745-751&lt;/pages&gt;&lt;volume&gt;173&lt;/volume&gt;&lt;number&gt;7&lt;/number&gt;&lt;dates&gt;&lt;year&gt;2011&lt;/year&gt;&lt;/dates&gt;&lt;isbn&gt;1476-6256&lt;/isbn&gt;&lt;urls&gt;&lt;/urls&gt;&lt;/record&gt;&lt;/Cite&gt;&lt;/EndNote&gt;</w:instrText>
      </w:r>
      <w:r w:rsidR="00204B26">
        <w:fldChar w:fldCharType="separate"/>
      </w:r>
      <w:r w:rsidR="00C86345">
        <w:rPr>
          <w:noProof/>
        </w:rPr>
        <w:t>(</w:t>
      </w:r>
      <w:hyperlink w:anchor="_ENREF_95" w:tooltip="Chiba, 2011 #67" w:history="1">
        <w:r w:rsidR="00EB6EA4">
          <w:rPr>
            <w:noProof/>
          </w:rPr>
          <w:t>95</w:t>
        </w:r>
      </w:hyperlink>
      <w:r w:rsidR="00C86345">
        <w:rPr>
          <w:noProof/>
        </w:rPr>
        <w:t>)</w:t>
      </w:r>
      <w:r w:rsidR="00204B26">
        <w:fldChar w:fldCharType="end"/>
      </w:r>
      <w:r w:rsidR="00204B26">
        <w:t xml:space="preserve"> </w:t>
      </w:r>
      <w:r>
        <w:t>SACE estimates the effect of treatment in the subgroup of participants who would not have died in either treatment group.</w:t>
      </w:r>
    </w:p>
    <w:p w14:paraId="00D97020" w14:textId="71AF5CD0" w:rsidR="00AE28D8" w:rsidRDefault="00AE28D8" w:rsidP="007501B9">
      <w:r>
        <w:t>SACE analysis was pre-planned for the primary and health economic outcomes; however, we considered the primary outcome, weight and MoCA in our sensitivity analyses.</w:t>
      </w:r>
    </w:p>
    <w:p w14:paraId="4C07E61C" w14:textId="5BCB6FAE" w:rsidR="00AE28D8" w:rsidRPr="00204B26" w:rsidRDefault="00AE28D8" w:rsidP="00897C5B">
      <w:pPr>
        <w:pStyle w:val="Heading3"/>
      </w:pPr>
      <w:bookmarkStart w:id="396" w:name="_Toc117758343"/>
      <w:r w:rsidRPr="00204B26">
        <w:t>Timing of deaths</w:t>
      </w:r>
      <w:bookmarkEnd w:id="396"/>
    </w:p>
    <w:p w14:paraId="18CA6982" w14:textId="14CA790A" w:rsidR="00AE28D8" w:rsidRDefault="00AE28D8" w:rsidP="007501B9">
      <w:r>
        <w:t>We investigated the timing of deaths relative to that for the intervention visits, to determine how many deaths would have occurred regardless of treatment assignment</w:t>
      </w:r>
      <w:r w:rsidR="007501B9">
        <w:t xml:space="preserve">. </w:t>
      </w:r>
      <w:r>
        <w:t>Deaths before the first intervention visit to the facility cannot be due to any treatment difference, while deaths occurring soon after the time of the first (and possibly the second) intervention may not be attributable to any intervention effect</w:t>
      </w:r>
      <w:r w:rsidR="007501B9">
        <w:t xml:space="preserve">. </w:t>
      </w:r>
      <w:r>
        <w:t>It is reasonable to expect that there would be a time lag in a pharmacist being able to instigate changes to care that may reduce likelihood of death.</w:t>
      </w:r>
    </w:p>
    <w:p w14:paraId="1304019E" w14:textId="409CA63A" w:rsidR="00AE28D8" w:rsidRDefault="00AE28D8" w:rsidP="007501B9">
      <w:r>
        <w:t>In the intervention group, 5/120 deaths (4%) occurred before the first intervention visit, while in the control group 2/128 deaths (2%) occurred before the first pharmacist visit to the facility</w:t>
      </w:r>
      <w:r w:rsidR="007501B9">
        <w:t xml:space="preserve">. </w:t>
      </w:r>
      <w:r>
        <w:t>If these deaths are excluded, the proportion of deaths was 18/120 (15%) and 15/128 (12%) in the intervention and control groups, respectively</w:t>
      </w:r>
      <w:r w:rsidR="007501B9">
        <w:t xml:space="preserve">. </w:t>
      </w:r>
      <w:r>
        <w:t xml:space="preserve">The number of deaths before the time of the second intervention visit was </w:t>
      </w:r>
      <w:r w:rsidR="009222FE">
        <w:t xml:space="preserve">12 </w:t>
      </w:r>
      <w:r>
        <w:t>and 7 respectively, and after excluding these, the proportion of deaths reduced to 13/120 (11%) and 10/128 (8%) in the intervention and control groups</w:t>
      </w:r>
      <w:r w:rsidR="007501B9">
        <w:t xml:space="preserve">. </w:t>
      </w:r>
      <w:r>
        <w:t xml:space="preserve">Furthermore, the proportion of deaths occurring between 6 </w:t>
      </w:r>
      <w:r w:rsidR="00204B26">
        <w:t xml:space="preserve">and </w:t>
      </w:r>
      <w:r>
        <w:t>12 months in the intervention and control groups was the same: 7/120 (6%) and 8/128 (6%).</w:t>
      </w:r>
    </w:p>
    <w:p w14:paraId="1BBEB3B0" w14:textId="77777777" w:rsidR="00AE28D8" w:rsidRPr="00A174DE" w:rsidRDefault="00AE28D8" w:rsidP="00897C5B">
      <w:pPr>
        <w:pStyle w:val="Heading3"/>
      </w:pPr>
      <w:bookmarkStart w:id="397" w:name="_Toc117758344"/>
      <w:r w:rsidRPr="00A174DE">
        <w:lastRenderedPageBreak/>
        <w:t>Tests for potential survivor bias</w:t>
      </w:r>
      <w:bookmarkEnd w:id="397"/>
    </w:p>
    <w:p w14:paraId="657DC09E" w14:textId="5E9C644A" w:rsidR="00AE28D8" w:rsidRDefault="00AE28D8" w:rsidP="007501B9">
      <w:r>
        <w:t>Evidence for potential survivor bias was pre-specified in the SAP (</w:t>
      </w:r>
      <w:r w:rsidR="00204B26">
        <w:t>Appendix C2</w:t>
      </w:r>
      <w:r>
        <w:t>), whether the death rate differed by treatment group or that baseline frailty index differs between treatment groups when deaths were excluded (p&lt;0.2 for any of the log-rank statistic, hazard ratio with death as the outcome or mean difference in baseline frailty index)</w:t>
      </w:r>
      <w:r w:rsidR="007501B9">
        <w:t xml:space="preserve">. </w:t>
      </w:r>
      <w:r>
        <w:t>Results for these analyses were log-rank test p=0.24, Hazard Ratio p=0.25 and Wilcoxon test for difference in frailty index at baseline excluding deaths, p=0.201</w:t>
      </w:r>
      <w:r w:rsidR="00174141">
        <w:t xml:space="preserve"> (Figure App</w:t>
      </w:r>
      <w:r w:rsidR="00171526">
        <w:t>E</w:t>
      </w:r>
      <w:r w:rsidR="00174141">
        <w:t>-1)</w:t>
      </w:r>
      <w:r w:rsidR="007501B9">
        <w:t xml:space="preserve">. </w:t>
      </w:r>
      <w:r>
        <w:t xml:space="preserve">Further details are presented in the </w:t>
      </w:r>
      <w:r w:rsidR="00204B26">
        <w:t>SAP.</w:t>
      </w:r>
    </w:p>
    <w:p w14:paraId="06951C00" w14:textId="5BEB1570" w:rsidR="00AE28D8" w:rsidRDefault="00AE28D8" w:rsidP="007501B9">
      <w:r>
        <w:t xml:space="preserve">Tests for differences in MoCA and weight at baseline after excluding deaths did show differences between the groups; </w:t>
      </w:r>
      <w:proofErr w:type="gramStart"/>
      <w:r>
        <w:t>however</w:t>
      </w:r>
      <w:proofErr w:type="gramEnd"/>
      <w:r>
        <w:t xml:space="preserve"> these differences were present at randomisation</w:t>
      </w:r>
      <w:r w:rsidR="007501B9">
        <w:t xml:space="preserve">. </w:t>
      </w:r>
      <w:r>
        <w:t xml:space="preserve">Further analysis of differences in baseline values between survivors, </w:t>
      </w:r>
      <w:proofErr w:type="gramStart"/>
      <w:r>
        <w:t>deaths</w:t>
      </w:r>
      <w:proofErr w:type="gramEnd"/>
      <w:r>
        <w:t xml:space="preserve"> and withdrawals within each group separately such no difference.</w:t>
      </w:r>
    </w:p>
    <w:p w14:paraId="737ADA9B" w14:textId="37766881" w:rsidR="00AE28D8" w:rsidRDefault="00AE28D8" w:rsidP="007501B9">
      <w:r>
        <w:t>According to these pre-specified tests and further investigations, there was low risk of bias due to a survivor effect. However, we performed the SACE analysis to confirm our risk assessment.</w:t>
      </w:r>
    </w:p>
    <w:p w14:paraId="4B215CB3" w14:textId="77777777" w:rsidR="00AE28D8" w:rsidRPr="00A174DE" w:rsidRDefault="00AE28D8" w:rsidP="00897C5B">
      <w:pPr>
        <w:pStyle w:val="Heading3"/>
      </w:pPr>
      <w:bookmarkStart w:id="398" w:name="_Toc117758345"/>
      <w:r w:rsidRPr="00A174DE">
        <w:t>Survivor Average Causal Effect analysis</w:t>
      </w:r>
      <w:bookmarkEnd w:id="398"/>
    </w:p>
    <w:p w14:paraId="46AD9760" w14:textId="40DCFA04" w:rsidR="00AE28D8" w:rsidRDefault="00AE28D8" w:rsidP="007501B9">
      <w:r>
        <w:t xml:space="preserve">A detailed description of the SACE sensitivity analyses is in the </w:t>
      </w:r>
      <w:r w:rsidR="00204B26">
        <w:t>SAP</w:t>
      </w:r>
      <w:r w:rsidR="007501B9">
        <w:t xml:space="preserve">. </w:t>
      </w:r>
      <w:r>
        <w:t>SACE is estimated as a sum of the estimated treatment difference and a bias term, calculated using clinically plausible sensitivity parameters.</w:t>
      </w:r>
    </w:p>
    <w:p w14:paraId="4EBE7906" w14:textId="6F3FE973" w:rsidR="00AE28D8" w:rsidRDefault="00AE28D8" w:rsidP="007501B9">
      <w:r>
        <w:t>The results can be summarised as follows:</w:t>
      </w:r>
    </w:p>
    <w:p w14:paraId="7C35B072" w14:textId="78C7AD5C" w:rsidR="00AE28D8" w:rsidRDefault="00AE28D8" w:rsidP="00853EEA">
      <w:pPr>
        <w:pStyle w:val="ListParagraph"/>
        <w:numPr>
          <w:ilvl w:val="0"/>
          <w:numId w:val="13"/>
        </w:numPr>
        <w:spacing w:after="0"/>
        <w:ind w:left="714" w:hanging="357"/>
      </w:pPr>
      <w:r>
        <w:t>The bias term varied between positive and negative for all three outcomes</w:t>
      </w:r>
    </w:p>
    <w:p w14:paraId="32BEFA61" w14:textId="1F367EF4" w:rsidR="00AE28D8" w:rsidRDefault="00AE28D8" w:rsidP="00853EEA">
      <w:pPr>
        <w:pStyle w:val="ListParagraph"/>
        <w:numPr>
          <w:ilvl w:val="0"/>
          <w:numId w:val="13"/>
        </w:numPr>
        <w:spacing w:after="0"/>
        <w:ind w:left="714" w:hanging="357"/>
      </w:pPr>
      <w:r>
        <w:t>The point estimate for the frailty index was always negative and all 95% CIs contained 0</w:t>
      </w:r>
    </w:p>
    <w:p w14:paraId="6398238B" w14:textId="3C6FA24B" w:rsidR="00AE28D8" w:rsidRDefault="00AE28D8" w:rsidP="00853EEA">
      <w:pPr>
        <w:pStyle w:val="ListParagraph"/>
        <w:numPr>
          <w:ilvl w:val="0"/>
          <w:numId w:val="13"/>
        </w:numPr>
        <w:spacing w:after="0"/>
        <w:ind w:left="714" w:hanging="357"/>
      </w:pPr>
      <w:r>
        <w:t>Point estimates for weight were negative in 49/50 scenarios and the 95% CI contained 0 in 23/50</w:t>
      </w:r>
    </w:p>
    <w:p w14:paraId="5D58958B" w14:textId="752A3F94" w:rsidR="00AE28D8" w:rsidRDefault="00AE28D8" w:rsidP="007501B9">
      <w:r>
        <w:t>All point estimates for MoCA were positive and in 13/18 scenarios the 95% CI was above 0</w:t>
      </w:r>
    </w:p>
    <w:p w14:paraId="1F79A40B" w14:textId="13E616D8" w:rsidR="00AE28D8" w:rsidRDefault="00AE28D8" w:rsidP="007501B9">
      <w:r w:rsidRPr="00B833B1">
        <w:rPr>
          <w:b/>
          <w:bCs/>
        </w:rPr>
        <w:t>Conclusion</w:t>
      </w:r>
      <w:r w:rsidR="00B11A33">
        <w:t>:</w:t>
      </w:r>
      <w:r w:rsidR="00174141">
        <w:t xml:space="preserve"> </w:t>
      </w:r>
      <w:r>
        <w:t>The imbalance in deaths between the intervention and control groups occurred before 6 months when there would have been little, if any, effect of the intervention on death</w:t>
      </w:r>
      <w:r w:rsidR="007501B9">
        <w:t xml:space="preserve">. </w:t>
      </w:r>
      <w:r>
        <w:t>The proportion of residents who died between 6 and 12 months was the same for both groups (6%)</w:t>
      </w:r>
      <w:r w:rsidR="007501B9">
        <w:t xml:space="preserve">. </w:t>
      </w:r>
      <w:r>
        <w:t>It is possible that the increased number of deaths in the intervention group was due to chance.</w:t>
      </w:r>
    </w:p>
    <w:p w14:paraId="5C434BFC" w14:textId="3A3BA690" w:rsidR="00B11A33" w:rsidRDefault="00AE28D8" w:rsidP="007501B9">
      <w:r>
        <w:lastRenderedPageBreak/>
        <w:t>According to pre-specified tests, the risk of survivor bias in the frailty index was low</w:t>
      </w:r>
      <w:r w:rsidR="007501B9">
        <w:t xml:space="preserve">. </w:t>
      </w:r>
      <w:r>
        <w:t>Sensitivity analyses confirmed this, since all point estimates favoured the intervention arm and inference using the confidence intervals did not change (all 95% CIs contained 0)</w:t>
      </w:r>
      <w:r w:rsidR="007501B9">
        <w:t xml:space="preserve">. </w:t>
      </w:r>
      <w:r>
        <w:t>95% of the point estimates in the modelled scenarios for weight were in the same direction as the estimated treatment difference, however in 23/50 scenarios the 95% confidence interval contained 0</w:t>
      </w:r>
      <w:r w:rsidR="007501B9">
        <w:t xml:space="preserve">. </w:t>
      </w:r>
      <w:r>
        <w:t>For MoCA, point estimates for all scenarios favoured the intervention group and the majority of 95% CIs did not contain 0</w:t>
      </w:r>
      <w:r w:rsidR="007501B9">
        <w:t xml:space="preserve">. </w:t>
      </w:r>
      <w:r>
        <w:t>However, the upper range on the sensitivity parameters were larger than the estimated treatment difference, which may be implausibly high.</w:t>
      </w:r>
    </w:p>
    <w:p w14:paraId="4759BA92" w14:textId="77777777" w:rsidR="00AE28D8" w:rsidRPr="00A174DE" w:rsidRDefault="00AE28D8" w:rsidP="00897C5B">
      <w:pPr>
        <w:pStyle w:val="Heading3"/>
      </w:pPr>
      <w:bookmarkStart w:id="399" w:name="_Tests_for_survivor"/>
      <w:bookmarkStart w:id="400" w:name="_Toc117758346"/>
      <w:bookmarkEnd w:id="399"/>
      <w:r w:rsidRPr="00A174DE">
        <w:t>Tests for survivor bias</w:t>
      </w:r>
      <w:bookmarkEnd w:id="400"/>
    </w:p>
    <w:p w14:paraId="4DE6FDF7" w14:textId="1A49631B" w:rsidR="002C3914" w:rsidRPr="00B833B1" w:rsidRDefault="00AE28D8" w:rsidP="00B833B1">
      <w:pPr>
        <w:pStyle w:val="Heading4"/>
      </w:pPr>
      <w:r w:rsidRPr="00B833B1">
        <w:t>Kaplan Meier curves for mortality</w:t>
      </w:r>
    </w:p>
    <w:p w14:paraId="43965095" w14:textId="11C71B32" w:rsidR="00B96903" w:rsidRDefault="002C3914" w:rsidP="00897C5B">
      <w:pPr>
        <w:pStyle w:val="Caption"/>
      </w:pPr>
      <w:r>
        <w:t>Figure App</w:t>
      </w:r>
      <w:r w:rsidR="00171526">
        <w:t>E</w:t>
      </w:r>
      <w:r>
        <w:t>-1: Test for survivor bias using the Kaplan Meier curve for mortality.</w:t>
      </w:r>
    </w:p>
    <w:p w14:paraId="500D874B" w14:textId="05914D7F" w:rsidR="00B96903" w:rsidRPr="00BD3662" w:rsidRDefault="00B96903" w:rsidP="002C3914">
      <w:pPr>
        <w:pStyle w:val="FigureandTablelegend"/>
        <w:rPr>
          <w:color w:val="FFFFFF" w:themeColor="background1"/>
        </w:rPr>
      </w:pPr>
    </w:p>
    <w:p w14:paraId="27109237" w14:textId="4AEF1B71" w:rsidR="00AE28D8" w:rsidRPr="00AE28D8" w:rsidRDefault="00174141" w:rsidP="007501B9">
      <w:r w:rsidRPr="00AE28D8">
        <w:rPr>
          <w:noProof/>
        </w:rPr>
        <w:drawing>
          <wp:inline distT="0" distB="0" distL="0" distR="0" wp14:anchorId="7153C214" wp14:editId="12B1F62A">
            <wp:extent cx="3762375" cy="2823634"/>
            <wp:effectExtent l="0" t="0" r="0" b="0"/>
            <wp:docPr id="15" name="Picture 15" descr="Kaplan Meier curve for the Intervention arm compared to the control arm indicates that there is no survivor bias." title="Test for survivor bias using the Kaplan Meier curve for mort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95805" cy="2848723"/>
                    </a:xfrm>
                    <a:prstGeom prst="rect">
                      <a:avLst/>
                    </a:prstGeom>
                    <a:noFill/>
                    <a:ln>
                      <a:noFill/>
                    </a:ln>
                  </pic:spPr>
                </pic:pic>
              </a:graphicData>
            </a:graphic>
          </wp:inline>
        </w:drawing>
      </w:r>
    </w:p>
    <w:p w14:paraId="175D0064" w14:textId="1A02AB55" w:rsidR="00A174DE" w:rsidRPr="000A5006" w:rsidRDefault="00174141" w:rsidP="007501B9">
      <w:r w:rsidRPr="00A76165">
        <w:t>Log-rank test p=0.24</w:t>
      </w:r>
      <w:r w:rsidR="00A174DE">
        <w:br w:type="page"/>
      </w:r>
    </w:p>
    <w:p w14:paraId="77AE7DAB" w14:textId="2BCE6917" w:rsidR="00AE28D8" w:rsidRPr="00186B99" w:rsidRDefault="00AE28D8" w:rsidP="007501B9">
      <w:pPr>
        <w:rPr>
          <w:rFonts w:cstheme="minorHAnsi"/>
          <w:color w:val="000000"/>
          <w:sz w:val="19"/>
          <w:szCs w:val="19"/>
        </w:rPr>
      </w:pPr>
      <w:r w:rsidRPr="002C3914">
        <w:rPr>
          <w:rFonts w:eastAsiaTheme="minorHAnsi"/>
          <w:lang w:eastAsia="en-US"/>
        </w:rPr>
        <w:lastRenderedPageBreak/>
        <w:t>Cox proportional hazards model for mortality:</w:t>
      </w:r>
      <w:r w:rsidRPr="00B11A33">
        <w:t xml:space="preserve"> </w:t>
      </w:r>
      <w:bookmarkStart w:id="401" w:name="IDX13"/>
      <w:bookmarkStart w:id="402" w:name="IDX14"/>
      <w:bookmarkStart w:id="403" w:name="IDX15"/>
      <w:bookmarkStart w:id="404" w:name="IDX16"/>
      <w:bookmarkStart w:id="405" w:name="IDX17"/>
      <w:bookmarkStart w:id="406" w:name="IDX19"/>
      <w:bookmarkStart w:id="407" w:name="IDX20"/>
      <w:bookmarkStart w:id="408" w:name="IDX21"/>
      <w:bookmarkEnd w:id="401"/>
      <w:bookmarkEnd w:id="402"/>
      <w:bookmarkEnd w:id="403"/>
      <w:bookmarkEnd w:id="404"/>
      <w:bookmarkEnd w:id="405"/>
      <w:bookmarkEnd w:id="406"/>
      <w:bookmarkEnd w:id="407"/>
      <w:bookmarkEnd w:id="408"/>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Caption w:val="Cox proportional hazards model for mortality"/>
        <w:tblDescription w:val="Analysis of maximum liklihood estimates with Sandwich Variance Estimate."/>
      </w:tblPr>
      <w:tblGrid>
        <w:gridCol w:w="1284"/>
        <w:gridCol w:w="428"/>
        <w:gridCol w:w="1162"/>
        <w:gridCol w:w="1027"/>
        <w:gridCol w:w="758"/>
        <w:gridCol w:w="844"/>
        <w:gridCol w:w="1204"/>
        <w:gridCol w:w="844"/>
        <w:gridCol w:w="685"/>
        <w:gridCol w:w="685"/>
      </w:tblGrid>
      <w:tr w:rsidR="00A174DE" w:rsidRPr="00B66D58" w14:paraId="4269BA33" w14:textId="77777777" w:rsidTr="00A76165">
        <w:trPr>
          <w:cantSplit/>
          <w:tblHeader/>
          <w:jc w:val="center"/>
        </w:trPr>
        <w:tc>
          <w:tcPr>
            <w:tcW w:w="1129" w:type="dxa"/>
            <w:shd w:val="clear" w:color="auto" w:fill="BFBFBF" w:themeFill="background1" w:themeFillShade="BF"/>
            <w:tcMar>
              <w:left w:w="67" w:type="dxa"/>
              <w:right w:w="67" w:type="dxa"/>
            </w:tcMar>
          </w:tcPr>
          <w:p w14:paraId="47B45A04" w14:textId="77777777" w:rsidR="00A174DE" w:rsidRPr="002C3914" w:rsidRDefault="00A174DE" w:rsidP="007501B9">
            <w:bookmarkStart w:id="409" w:name="IDX22"/>
            <w:bookmarkStart w:id="410" w:name="ColumnTitle_17"/>
            <w:bookmarkEnd w:id="409"/>
            <w:r w:rsidRPr="002C3914">
              <w:t>Parameter</w:t>
            </w:r>
          </w:p>
        </w:tc>
        <w:tc>
          <w:tcPr>
            <w:tcW w:w="672" w:type="dxa"/>
            <w:shd w:val="clear" w:color="auto" w:fill="BFBFBF" w:themeFill="background1" w:themeFillShade="BF"/>
            <w:tcMar>
              <w:left w:w="67" w:type="dxa"/>
              <w:right w:w="67" w:type="dxa"/>
            </w:tcMar>
          </w:tcPr>
          <w:p w14:paraId="06F9E158" w14:textId="77777777" w:rsidR="00A174DE" w:rsidRPr="002C3914" w:rsidRDefault="00A174DE" w:rsidP="007501B9">
            <w:r w:rsidRPr="002C3914">
              <w:t>DF</w:t>
            </w:r>
          </w:p>
        </w:tc>
        <w:tc>
          <w:tcPr>
            <w:tcW w:w="0" w:type="auto"/>
            <w:shd w:val="clear" w:color="auto" w:fill="BFBFBF" w:themeFill="background1" w:themeFillShade="BF"/>
            <w:tcMar>
              <w:left w:w="67" w:type="dxa"/>
              <w:right w:w="67" w:type="dxa"/>
            </w:tcMar>
          </w:tcPr>
          <w:p w14:paraId="3B46A70A" w14:textId="77777777" w:rsidR="00A174DE" w:rsidRPr="002C3914" w:rsidRDefault="00A174DE" w:rsidP="007501B9">
            <w:r w:rsidRPr="002C3914">
              <w:t>Parameter</w:t>
            </w:r>
            <w:r w:rsidRPr="002C3914">
              <w:br/>
              <w:t>Estimate</w:t>
            </w:r>
          </w:p>
        </w:tc>
        <w:tc>
          <w:tcPr>
            <w:tcW w:w="0" w:type="auto"/>
            <w:shd w:val="clear" w:color="auto" w:fill="BFBFBF" w:themeFill="background1" w:themeFillShade="BF"/>
            <w:tcMar>
              <w:left w:w="67" w:type="dxa"/>
              <w:right w:w="67" w:type="dxa"/>
            </w:tcMar>
          </w:tcPr>
          <w:p w14:paraId="2082FBB5" w14:textId="77777777" w:rsidR="00A174DE" w:rsidRPr="002C3914" w:rsidRDefault="00A174DE" w:rsidP="007501B9">
            <w:r w:rsidRPr="002C3914">
              <w:t>Standard</w:t>
            </w:r>
            <w:r w:rsidRPr="002C3914">
              <w:br/>
              <w:t>Error</w:t>
            </w:r>
          </w:p>
        </w:tc>
        <w:tc>
          <w:tcPr>
            <w:tcW w:w="0" w:type="auto"/>
            <w:shd w:val="clear" w:color="auto" w:fill="BFBFBF" w:themeFill="background1" w:themeFillShade="BF"/>
            <w:tcMar>
              <w:left w:w="67" w:type="dxa"/>
              <w:right w:w="67" w:type="dxa"/>
            </w:tcMar>
          </w:tcPr>
          <w:p w14:paraId="5BFF16C2" w14:textId="77777777" w:rsidR="00A174DE" w:rsidRPr="002C3914" w:rsidRDefault="00A174DE" w:rsidP="007501B9">
            <w:proofErr w:type="spellStart"/>
            <w:r w:rsidRPr="002C3914">
              <w:t>StdErr</w:t>
            </w:r>
            <w:proofErr w:type="spellEnd"/>
            <w:r w:rsidRPr="002C3914">
              <w:br/>
              <w:t>Ratio</w:t>
            </w:r>
          </w:p>
        </w:tc>
        <w:tc>
          <w:tcPr>
            <w:tcW w:w="0" w:type="auto"/>
            <w:shd w:val="clear" w:color="auto" w:fill="BFBFBF" w:themeFill="background1" w:themeFillShade="BF"/>
            <w:tcMar>
              <w:left w:w="67" w:type="dxa"/>
              <w:right w:w="67" w:type="dxa"/>
            </w:tcMar>
          </w:tcPr>
          <w:p w14:paraId="6418FFAB" w14:textId="77777777" w:rsidR="00A174DE" w:rsidRPr="002C3914" w:rsidRDefault="00A174DE" w:rsidP="007501B9">
            <w:r w:rsidRPr="002C3914">
              <w:t>Chi-Square</w:t>
            </w:r>
          </w:p>
        </w:tc>
        <w:tc>
          <w:tcPr>
            <w:tcW w:w="0" w:type="auto"/>
            <w:shd w:val="clear" w:color="auto" w:fill="BFBFBF" w:themeFill="background1" w:themeFillShade="BF"/>
            <w:tcMar>
              <w:left w:w="67" w:type="dxa"/>
              <w:right w:w="67" w:type="dxa"/>
            </w:tcMar>
          </w:tcPr>
          <w:p w14:paraId="2E15323E" w14:textId="77777777" w:rsidR="00A174DE" w:rsidRPr="002C3914" w:rsidRDefault="00A174DE" w:rsidP="007501B9">
            <w:proofErr w:type="spellStart"/>
            <w:r w:rsidRPr="002C3914">
              <w:t>Pr</w:t>
            </w:r>
            <w:proofErr w:type="spellEnd"/>
            <w:r w:rsidRPr="002C3914">
              <w:t> &gt; </w:t>
            </w:r>
            <w:proofErr w:type="spellStart"/>
            <w:r w:rsidRPr="002C3914">
              <w:t>ChiSq</w:t>
            </w:r>
            <w:proofErr w:type="spellEnd"/>
          </w:p>
        </w:tc>
        <w:tc>
          <w:tcPr>
            <w:tcW w:w="0" w:type="auto"/>
            <w:shd w:val="clear" w:color="auto" w:fill="BFBFBF" w:themeFill="background1" w:themeFillShade="BF"/>
            <w:tcMar>
              <w:left w:w="67" w:type="dxa"/>
              <w:right w:w="67" w:type="dxa"/>
            </w:tcMar>
          </w:tcPr>
          <w:p w14:paraId="7E35364F" w14:textId="77777777" w:rsidR="00A174DE" w:rsidRPr="002C3914" w:rsidRDefault="00A174DE" w:rsidP="007501B9">
            <w:r w:rsidRPr="002C3914">
              <w:t>Hazard</w:t>
            </w:r>
            <w:r w:rsidRPr="002C3914">
              <w:br/>
              <w:t>Ratio</w:t>
            </w:r>
          </w:p>
        </w:tc>
        <w:tc>
          <w:tcPr>
            <w:tcW w:w="1866" w:type="dxa"/>
            <w:gridSpan w:val="2"/>
            <w:shd w:val="clear" w:color="auto" w:fill="BFBFBF" w:themeFill="background1" w:themeFillShade="BF"/>
            <w:tcMar>
              <w:left w:w="67" w:type="dxa"/>
              <w:right w:w="67" w:type="dxa"/>
            </w:tcMar>
          </w:tcPr>
          <w:p w14:paraId="5A7160F8" w14:textId="77777777" w:rsidR="00A174DE" w:rsidRPr="002C3914" w:rsidRDefault="00A174DE" w:rsidP="007501B9">
            <w:r w:rsidRPr="002C3914">
              <w:t>95% Hazard Ratio Confidence Limits</w:t>
            </w:r>
          </w:p>
        </w:tc>
      </w:tr>
      <w:bookmarkEnd w:id="410"/>
      <w:tr w:rsidR="00A174DE" w:rsidRPr="00B66D58" w14:paraId="72F5C540" w14:textId="77777777" w:rsidTr="00A76165">
        <w:trPr>
          <w:cantSplit/>
          <w:jc w:val="center"/>
        </w:trPr>
        <w:tc>
          <w:tcPr>
            <w:tcW w:w="1129" w:type="dxa"/>
            <w:shd w:val="clear" w:color="auto" w:fill="FFFFFF"/>
            <w:tcMar>
              <w:left w:w="67" w:type="dxa"/>
              <w:right w:w="67" w:type="dxa"/>
            </w:tcMar>
          </w:tcPr>
          <w:p w14:paraId="6D191010" w14:textId="46E7B38D" w:rsidR="00A174DE" w:rsidRPr="002C3914" w:rsidRDefault="00A174DE" w:rsidP="007501B9">
            <w:r>
              <w:t>Intervention</w:t>
            </w:r>
          </w:p>
        </w:tc>
        <w:tc>
          <w:tcPr>
            <w:tcW w:w="672" w:type="dxa"/>
            <w:shd w:val="clear" w:color="auto" w:fill="FFFFFF"/>
            <w:tcMar>
              <w:left w:w="67" w:type="dxa"/>
              <w:right w:w="67" w:type="dxa"/>
            </w:tcMar>
          </w:tcPr>
          <w:p w14:paraId="52A02544" w14:textId="77777777" w:rsidR="00A174DE" w:rsidRPr="002C3914" w:rsidRDefault="00A174DE" w:rsidP="007501B9">
            <w:r w:rsidRPr="002C3914">
              <w:t>1</w:t>
            </w:r>
          </w:p>
        </w:tc>
        <w:tc>
          <w:tcPr>
            <w:tcW w:w="0" w:type="auto"/>
            <w:shd w:val="clear" w:color="auto" w:fill="FFFFFF"/>
            <w:tcMar>
              <w:left w:w="67" w:type="dxa"/>
              <w:right w:w="67" w:type="dxa"/>
            </w:tcMar>
          </w:tcPr>
          <w:p w14:paraId="64C27C70" w14:textId="77777777" w:rsidR="00A174DE" w:rsidRPr="002C3914" w:rsidRDefault="00A174DE" w:rsidP="007501B9">
            <w:r w:rsidRPr="002C3914">
              <w:t>0.37404</w:t>
            </w:r>
          </w:p>
        </w:tc>
        <w:tc>
          <w:tcPr>
            <w:tcW w:w="0" w:type="auto"/>
            <w:shd w:val="clear" w:color="auto" w:fill="FFFFFF"/>
            <w:tcMar>
              <w:left w:w="67" w:type="dxa"/>
              <w:right w:w="67" w:type="dxa"/>
            </w:tcMar>
          </w:tcPr>
          <w:p w14:paraId="142CD39E" w14:textId="77777777" w:rsidR="00A174DE" w:rsidRPr="002C3914" w:rsidRDefault="00A174DE" w:rsidP="007501B9">
            <w:r w:rsidRPr="002C3914">
              <w:t>0.32301</w:t>
            </w:r>
          </w:p>
        </w:tc>
        <w:tc>
          <w:tcPr>
            <w:tcW w:w="0" w:type="auto"/>
            <w:shd w:val="clear" w:color="auto" w:fill="FFFFFF"/>
            <w:tcMar>
              <w:left w:w="67" w:type="dxa"/>
              <w:right w:w="67" w:type="dxa"/>
            </w:tcMar>
          </w:tcPr>
          <w:p w14:paraId="16BF22B4" w14:textId="77777777" w:rsidR="00A174DE" w:rsidRPr="002C3914" w:rsidRDefault="00A174DE" w:rsidP="007501B9">
            <w:r w:rsidRPr="002C3914">
              <w:t>1.008</w:t>
            </w:r>
          </w:p>
        </w:tc>
        <w:tc>
          <w:tcPr>
            <w:tcW w:w="0" w:type="auto"/>
            <w:shd w:val="clear" w:color="auto" w:fill="FFFFFF"/>
            <w:tcMar>
              <w:left w:w="67" w:type="dxa"/>
              <w:right w:w="67" w:type="dxa"/>
            </w:tcMar>
          </w:tcPr>
          <w:p w14:paraId="3DA2FFC0" w14:textId="77777777" w:rsidR="00A174DE" w:rsidRPr="002C3914" w:rsidRDefault="00A174DE" w:rsidP="007501B9">
            <w:r w:rsidRPr="002C3914">
              <w:t>1.3410</w:t>
            </w:r>
          </w:p>
        </w:tc>
        <w:tc>
          <w:tcPr>
            <w:tcW w:w="0" w:type="auto"/>
            <w:shd w:val="clear" w:color="auto" w:fill="FFFFFF"/>
            <w:tcMar>
              <w:left w:w="67" w:type="dxa"/>
              <w:right w:w="67" w:type="dxa"/>
            </w:tcMar>
          </w:tcPr>
          <w:p w14:paraId="313A309C" w14:textId="77777777" w:rsidR="00A174DE" w:rsidRPr="002C3914" w:rsidRDefault="00A174DE" w:rsidP="007501B9">
            <w:r w:rsidRPr="002C3914">
              <w:t>0.2469</w:t>
            </w:r>
          </w:p>
        </w:tc>
        <w:tc>
          <w:tcPr>
            <w:tcW w:w="0" w:type="auto"/>
            <w:shd w:val="clear" w:color="auto" w:fill="FFFFFF"/>
            <w:tcMar>
              <w:left w:w="67" w:type="dxa"/>
              <w:right w:w="67" w:type="dxa"/>
            </w:tcMar>
          </w:tcPr>
          <w:p w14:paraId="20678B91" w14:textId="77777777" w:rsidR="00A174DE" w:rsidRPr="002C3914" w:rsidRDefault="00A174DE" w:rsidP="007501B9">
            <w:r w:rsidRPr="002C3914">
              <w:t>1.454</w:t>
            </w:r>
          </w:p>
        </w:tc>
        <w:tc>
          <w:tcPr>
            <w:tcW w:w="874" w:type="dxa"/>
            <w:shd w:val="clear" w:color="auto" w:fill="FFFFFF"/>
            <w:tcMar>
              <w:left w:w="67" w:type="dxa"/>
              <w:right w:w="67" w:type="dxa"/>
            </w:tcMar>
          </w:tcPr>
          <w:p w14:paraId="3F620AAC" w14:textId="77777777" w:rsidR="00A174DE" w:rsidRPr="002C3914" w:rsidRDefault="00A174DE" w:rsidP="007501B9">
            <w:r w:rsidRPr="002C3914">
              <w:t>0.772</w:t>
            </w:r>
          </w:p>
        </w:tc>
        <w:tc>
          <w:tcPr>
            <w:tcW w:w="992" w:type="dxa"/>
            <w:shd w:val="clear" w:color="auto" w:fill="FFFFFF"/>
            <w:tcMar>
              <w:left w:w="67" w:type="dxa"/>
              <w:right w:w="67" w:type="dxa"/>
            </w:tcMar>
          </w:tcPr>
          <w:p w14:paraId="2F404FE3" w14:textId="77777777" w:rsidR="00A174DE" w:rsidRPr="002C3914" w:rsidRDefault="00A174DE" w:rsidP="007501B9">
            <w:r w:rsidRPr="002C3914">
              <w:t>2.738</w:t>
            </w:r>
          </w:p>
        </w:tc>
      </w:tr>
    </w:tbl>
    <w:p w14:paraId="6F2300AD" w14:textId="19486FC6" w:rsidR="00BA4AFC" w:rsidRDefault="00171526" w:rsidP="00897C5B">
      <w:pPr>
        <w:pStyle w:val="Caption"/>
      </w:pPr>
      <w:r>
        <w:t>Table App</w:t>
      </w:r>
      <w:r w:rsidR="00A76165">
        <w:t>-</w:t>
      </w:r>
      <w:r>
        <w:t>E</w:t>
      </w:r>
      <w:r w:rsidR="002C3914">
        <w:t xml:space="preserve">1. </w:t>
      </w:r>
      <w:r w:rsidR="002C3914" w:rsidRPr="002C3914">
        <w:t>Cox proportion</w:t>
      </w:r>
      <w:r w:rsidR="00BA4AFC">
        <w:t>al hazards model for mortality</w:t>
      </w:r>
    </w:p>
    <w:p w14:paraId="78AF2D35" w14:textId="0029B75E" w:rsidR="00AE28D8" w:rsidRPr="00186B99" w:rsidRDefault="002C3914" w:rsidP="00DF3B48">
      <w:pPr>
        <w:pStyle w:val="CommentText"/>
      </w:pPr>
      <w:r w:rsidRPr="002C3914">
        <w:t>Analysis of Maximum Likelihood Estimates with Sandwich Variance Estimate</w:t>
      </w:r>
      <w:r>
        <w:t xml:space="preserve">. </w:t>
      </w:r>
      <w:r w:rsidRPr="002C3914">
        <w:t>Hazard ratio p=0.25</w:t>
      </w:r>
    </w:p>
    <w:p w14:paraId="77EBD1C7" w14:textId="2514D311" w:rsidR="00AE28D8" w:rsidRDefault="00AE28D8" w:rsidP="00C06ACB">
      <w:pPr>
        <w:pStyle w:val="Heading3"/>
        <w:ind w:left="0" w:firstLine="0"/>
      </w:pPr>
      <w:bookmarkStart w:id="411" w:name="_Toc117758347"/>
      <w:r w:rsidRPr="00A174DE">
        <w:t xml:space="preserve">Difference in frailty index at baseline between groups, excluding </w:t>
      </w:r>
      <w:r w:rsidR="007B3625">
        <w:t xml:space="preserve">or including </w:t>
      </w:r>
      <w:r w:rsidRPr="00A174DE">
        <w:t>deaths and post-randomisation withdrawals</w:t>
      </w:r>
      <w:bookmarkEnd w:id="411"/>
    </w:p>
    <w:p w14:paraId="203E6EC4" w14:textId="6465C0D0" w:rsidR="007B3625" w:rsidRPr="007B3625" w:rsidRDefault="007B3625" w:rsidP="007501B9">
      <w:r w:rsidRPr="00A76165">
        <w:t xml:space="preserve">Frailty index was balanced between Intervention and Control arms when withdrawals and deaths </w:t>
      </w:r>
      <w:r>
        <w:t>were</w:t>
      </w:r>
      <w:r w:rsidRPr="00A76165">
        <w:t xml:space="preserve"> included</w:t>
      </w:r>
      <w:r>
        <w:t xml:space="preserve"> </w:t>
      </w:r>
      <w:r w:rsidR="00171526">
        <w:t>(Table App-E</w:t>
      </w:r>
      <w:r>
        <w:t>3</w:t>
      </w:r>
      <w:r w:rsidRPr="007B3625">
        <w:t>)</w:t>
      </w:r>
      <w:r w:rsidR="00171526">
        <w:t xml:space="preserve"> or excluded (Table App</w:t>
      </w:r>
      <w:r>
        <w:t>-</w:t>
      </w:r>
      <w:r w:rsidR="00171526">
        <w:t>E</w:t>
      </w:r>
      <w:r>
        <w:t>2)</w:t>
      </w:r>
      <w:r w:rsidRPr="00A76165">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Caption w:val="Difference in frailty index at baseline excluding deaths."/>
        <w:tblDescription w:val="Kruskal Wallis Test indicating difference in frailty at baseline between groups, excluding deaths and post-randomisation withdrawals"/>
      </w:tblPr>
      <w:tblGrid>
        <w:gridCol w:w="1718"/>
        <w:gridCol w:w="807"/>
      </w:tblGrid>
      <w:tr w:rsidR="00AE28D8" w:rsidRPr="00AE28D8" w14:paraId="25D0A922" w14:textId="77777777" w:rsidTr="00DF3B48">
        <w:trPr>
          <w:cantSplit/>
          <w:trHeight w:val="340"/>
          <w:jc w:val="center"/>
        </w:trPr>
        <w:tc>
          <w:tcPr>
            <w:tcW w:w="0" w:type="auto"/>
            <w:shd w:val="clear" w:color="auto" w:fill="E7E6E6" w:themeFill="background2"/>
            <w:tcMar>
              <w:left w:w="67" w:type="dxa"/>
              <w:right w:w="67" w:type="dxa"/>
            </w:tcMar>
          </w:tcPr>
          <w:p w14:paraId="4ADC9ABE" w14:textId="77777777" w:rsidR="00AE28D8" w:rsidRPr="00A76165" w:rsidRDefault="00AE28D8" w:rsidP="007501B9">
            <w:r w:rsidRPr="00A76165">
              <w:t>Chi-Square</w:t>
            </w:r>
          </w:p>
        </w:tc>
        <w:tc>
          <w:tcPr>
            <w:tcW w:w="0" w:type="auto"/>
            <w:shd w:val="clear" w:color="auto" w:fill="FFFFFF"/>
            <w:tcMar>
              <w:left w:w="67" w:type="dxa"/>
              <w:right w:w="67" w:type="dxa"/>
            </w:tcMar>
          </w:tcPr>
          <w:p w14:paraId="0C2941DE" w14:textId="77777777" w:rsidR="00AE28D8" w:rsidRPr="00AE28D8" w:rsidRDefault="00AE28D8" w:rsidP="007501B9">
            <w:r w:rsidRPr="00AE28D8">
              <w:t>1.6350</w:t>
            </w:r>
          </w:p>
        </w:tc>
      </w:tr>
      <w:tr w:rsidR="00AE28D8" w:rsidRPr="00AE28D8" w14:paraId="61B8CB5D" w14:textId="77777777" w:rsidTr="00DF3B48">
        <w:trPr>
          <w:cantSplit/>
          <w:trHeight w:val="340"/>
          <w:jc w:val="center"/>
        </w:trPr>
        <w:tc>
          <w:tcPr>
            <w:tcW w:w="0" w:type="auto"/>
            <w:shd w:val="clear" w:color="auto" w:fill="E7E6E6" w:themeFill="background2"/>
            <w:tcMar>
              <w:left w:w="67" w:type="dxa"/>
              <w:right w:w="67" w:type="dxa"/>
            </w:tcMar>
          </w:tcPr>
          <w:p w14:paraId="50F53BC4" w14:textId="77777777" w:rsidR="00AE28D8" w:rsidRPr="00A76165" w:rsidRDefault="00AE28D8" w:rsidP="007501B9">
            <w:r w:rsidRPr="00A76165">
              <w:t>DF</w:t>
            </w:r>
          </w:p>
        </w:tc>
        <w:tc>
          <w:tcPr>
            <w:tcW w:w="0" w:type="auto"/>
            <w:shd w:val="clear" w:color="auto" w:fill="FFFFFF"/>
            <w:tcMar>
              <w:left w:w="67" w:type="dxa"/>
              <w:right w:w="67" w:type="dxa"/>
            </w:tcMar>
          </w:tcPr>
          <w:p w14:paraId="6B02B3CE" w14:textId="77777777" w:rsidR="00AE28D8" w:rsidRPr="00AE28D8" w:rsidRDefault="00AE28D8" w:rsidP="007501B9">
            <w:r w:rsidRPr="00AE28D8">
              <w:t>1</w:t>
            </w:r>
          </w:p>
        </w:tc>
      </w:tr>
      <w:tr w:rsidR="00AE28D8" w:rsidRPr="00AE28D8" w14:paraId="1CE66B81" w14:textId="77777777" w:rsidTr="00DF3B48">
        <w:trPr>
          <w:cantSplit/>
          <w:trHeight w:val="340"/>
          <w:jc w:val="center"/>
        </w:trPr>
        <w:tc>
          <w:tcPr>
            <w:tcW w:w="0" w:type="auto"/>
            <w:shd w:val="clear" w:color="auto" w:fill="E7E6E6" w:themeFill="background2"/>
            <w:tcMar>
              <w:left w:w="67" w:type="dxa"/>
              <w:right w:w="67" w:type="dxa"/>
            </w:tcMar>
          </w:tcPr>
          <w:p w14:paraId="095E8D6C" w14:textId="77777777" w:rsidR="00AE28D8" w:rsidRPr="00A76165" w:rsidRDefault="00AE28D8" w:rsidP="007501B9">
            <w:proofErr w:type="spellStart"/>
            <w:r w:rsidRPr="00A76165">
              <w:t>Pr</w:t>
            </w:r>
            <w:proofErr w:type="spellEnd"/>
            <w:r w:rsidRPr="00A76165">
              <w:t xml:space="preserve"> &gt; Chi-Square</w:t>
            </w:r>
          </w:p>
        </w:tc>
        <w:tc>
          <w:tcPr>
            <w:tcW w:w="0" w:type="auto"/>
            <w:shd w:val="clear" w:color="auto" w:fill="FFFFFF"/>
            <w:tcMar>
              <w:left w:w="67" w:type="dxa"/>
              <w:right w:w="67" w:type="dxa"/>
            </w:tcMar>
          </w:tcPr>
          <w:p w14:paraId="0B642B86" w14:textId="77777777" w:rsidR="00AE28D8" w:rsidRPr="00AE28D8" w:rsidRDefault="00AE28D8" w:rsidP="007501B9">
            <w:r w:rsidRPr="00AE28D8">
              <w:t>0.2010</w:t>
            </w:r>
          </w:p>
        </w:tc>
      </w:tr>
    </w:tbl>
    <w:p w14:paraId="6F329D1B" w14:textId="62CF1043" w:rsidR="00AE28D8" w:rsidRPr="00E80C8F" w:rsidRDefault="00171526" w:rsidP="00897C5B">
      <w:pPr>
        <w:pStyle w:val="Caption"/>
      </w:pPr>
      <w:bookmarkStart w:id="412" w:name="IDX30"/>
      <w:bookmarkEnd w:id="412"/>
      <w:r w:rsidRPr="00E80C8F">
        <w:t>Table App-E</w:t>
      </w:r>
      <w:r w:rsidR="00A76165" w:rsidRPr="00E80C8F">
        <w:t>2. Kruskal Wallis Test indicating difference in frailty</w:t>
      </w:r>
      <w:r w:rsidR="00A76165">
        <w:t xml:space="preserve"> </w:t>
      </w:r>
      <w:r w:rsidR="00A76165" w:rsidRPr="00A76165">
        <w:t>at baseline between groups, excluding deaths and post-randomisation withdrawals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Caption w:val="Kruskal Wallis Test indicating difference in frailty at baseline between groups, when withdrawls and deaths are included"/>
        <w:tblDescription w:val="Kruskal Wallis Test indicating difference in frailty at baseline between groups, when withdrawls and deaths are included"/>
      </w:tblPr>
      <w:tblGrid>
        <w:gridCol w:w="1718"/>
        <w:gridCol w:w="807"/>
      </w:tblGrid>
      <w:tr w:rsidR="00AE28D8" w:rsidRPr="00AE28D8" w14:paraId="560D85C4" w14:textId="77777777" w:rsidTr="00DF3B48">
        <w:trPr>
          <w:cantSplit/>
          <w:jc w:val="center"/>
        </w:trPr>
        <w:tc>
          <w:tcPr>
            <w:tcW w:w="0" w:type="auto"/>
            <w:shd w:val="clear" w:color="auto" w:fill="E7E6E6" w:themeFill="background2"/>
            <w:tcMar>
              <w:left w:w="67" w:type="dxa"/>
              <w:right w:w="67" w:type="dxa"/>
            </w:tcMar>
          </w:tcPr>
          <w:p w14:paraId="2407A3DD" w14:textId="77777777" w:rsidR="00AE28D8" w:rsidRPr="00134B2E" w:rsidRDefault="00AE28D8" w:rsidP="007501B9">
            <w:r w:rsidRPr="00134B2E">
              <w:t>Chi-Square</w:t>
            </w:r>
            <w:bookmarkStart w:id="413" w:name="RowTitle_19"/>
            <w:bookmarkEnd w:id="413"/>
          </w:p>
        </w:tc>
        <w:tc>
          <w:tcPr>
            <w:tcW w:w="0" w:type="auto"/>
            <w:shd w:val="clear" w:color="auto" w:fill="FFFFFF"/>
            <w:tcMar>
              <w:left w:w="67" w:type="dxa"/>
              <w:right w:w="67" w:type="dxa"/>
            </w:tcMar>
          </w:tcPr>
          <w:p w14:paraId="542622AF" w14:textId="77777777" w:rsidR="00AE28D8" w:rsidRPr="00AE28D8" w:rsidRDefault="00AE28D8" w:rsidP="007501B9">
            <w:r w:rsidRPr="00AE28D8">
              <w:t>0.3141</w:t>
            </w:r>
          </w:p>
        </w:tc>
      </w:tr>
      <w:tr w:rsidR="00AE28D8" w:rsidRPr="00AE28D8" w14:paraId="582B0092" w14:textId="77777777" w:rsidTr="00DF3B48">
        <w:trPr>
          <w:cantSplit/>
          <w:jc w:val="center"/>
        </w:trPr>
        <w:tc>
          <w:tcPr>
            <w:tcW w:w="0" w:type="auto"/>
            <w:shd w:val="clear" w:color="auto" w:fill="E7E6E6" w:themeFill="background2"/>
            <w:tcMar>
              <w:left w:w="67" w:type="dxa"/>
              <w:right w:w="67" w:type="dxa"/>
            </w:tcMar>
          </w:tcPr>
          <w:p w14:paraId="5FD18326" w14:textId="77777777" w:rsidR="00AE28D8" w:rsidRPr="00134B2E" w:rsidRDefault="00AE28D8" w:rsidP="007501B9">
            <w:r w:rsidRPr="00134B2E">
              <w:t>DF</w:t>
            </w:r>
          </w:p>
        </w:tc>
        <w:tc>
          <w:tcPr>
            <w:tcW w:w="0" w:type="auto"/>
            <w:shd w:val="clear" w:color="auto" w:fill="FFFFFF"/>
            <w:tcMar>
              <w:left w:w="67" w:type="dxa"/>
              <w:right w:w="67" w:type="dxa"/>
            </w:tcMar>
          </w:tcPr>
          <w:p w14:paraId="03A12592" w14:textId="77777777" w:rsidR="00AE28D8" w:rsidRPr="00AE28D8" w:rsidRDefault="00AE28D8" w:rsidP="007501B9">
            <w:r w:rsidRPr="00AE28D8">
              <w:t>1</w:t>
            </w:r>
          </w:p>
        </w:tc>
      </w:tr>
      <w:tr w:rsidR="00AE28D8" w:rsidRPr="00AE28D8" w14:paraId="0D72C9CD" w14:textId="77777777" w:rsidTr="00DF3B48">
        <w:trPr>
          <w:cantSplit/>
          <w:jc w:val="center"/>
        </w:trPr>
        <w:tc>
          <w:tcPr>
            <w:tcW w:w="0" w:type="auto"/>
            <w:shd w:val="clear" w:color="auto" w:fill="E7E6E6" w:themeFill="background2"/>
            <w:tcMar>
              <w:left w:w="67" w:type="dxa"/>
              <w:right w:w="67" w:type="dxa"/>
            </w:tcMar>
          </w:tcPr>
          <w:p w14:paraId="04C1B32A" w14:textId="77777777" w:rsidR="00AE28D8" w:rsidRPr="00134B2E" w:rsidRDefault="00AE28D8" w:rsidP="007501B9">
            <w:proofErr w:type="spellStart"/>
            <w:r w:rsidRPr="00134B2E">
              <w:t>Pr</w:t>
            </w:r>
            <w:proofErr w:type="spellEnd"/>
            <w:r w:rsidRPr="00134B2E">
              <w:t xml:space="preserve"> &gt; Chi-Square</w:t>
            </w:r>
          </w:p>
        </w:tc>
        <w:tc>
          <w:tcPr>
            <w:tcW w:w="0" w:type="auto"/>
            <w:shd w:val="clear" w:color="auto" w:fill="FFFFFF"/>
            <w:tcMar>
              <w:left w:w="67" w:type="dxa"/>
              <w:right w:w="67" w:type="dxa"/>
            </w:tcMar>
          </w:tcPr>
          <w:p w14:paraId="160308BC" w14:textId="77777777" w:rsidR="00AE28D8" w:rsidRPr="00AE28D8" w:rsidRDefault="00AE28D8" w:rsidP="007501B9">
            <w:r w:rsidRPr="00AE28D8">
              <w:t>0.5752</w:t>
            </w:r>
          </w:p>
        </w:tc>
      </w:tr>
    </w:tbl>
    <w:p w14:paraId="2AD2F461" w14:textId="6C741FD9" w:rsidR="00A76165" w:rsidRDefault="00171526" w:rsidP="00897C5B">
      <w:pPr>
        <w:pStyle w:val="Caption"/>
      </w:pPr>
      <w:r w:rsidRPr="00E80C8F">
        <w:t>Table App-E</w:t>
      </w:r>
      <w:r w:rsidR="00A76165" w:rsidRPr="00E80C8F">
        <w:t>3. Kruskal Wallis Test indicating difference in frailty</w:t>
      </w:r>
      <w:r w:rsidR="00A76165">
        <w:t xml:space="preserve"> </w:t>
      </w:r>
      <w:r w:rsidR="00A76165" w:rsidRPr="00A76165">
        <w:t xml:space="preserve">at baseline between groups, </w:t>
      </w:r>
      <w:r w:rsidR="00A76165">
        <w:t xml:space="preserve">when </w:t>
      </w:r>
      <w:r w:rsidR="00134B2E">
        <w:t>withdrawals</w:t>
      </w:r>
      <w:r w:rsidR="00A76165">
        <w:t xml:space="preserve"> and deaths are included</w:t>
      </w:r>
    </w:p>
    <w:p w14:paraId="4CED9F66" w14:textId="1563A58E" w:rsidR="000D5236" w:rsidRDefault="000D5236" w:rsidP="007501B9">
      <w:r>
        <w:br w:type="page"/>
      </w:r>
    </w:p>
    <w:p w14:paraId="06A42BB1" w14:textId="5783AB9E" w:rsidR="00F3418E" w:rsidRPr="00A174DE" w:rsidRDefault="00F3418E" w:rsidP="00897C5B">
      <w:pPr>
        <w:pStyle w:val="Heading3"/>
      </w:pPr>
      <w:bookmarkStart w:id="414" w:name="IDX23"/>
      <w:bookmarkStart w:id="415" w:name="_Toc117758348"/>
      <w:bookmarkEnd w:id="414"/>
      <w:r w:rsidRPr="00A174DE">
        <w:lastRenderedPageBreak/>
        <w:t>Weight</w:t>
      </w:r>
      <w:bookmarkEnd w:id="415"/>
    </w:p>
    <w:p w14:paraId="11072626" w14:textId="0D31A532" w:rsidR="00134B2E" w:rsidRPr="00DF3B48" w:rsidRDefault="00F3418E" w:rsidP="00DF3B48">
      <w:pPr>
        <w:pStyle w:val="Heading4"/>
      </w:pPr>
      <w:r w:rsidRPr="00DF3B48">
        <w:t xml:space="preserve">Difference in weight at baseline between treatment groups, excluding </w:t>
      </w:r>
      <w:r w:rsidR="007B3625" w:rsidRPr="00DF3B48">
        <w:t xml:space="preserve">or including </w:t>
      </w:r>
      <w:r w:rsidRPr="00DF3B48">
        <w:t>deaths and post-randomisation withdrawals</w:t>
      </w:r>
    </w:p>
    <w:p w14:paraId="472405A7" w14:textId="43D92F38" w:rsidR="007B3625" w:rsidRPr="007B3625" w:rsidRDefault="007B3625" w:rsidP="007501B9">
      <w:r w:rsidRPr="007B3625">
        <w:t>No difference in weight at baseline in Control or intervention arms, by withdrawal status (Table A</w:t>
      </w:r>
      <w:r w:rsidR="00171526">
        <w:t>pp</w:t>
      </w:r>
      <w:r w:rsidRPr="007B3625">
        <w:t>-</w:t>
      </w:r>
      <w:r w:rsidR="00171526">
        <w:t>E</w:t>
      </w:r>
      <w:r w:rsidRPr="007B3625">
        <w:t>4 and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Caption w:val="Kruskal Wallis Test indicating difference in weight at baseline between groups, when withdrawals and deaths are excluded"/>
        <w:tblDescription w:val="Kruskal Wallis Test indicating difference in weight at baseline between groups, when withdrawals and deaths are excluded"/>
      </w:tblPr>
      <w:tblGrid>
        <w:gridCol w:w="1718"/>
        <w:gridCol w:w="921"/>
      </w:tblGrid>
      <w:tr w:rsidR="00134B2E" w:rsidRPr="00AE28D8" w14:paraId="34787B57" w14:textId="77777777" w:rsidTr="00DF3B48">
        <w:trPr>
          <w:cantSplit/>
          <w:jc w:val="center"/>
        </w:trPr>
        <w:tc>
          <w:tcPr>
            <w:tcW w:w="0" w:type="auto"/>
            <w:shd w:val="clear" w:color="auto" w:fill="E7E6E6" w:themeFill="background2"/>
            <w:tcMar>
              <w:left w:w="67" w:type="dxa"/>
              <w:right w:w="67" w:type="dxa"/>
            </w:tcMar>
          </w:tcPr>
          <w:p w14:paraId="0CAF2291" w14:textId="77777777" w:rsidR="00134B2E" w:rsidRPr="00134B2E" w:rsidRDefault="00134B2E" w:rsidP="007501B9">
            <w:bookmarkStart w:id="416" w:name="IDX33"/>
            <w:bookmarkStart w:id="417" w:name="IDX34"/>
            <w:bookmarkEnd w:id="416"/>
            <w:bookmarkEnd w:id="417"/>
            <w:r w:rsidRPr="00134B2E">
              <w:t>Chi-Square</w:t>
            </w:r>
          </w:p>
        </w:tc>
        <w:tc>
          <w:tcPr>
            <w:tcW w:w="921" w:type="dxa"/>
            <w:shd w:val="clear" w:color="auto" w:fill="FFFFFF"/>
          </w:tcPr>
          <w:p w14:paraId="2C0E883A" w14:textId="496A3EBE" w:rsidR="00134B2E" w:rsidRPr="00AE28D8" w:rsidRDefault="00134B2E" w:rsidP="007501B9">
            <w:r w:rsidRPr="0092779F">
              <w:t>4.3879</w:t>
            </w:r>
          </w:p>
        </w:tc>
      </w:tr>
      <w:tr w:rsidR="00134B2E" w:rsidRPr="00AE28D8" w14:paraId="1A8EC9BF" w14:textId="77777777" w:rsidTr="00DF3B48">
        <w:trPr>
          <w:cantSplit/>
          <w:jc w:val="center"/>
        </w:trPr>
        <w:tc>
          <w:tcPr>
            <w:tcW w:w="0" w:type="auto"/>
            <w:shd w:val="clear" w:color="auto" w:fill="E7E6E6" w:themeFill="background2"/>
            <w:tcMar>
              <w:left w:w="67" w:type="dxa"/>
              <w:right w:w="67" w:type="dxa"/>
            </w:tcMar>
          </w:tcPr>
          <w:p w14:paraId="0D207779" w14:textId="77777777" w:rsidR="00134B2E" w:rsidRPr="00134B2E" w:rsidRDefault="00134B2E" w:rsidP="007501B9">
            <w:r w:rsidRPr="00134B2E">
              <w:t>DF</w:t>
            </w:r>
          </w:p>
        </w:tc>
        <w:tc>
          <w:tcPr>
            <w:tcW w:w="921" w:type="dxa"/>
            <w:shd w:val="clear" w:color="auto" w:fill="FFFFFF"/>
          </w:tcPr>
          <w:p w14:paraId="6C52DD34" w14:textId="0BF5E84D" w:rsidR="00134B2E" w:rsidRPr="00AE28D8" w:rsidRDefault="00134B2E" w:rsidP="007501B9">
            <w:r w:rsidRPr="0092779F">
              <w:t>1</w:t>
            </w:r>
          </w:p>
        </w:tc>
      </w:tr>
      <w:tr w:rsidR="00134B2E" w:rsidRPr="00AE28D8" w14:paraId="1BBD2A4D" w14:textId="77777777" w:rsidTr="00DF3B48">
        <w:trPr>
          <w:cantSplit/>
          <w:jc w:val="center"/>
        </w:trPr>
        <w:tc>
          <w:tcPr>
            <w:tcW w:w="0" w:type="auto"/>
            <w:shd w:val="clear" w:color="auto" w:fill="E7E6E6" w:themeFill="background2"/>
            <w:tcMar>
              <w:left w:w="67" w:type="dxa"/>
              <w:right w:w="67" w:type="dxa"/>
            </w:tcMar>
          </w:tcPr>
          <w:p w14:paraId="72DE5ED4" w14:textId="77777777" w:rsidR="00134B2E" w:rsidRPr="00134B2E" w:rsidRDefault="00134B2E" w:rsidP="007501B9">
            <w:proofErr w:type="spellStart"/>
            <w:r w:rsidRPr="00134B2E">
              <w:t>Pr</w:t>
            </w:r>
            <w:proofErr w:type="spellEnd"/>
            <w:r w:rsidRPr="00134B2E">
              <w:t xml:space="preserve"> &gt; Chi-Square</w:t>
            </w:r>
          </w:p>
        </w:tc>
        <w:tc>
          <w:tcPr>
            <w:tcW w:w="921" w:type="dxa"/>
            <w:shd w:val="clear" w:color="auto" w:fill="FFFFFF"/>
          </w:tcPr>
          <w:p w14:paraId="24FB8E43" w14:textId="158330DF" w:rsidR="00134B2E" w:rsidRPr="00AE28D8" w:rsidRDefault="00134B2E" w:rsidP="007501B9">
            <w:r w:rsidRPr="0092779F">
              <w:t>0.0362</w:t>
            </w:r>
          </w:p>
        </w:tc>
      </w:tr>
    </w:tbl>
    <w:p w14:paraId="69C4C1D0" w14:textId="7AB2042B" w:rsidR="00134B2E" w:rsidRPr="00E80C8F" w:rsidRDefault="00134B2E" w:rsidP="00897C5B">
      <w:pPr>
        <w:pStyle w:val="Caption"/>
      </w:pPr>
      <w:r w:rsidRPr="00E80C8F">
        <w:t>Table A</w:t>
      </w:r>
      <w:r w:rsidR="00171526" w:rsidRPr="00E80C8F">
        <w:t>pp-E</w:t>
      </w:r>
      <w:r w:rsidRPr="00E80C8F">
        <w:t>4. Kruskal Wallis Test indicating difference in weight</w:t>
      </w:r>
      <w:r>
        <w:t xml:space="preserve"> </w:t>
      </w:r>
      <w:r w:rsidRPr="00A76165">
        <w:t xml:space="preserve">at baseline between groups, </w:t>
      </w:r>
      <w:r>
        <w:t>when withdrawals and deaths are excluded</w:t>
      </w:r>
      <w:r w:rsidR="007B3625">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Caption w:val="Kruskal Wallis Test indicating difference in weight at baseline between groups, when withdrawals and deaths are included"/>
        <w:tblDescription w:val="Kruskal Wallis Test indicating difference in weight at baseline between groups, when withdrawals and deaths are included"/>
      </w:tblPr>
      <w:tblGrid>
        <w:gridCol w:w="1718"/>
        <w:gridCol w:w="921"/>
      </w:tblGrid>
      <w:tr w:rsidR="00134B2E" w:rsidRPr="00AE28D8" w14:paraId="3BE95738" w14:textId="77777777" w:rsidTr="00DF3B48">
        <w:trPr>
          <w:cantSplit/>
          <w:jc w:val="center"/>
        </w:trPr>
        <w:tc>
          <w:tcPr>
            <w:tcW w:w="0" w:type="auto"/>
            <w:shd w:val="clear" w:color="auto" w:fill="E7E6E6" w:themeFill="background2"/>
            <w:tcMar>
              <w:left w:w="67" w:type="dxa"/>
              <w:right w:w="67" w:type="dxa"/>
            </w:tcMar>
          </w:tcPr>
          <w:p w14:paraId="3C4C2D0B" w14:textId="77777777" w:rsidR="00134B2E" w:rsidRPr="00134B2E" w:rsidRDefault="00134B2E" w:rsidP="007501B9">
            <w:r w:rsidRPr="00134B2E">
              <w:t>Chi-Square</w:t>
            </w:r>
            <w:bookmarkStart w:id="418" w:name="RowTitle_21"/>
            <w:bookmarkEnd w:id="418"/>
          </w:p>
        </w:tc>
        <w:tc>
          <w:tcPr>
            <w:tcW w:w="921" w:type="dxa"/>
            <w:tcBorders>
              <w:top w:val="single" w:sz="4" w:space="0" w:color="auto"/>
              <w:left w:val="nil"/>
              <w:bottom w:val="single" w:sz="4" w:space="0" w:color="auto"/>
              <w:right w:val="single" w:sz="4" w:space="0" w:color="auto"/>
            </w:tcBorders>
            <w:shd w:val="clear" w:color="auto" w:fill="FFFFFF"/>
          </w:tcPr>
          <w:p w14:paraId="5168C8BA" w14:textId="5E3A470A" w:rsidR="00134B2E" w:rsidRPr="00AE28D8" w:rsidRDefault="00134B2E" w:rsidP="007501B9">
            <w:r w:rsidRPr="0092779F">
              <w:t>4.8616</w:t>
            </w:r>
          </w:p>
        </w:tc>
      </w:tr>
      <w:tr w:rsidR="00134B2E" w:rsidRPr="00AE28D8" w14:paraId="4AD68F14" w14:textId="77777777" w:rsidTr="00DF3B48">
        <w:trPr>
          <w:cantSplit/>
          <w:jc w:val="center"/>
        </w:trPr>
        <w:tc>
          <w:tcPr>
            <w:tcW w:w="0" w:type="auto"/>
            <w:shd w:val="clear" w:color="auto" w:fill="E7E6E6" w:themeFill="background2"/>
            <w:tcMar>
              <w:left w:w="67" w:type="dxa"/>
              <w:right w:w="67" w:type="dxa"/>
            </w:tcMar>
          </w:tcPr>
          <w:p w14:paraId="01C3DC69" w14:textId="77777777" w:rsidR="00134B2E" w:rsidRPr="00134B2E" w:rsidRDefault="00134B2E" w:rsidP="007501B9">
            <w:r w:rsidRPr="00134B2E">
              <w:t>DF</w:t>
            </w:r>
          </w:p>
        </w:tc>
        <w:tc>
          <w:tcPr>
            <w:tcW w:w="921" w:type="dxa"/>
            <w:tcBorders>
              <w:top w:val="single" w:sz="4" w:space="0" w:color="auto"/>
              <w:left w:val="nil"/>
              <w:bottom w:val="single" w:sz="4" w:space="0" w:color="auto"/>
              <w:right w:val="single" w:sz="4" w:space="0" w:color="auto"/>
            </w:tcBorders>
            <w:shd w:val="clear" w:color="auto" w:fill="FFFFFF"/>
          </w:tcPr>
          <w:p w14:paraId="51EB4C2F" w14:textId="0E4D29E3" w:rsidR="00134B2E" w:rsidRPr="00AE28D8" w:rsidRDefault="00134B2E" w:rsidP="007501B9">
            <w:r w:rsidRPr="0092779F">
              <w:t>1</w:t>
            </w:r>
          </w:p>
        </w:tc>
      </w:tr>
      <w:tr w:rsidR="00134B2E" w:rsidRPr="00AE28D8" w14:paraId="47BAC2ED" w14:textId="77777777" w:rsidTr="00DF3B48">
        <w:trPr>
          <w:cantSplit/>
          <w:jc w:val="center"/>
        </w:trPr>
        <w:tc>
          <w:tcPr>
            <w:tcW w:w="0" w:type="auto"/>
            <w:shd w:val="clear" w:color="auto" w:fill="E7E6E6" w:themeFill="background2"/>
            <w:tcMar>
              <w:left w:w="67" w:type="dxa"/>
              <w:right w:w="67" w:type="dxa"/>
            </w:tcMar>
          </w:tcPr>
          <w:p w14:paraId="243BC13E" w14:textId="77777777" w:rsidR="00134B2E" w:rsidRPr="00134B2E" w:rsidRDefault="00134B2E" w:rsidP="007501B9">
            <w:proofErr w:type="spellStart"/>
            <w:r w:rsidRPr="00134B2E">
              <w:t>Pr</w:t>
            </w:r>
            <w:proofErr w:type="spellEnd"/>
            <w:r w:rsidRPr="00134B2E">
              <w:t xml:space="preserve"> &gt; Chi-Square</w:t>
            </w:r>
          </w:p>
        </w:tc>
        <w:tc>
          <w:tcPr>
            <w:tcW w:w="921" w:type="dxa"/>
            <w:tcBorders>
              <w:top w:val="single" w:sz="4" w:space="0" w:color="auto"/>
              <w:left w:val="nil"/>
              <w:bottom w:val="single" w:sz="4" w:space="0" w:color="auto"/>
              <w:right w:val="single" w:sz="4" w:space="0" w:color="auto"/>
            </w:tcBorders>
            <w:shd w:val="clear" w:color="auto" w:fill="FFFFFF"/>
          </w:tcPr>
          <w:p w14:paraId="23712C3C" w14:textId="34CB889A" w:rsidR="00134B2E" w:rsidRPr="00134B2E" w:rsidRDefault="00134B2E" w:rsidP="007501B9">
            <w:r w:rsidRPr="0092779F">
              <w:t>0.0275</w:t>
            </w:r>
          </w:p>
        </w:tc>
      </w:tr>
    </w:tbl>
    <w:p w14:paraId="57D6711F" w14:textId="3A7D8BA1" w:rsidR="00F3418E" w:rsidRPr="0092779F" w:rsidRDefault="00171526" w:rsidP="00897C5B">
      <w:pPr>
        <w:pStyle w:val="Caption"/>
      </w:pPr>
      <w:r>
        <w:t>Table App</w:t>
      </w:r>
      <w:r w:rsidR="007B3625">
        <w:t>-</w:t>
      </w:r>
      <w:r>
        <w:t>E</w:t>
      </w:r>
      <w:r w:rsidR="007B3625">
        <w:t>5. Kruskal Wallis Test indicating difference in weight</w:t>
      </w:r>
      <w:r w:rsidR="007B3625" w:rsidRPr="0092779F">
        <w:t xml:space="preserve"> at baseline between groups, when withdrawals and deaths are included</w:t>
      </w:r>
    </w:p>
    <w:p w14:paraId="58BE8CD9" w14:textId="77777777" w:rsidR="00F3418E" w:rsidRPr="00A174DE" w:rsidRDefault="00F3418E" w:rsidP="00897C5B">
      <w:pPr>
        <w:pStyle w:val="Heading3"/>
      </w:pPr>
      <w:bookmarkStart w:id="419" w:name="_Toc117758349"/>
      <w:r w:rsidRPr="00A174DE">
        <w:t>MoCA</w:t>
      </w:r>
      <w:bookmarkEnd w:id="419"/>
    </w:p>
    <w:p w14:paraId="41C36A23" w14:textId="0AD9C193" w:rsidR="00F3418E" w:rsidRPr="00DF3B48" w:rsidRDefault="00F3418E" w:rsidP="00DF3B48">
      <w:pPr>
        <w:pStyle w:val="Heading4"/>
      </w:pPr>
      <w:r w:rsidRPr="00DF3B48">
        <w:t xml:space="preserve">Difference in MoCA at baseline between treatment groups, </w:t>
      </w:r>
      <w:r w:rsidR="00745C22" w:rsidRPr="00DF3B48">
        <w:t xml:space="preserve">including or excluding </w:t>
      </w:r>
      <w:r w:rsidRPr="00DF3B48">
        <w:t>deaths and post-randomisation withdrawals</w:t>
      </w:r>
      <w:bookmarkStart w:id="420" w:name="IDX36"/>
      <w:bookmarkEnd w:id="420"/>
    </w:p>
    <w:p w14:paraId="1C03E512" w14:textId="26E89102" w:rsidR="00F3418E" w:rsidRPr="00F3418E" w:rsidRDefault="0092779F" w:rsidP="007501B9">
      <w:pPr>
        <w:rPr>
          <w:rFonts w:ascii="Calibri" w:hAnsi="Calibri" w:cs="Calibri"/>
          <w:color w:val="000000"/>
          <w:sz w:val="19"/>
          <w:szCs w:val="19"/>
        </w:rPr>
      </w:pPr>
      <w:r w:rsidRPr="007B3625">
        <w:t xml:space="preserve">No difference in </w:t>
      </w:r>
      <w:r>
        <w:t>MoCA</w:t>
      </w:r>
      <w:r w:rsidRPr="007B3625">
        <w:t xml:space="preserve"> at baseline in Control or intervention arms, by withdrawal status</w:t>
      </w:r>
      <w:r>
        <w:t xml:space="preserve"> </w:t>
      </w:r>
      <w:r w:rsidRPr="007B3625">
        <w:t xml:space="preserve">(Table </w:t>
      </w:r>
      <w:r w:rsidR="00171526">
        <w:t>AppE</w:t>
      </w:r>
      <w:r w:rsidRPr="007B3625">
        <w:t>-</w:t>
      </w:r>
      <w:r>
        <w:t>6</w:t>
      </w:r>
      <w:r w:rsidRPr="007B3625">
        <w:t xml:space="preserve"> and </w:t>
      </w:r>
      <w:r>
        <w:t>7</w:t>
      </w:r>
      <w:r w:rsidRPr="007B3625">
        <w:t>).</w:t>
      </w:r>
      <w:bookmarkStart w:id="421" w:name="IDX37"/>
      <w:bookmarkEnd w:id="42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Caption w:val="Kruskal Wallis Test indicating difference in MoCA at baseline between groups, when withdrawals and deaths are excluded"/>
        <w:tblDescription w:val="Kruskal Wallis Test indicating difference in MoCA at baseline between groups, when withdrawals and deaths are excluded"/>
      </w:tblPr>
      <w:tblGrid>
        <w:gridCol w:w="1718"/>
        <w:gridCol w:w="921"/>
      </w:tblGrid>
      <w:tr w:rsidR="0092779F" w:rsidRPr="00AE28D8" w14:paraId="57BEF7FA" w14:textId="77777777" w:rsidTr="00DF3B48">
        <w:trPr>
          <w:cantSplit/>
          <w:jc w:val="center"/>
        </w:trPr>
        <w:tc>
          <w:tcPr>
            <w:tcW w:w="0" w:type="auto"/>
            <w:shd w:val="clear" w:color="auto" w:fill="E7E6E6" w:themeFill="background2"/>
            <w:tcMar>
              <w:left w:w="67" w:type="dxa"/>
              <w:right w:w="67" w:type="dxa"/>
            </w:tcMar>
          </w:tcPr>
          <w:p w14:paraId="19D70216" w14:textId="77777777" w:rsidR="0092779F" w:rsidRPr="00134B2E" w:rsidRDefault="0092779F" w:rsidP="007501B9">
            <w:r w:rsidRPr="00134B2E">
              <w:t>Chi-Square</w:t>
            </w:r>
            <w:bookmarkStart w:id="422" w:name="RowTitle_22"/>
            <w:bookmarkEnd w:id="422"/>
          </w:p>
        </w:tc>
        <w:tc>
          <w:tcPr>
            <w:tcW w:w="921" w:type="dxa"/>
            <w:tcBorders>
              <w:top w:val="single" w:sz="4" w:space="0" w:color="auto"/>
              <w:left w:val="nil"/>
              <w:bottom w:val="single" w:sz="4" w:space="0" w:color="auto"/>
              <w:right w:val="single" w:sz="4" w:space="0" w:color="auto"/>
            </w:tcBorders>
            <w:shd w:val="clear" w:color="auto" w:fill="FFFFFF"/>
          </w:tcPr>
          <w:p w14:paraId="6877D1F8" w14:textId="380F0EA4" w:rsidR="0092779F" w:rsidRPr="0092779F" w:rsidRDefault="0092779F" w:rsidP="007501B9">
            <w:r w:rsidRPr="0092779F">
              <w:t>3.0769</w:t>
            </w:r>
          </w:p>
        </w:tc>
      </w:tr>
      <w:tr w:rsidR="0092779F" w:rsidRPr="00AE28D8" w14:paraId="38251B54" w14:textId="77777777" w:rsidTr="00DF3B48">
        <w:trPr>
          <w:cantSplit/>
          <w:jc w:val="center"/>
        </w:trPr>
        <w:tc>
          <w:tcPr>
            <w:tcW w:w="0" w:type="auto"/>
            <w:shd w:val="clear" w:color="auto" w:fill="E7E6E6" w:themeFill="background2"/>
            <w:tcMar>
              <w:left w:w="67" w:type="dxa"/>
              <w:right w:w="67" w:type="dxa"/>
            </w:tcMar>
          </w:tcPr>
          <w:p w14:paraId="543C0657" w14:textId="77777777" w:rsidR="0092779F" w:rsidRPr="00134B2E" w:rsidRDefault="0092779F" w:rsidP="007501B9">
            <w:r w:rsidRPr="00134B2E">
              <w:t>DF</w:t>
            </w:r>
          </w:p>
        </w:tc>
        <w:tc>
          <w:tcPr>
            <w:tcW w:w="921" w:type="dxa"/>
            <w:tcBorders>
              <w:top w:val="single" w:sz="4" w:space="0" w:color="auto"/>
              <w:left w:val="nil"/>
              <w:bottom w:val="single" w:sz="4" w:space="0" w:color="auto"/>
              <w:right w:val="single" w:sz="4" w:space="0" w:color="auto"/>
            </w:tcBorders>
            <w:shd w:val="clear" w:color="auto" w:fill="FFFFFF"/>
          </w:tcPr>
          <w:p w14:paraId="1DCC0D40" w14:textId="186798EB" w:rsidR="0092779F" w:rsidRPr="0092779F" w:rsidRDefault="0092779F" w:rsidP="007501B9">
            <w:r w:rsidRPr="0092779F">
              <w:t>1</w:t>
            </w:r>
          </w:p>
        </w:tc>
      </w:tr>
      <w:tr w:rsidR="0092779F" w:rsidRPr="00AE28D8" w14:paraId="33044E1C" w14:textId="77777777" w:rsidTr="00DF3B48">
        <w:trPr>
          <w:cantSplit/>
          <w:jc w:val="center"/>
        </w:trPr>
        <w:tc>
          <w:tcPr>
            <w:tcW w:w="0" w:type="auto"/>
            <w:shd w:val="clear" w:color="auto" w:fill="E7E6E6" w:themeFill="background2"/>
            <w:tcMar>
              <w:left w:w="67" w:type="dxa"/>
              <w:right w:w="67" w:type="dxa"/>
            </w:tcMar>
          </w:tcPr>
          <w:p w14:paraId="02963F82" w14:textId="77777777" w:rsidR="0092779F" w:rsidRPr="00134B2E" w:rsidRDefault="0092779F" w:rsidP="007501B9">
            <w:proofErr w:type="spellStart"/>
            <w:r w:rsidRPr="00134B2E">
              <w:t>Pr</w:t>
            </w:r>
            <w:proofErr w:type="spellEnd"/>
            <w:r w:rsidRPr="00134B2E">
              <w:t xml:space="preserve"> &gt; Chi-Square</w:t>
            </w:r>
          </w:p>
        </w:tc>
        <w:tc>
          <w:tcPr>
            <w:tcW w:w="921" w:type="dxa"/>
            <w:tcBorders>
              <w:top w:val="single" w:sz="4" w:space="0" w:color="auto"/>
              <w:left w:val="nil"/>
              <w:bottom w:val="single" w:sz="4" w:space="0" w:color="auto"/>
              <w:right w:val="single" w:sz="4" w:space="0" w:color="auto"/>
            </w:tcBorders>
            <w:shd w:val="clear" w:color="auto" w:fill="FFFFFF"/>
          </w:tcPr>
          <w:p w14:paraId="590F1778" w14:textId="25838922" w:rsidR="0092779F" w:rsidRPr="0092779F" w:rsidRDefault="0092779F" w:rsidP="007501B9">
            <w:r w:rsidRPr="0092779F">
              <w:t>0.0794</w:t>
            </w:r>
          </w:p>
        </w:tc>
      </w:tr>
    </w:tbl>
    <w:p w14:paraId="2E119451" w14:textId="293F8317" w:rsidR="0092779F" w:rsidRDefault="00171526" w:rsidP="00897C5B">
      <w:pPr>
        <w:pStyle w:val="Caption"/>
      </w:pPr>
      <w:bookmarkStart w:id="423" w:name="IDX38"/>
      <w:bookmarkEnd w:id="423"/>
      <w:r w:rsidRPr="00E80C8F">
        <w:t>Table App-E</w:t>
      </w:r>
      <w:r w:rsidR="0092779F" w:rsidRPr="00E80C8F">
        <w:t>6. Kruskal Wallis Test indicating difference in MoCA</w:t>
      </w:r>
      <w:r w:rsidR="0092779F">
        <w:t xml:space="preserve"> </w:t>
      </w:r>
      <w:r w:rsidR="0092779F" w:rsidRPr="00A76165">
        <w:t xml:space="preserve">at baseline between groups, </w:t>
      </w:r>
      <w:r w:rsidR="0092779F">
        <w:t>when withdrawals and deaths are excluded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Caption w:val="Kruskal Wallis Test indicating difference in MoCA at baseline between groups, when withdrawals and deaths are included"/>
        <w:tblDescription w:val="Kruskal Wallis Test indicating difference in MoCA at baseline between groups, when withdrawals and deaths are included"/>
      </w:tblPr>
      <w:tblGrid>
        <w:gridCol w:w="1718"/>
        <w:gridCol w:w="921"/>
      </w:tblGrid>
      <w:tr w:rsidR="0092779F" w:rsidRPr="00AE28D8" w14:paraId="57374E29" w14:textId="77777777" w:rsidTr="00DF3B48">
        <w:trPr>
          <w:cantSplit/>
          <w:jc w:val="center"/>
        </w:trPr>
        <w:tc>
          <w:tcPr>
            <w:tcW w:w="0" w:type="auto"/>
            <w:shd w:val="clear" w:color="auto" w:fill="E7E6E6" w:themeFill="background2"/>
            <w:tcMar>
              <w:left w:w="67" w:type="dxa"/>
              <w:right w:w="67" w:type="dxa"/>
            </w:tcMar>
          </w:tcPr>
          <w:p w14:paraId="0A53499A" w14:textId="77777777" w:rsidR="0092779F" w:rsidRPr="00134B2E" w:rsidRDefault="0092779F" w:rsidP="00DF3B48">
            <w:pPr>
              <w:keepNext/>
            </w:pPr>
            <w:r w:rsidRPr="00134B2E">
              <w:lastRenderedPageBreak/>
              <w:t>Chi-Square</w:t>
            </w:r>
            <w:bookmarkStart w:id="424" w:name="RowTitle_23"/>
            <w:bookmarkEnd w:id="424"/>
          </w:p>
        </w:tc>
        <w:tc>
          <w:tcPr>
            <w:tcW w:w="921" w:type="dxa"/>
            <w:tcBorders>
              <w:top w:val="single" w:sz="4" w:space="0" w:color="auto"/>
              <w:left w:val="nil"/>
              <w:bottom w:val="single" w:sz="4" w:space="0" w:color="auto"/>
              <w:right w:val="single" w:sz="4" w:space="0" w:color="auto"/>
            </w:tcBorders>
            <w:shd w:val="clear" w:color="auto" w:fill="FFFFFF"/>
          </w:tcPr>
          <w:p w14:paraId="383B54F7" w14:textId="53BB947F" w:rsidR="0092779F" w:rsidRPr="0092779F" w:rsidRDefault="0092779F" w:rsidP="00DF3B48">
            <w:pPr>
              <w:keepNext/>
            </w:pPr>
            <w:r w:rsidRPr="0092779F">
              <w:t>5.8190</w:t>
            </w:r>
          </w:p>
        </w:tc>
      </w:tr>
      <w:tr w:rsidR="0092779F" w:rsidRPr="00AE28D8" w14:paraId="3B9D0F16" w14:textId="77777777" w:rsidTr="00DF3B48">
        <w:trPr>
          <w:cantSplit/>
          <w:jc w:val="center"/>
        </w:trPr>
        <w:tc>
          <w:tcPr>
            <w:tcW w:w="0" w:type="auto"/>
            <w:shd w:val="clear" w:color="auto" w:fill="E7E6E6" w:themeFill="background2"/>
            <w:tcMar>
              <w:left w:w="67" w:type="dxa"/>
              <w:right w:w="67" w:type="dxa"/>
            </w:tcMar>
          </w:tcPr>
          <w:p w14:paraId="7FBE7134" w14:textId="77777777" w:rsidR="0092779F" w:rsidRPr="00134B2E" w:rsidRDefault="0092779F" w:rsidP="007501B9">
            <w:r w:rsidRPr="00134B2E">
              <w:t>DF</w:t>
            </w:r>
          </w:p>
        </w:tc>
        <w:tc>
          <w:tcPr>
            <w:tcW w:w="921" w:type="dxa"/>
            <w:tcBorders>
              <w:top w:val="single" w:sz="4" w:space="0" w:color="auto"/>
              <w:left w:val="nil"/>
              <w:bottom w:val="single" w:sz="4" w:space="0" w:color="auto"/>
              <w:right w:val="single" w:sz="4" w:space="0" w:color="auto"/>
            </w:tcBorders>
            <w:shd w:val="clear" w:color="auto" w:fill="FFFFFF"/>
          </w:tcPr>
          <w:p w14:paraId="4809D0D3" w14:textId="5AB4D717" w:rsidR="0092779F" w:rsidRPr="0092779F" w:rsidRDefault="0092779F" w:rsidP="007501B9">
            <w:r w:rsidRPr="0092779F">
              <w:t>1</w:t>
            </w:r>
          </w:p>
        </w:tc>
      </w:tr>
      <w:tr w:rsidR="0092779F" w:rsidRPr="00AE28D8" w14:paraId="38F667E8" w14:textId="77777777" w:rsidTr="00DF3B48">
        <w:trPr>
          <w:cantSplit/>
          <w:jc w:val="center"/>
        </w:trPr>
        <w:tc>
          <w:tcPr>
            <w:tcW w:w="0" w:type="auto"/>
            <w:shd w:val="clear" w:color="auto" w:fill="E7E6E6" w:themeFill="background2"/>
            <w:tcMar>
              <w:left w:w="67" w:type="dxa"/>
              <w:right w:w="67" w:type="dxa"/>
            </w:tcMar>
          </w:tcPr>
          <w:p w14:paraId="13589011" w14:textId="77777777" w:rsidR="0092779F" w:rsidRPr="00134B2E" w:rsidRDefault="0092779F" w:rsidP="007501B9">
            <w:proofErr w:type="spellStart"/>
            <w:r w:rsidRPr="00134B2E">
              <w:t>Pr</w:t>
            </w:r>
            <w:proofErr w:type="spellEnd"/>
            <w:r w:rsidRPr="00134B2E">
              <w:t xml:space="preserve"> &gt; Chi-Square</w:t>
            </w:r>
          </w:p>
        </w:tc>
        <w:tc>
          <w:tcPr>
            <w:tcW w:w="921" w:type="dxa"/>
            <w:tcBorders>
              <w:top w:val="single" w:sz="4" w:space="0" w:color="auto"/>
              <w:left w:val="nil"/>
              <w:bottom w:val="single" w:sz="4" w:space="0" w:color="auto"/>
              <w:right w:val="single" w:sz="4" w:space="0" w:color="auto"/>
            </w:tcBorders>
            <w:shd w:val="clear" w:color="auto" w:fill="FFFFFF"/>
          </w:tcPr>
          <w:p w14:paraId="479BA42F" w14:textId="01611F6C" w:rsidR="0092779F" w:rsidRPr="0092779F" w:rsidRDefault="0092779F" w:rsidP="007501B9">
            <w:r w:rsidRPr="0092779F">
              <w:t>0.0159</w:t>
            </w:r>
          </w:p>
        </w:tc>
      </w:tr>
    </w:tbl>
    <w:p w14:paraId="3EBB3E0F" w14:textId="1488CE4C" w:rsidR="00B66D58" w:rsidRPr="00AE28D8" w:rsidRDefault="0092779F" w:rsidP="00897C5B">
      <w:pPr>
        <w:pStyle w:val="Caption"/>
      </w:pPr>
      <w:r w:rsidRPr="00E80C8F">
        <w:t xml:space="preserve">Table </w:t>
      </w:r>
      <w:r w:rsidR="00171526" w:rsidRPr="00E80C8F">
        <w:t>App-E7</w:t>
      </w:r>
      <w:r w:rsidRPr="00E80C8F">
        <w:t>. Kruskal Wallis Test indicating difference in MoCA</w:t>
      </w:r>
      <w:r>
        <w:t xml:space="preserve"> </w:t>
      </w:r>
      <w:r w:rsidRPr="00A76165">
        <w:t xml:space="preserve">at baseline between groups, </w:t>
      </w:r>
      <w:r>
        <w:t>when withdrawals and deaths are included</w:t>
      </w:r>
    </w:p>
    <w:p w14:paraId="09835A86" w14:textId="3615ADBF" w:rsidR="00F3418E" w:rsidRPr="00204B26" w:rsidRDefault="00F3418E" w:rsidP="00897C5B">
      <w:pPr>
        <w:pStyle w:val="Heading3"/>
      </w:pPr>
      <w:bookmarkStart w:id="425" w:name="_Toc117758350"/>
      <w:r w:rsidRPr="00A174DE">
        <w:t>Survivor Average Causal Effect</w:t>
      </w:r>
      <w:bookmarkEnd w:id="425"/>
    </w:p>
    <w:p w14:paraId="63CCDA26" w14:textId="4D00DAE6" w:rsidR="00F3418E" w:rsidRPr="00204B26" w:rsidRDefault="00F3418E" w:rsidP="007501B9">
      <w:r w:rsidRPr="00204B26">
        <w:t>Although the pre-defined tests showed there was no requirement for the survivor average causal effect, a sensitivity analysis was performed for t</w:t>
      </w:r>
      <w:r w:rsidR="006E03FB">
        <w:t>he frailty index, weight and MoC</w:t>
      </w:r>
      <w:r w:rsidRPr="00204B26">
        <w:t>A</w:t>
      </w:r>
      <w:r w:rsidR="007501B9">
        <w:t xml:space="preserve">. </w:t>
      </w:r>
      <w:r w:rsidRPr="00204B26">
        <w:t xml:space="preserve">The method described by Chiba and Vander </w:t>
      </w:r>
      <w:proofErr w:type="spellStart"/>
      <w:r w:rsidRPr="00204B26">
        <w:t>Weele</w:t>
      </w:r>
      <w:proofErr w:type="spellEnd"/>
      <w:r w:rsidRPr="00204B26">
        <w:t xml:space="preserve"> was used</w:t>
      </w:r>
      <w:r w:rsidR="00B66D58">
        <w:t xml:space="preserve"> </w:t>
      </w:r>
      <w:r w:rsidR="00F00D3B">
        <w:fldChar w:fldCharType="begin"/>
      </w:r>
      <w:r w:rsidR="00C86345">
        <w:instrText xml:space="preserve"> ADDIN EN.CITE &lt;EndNote&gt;&lt;Cite&gt;&lt;Author&gt;Chiba&lt;/Author&gt;&lt;Year&gt;2011&lt;/Year&gt;&lt;RecNum&gt;67&lt;/RecNum&gt;&lt;DisplayText&gt;(95)&lt;/DisplayText&gt;&lt;record&gt;&lt;rec-number&gt;67&lt;/rec-number&gt;&lt;foreign-keys&gt;&lt;key app="EN" db-id="9s5z5ped05vxdnede99vfsxhtzavzdzs2d5r" timestamp="1614903587"&gt;67&lt;/key&gt;&lt;/foreign-keys&gt;&lt;ref-type name="Journal Article"&gt;17&lt;/ref-type&gt;&lt;contributors&gt;&lt;authors&gt;&lt;author&gt;Chiba, Yasutaka&lt;/author&gt;&lt;author&gt;VanderWeele, Tyler J&lt;/author&gt;&lt;/authors&gt;&lt;/contributors&gt;&lt;titles&gt;&lt;title&gt;A simple method for principal strata effects when the outcome has been truncated due to death&lt;/title&gt;&lt;secondary-title&gt;American journal of epidemiology&lt;/secondary-title&gt;&lt;/titles&gt;&lt;periodical&gt;&lt;full-title&gt;American journal of epidemiology&lt;/full-title&gt;&lt;/periodical&gt;&lt;pages&gt;745-751&lt;/pages&gt;&lt;volume&gt;173&lt;/volume&gt;&lt;number&gt;7&lt;/number&gt;&lt;dates&gt;&lt;year&gt;2011&lt;/year&gt;&lt;/dates&gt;&lt;isbn&gt;1476-6256&lt;/isbn&gt;&lt;urls&gt;&lt;/urls&gt;&lt;/record&gt;&lt;/Cite&gt;&lt;/EndNote&gt;</w:instrText>
      </w:r>
      <w:r w:rsidR="00F00D3B">
        <w:fldChar w:fldCharType="separate"/>
      </w:r>
      <w:r w:rsidR="00C86345">
        <w:rPr>
          <w:noProof/>
        </w:rPr>
        <w:t>(</w:t>
      </w:r>
      <w:hyperlink w:anchor="_ENREF_95" w:tooltip="Chiba, 2011 #67" w:history="1">
        <w:r w:rsidR="00EB6EA4">
          <w:rPr>
            <w:noProof/>
          </w:rPr>
          <w:t>95</w:t>
        </w:r>
      </w:hyperlink>
      <w:r w:rsidR="00C86345">
        <w:rPr>
          <w:noProof/>
        </w:rPr>
        <w:t>)</w:t>
      </w:r>
      <w:r w:rsidR="00F00D3B">
        <w:fldChar w:fldCharType="end"/>
      </w:r>
      <w:r w:rsidRPr="00204B26">
        <w:t xml:space="preserve">, without assuming </w:t>
      </w:r>
      <w:proofErr w:type="spellStart"/>
      <w:r w:rsidRPr="00204B26">
        <w:t>monoticity</w:t>
      </w:r>
      <w:proofErr w:type="spellEnd"/>
      <w:r w:rsidRPr="00204B26">
        <w:t xml:space="preserve"> (</w:t>
      </w:r>
      <w:r w:rsidR="0004349F" w:rsidRPr="00204B26">
        <w:t>i.e.</w:t>
      </w:r>
      <w:r w:rsidRPr="00204B26">
        <w:t xml:space="preserve"> we did not assume that assignment to the control group could not have prevented deaths)</w:t>
      </w:r>
      <w:r w:rsidR="007501B9">
        <w:t xml:space="preserve">. </w:t>
      </w:r>
      <w:r w:rsidRPr="00204B26">
        <w:t>A bias term was estimated using a range of plausible clinical sensitivity parameters (beta0 and beta1), which were assumed to be a proportion of the treatment effect size at 12 months</w:t>
      </w:r>
      <w:r w:rsidR="007501B9">
        <w:t xml:space="preserve">. </w:t>
      </w:r>
      <w:r w:rsidRPr="00204B26">
        <w:t>The parameters p0 and p1 were the proportion of deaths in the control and intervention arms, respectively, and the parameter pi01 was the proportion of residents who would have survived if they were in the control but not the intervention group. Beta0 and beta1 are the treatment differences between a less and more healthy population and the sign for these parameters was chosen to reflect this (positive for the frailty index and negative for MoCA, while weight varied between positive and negative).</w:t>
      </w:r>
    </w:p>
    <w:p w14:paraId="707B328B" w14:textId="3E1D894B" w:rsidR="00F3418E" w:rsidRPr="00204B26" w:rsidRDefault="0092779F" w:rsidP="007501B9">
      <w:r>
        <w:t xml:space="preserve">According to Chiba and </w:t>
      </w:r>
      <w:r w:rsidRPr="0092779F">
        <w:t xml:space="preserve">Vander </w:t>
      </w:r>
      <w:proofErr w:type="spellStart"/>
      <w:r w:rsidRPr="0092779F">
        <w:t>Weele</w:t>
      </w:r>
      <w:proofErr w:type="spellEnd"/>
      <w:r>
        <w:t xml:space="preserve">, </w:t>
      </w:r>
      <w:r w:rsidR="00F3418E" w:rsidRPr="00204B26">
        <w:t xml:space="preserve">Beta0 </w:t>
      </w:r>
      <w:r>
        <w:t>“</w:t>
      </w:r>
      <w:r w:rsidR="00F3418E" w:rsidRPr="00204B26">
        <w:t>contrasts the average outcomes under the control condition between 1) the population that would have survived under control but not under treatment and 2) the population that would have survived under both treatment and control”</w:t>
      </w:r>
      <w:r w:rsidR="007501B9">
        <w:t xml:space="preserve">. </w:t>
      </w:r>
      <w:r w:rsidR="00F3418E" w:rsidRPr="00204B26">
        <w:t xml:space="preserve">Beta1 “contrasts the average outcomes under treatment between 1) the population that would have survived under treatment but not under control and 2) the population that would have survived under both treatment and control.” </w:t>
      </w:r>
      <w:r w:rsidR="00F00D3B">
        <w:fldChar w:fldCharType="begin"/>
      </w:r>
      <w:r w:rsidR="00C86345">
        <w:instrText xml:space="preserve"> ADDIN EN.CITE &lt;EndNote&gt;&lt;Cite&gt;&lt;Author&gt;Chiba&lt;/Author&gt;&lt;Year&gt;2011&lt;/Year&gt;&lt;RecNum&gt;67&lt;/RecNum&gt;&lt;DisplayText&gt;(95)&lt;/DisplayText&gt;&lt;record&gt;&lt;rec-number&gt;67&lt;/rec-number&gt;&lt;foreign-keys&gt;&lt;key app="EN" db-id="9s5z5ped05vxdnede99vfsxhtzavzdzs2d5r" timestamp="1614903587"&gt;67&lt;/key&gt;&lt;/foreign-keys&gt;&lt;ref-type name="Journal Article"&gt;17&lt;/ref-type&gt;&lt;contributors&gt;&lt;authors&gt;&lt;author&gt;Chiba, Yasutaka&lt;/author&gt;&lt;author&gt;VanderWeele, Tyler J&lt;/author&gt;&lt;/authors&gt;&lt;/contributors&gt;&lt;titles&gt;&lt;title&gt;A simple method for principal strata effects when the outcome has been truncated due to death&lt;/title&gt;&lt;secondary-title&gt;American journal of epidemiology&lt;/secondary-title&gt;&lt;/titles&gt;&lt;periodical&gt;&lt;full-title&gt;American journal of epidemiology&lt;/full-title&gt;&lt;/periodical&gt;&lt;pages&gt;745-751&lt;/pages&gt;&lt;volume&gt;173&lt;/volume&gt;&lt;number&gt;7&lt;/number&gt;&lt;dates&gt;&lt;year&gt;2011&lt;/year&gt;&lt;/dates&gt;&lt;isbn&gt;1476-6256&lt;/isbn&gt;&lt;urls&gt;&lt;/urls&gt;&lt;/record&gt;&lt;/Cite&gt;&lt;/EndNote&gt;</w:instrText>
      </w:r>
      <w:r w:rsidR="00F00D3B">
        <w:fldChar w:fldCharType="separate"/>
      </w:r>
      <w:r w:rsidR="00C86345">
        <w:rPr>
          <w:noProof/>
        </w:rPr>
        <w:t>(</w:t>
      </w:r>
      <w:hyperlink w:anchor="_ENREF_95" w:tooltip="Chiba, 2011 #67" w:history="1">
        <w:r w:rsidR="00EB6EA4">
          <w:rPr>
            <w:noProof/>
          </w:rPr>
          <w:t>95</w:t>
        </w:r>
      </w:hyperlink>
      <w:r w:rsidR="00C86345">
        <w:rPr>
          <w:noProof/>
        </w:rPr>
        <w:t>)</w:t>
      </w:r>
      <w:r w:rsidR="00F00D3B">
        <w:fldChar w:fldCharType="end"/>
      </w:r>
    </w:p>
    <w:p w14:paraId="5A95DB2E" w14:textId="521CB7D1" w:rsidR="00F3418E" w:rsidRPr="00204B26" w:rsidRDefault="00F3418E" w:rsidP="007501B9">
      <w:r w:rsidRPr="00204B26">
        <w:t xml:space="preserve">The survivor average causal effect was based on the estimates of treatment differences at 12 months, including those measured after </w:t>
      </w:r>
      <w:r w:rsidR="006B0804">
        <w:t>COVID</w:t>
      </w:r>
      <w:r w:rsidRPr="00204B26">
        <w:t>-19 restrictions</w:t>
      </w:r>
      <w:r w:rsidR="007501B9">
        <w:t xml:space="preserve">. </w:t>
      </w:r>
      <w:r w:rsidRPr="00204B26">
        <w:t>Then the bias term was added to the point estimate, as well as the upper and lower confidence limits, to produce the SACE estimates and confidence intervals.</w:t>
      </w:r>
    </w:p>
    <w:p w14:paraId="42064B27" w14:textId="77777777" w:rsidR="00F3418E" w:rsidRPr="00204B26" w:rsidRDefault="00F3418E" w:rsidP="007501B9">
      <w:r w:rsidRPr="00204B26">
        <w:t>Parameters:</w:t>
      </w:r>
    </w:p>
    <w:p w14:paraId="067DF009" w14:textId="3B79D6B0" w:rsidR="00F3418E" w:rsidRPr="00204B26" w:rsidRDefault="00F3418E" w:rsidP="00DF3B48">
      <w:pPr>
        <w:pStyle w:val="ListBullet"/>
      </w:pPr>
      <w:r w:rsidRPr="00204B26">
        <w:t xml:space="preserve">pi01 was 0.02 or </w:t>
      </w:r>
      <w:proofErr w:type="gramStart"/>
      <w:r w:rsidRPr="00204B26">
        <w:t>0.04</w:t>
      </w:r>
      <w:r w:rsidR="003E77B4">
        <w:t>;</w:t>
      </w:r>
      <w:proofErr w:type="gramEnd"/>
    </w:p>
    <w:p w14:paraId="286E4D15" w14:textId="798C617F" w:rsidR="00F3418E" w:rsidRPr="00204B26" w:rsidRDefault="00F3418E" w:rsidP="00DF3B48">
      <w:pPr>
        <w:pStyle w:val="ListBullet"/>
      </w:pPr>
      <w:r w:rsidRPr="00204B26">
        <w:t>beta0 and beta1 for the frailty index varied between ¼ and ½ a deficit and were negative (</w:t>
      </w:r>
      <w:proofErr w:type="spellStart"/>
      <w:proofErr w:type="gramStart"/>
      <w:r w:rsidRPr="00204B26">
        <w:t>ie</w:t>
      </w:r>
      <w:proofErr w:type="spellEnd"/>
      <w:proofErr w:type="gramEnd"/>
      <w:r w:rsidRPr="00204B26">
        <w:t xml:space="preserve"> 0.015 and 0.0075)</w:t>
      </w:r>
      <w:r w:rsidR="003E77B4">
        <w:t>;</w:t>
      </w:r>
    </w:p>
    <w:p w14:paraId="2A8FE0DE" w14:textId="11293402" w:rsidR="00F3418E" w:rsidRPr="00204B26" w:rsidRDefault="00F3418E" w:rsidP="00DF3B48">
      <w:pPr>
        <w:pStyle w:val="ListBullet"/>
      </w:pPr>
      <w:r w:rsidRPr="00204B26">
        <w:t xml:space="preserve">beta0 and beta1 for weight varied between -2 and +2 </w:t>
      </w:r>
      <w:proofErr w:type="gramStart"/>
      <w:r w:rsidRPr="00204B26">
        <w:t>kg</w:t>
      </w:r>
      <w:r w:rsidR="003E77B4">
        <w:t>;</w:t>
      </w:r>
      <w:proofErr w:type="gramEnd"/>
    </w:p>
    <w:p w14:paraId="011C263A" w14:textId="36998C94" w:rsidR="00F3418E" w:rsidRPr="00204B26" w:rsidRDefault="00F3418E" w:rsidP="00DF3B48">
      <w:pPr>
        <w:pStyle w:val="ListBullet"/>
      </w:pPr>
      <w:r w:rsidRPr="00204B26">
        <w:lastRenderedPageBreak/>
        <w:t>beta0 and beta1 for MoCA were -2, -1 and 0</w:t>
      </w:r>
      <w:r w:rsidR="000D5236">
        <w:t>.</w:t>
      </w:r>
    </w:p>
    <w:p w14:paraId="2FF32F2D" w14:textId="7BD630FC" w:rsidR="00F3418E" w:rsidRPr="00204B26" w:rsidRDefault="00F3418E" w:rsidP="00DF3B48">
      <w:pPr>
        <w:keepNext/>
      </w:pPr>
      <w:r w:rsidRPr="00204B26">
        <w:t>Results for the modelled scenarios are shown in the following tables</w:t>
      </w:r>
      <w:r w:rsidR="003E77B4">
        <w:t xml:space="preserve"> (Table </w:t>
      </w:r>
      <w:r w:rsidR="00171526">
        <w:t>App-E</w:t>
      </w:r>
      <w:r w:rsidR="003E77B4">
        <w:t>9 and 10)</w:t>
      </w:r>
      <w:r w:rsidRPr="00204B26">
        <w:t>.</w:t>
      </w:r>
    </w:p>
    <w:p w14:paraId="7877B90F" w14:textId="77777777" w:rsidR="00F3418E" w:rsidRPr="00F3418E" w:rsidRDefault="00F3418E" w:rsidP="00DF3B48">
      <w:pPr>
        <w:pStyle w:val="Heading4"/>
      </w:pPr>
      <w:r w:rsidRPr="00F3418E">
        <w:t>Frailty Index</w:t>
      </w:r>
    </w:p>
    <w:tbl>
      <w:tblPr>
        <w:tblW w:w="5000" w:type="pct"/>
        <w:jc w:val="center"/>
        <w:tblCellMar>
          <w:left w:w="0" w:type="dxa"/>
          <w:right w:w="0" w:type="dxa"/>
        </w:tblCellMar>
        <w:tblLook w:val="0000" w:firstRow="0" w:lastRow="0" w:firstColumn="0" w:lastColumn="0" w:noHBand="0" w:noVBand="0"/>
        <w:tblCaption w:val="Results for modelled scenarios for survivor causal effect for Frailty Index"/>
        <w:tblDescription w:val="Results for modelled scenarios for survivor causal effect for Frailty Index"/>
      </w:tblPr>
      <w:tblGrid>
        <w:gridCol w:w="534"/>
        <w:gridCol w:w="624"/>
        <w:gridCol w:w="623"/>
        <w:gridCol w:w="723"/>
        <w:gridCol w:w="723"/>
        <w:gridCol w:w="683"/>
        <w:gridCol w:w="683"/>
        <w:gridCol w:w="1240"/>
        <w:gridCol w:w="1270"/>
        <w:gridCol w:w="1907"/>
      </w:tblGrid>
      <w:tr w:rsidR="00DF3B48" w:rsidRPr="00DF3B48" w14:paraId="0BB0C004" w14:textId="77777777" w:rsidTr="00DF3B48">
        <w:trPr>
          <w:cantSplit/>
          <w:tblHeader/>
          <w:jc w:val="center"/>
        </w:trPr>
        <w:tc>
          <w:tcPr>
            <w:tcW w:w="296" w:type="pct"/>
            <w:tcBorders>
              <w:top w:val="single" w:sz="6" w:space="0" w:color="000000"/>
              <w:left w:val="single" w:sz="6" w:space="0" w:color="000000"/>
              <w:bottom w:val="single" w:sz="2" w:space="0" w:color="000000"/>
              <w:right w:val="nil"/>
            </w:tcBorders>
            <w:shd w:val="clear" w:color="auto" w:fill="000000" w:themeFill="text1"/>
            <w:tcMar>
              <w:left w:w="80" w:type="dxa"/>
              <w:right w:w="80" w:type="dxa"/>
            </w:tcMar>
            <w:vAlign w:val="bottom"/>
          </w:tcPr>
          <w:p w14:paraId="24037028" w14:textId="77777777" w:rsidR="00F3418E" w:rsidRPr="00DF3B48" w:rsidRDefault="00F3418E" w:rsidP="00DF3B48">
            <w:pPr>
              <w:pStyle w:val="TableHeading0"/>
              <w:rPr>
                <w:rFonts w:ascii="Arial Narrow" w:hAnsi="Arial Narrow"/>
                <w:sz w:val="20"/>
                <w:szCs w:val="20"/>
              </w:rPr>
            </w:pPr>
            <w:r w:rsidRPr="00DF3B48">
              <w:rPr>
                <w:rFonts w:ascii="Arial Narrow" w:hAnsi="Arial Narrow"/>
                <w:sz w:val="20"/>
                <w:szCs w:val="20"/>
              </w:rPr>
              <w:t>pi01</w:t>
            </w:r>
          </w:p>
        </w:tc>
        <w:tc>
          <w:tcPr>
            <w:tcW w:w="346" w:type="pct"/>
            <w:tcBorders>
              <w:top w:val="single" w:sz="6" w:space="0" w:color="000000"/>
              <w:left w:val="single" w:sz="2" w:space="0" w:color="000000"/>
              <w:bottom w:val="single" w:sz="2" w:space="0" w:color="000000"/>
              <w:right w:val="nil"/>
            </w:tcBorders>
            <w:shd w:val="clear" w:color="auto" w:fill="000000" w:themeFill="text1"/>
            <w:tcMar>
              <w:left w:w="80" w:type="dxa"/>
              <w:right w:w="80" w:type="dxa"/>
            </w:tcMar>
            <w:vAlign w:val="bottom"/>
          </w:tcPr>
          <w:p w14:paraId="32F2842D" w14:textId="77777777" w:rsidR="00F3418E" w:rsidRPr="00DF3B48" w:rsidRDefault="00F3418E" w:rsidP="00DF3B48">
            <w:pPr>
              <w:pStyle w:val="TableHeading0"/>
              <w:rPr>
                <w:rFonts w:ascii="Arial Narrow" w:hAnsi="Arial Narrow"/>
                <w:sz w:val="20"/>
                <w:szCs w:val="20"/>
              </w:rPr>
            </w:pPr>
            <w:r w:rsidRPr="00DF3B48">
              <w:rPr>
                <w:rFonts w:ascii="Arial Narrow" w:hAnsi="Arial Narrow"/>
                <w:sz w:val="20"/>
                <w:szCs w:val="20"/>
              </w:rPr>
              <w:t>p1</w:t>
            </w:r>
          </w:p>
        </w:tc>
        <w:tc>
          <w:tcPr>
            <w:tcW w:w="346" w:type="pct"/>
            <w:tcBorders>
              <w:top w:val="single" w:sz="6" w:space="0" w:color="000000"/>
              <w:left w:val="single" w:sz="2" w:space="0" w:color="000000"/>
              <w:bottom w:val="single" w:sz="2" w:space="0" w:color="000000"/>
              <w:right w:val="nil"/>
            </w:tcBorders>
            <w:shd w:val="clear" w:color="auto" w:fill="000000" w:themeFill="text1"/>
            <w:tcMar>
              <w:left w:w="80" w:type="dxa"/>
              <w:right w:w="80" w:type="dxa"/>
            </w:tcMar>
            <w:vAlign w:val="bottom"/>
          </w:tcPr>
          <w:p w14:paraId="1CC57D6E" w14:textId="77777777" w:rsidR="00F3418E" w:rsidRPr="00DF3B48" w:rsidRDefault="00F3418E" w:rsidP="00DF3B48">
            <w:pPr>
              <w:pStyle w:val="TableHeading0"/>
              <w:rPr>
                <w:rFonts w:ascii="Arial Narrow" w:hAnsi="Arial Narrow"/>
                <w:sz w:val="20"/>
                <w:szCs w:val="20"/>
              </w:rPr>
            </w:pPr>
            <w:r w:rsidRPr="00DF3B48">
              <w:rPr>
                <w:rFonts w:ascii="Arial Narrow" w:hAnsi="Arial Narrow"/>
                <w:sz w:val="20"/>
                <w:szCs w:val="20"/>
              </w:rPr>
              <w:t>p0</w:t>
            </w:r>
          </w:p>
        </w:tc>
        <w:tc>
          <w:tcPr>
            <w:tcW w:w="401" w:type="pct"/>
            <w:tcBorders>
              <w:top w:val="single" w:sz="6" w:space="0" w:color="000000"/>
              <w:left w:val="single" w:sz="2" w:space="0" w:color="000000"/>
              <w:bottom w:val="single" w:sz="2" w:space="0" w:color="000000"/>
              <w:right w:val="nil"/>
            </w:tcBorders>
            <w:shd w:val="clear" w:color="auto" w:fill="000000" w:themeFill="text1"/>
            <w:tcMar>
              <w:left w:w="80" w:type="dxa"/>
              <w:right w:w="80" w:type="dxa"/>
            </w:tcMar>
            <w:vAlign w:val="bottom"/>
          </w:tcPr>
          <w:p w14:paraId="5F699896" w14:textId="77777777" w:rsidR="00F3418E" w:rsidRPr="00DF3B48" w:rsidRDefault="00F3418E" w:rsidP="00DF3B48">
            <w:pPr>
              <w:pStyle w:val="TableHeading0"/>
              <w:rPr>
                <w:rFonts w:ascii="Arial Narrow" w:hAnsi="Arial Narrow"/>
                <w:sz w:val="20"/>
                <w:szCs w:val="20"/>
              </w:rPr>
            </w:pPr>
            <w:r w:rsidRPr="00DF3B48">
              <w:rPr>
                <w:rFonts w:ascii="Arial Narrow" w:hAnsi="Arial Narrow"/>
                <w:sz w:val="20"/>
                <w:szCs w:val="20"/>
              </w:rPr>
              <w:t>beta0</w:t>
            </w:r>
          </w:p>
        </w:tc>
        <w:tc>
          <w:tcPr>
            <w:tcW w:w="401" w:type="pct"/>
            <w:tcBorders>
              <w:top w:val="single" w:sz="6" w:space="0" w:color="000000"/>
              <w:left w:val="single" w:sz="2" w:space="0" w:color="000000"/>
              <w:bottom w:val="single" w:sz="2" w:space="0" w:color="000000"/>
              <w:right w:val="nil"/>
            </w:tcBorders>
            <w:shd w:val="clear" w:color="auto" w:fill="000000" w:themeFill="text1"/>
            <w:tcMar>
              <w:left w:w="80" w:type="dxa"/>
              <w:right w:w="80" w:type="dxa"/>
            </w:tcMar>
            <w:vAlign w:val="bottom"/>
          </w:tcPr>
          <w:p w14:paraId="710F9219" w14:textId="77777777" w:rsidR="00F3418E" w:rsidRPr="00DF3B48" w:rsidRDefault="00F3418E" w:rsidP="00DF3B48">
            <w:pPr>
              <w:pStyle w:val="TableHeading0"/>
              <w:rPr>
                <w:rFonts w:ascii="Arial Narrow" w:hAnsi="Arial Narrow"/>
                <w:sz w:val="20"/>
                <w:szCs w:val="20"/>
              </w:rPr>
            </w:pPr>
            <w:r w:rsidRPr="00DF3B48">
              <w:rPr>
                <w:rFonts w:ascii="Arial Narrow" w:hAnsi="Arial Narrow"/>
                <w:sz w:val="20"/>
                <w:szCs w:val="20"/>
              </w:rPr>
              <w:t>beta1</w:t>
            </w:r>
          </w:p>
        </w:tc>
        <w:tc>
          <w:tcPr>
            <w:tcW w:w="379" w:type="pct"/>
            <w:tcBorders>
              <w:top w:val="single" w:sz="6" w:space="0" w:color="000000"/>
              <w:left w:val="single" w:sz="2" w:space="0" w:color="000000"/>
              <w:bottom w:val="single" w:sz="2" w:space="0" w:color="000000"/>
              <w:right w:val="nil"/>
            </w:tcBorders>
            <w:shd w:val="clear" w:color="auto" w:fill="000000" w:themeFill="text1"/>
            <w:tcMar>
              <w:left w:w="80" w:type="dxa"/>
              <w:right w:w="80" w:type="dxa"/>
            </w:tcMar>
            <w:vAlign w:val="bottom"/>
          </w:tcPr>
          <w:p w14:paraId="7D64C097" w14:textId="77777777" w:rsidR="00F3418E" w:rsidRPr="00DF3B48" w:rsidRDefault="00F3418E" w:rsidP="00DF3B48">
            <w:pPr>
              <w:pStyle w:val="TableHeading0"/>
              <w:rPr>
                <w:rFonts w:ascii="Arial Narrow" w:hAnsi="Arial Narrow"/>
                <w:sz w:val="20"/>
                <w:szCs w:val="20"/>
              </w:rPr>
            </w:pPr>
            <w:r w:rsidRPr="00DF3B48">
              <w:rPr>
                <w:rFonts w:ascii="Arial Narrow" w:hAnsi="Arial Narrow"/>
                <w:sz w:val="20"/>
                <w:szCs w:val="20"/>
              </w:rPr>
              <w:t>bias</w:t>
            </w:r>
          </w:p>
        </w:tc>
        <w:tc>
          <w:tcPr>
            <w:tcW w:w="379" w:type="pct"/>
            <w:tcBorders>
              <w:top w:val="single" w:sz="6" w:space="0" w:color="000000"/>
              <w:left w:val="single" w:sz="2" w:space="0" w:color="000000"/>
              <w:bottom w:val="single" w:sz="2" w:space="0" w:color="000000"/>
              <w:right w:val="nil"/>
            </w:tcBorders>
            <w:shd w:val="clear" w:color="auto" w:fill="000000" w:themeFill="text1"/>
            <w:tcMar>
              <w:left w:w="80" w:type="dxa"/>
              <w:right w:w="80" w:type="dxa"/>
            </w:tcMar>
            <w:vAlign w:val="bottom"/>
          </w:tcPr>
          <w:p w14:paraId="1D3D5645" w14:textId="77777777" w:rsidR="00F3418E" w:rsidRPr="00DF3B48" w:rsidRDefault="00F3418E" w:rsidP="00DF3B48">
            <w:pPr>
              <w:pStyle w:val="TableHeading0"/>
              <w:rPr>
                <w:rFonts w:ascii="Arial Narrow" w:hAnsi="Arial Narrow"/>
                <w:sz w:val="20"/>
                <w:szCs w:val="20"/>
              </w:rPr>
            </w:pPr>
            <w:r w:rsidRPr="00DF3B48">
              <w:rPr>
                <w:rFonts w:ascii="Arial Narrow" w:hAnsi="Arial Narrow"/>
                <w:sz w:val="20"/>
                <w:szCs w:val="20"/>
              </w:rPr>
              <w:t>SACE</w:t>
            </w:r>
          </w:p>
        </w:tc>
        <w:tc>
          <w:tcPr>
            <w:tcW w:w="688" w:type="pct"/>
            <w:tcBorders>
              <w:top w:val="single" w:sz="6" w:space="0" w:color="000000"/>
              <w:left w:val="single" w:sz="2" w:space="0" w:color="000000"/>
              <w:bottom w:val="single" w:sz="2" w:space="0" w:color="000000"/>
              <w:right w:val="nil"/>
            </w:tcBorders>
            <w:shd w:val="clear" w:color="auto" w:fill="000000" w:themeFill="text1"/>
            <w:tcMar>
              <w:left w:w="80" w:type="dxa"/>
              <w:right w:w="80" w:type="dxa"/>
            </w:tcMar>
            <w:vAlign w:val="bottom"/>
          </w:tcPr>
          <w:p w14:paraId="552360D1" w14:textId="77777777" w:rsidR="00F3418E" w:rsidRPr="00DF3B48" w:rsidRDefault="00F3418E" w:rsidP="00DF3B48">
            <w:pPr>
              <w:pStyle w:val="TableHeading0"/>
              <w:rPr>
                <w:rFonts w:ascii="Arial Narrow" w:hAnsi="Arial Narrow"/>
                <w:sz w:val="20"/>
                <w:szCs w:val="20"/>
              </w:rPr>
            </w:pPr>
            <w:proofErr w:type="spellStart"/>
            <w:r w:rsidRPr="00DF3B48">
              <w:rPr>
                <w:rFonts w:ascii="Arial Narrow" w:hAnsi="Arial Narrow"/>
                <w:sz w:val="20"/>
                <w:szCs w:val="20"/>
              </w:rPr>
              <w:t>SACE_lower</w:t>
            </w:r>
            <w:proofErr w:type="spellEnd"/>
          </w:p>
        </w:tc>
        <w:tc>
          <w:tcPr>
            <w:tcW w:w="705" w:type="pct"/>
            <w:tcBorders>
              <w:top w:val="single" w:sz="6" w:space="0" w:color="000000"/>
              <w:left w:val="single" w:sz="2" w:space="0" w:color="000000"/>
              <w:bottom w:val="single" w:sz="2" w:space="0" w:color="000000"/>
              <w:right w:val="nil"/>
            </w:tcBorders>
            <w:shd w:val="clear" w:color="auto" w:fill="000000" w:themeFill="text1"/>
            <w:tcMar>
              <w:left w:w="80" w:type="dxa"/>
              <w:right w:w="80" w:type="dxa"/>
            </w:tcMar>
            <w:vAlign w:val="bottom"/>
          </w:tcPr>
          <w:p w14:paraId="49462444" w14:textId="77777777" w:rsidR="00F3418E" w:rsidRPr="00DF3B48" w:rsidRDefault="00F3418E" w:rsidP="00DF3B48">
            <w:pPr>
              <w:pStyle w:val="TableHeading0"/>
              <w:rPr>
                <w:rFonts w:ascii="Arial Narrow" w:hAnsi="Arial Narrow"/>
                <w:sz w:val="20"/>
                <w:szCs w:val="20"/>
              </w:rPr>
            </w:pPr>
            <w:proofErr w:type="spellStart"/>
            <w:r w:rsidRPr="00DF3B48">
              <w:rPr>
                <w:rFonts w:ascii="Arial Narrow" w:hAnsi="Arial Narrow"/>
                <w:sz w:val="20"/>
                <w:szCs w:val="20"/>
              </w:rPr>
              <w:t>SACE_upper</w:t>
            </w:r>
            <w:proofErr w:type="spellEnd"/>
          </w:p>
        </w:tc>
        <w:tc>
          <w:tcPr>
            <w:tcW w:w="1058" w:type="pct"/>
            <w:tcBorders>
              <w:top w:val="single" w:sz="6" w:space="0" w:color="000000"/>
              <w:left w:val="single" w:sz="2" w:space="0" w:color="000000"/>
              <w:bottom w:val="single" w:sz="2" w:space="0" w:color="000000"/>
              <w:right w:val="single" w:sz="6" w:space="0" w:color="000000"/>
            </w:tcBorders>
            <w:shd w:val="clear" w:color="auto" w:fill="000000" w:themeFill="text1"/>
            <w:tcMar>
              <w:left w:w="80" w:type="dxa"/>
              <w:right w:w="80" w:type="dxa"/>
            </w:tcMar>
            <w:vAlign w:val="bottom"/>
          </w:tcPr>
          <w:p w14:paraId="22EA2596" w14:textId="77777777" w:rsidR="00F3418E" w:rsidRPr="00DF3B48" w:rsidRDefault="00F3418E" w:rsidP="00DF3B48">
            <w:pPr>
              <w:pStyle w:val="TableHeading0"/>
              <w:rPr>
                <w:rFonts w:ascii="Arial Narrow" w:hAnsi="Arial Narrow"/>
                <w:sz w:val="20"/>
                <w:szCs w:val="20"/>
              </w:rPr>
            </w:pPr>
            <w:r w:rsidRPr="00DF3B48">
              <w:rPr>
                <w:rFonts w:ascii="Arial Narrow" w:hAnsi="Arial Narrow"/>
                <w:sz w:val="20"/>
                <w:szCs w:val="20"/>
              </w:rPr>
              <w:t>ci</w:t>
            </w:r>
          </w:p>
        </w:tc>
      </w:tr>
      <w:tr w:rsidR="00F3418E" w:rsidRPr="00DF3B48" w14:paraId="13FE0A1D" w14:textId="77777777" w:rsidTr="00DF3B48">
        <w:trPr>
          <w:cantSplit/>
          <w:jc w:val="center"/>
        </w:trPr>
        <w:tc>
          <w:tcPr>
            <w:tcW w:w="296" w:type="pct"/>
            <w:tcBorders>
              <w:top w:val="nil"/>
              <w:left w:val="single" w:sz="6" w:space="0" w:color="000000"/>
              <w:bottom w:val="single" w:sz="2" w:space="0" w:color="000000"/>
              <w:right w:val="nil"/>
            </w:tcBorders>
            <w:shd w:val="clear" w:color="auto" w:fill="FFFFFF"/>
            <w:tcMar>
              <w:left w:w="80" w:type="dxa"/>
              <w:right w:w="80" w:type="dxa"/>
            </w:tcMar>
          </w:tcPr>
          <w:p w14:paraId="16C308BC"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0.02</w:t>
            </w:r>
          </w:p>
        </w:tc>
        <w:tc>
          <w:tcPr>
            <w:tcW w:w="346" w:type="pct"/>
            <w:tcBorders>
              <w:top w:val="nil"/>
              <w:left w:val="single" w:sz="2" w:space="0" w:color="000000"/>
              <w:bottom w:val="single" w:sz="2" w:space="0" w:color="000000"/>
              <w:right w:val="nil"/>
            </w:tcBorders>
            <w:shd w:val="clear" w:color="auto" w:fill="FFFFFF"/>
            <w:tcMar>
              <w:left w:w="80" w:type="dxa"/>
              <w:right w:w="80" w:type="dxa"/>
            </w:tcMar>
          </w:tcPr>
          <w:p w14:paraId="5332DF60"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0.192</w:t>
            </w:r>
          </w:p>
        </w:tc>
        <w:tc>
          <w:tcPr>
            <w:tcW w:w="346" w:type="pct"/>
            <w:tcBorders>
              <w:top w:val="nil"/>
              <w:left w:val="single" w:sz="2" w:space="0" w:color="000000"/>
              <w:bottom w:val="single" w:sz="2" w:space="0" w:color="000000"/>
              <w:right w:val="nil"/>
            </w:tcBorders>
            <w:shd w:val="clear" w:color="auto" w:fill="FFFFFF"/>
            <w:tcMar>
              <w:left w:w="80" w:type="dxa"/>
              <w:right w:w="80" w:type="dxa"/>
            </w:tcMar>
          </w:tcPr>
          <w:p w14:paraId="61B03FDD"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0.133</w:t>
            </w:r>
          </w:p>
        </w:tc>
        <w:tc>
          <w:tcPr>
            <w:tcW w:w="401" w:type="pct"/>
            <w:tcBorders>
              <w:top w:val="nil"/>
              <w:left w:val="single" w:sz="2" w:space="0" w:color="000000"/>
              <w:bottom w:val="single" w:sz="2" w:space="0" w:color="000000"/>
              <w:right w:val="nil"/>
            </w:tcBorders>
            <w:shd w:val="clear" w:color="auto" w:fill="FFFFFF"/>
            <w:tcMar>
              <w:left w:w="80" w:type="dxa"/>
              <w:right w:w="80" w:type="dxa"/>
            </w:tcMar>
          </w:tcPr>
          <w:p w14:paraId="418EE0E5"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0.0000</w:t>
            </w:r>
          </w:p>
        </w:tc>
        <w:tc>
          <w:tcPr>
            <w:tcW w:w="401" w:type="pct"/>
            <w:tcBorders>
              <w:top w:val="nil"/>
              <w:left w:val="single" w:sz="2" w:space="0" w:color="000000"/>
              <w:bottom w:val="single" w:sz="2" w:space="0" w:color="000000"/>
              <w:right w:val="nil"/>
            </w:tcBorders>
            <w:shd w:val="clear" w:color="auto" w:fill="FFFFFF"/>
            <w:tcMar>
              <w:left w:w="80" w:type="dxa"/>
              <w:right w:w="80" w:type="dxa"/>
            </w:tcMar>
          </w:tcPr>
          <w:p w14:paraId="21568257"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0.0000</w:t>
            </w:r>
          </w:p>
        </w:tc>
        <w:tc>
          <w:tcPr>
            <w:tcW w:w="379" w:type="pct"/>
            <w:tcBorders>
              <w:top w:val="nil"/>
              <w:left w:val="single" w:sz="2" w:space="0" w:color="000000"/>
              <w:bottom w:val="single" w:sz="2" w:space="0" w:color="000000"/>
              <w:right w:val="nil"/>
            </w:tcBorders>
            <w:shd w:val="clear" w:color="auto" w:fill="FFFFFF"/>
            <w:tcMar>
              <w:left w:w="80" w:type="dxa"/>
              <w:right w:w="80" w:type="dxa"/>
            </w:tcMar>
          </w:tcPr>
          <w:p w14:paraId="0ED31295"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0.000</w:t>
            </w:r>
          </w:p>
        </w:tc>
        <w:tc>
          <w:tcPr>
            <w:tcW w:w="379" w:type="pct"/>
            <w:tcBorders>
              <w:top w:val="nil"/>
              <w:left w:val="single" w:sz="2" w:space="0" w:color="000000"/>
              <w:bottom w:val="single" w:sz="2" w:space="0" w:color="000000"/>
              <w:right w:val="nil"/>
            </w:tcBorders>
            <w:shd w:val="clear" w:color="auto" w:fill="FFFFFF"/>
            <w:tcMar>
              <w:left w:w="80" w:type="dxa"/>
              <w:right w:w="80" w:type="dxa"/>
            </w:tcMar>
          </w:tcPr>
          <w:p w14:paraId="527CA2D6"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-0.009</w:t>
            </w:r>
          </w:p>
        </w:tc>
        <w:tc>
          <w:tcPr>
            <w:tcW w:w="688" w:type="pct"/>
            <w:tcBorders>
              <w:top w:val="nil"/>
              <w:left w:val="single" w:sz="2" w:space="0" w:color="000000"/>
              <w:bottom w:val="single" w:sz="2" w:space="0" w:color="000000"/>
              <w:right w:val="nil"/>
            </w:tcBorders>
            <w:shd w:val="clear" w:color="auto" w:fill="FFFFFF"/>
            <w:tcMar>
              <w:left w:w="80" w:type="dxa"/>
              <w:right w:w="80" w:type="dxa"/>
            </w:tcMar>
          </w:tcPr>
          <w:p w14:paraId="127FDB3D"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-0.028</w:t>
            </w:r>
          </w:p>
        </w:tc>
        <w:tc>
          <w:tcPr>
            <w:tcW w:w="705" w:type="pct"/>
            <w:tcBorders>
              <w:top w:val="nil"/>
              <w:left w:val="single" w:sz="2" w:space="0" w:color="000000"/>
              <w:bottom w:val="single" w:sz="2" w:space="0" w:color="000000"/>
              <w:right w:val="nil"/>
            </w:tcBorders>
            <w:shd w:val="clear" w:color="auto" w:fill="FFFFFF"/>
            <w:tcMar>
              <w:left w:w="80" w:type="dxa"/>
              <w:right w:w="80" w:type="dxa"/>
            </w:tcMar>
          </w:tcPr>
          <w:p w14:paraId="4E0A716D"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0.009</w:t>
            </w:r>
          </w:p>
        </w:tc>
        <w:tc>
          <w:tcPr>
            <w:tcW w:w="1058" w:type="pct"/>
            <w:tcBorders>
              <w:top w:val="nil"/>
              <w:left w:val="single" w:sz="2" w:space="0" w:color="000000"/>
              <w:bottom w:val="single" w:sz="2" w:space="0" w:color="000000"/>
              <w:right w:val="single" w:sz="6" w:space="0" w:color="000000"/>
            </w:tcBorders>
            <w:shd w:val="clear" w:color="auto" w:fill="FFFFFF"/>
            <w:tcMar>
              <w:left w:w="80" w:type="dxa"/>
              <w:right w:w="80" w:type="dxa"/>
            </w:tcMar>
          </w:tcPr>
          <w:p w14:paraId="01AE3A45"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-0.009 (-0.028, 0.009)</w:t>
            </w:r>
          </w:p>
        </w:tc>
      </w:tr>
      <w:tr w:rsidR="00F3418E" w:rsidRPr="00DF3B48" w14:paraId="24436954" w14:textId="77777777" w:rsidTr="00DF3B48">
        <w:trPr>
          <w:cantSplit/>
          <w:jc w:val="center"/>
        </w:trPr>
        <w:tc>
          <w:tcPr>
            <w:tcW w:w="296" w:type="pct"/>
            <w:tcBorders>
              <w:top w:val="nil"/>
              <w:left w:val="single" w:sz="6" w:space="0" w:color="000000"/>
              <w:bottom w:val="single" w:sz="2" w:space="0" w:color="000000"/>
              <w:right w:val="nil"/>
            </w:tcBorders>
            <w:shd w:val="clear" w:color="auto" w:fill="FFFFFF"/>
            <w:tcMar>
              <w:left w:w="80" w:type="dxa"/>
              <w:right w:w="80" w:type="dxa"/>
            </w:tcMar>
          </w:tcPr>
          <w:p w14:paraId="13D6B1FD"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0.04</w:t>
            </w:r>
          </w:p>
        </w:tc>
        <w:tc>
          <w:tcPr>
            <w:tcW w:w="346" w:type="pct"/>
            <w:tcBorders>
              <w:top w:val="nil"/>
              <w:left w:val="single" w:sz="2" w:space="0" w:color="000000"/>
              <w:bottom w:val="single" w:sz="2" w:space="0" w:color="000000"/>
              <w:right w:val="nil"/>
            </w:tcBorders>
            <w:shd w:val="clear" w:color="auto" w:fill="FFFFFF"/>
            <w:tcMar>
              <w:left w:w="80" w:type="dxa"/>
              <w:right w:w="80" w:type="dxa"/>
            </w:tcMar>
          </w:tcPr>
          <w:p w14:paraId="2E76EAE9"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0.192</w:t>
            </w:r>
          </w:p>
        </w:tc>
        <w:tc>
          <w:tcPr>
            <w:tcW w:w="346" w:type="pct"/>
            <w:tcBorders>
              <w:top w:val="nil"/>
              <w:left w:val="single" w:sz="2" w:space="0" w:color="000000"/>
              <w:bottom w:val="single" w:sz="2" w:space="0" w:color="000000"/>
              <w:right w:val="nil"/>
            </w:tcBorders>
            <w:shd w:val="clear" w:color="auto" w:fill="FFFFFF"/>
            <w:tcMar>
              <w:left w:w="80" w:type="dxa"/>
              <w:right w:w="80" w:type="dxa"/>
            </w:tcMar>
          </w:tcPr>
          <w:p w14:paraId="231EC8BC"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0.133</w:t>
            </w:r>
          </w:p>
        </w:tc>
        <w:tc>
          <w:tcPr>
            <w:tcW w:w="401" w:type="pct"/>
            <w:tcBorders>
              <w:top w:val="nil"/>
              <w:left w:val="single" w:sz="2" w:space="0" w:color="000000"/>
              <w:bottom w:val="single" w:sz="2" w:space="0" w:color="000000"/>
              <w:right w:val="nil"/>
            </w:tcBorders>
            <w:shd w:val="clear" w:color="auto" w:fill="FFFFFF"/>
            <w:tcMar>
              <w:left w:w="80" w:type="dxa"/>
              <w:right w:w="80" w:type="dxa"/>
            </w:tcMar>
          </w:tcPr>
          <w:p w14:paraId="6F0790D6"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0.0000</w:t>
            </w:r>
          </w:p>
        </w:tc>
        <w:tc>
          <w:tcPr>
            <w:tcW w:w="401" w:type="pct"/>
            <w:tcBorders>
              <w:top w:val="nil"/>
              <w:left w:val="single" w:sz="2" w:space="0" w:color="000000"/>
              <w:bottom w:val="single" w:sz="2" w:space="0" w:color="000000"/>
              <w:right w:val="nil"/>
            </w:tcBorders>
            <w:shd w:val="clear" w:color="auto" w:fill="FFFFFF"/>
            <w:tcMar>
              <w:left w:w="80" w:type="dxa"/>
              <w:right w:w="80" w:type="dxa"/>
            </w:tcMar>
          </w:tcPr>
          <w:p w14:paraId="104C58F5"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0.0000</w:t>
            </w:r>
          </w:p>
        </w:tc>
        <w:tc>
          <w:tcPr>
            <w:tcW w:w="379" w:type="pct"/>
            <w:tcBorders>
              <w:top w:val="nil"/>
              <w:left w:val="single" w:sz="2" w:space="0" w:color="000000"/>
              <w:bottom w:val="single" w:sz="2" w:space="0" w:color="000000"/>
              <w:right w:val="nil"/>
            </w:tcBorders>
            <w:shd w:val="clear" w:color="auto" w:fill="FFFFFF"/>
            <w:tcMar>
              <w:left w:w="80" w:type="dxa"/>
              <w:right w:w="80" w:type="dxa"/>
            </w:tcMar>
          </w:tcPr>
          <w:p w14:paraId="5BFD622E"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0.000</w:t>
            </w:r>
          </w:p>
        </w:tc>
        <w:tc>
          <w:tcPr>
            <w:tcW w:w="379" w:type="pct"/>
            <w:tcBorders>
              <w:top w:val="nil"/>
              <w:left w:val="single" w:sz="2" w:space="0" w:color="000000"/>
              <w:bottom w:val="single" w:sz="2" w:space="0" w:color="000000"/>
              <w:right w:val="nil"/>
            </w:tcBorders>
            <w:shd w:val="clear" w:color="auto" w:fill="FFFFFF"/>
            <w:tcMar>
              <w:left w:w="80" w:type="dxa"/>
              <w:right w:w="80" w:type="dxa"/>
            </w:tcMar>
          </w:tcPr>
          <w:p w14:paraId="22AC5AE0"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-0.009</w:t>
            </w:r>
          </w:p>
        </w:tc>
        <w:tc>
          <w:tcPr>
            <w:tcW w:w="688" w:type="pct"/>
            <w:tcBorders>
              <w:top w:val="nil"/>
              <w:left w:val="single" w:sz="2" w:space="0" w:color="000000"/>
              <w:bottom w:val="single" w:sz="2" w:space="0" w:color="000000"/>
              <w:right w:val="nil"/>
            </w:tcBorders>
            <w:shd w:val="clear" w:color="auto" w:fill="FFFFFF"/>
            <w:tcMar>
              <w:left w:w="80" w:type="dxa"/>
              <w:right w:w="80" w:type="dxa"/>
            </w:tcMar>
          </w:tcPr>
          <w:p w14:paraId="492706E3"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-0.028</w:t>
            </w:r>
          </w:p>
        </w:tc>
        <w:tc>
          <w:tcPr>
            <w:tcW w:w="705" w:type="pct"/>
            <w:tcBorders>
              <w:top w:val="nil"/>
              <w:left w:val="single" w:sz="2" w:space="0" w:color="000000"/>
              <w:bottom w:val="single" w:sz="2" w:space="0" w:color="000000"/>
              <w:right w:val="nil"/>
            </w:tcBorders>
            <w:shd w:val="clear" w:color="auto" w:fill="FFFFFF"/>
            <w:tcMar>
              <w:left w:w="80" w:type="dxa"/>
              <w:right w:w="80" w:type="dxa"/>
            </w:tcMar>
          </w:tcPr>
          <w:p w14:paraId="793FFF30"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0.009</w:t>
            </w:r>
          </w:p>
        </w:tc>
        <w:tc>
          <w:tcPr>
            <w:tcW w:w="1058" w:type="pct"/>
            <w:tcBorders>
              <w:top w:val="nil"/>
              <w:left w:val="single" w:sz="2" w:space="0" w:color="000000"/>
              <w:bottom w:val="single" w:sz="2" w:space="0" w:color="000000"/>
              <w:right w:val="single" w:sz="6" w:space="0" w:color="000000"/>
            </w:tcBorders>
            <w:shd w:val="clear" w:color="auto" w:fill="FFFFFF"/>
            <w:tcMar>
              <w:left w:w="80" w:type="dxa"/>
              <w:right w:w="80" w:type="dxa"/>
            </w:tcMar>
          </w:tcPr>
          <w:p w14:paraId="272DD4A4"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-0.009 (-0.028, 0.009)</w:t>
            </w:r>
          </w:p>
        </w:tc>
      </w:tr>
      <w:tr w:rsidR="00F3418E" w:rsidRPr="00DF3B48" w14:paraId="6947B05C" w14:textId="77777777" w:rsidTr="00DF3B48">
        <w:trPr>
          <w:cantSplit/>
          <w:jc w:val="center"/>
        </w:trPr>
        <w:tc>
          <w:tcPr>
            <w:tcW w:w="296" w:type="pct"/>
            <w:tcBorders>
              <w:top w:val="nil"/>
              <w:left w:val="single" w:sz="6" w:space="0" w:color="000000"/>
              <w:bottom w:val="single" w:sz="2" w:space="0" w:color="000000"/>
              <w:right w:val="nil"/>
            </w:tcBorders>
            <w:shd w:val="clear" w:color="auto" w:fill="FFFFFF"/>
            <w:tcMar>
              <w:left w:w="80" w:type="dxa"/>
              <w:right w:w="80" w:type="dxa"/>
            </w:tcMar>
          </w:tcPr>
          <w:p w14:paraId="492C7583"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0.02</w:t>
            </w:r>
          </w:p>
        </w:tc>
        <w:tc>
          <w:tcPr>
            <w:tcW w:w="346" w:type="pct"/>
            <w:tcBorders>
              <w:top w:val="nil"/>
              <w:left w:val="single" w:sz="2" w:space="0" w:color="000000"/>
              <w:bottom w:val="single" w:sz="2" w:space="0" w:color="000000"/>
              <w:right w:val="nil"/>
            </w:tcBorders>
            <w:shd w:val="clear" w:color="auto" w:fill="FFFFFF"/>
            <w:tcMar>
              <w:left w:w="80" w:type="dxa"/>
              <w:right w:w="80" w:type="dxa"/>
            </w:tcMar>
          </w:tcPr>
          <w:p w14:paraId="49A4ECB2"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0.192</w:t>
            </w:r>
          </w:p>
        </w:tc>
        <w:tc>
          <w:tcPr>
            <w:tcW w:w="346" w:type="pct"/>
            <w:tcBorders>
              <w:top w:val="nil"/>
              <w:left w:val="single" w:sz="2" w:space="0" w:color="000000"/>
              <w:bottom w:val="single" w:sz="2" w:space="0" w:color="000000"/>
              <w:right w:val="nil"/>
            </w:tcBorders>
            <w:shd w:val="clear" w:color="auto" w:fill="FFFFFF"/>
            <w:tcMar>
              <w:left w:w="80" w:type="dxa"/>
              <w:right w:w="80" w:type="dxa"/>
            </w:tcMar>
          </w:tcPr>
          <w:p w14:paraId="571934CA"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0.133</w:t>
            </w:r>
          </w:p>
        </w:tc>
        <w:tc>
          <w:tcPr>
            <w:tcW w:w="401" w:type="pct"/>
            <w:tcBorders>
              <w:top w:val="nil"/>
              <w:left w:val="single" w:sz="2" w:space="0" w:color="000000"/>
              <w:bottom w:val="single" w:sz="2" w:space="0" w:color="000000"/>
              <w:right w:val="nil"/>
            </w:tcBorders>
            <w:shd w:val="clear" w:color="auto" w:fill="FFFFFF"/>
            <w:tcMar>
              <w:left w:w="80" w:type="dxa"/>
              <w:right w:w="80" w:type="dxa"/>
            </w:tcMar>
          </w:tcPr>
          <w:p w14:paraId="7D0B1833"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0.0000</w:t>
            </w:r>
          </w:p>
        </w:tc>
        <w:tc>
          <w:tcPr>
            <w:tcW w:w="401" w:type="pct"/>
            <w:tcBorders>
              <w:top w:val="nil"/>
              <w:left w:val="single" w:sz="2" w:space="0" w:color="000000"/>
              <w:bottom w:val="single" w:sz="2" w:space="0" w:color="000000"/>
              <w:right w:val="nil"/>
            </w:tcBorders>
            <w:shd w:val="clear" w:color="auto" w:fill="FFFFFF"/>
            <w:tcMar>
              <w:left w:w="80" w:type="dxa"/>
              <w:right w:w="80" w:type="dxa"/>
            </w:tcMar>
          </w:tcPr>
          <w:p w14:paraId="2DAC4F2B"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0.0075</w:t>
            </w:r>
          </w:p>
        </w:tc>
        <w:tc>
          <w:tcPr>
            <w:tcW w:w="379" w:type="pct"/>
            <w:tcBorders>
              <w:top w:val="nil"/>
              <w:left w:val="single" w:sz="2" w:space="0" w:color="000000"/>
              <w:bottom w:val="single" w:sz="2" w:space="0" w:color="000000"/>
              <w:right w:val="nil"/>
            </w:tcBorders>
            <w:shd w:val="clear" w:color="auto" w:fill="FFFFFF"/>
            <w:tcMar>
              <w:left w:w="80" w:type="dxa"/>
              <w:right w:w="80" w:type="dxa"/>
            </w:tcMar>
          </w:tcPr>
          <w:p w14:paraId="4665FB2A"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-0.003</w:t>
            </w:r>
          </w:p>
        </w:tc>
        <w:tc>
          <w:tcPr>
            <w:tcW w:w="379" w:type="pct"/>
            <w:tcBorders>
              <w:top w:val="nil"/>
              <w:left w:val="single" w:sz="2" w:space="0" w:color="000000"/>
              <w:bottom w:val="single" w:sz="2" w:space="0" w:color="000000"/>
              <w:right w:val="nil"/>
            </w:tcBorders>
            <w:shd w:val="clear" w:color="auto" w:fill="FFFFFF"/>
            <w:tcMar>
              <w:left w:w="80" w:type="dxa"/>
              <w:right w:w="80" w:type="dxa"/>
            </w:tcMar>
          </w:tcPr>
          <w:p w14:paraId="51614C3B"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-0.013</w:t>
            </w:r>
          </w:p>
        </w:tc>
        <w:tc>
          <w:tcPr>
            <w:tcW w:w="688" w:type="pct"/>
            <w:tcBorders>
              <w:top w:val="nil"/>
              <w:left w:val="single" w:sz="2" w:space="0" w:color="000000"/>
              <w:bottom w:val="single" w:sz="2" w:space="0" w:color="000000"/>
              <w:right w:val="nil"/>
            </w:tcBorders>
            <w:shd w:val="clear" w:color="auto" w:fill="FFFFFF"/>
            <w:tcMar>
              <w:left w:w="80" w:type="dxa"/>
              <w:right w:w="80" w:type="dxa"/>
            </w:tcMar>
          </w:tcPr>
          <w:p w14:paraId="1CB64256"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-0.031</w:t>
            </w:r>
          </w:p>
        </w:tc>
        <w:tc>
          <w:tcPr>
            <w:tcW w:w="705" w:type="pct"/>
            <w:tcBorders>
              <w:top w:val="nil"/>
              <w:left w:val="single" w:sz="2" w:space="0" w:color="000000"/>
              <w:bottom w:val="single" w:sz="2" w:space="0" w:color="000000"/>
              <w:right w:val="nil"/>
            </w:tcBorders>
            <w:shd w:val="clear" w:color="auto" w:fill="FFFFFF"/>
            <w:tcMar>
              <w:left w:w="80" w:type="dxa"/>
              <w:right w:w="80" w:type="dxa"/>
            </w:tcMar>
          </w:tcPr>
          <w:p w14:paraId="171B9AFC"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0.006</w:t>
            </w:r>
          </w:p>
        </w:tc>
        <w:tc>
          <w:tcPr>
            <w:tcW w:w="1058" w:type="pct"/>
            <w:tcBorders>
              <w:top w:val="nil"/>
              <w:left w:val="single" w:sz="2" w:space="0" w:color="000000"/>
              <w:bottom w:val="single" w:sz="2" w:space="0" w:color="000000"/>
              <w:right w:val="single" w:sz="6" w:space="0" w:color="000000"/>
            </w:tcBorders>
            <w:shd w:val="clear" w:color="auto" w:fill="FFFFFF"/>
            <w:tcMar>
              <w:left w:w="80" w:type="dxa"/>
              <w:right w:w="80" w:type="dxa"/>
            </w:tcMar>
          </w:tcPr>
          <w:p w14:paraId="191582CD"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-0.013 (-0.031, 0.006)</w:t>
            </w:r>
          </w:p>
        </w:tc>
      </w:tr>
      <w:tr w:rsidR="00F3418E" w:rsidRPr="00DF3B48" w14:paraId="253206C6" w14:textId="77777777" w:rsidTr="00DF3B48">
        <w:trPr>
          <w:cantSplit/>
          <w:jc w:val="center"/>
        </w:trPr>
        <w:tc>
          <w:tcPr>
            <w:tcW w:w="296" w:type="pct"/>
            <w:tcBorders>
              <w:top w:val="nil"/>
              <w:left w:val="single" w:sz="6" w:space="0" w:color="000000"/>
              <w:bottom w:val="single" w:sz="2" w:space="0" w:color="000000"/>
              <w:right w:val="nil"/>
            </w:tcBorders>
            <w:shd w:val="clear" w:color="auto" w:fill="FFFFFF"/>
            <w:tcMar>
              <w:left w:w="80" w:type="dxa"/>
              <w:right w:w="80" w:type="dxa"/>
            </w:tcMar>
          </w:tcPr>
          <w:p w14:paraId="7E45BAF8"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0.04</w:t>
            </w:r>
          </w:p>
        </w:tc>
        <w:tc>
          <w:tcPr>
            <w:tcW w:w="346" w:type="pct"/>
            <w:tcBorders>
              <w:top w:val="nil"/>
              <w:left w:val="single" w:sz="2" w:space="0" w:color="000000"/>
              <w:bottom w:val="single" w:sz="2" w:space="0" w:color="000000"/>
              <w:right w:val="nil"/>
            </w:tcBorders>
            <w:shd w:val="clear" w:color="auto" w:fill="FFFFFF"/>
            <w:tcMar>
              <w:left w:w="80" w:type="dxa"/>
              <w:right w:w="80" w:type="dxa"/>
            </w:tcMar>
          </w:tcPr>
          <w:p w14:paraId="5422BE78"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0.192</w:t>
            </w:r>
          </w:p>
        </w:tc>
        <w:tc>
          <w:tcPr>
            <w:tcW w:w="346" w:type="pct"/>
            <w:tcBorders>
              <w:top w:val="nil"/>
              <w:left w:val="single" w:sz="2" w:space="0" w:color="000000"/>
              <w:bottom w:val="single" w:sz="2" w:space="0" w:color="000000"/>
              <w:right w:val="nil"/>
            </w:tcBorders>
            <w:shd w:val="clear" w:color="auto" w:fill="FFFFFF"/>
            <w:tcMar>
              <w:left w:w="80" w:type="dxa"/>
              <w:right w:w="80" w:type="dxa"/>
            </w:tcMar>
          </w:tcPr>
          <w:p w14:paraId="53F1DD88"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0.133</w:t>
            </w:r>
          </w:p>
        </w:tc>
        <w:tc>
          <w:tcPr>
            <w:tcW w:w="401" w:type="pct"/>
            <w:tcBorders>
              <w:top w:val="nil"/>
              <w:left w:val="single" w:sz="2" w:space="0" w:color="000000"/>
              <w:bottom w:val="single" w:sz="2" w:space="0" w:color="000000"/>
              <w:right w:val="nil"/>
            </w:tcBorders>
            <w:shd w:val="clear" w:color="auto" w:fill="FFFFFF"/>
            <w:tcMar>
              <w:left w:w="80" w:type="dxa"/>
              <w:right w:w="80" w:type="dxa"/>
            </w:tcMar>
          </w:tcPr>
          <w:p w14:paraId="00CC7F61"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0.0000</w:t>
            </w:r>
          </w:p>
        </w:tc>
        <w:tc>
          <w:tcPr>
            <w:tcW w:w="401" w:type="pct"/>
            <w:tcBorders>
              <w:top w:val="nil"/>
              <w:left w:val="single" w:sz="2" w:space="0" w:color="000000"/>
              <w:bottom w:val="single" w:sz="2" w:space="0" w:color="000000"/>
              <w:right w:val="nil"/>
            </w:tcBorders>
            <w:shd w:val="clear" w:color="auto" w:fill="FFFFFF"/>
            <w:tcMar>
              <w:left w:w="80" w:type="dxa"/>
              <w:right w:w="80" w:type="dxa"/>
            </w:tcMar>
          </w:tcPr>
          <w:p w14:paraId="403F5EF7"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0.0075</w:t>
            </w:r>
          </w:p>
        </w:tc>
        <w:tc>
          <w:tcPr>
            <w:tcW w:w="379" w:type="pct"/>
            <w:tcBorders>
              <w:top w:val="nil"/>
              <w:left w:val="single" w:sz="2" w:space="0" w:color="000000"/>
              <w:bottom w:val="single" w:sz="2" w:space="0" w:color="000000"/>
              <w:right w:val="nil"/>
            </w:tcBorders>
            <w:shd w:val="clear" w:color="auto" w:fill="FFFFFF"/>
            <w:tcMar>
              <w:left w:w="80" w:type="dxa"/>
              <w:right w:w="80" w:type="dxa"/>
            </w:tcMar>
          </w:tcPr>
          <w:p w14:paraId="5A2B0272"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-0.004</w:t>
            </w:r>
          </w:p>
        </w:tc>
        <w:tc>
          <w:tcPr>
            <w:tcW w:w="379" w:type="pct"/>
            <w:tcBorders>
              <w:top w:val="nil"/>
              <w:left w:val="single" w:sz="2" w:space="0" w:color="000000"/>
              <w:bottom w:val="single" w:sz="2" w:space="0" w:color="000000"/>
              <w:right w:val="nil"/>
            </w:tcBorders>
            <w:shd w:val="clear" w:color="auto" w:fill="FFFFFF"/>
            <w:tcMar>
              <w:left w:w="80" w:type="dxa"/>
              <w:right w:w="80" w:type="dxa"/>
            </w:tcMar>
          </w:tcPr>
          <w:p w14:paraId="3F09B71D"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-0.013</w:t>
            </w:r>
          </w:p>
        </w:tc>
        <w:tc>
          <w:tcPr>
            <w:tcW w:w="688" w:type="pct"/>
            <w:tcBorders>
              <w:top w:val="nil"/>
              <w:left w:val="single" w:sz="2" w:space="0" w:color="000000"/>
              <w:bottom w:val="single" w:sz="2" w:space="0" w:color="000000"/>
              <w:right w:val="nil"/>
            </w:tcBorders>
            <w:shd w:val="clear" w:color="auto" w:fill="FFFFFF"/>
            <w:tcMar>
              <w:left w:w="80" w:type="dxa"/>
              <w:right w:w="80" w:type="dxa"/>
            </w:tcMar>
          </w:tcPr>
          <w:p w14:paraId="72C2BC5B"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-0.032</w:t>
            </w:r>
          </w:p>
        </w:tc>
        <w:tc>
          <w:tcPr>
            <w:tcW w:w="705" w:type="pct"/>
            <w:tcBorders>
              <w:top w:val="nil"/>
              <w:left w:val="single" w:sz="2" w:space="0" w:color="000000"/>
              <w:bottom w:val="single" w:sz="2" w:space="0" w:color="000000"/>
              <w:right w:val="nil"/>
            </w:tcBorders>
            <w:shd w:val="clear" w:color="auto" w:fill="FFFFFF"/>
            <w:tcMar>
              <w:left w:w="80" w:type="dxa"/>
              <w:right w:w="80" w:type="dxa"/>
            </w:tcMar>
          </w:tcPr>
          <w:p w14:paraId="33C0F3AF"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0.005</w:t>
            </w:r>
          </w:p>
        </w:tc>
        <w:tc>
          <w:tcPr>
            <w:tcW w:w="1058" w:type="pct"/>
            <w:tcBorders>
              <w:top w:val="nil"/>
              <w:left w:val="single" w:sz="2" w:space="0" w:color="000000"/>
              <w:bottom w:val="single" w:sz="2" w:space="0" w:color="000000"/>
              <w:right w:val="single" w:sz="6" w:space="0" w:color="000000"/>
            </w:tcBorders>
            <w:shd w:val="clear" w:color="auto" w:fill="FFFFFF"/>
            <w:tcMar>
              <w:left w:w="80" w:type="dxa"/>
              <w:right w:w="80" w:type="dxa"/>
            </w:tcMar>
          </w:tcPr>
          <w:p w14:paraId="0C514789"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-0.013 (-0.032, 0.005)</w:t>
            </w:r>
          </w:p>
        </w:tc>
      </w:tr>
      <w:tr w:rsidR="00F3418E" w:rsidRPr="00DF3B48" w14:paraId="71A8508C" w14:textId="77777777" w:rsidTr="00DF3B48">
        <w:trPr>
          <w:cantSplit/>
          <w:jc w:val="center"/>
        </w:trPr>
        <w:tc>
          <w:tcPr>
            <w:tcW w:w="296" w:type="pct"/>
            <w:tcBorders>
              <w:top w:val="nil"/>
              <w:left w:val="single" w:sz="6" w:space="0" w:color="000000"/>
              <w:bottom w:val="single" w:sz="2" w:space="0" w:color="000000"/>
              <w:right w:val="nil"/>
            </w:tcBorders>
            <w:shd w:val="clear" w:color="auto" w:fill="FFFFFF"/>
            <w:tcMar>
              <w:left w:w="80" w:type="dxa"/>
              <w:right w:w="80" w:type="dxa"/>
            </w:tcMar>
          </w:tcPr>
          <w:p w14:paraId="0B3A8FA8"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0.02</w:t>
            </w:r>
          </w:p>
        </w:tc>
        <w:tc>
          <w:tcPr>
            <w:tcW w:w="346" w:type="pct"/>
            <w:tcBorders>
              <w:top w:val="nil"/>
              <w:left w:val="single" w:sz="2" w:space="0" w:color="000000"/>
              <w:bottom w:val="single" w:sz="2" w:space="0" w:color="000000"/>
              <w:right w:val="nil"/>
            </w:tcBorders>
            <w:shd w:val="clear" w:color="auto" w:fill="FFFFFF"/>
            <w:tcMar>
              <w:left w:w="80" w:type="dxa"/>
              <w:right w:w="80" w:type="dxa"/>
            </w:tcMar>
          </w:tcPr>
          <w:p w14:paraId="60A5DC92"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0.192</w:t>
            </w:r>
          </w:p>
        </w:tc>
        <w:tc>
          <w:tcPr>
            <w:tcW w:w="346" w:type="pct"/>
            <w:tcBorders>
              <w:top w:val="nil"/>
              <w:left w:val="single" w:sz="2" w:space="0" w:color="000000"/>
              <w:bottom w:val="single" w:sz="2" w:space="0" w:color="000000"/>
              <w:right w:val="nil"/>
            </w:tcBorders>
            <w:shd w:val="clear" w:color="auto" w:fill="FFFFFF"/>
            <w:tcMar>
              <w:left w:w="80" w:type="dxa"/>
              <w:right w:w="80" w:type="dxa"/>
            </w:tcMar>
          </w:tcPr>
          <w:p w14:paraId="560BC440"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0.133</w:t>
            </w:r>
          </w:p>
        </w:tc>
        <w:tc>
          <w:tcPr>
            <w:tcW w:w="401" w:type="pct"/>
            <w:tcBorders>
              <w:top w:val="nil"/>
              <w:left w:val="single" w:sz="2" w:space="0" w:color="000000"/>
              <w:bottom w:val="single" w:sz="2" w:space="0" w:color="000000"/>
              <w:right w:val="nil"/>
            </w:tcBorders>
            <w:shd w:val="clear" w:color="auto" w:fill="FFFFFF"/>
            <w:tcMar>
              <w:left w:w="80" w:type="dxa"/>
              <w:right w:w="80" w:type="dxa"/>
            </w:tcMar>
          </w:tcPr>
          <w:p w14:paraId="1C74A4B8"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0.0000</w:t>
            </w:r>
          </w:p>
        </w:tc>
        <w:tc>
          <w:tcPr>
            <w:tcW w:w="401" w:type="pct"/>
            <w:tcBorders>
              <w:top w:val="nil"/>
              <w:left w:val="single" w:sz="2" w:space="0" w:color="000000"/>
              <w:bottom w:val="single" w:sz="2" w:space="0" w:color="000000"/>
              <w:right w:val="nil"/>
            </w:tcBorders>
            <w:shd w:val="clear" w:color="auto" w:fill="FFFFFF"/>
            <w:tcMar>
              <w:left w:w="80" w:type="dxa"/>
              <w:right w:w="80" w:type="dxa"/>
            </w:tcMar>
          </w:tcPr>
          <w:p w14:paraId="41DFD5AD"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0.0150</w:t>
            </w:r>
          </w:p>
        </w:tc>
        <w:tc>
          <w:tcPr>
            <w:tcW w:w="379" w:type="pct"/>
            <w:tcBorders>
              <w:top w:val="nil"/>
              <w:left w:val="single" w:sz="2" w:space="0" w:color="000000"/>
              <w:bottom w:val="single" w:sz="2" w:space="0" w:color="000000"/>
              <w:right w:val="nil"/>
            </w:tcBorders>
            <w:shd w:val="clear" w:color="auto" w:fill="FFFFFF"/>
            <w:tcMar>
              <w:left w:w="80" w:type="dxa"/>
              <w:right w:w="80" w:type="dxa"/>
            </w:tcMar>
          </w:tcPr>
          <w:p w14:paraId="4315157B"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-0.006</w:t>
            </w:r>
          </w:p>
        </w:tc>
        <w:tc>
          <w:tcPr>
            <w:tcW w:w="379" w:type="pct"/>
            <w:tcBorders>
              <w:top w:val="nil"/>
              <w:left w:val="single" w:sz="2" w:space="0" w:color="000000"/>
              <w:bottom w:val="single" w:sz="2" w:space="0" w:color="000000"/>
              <w:right w:val="nil"/>
            </w:tcBorders>
            <w:shd w:val="clear" w:color="auto" w:fill="FFFFFF"/>
            <w:tcMar>
              <w:left w:w="80" w:type="dxa"/>
              <w:right w:w="80" w:type="dxa"/>
            </w:tcMar>
          </w:tcPr>
          <w:p w14:paraId="1AE5DC0A"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-0.016</w:t>
            </w:r>
          </w:p>
        </w:tc>
        <w:tc>
          <w:tcPr>
            <w:tcW w:w="688" w:type="pct"/>
            <w:tcBorders>
              <w:top w:val="nil"/>
              <w:left w:val="single" w:sz="2" w:space="0" w:color="000000"/>
              <w:bottom w:val="single" w:sz="2" w:space="0" w:color="000000"/>
              <w:right w:val="nil"/>
            </w:tcBorders>
            <w:shd w:val="clear" w:color="auto" w:fill="FFFFFF"/>
            <w:tcMar>
              <w:left w:w="80" w:type="dxa"/>
              <w:right w:w="80" w:type="dxa"/>
            </w:tcMar>
          </w:tcPr>
          <w:p w14:paraId="7F3722A0"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-0.034</w:t>
            </w:r>
          </w:p>
        </w:tc>
        <w:tc>
          <w:tcPr>
            <w:tcW w:w="705" w:type="pct"/>
            <w:tcBorders>
              <w:top w:val="nil"/>
              <w:left w:val="single" w:sz="2" w:space="0" w:color="000000"/>
              <w:bottom w:val="single" w:sz="2" w:space="0" w:color="000000"/>
              <w:right w:val="nil"/>
            </w:tcBorders>
            <w:shd w:val="clear" w:color="auto" w:fill="FFFFFF"/>
            <w:tcMar>
              <w:left w:w="80" w:type="dxa"/>
              <w:right w:w="80" w:type="dxa"/>
            </w:tcMar>
          </w:tcPr>
          <w:p w14:paraId="013860C5"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0.003</w:t>
            </w:r>
          </w:p>
        </w:tc>
        <w:tc>
          <w:tcPr>
            <w:tcW w:w="1058" w:type="pct"/>
            <w:tcBorders>
              <w:top w:val="nil"/>
              <w:left w:val="single" w:sz="2" w:space="0" w:color="000000"/>
              <w:bottom w:val="single" w:sz="2" w:space="0" w:color="000000"/>
              <w:right w:val="single" w:sz="6" w:space="0" w:color="000000"/>
            </w:tcBorders>
            <w:shd w:val="clear" w:color="auto" w:fill="FFFFFF"/>
            <w:tcMar>
              <w:left w:w="80" w:type="dxa"/>
              <w:right w:w="80" w:type="dxa"/>
            </w:tcMar>
          </w:tcPr>
          <w:p w14:paraId="6AE516CB"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-0.016 (-0.034, 0.003)</w:t>
            </w:r>
          </w:p>
        </w:tc>
      </w:tr>
      <w:tr w:rsidR="00F3418E" w:rsidRPr="00DF3B48" w14:paraId="10A44F3C" w14:textId="77777777" w:rsidTr="00DF3B48">
        <w:trPr>
          <w:cantSplit/>
          <w:jc w:val="center"/>
        </w:trPr>
        <w:tc>
          <w:tcPr>
            <w:tcW w:w="296" w:type="pct"/>
            <w:tcBorders>
              <w:top w:val="nil"/>
              <w:left w:val="single" w:sz="6" w:space="0" w:color="000000"/>
              <w:bottom w:val="single" w:sz="2" w:space="0" w:color="000000"/>
              <w:right w:val="nil"/>
            </w:tcBorders>
            <w:shd w:val="clear" w:color="auto" w:fill="FFFFFF"/>
            <w:tcMar>
              <w:left w:w="80" w:type="dxa"/>
              <w:right w:w="80" w:type="dxa"/>
            </w:tcMar>
          </w:tcPr>
          <w:p w14:paraId="6126F854"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0.04</w:t>
            </w:r>
          </w:p>
        </w:tc>
        <w:tc>
          <w:tcPr>
            <w:tcW w:w="346" w:type="pct"/>
            <w:tcBorders>
              <w:top w:val="nil"/>
              <w:left w:val="single" w:sz="2" w:space="0" w:color="000000"/>
              <w:bottom w:val="single" w:sz="2" w:space="0" w:color="000000"/>
              <w:right w:val="nil"/>
            </w:tcBorders>
            <w:shd w:val="clear" w:color="auto" w:fill="FFFFFF"/>
            <w:tcMar>
              <w:left w:w="80" w:type="dxa"/>
              <w:right w:w="80" w:type="dxa"/>
            </w:tcMar>
          </w:tcPr>
          <w:p w14:paraId="2F1196E4"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0.192</w:t>
            </w:r>
          </w:p>
        </w:tc>
        <w:tc>
          <w:tcPr>
            <w:tcW w:w="346" w:type="pct"/>
            <w:tcBorders>
              <w:top w:val="nil"/>
              <w:left w:val="single" w:sz="2" w:space="0" w:color="000000"/>
              <w:bottom w:val="single" w:sz="2" w:space="0" w:color="000000"/>
              <w:right w:val="nil"/>
            </w:tcBorders>
            <w:shd w:val="clear" w:color="auto" w:fill="FFFFFF"/>
            <w:tcMar>
              <w:left w:w="80" w:type="dxa"/>
              <w:right w:w="80" w:type="dxa"/>
            </w:tcMar>
          </w:tcPr>
          <w:p w14:paraId="50D683A4"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0.133</w:t>
            </w:r>
          </w:p>
        </w:tc>
        <w:tc>
          <w:tcPr>
            <w:tcW w:w="401" w:type="pct"/>
            <w:tcBorders>
              <w:top w:val="nil"/>
              <w:left w:val="single" w:sz="2" w:space="0" w:color="000000"/>
              <w:bottom w:val="single" w:sz="2" w:space="0" w:color="000000"/>
              <w:right w:val="nil"/>
            </w:tcBorders>
            <w:shd w:val="clear" w:color="auto" w:fill="FFFFFF"/>
            <w:tcMar>
              <w:left w:w="80" w:type="dxa"/>
              <w:right w:w="80" w:type="dxa"/>
            </w:tcMar>
          </w:tcPr>
          <w:p w14:paraId="50850A1C"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0.0000</w:t>
            </w:r>
          </w:p>
        </w:tc>
        <w:tc>
          <w:tcPr>
            <w:tcW w:w="401" w:type="pct"/>
            <w:tcBorders>
              <w:top w:val="nil"/>
              <w:left w:val="single" w:sz="2" w:space="0" w:color="000000"/>
              <w:bottom w:val="single" w:sz="2" w:space="0" w:color="000000"/>
              <w:right w:val="nil"/>
            </w:tcBorders>
            <w:shd w:val="clear" w:color="auto" w:fill="FFFFFF"/>
            <w:tcMar>
              <w:left w:w="80" w:type="dxa"/>
              <w:right w:w="80" w:type="dxa"/>
            </w:tcMar>
          </w:tcPr>
          <w:p w14:paraId="1AE1C4B7"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0.0150</w:t>
            </w:r>
          </w:p>
        </w:tc>
        <w:tc>
          <w:tcPr>
            <w:tcW w:w="379" w:type="pct"/>
            <w:tcBorders>
              <w:top w:val="nil"/>
              <w:left w:val="single" w:sz="2" w:space="0" w:color="000000"/>
              <w:bottom w:val="single" w:sz="2" w:space="0" w:color="000000"/>
              <w:right w:val="nil"/>
            </w:tcBorders>
            <w:shd w:val="clear" w:color="auto" w:fill="FFFFFF"/>
            <w:tcMar>
              <w:left w:w="80" w:type="dxa"/>
              <w:right w:w="80" w:type="dxa"/>
            </w:tcMar>
          </w:tcPr>
          <w:p w14:paraId="62447393"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-0.008</w:t>
            </w:r>
          </w:p>
        </w:tc>
        <w:tc>
          <w:tcPr>
            <w:tcW w:w="379" w:type="pct"/>
            <w:tcBorders>
              <w:top w:val="nil"/>
              <w:left w:val="single" w:sz="2" w:space="0" w:color="000000"/>
              <w:bottom w:val="single" w:sz="2" w:space="0" w:color="000000"/>
              <w:right w:val="nil"/>
            </w:tcBorders>
            <w:shd w:val="clear" w:color="auto" w:fill="FFFFFF"/>
            <w:tcMar>
              <w:left w:w="80" w:type="dxa"/>
              <w:right w:w="80" w:type="dxa"/>
            </w:tcMar>
          </w:tcPr>
          <w:p w14:paraId="7712B919"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-0.017</w:t>
            </w:r>
          </w:p>
        </w:tc>
        <w:tc>
          <w:tcPr>
            <w:tcW w:w="688" w:type="pct"/>
            <w:tcBorders>
              <w:top w:val="nil"/>
              <w:left w:val="single" w:sz="2" w:space="0" w:color="000000"/>
              <w:bottom w:val="single" w:sz="2" w:space="0" w:color="000000"/>
              <w:right w:val="nil"/>
            </w:tcBorders>
            <w:shd w:val="clear" w:color="auto" w:fill="FFFFFF"/>
            <w:tcMar>
              <w:left w:w="80" w:type="dxa"/>
              <w:right w:w="80" w:type="dxa"/>
            </w:tcMar>
          </w:tcPr>
          <w:p w14:paraId="2453E719"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-0.036</w:t>
            </w:r>
          </w:p>
        </w:tc>
        <w:tc>
          <w:tcPr>
            <w:tcW w:w="705" w:type="pct"/>
            <w:tcBorders>
              <w:top w:val="nil"/>
              <w:left w:val="single" w:sz="2" w:space="0" w:color="000000"/>
              <w:bottom w:val="single" w:sz="2" w:space="0" w:color="000000"/>
              <w:right w:val="nil"/>
            </w:tcBorders>
            <w:shd w:val="clear" w:color="auto" w:fill="FFFFFF"/>
            <w:tcMar>
              <w:left w:w="80" w:type="dxa"/>
              <w:right w:w="80" w:type="dxa"/>
            </w:tcMar>
          </w:tcPr>
          <w:p w14:paraId="41D57D07"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0.001</w:t>
            </w:r>
          </w:p>
        </w:tc>
        <w:tc>
          <w:tcPr>
            <w:tcW w:w="1058" w:type="pct"/>
            <w:tcBorders>
              <w:top w:val="nil"/>
              <w:left w:val="single" w:sz="2" w:space="0" w:color="000000"/>
              <w:bottom w:val="single" w:sz="2" w:space="0" w:color="000000"/>
              <w:right w:val="single" w:sz="6" w:space="0" w:color="000000"/>
            </w:tcBorders>
            <w:shd w:val="clear" w:color="auto" w:fill="FFFFFF"/>
            <w:tcMar>
              <w:left w:w="80" w:type="dxa"/>
              <w:right w:w="80" w:type="dxa"/>
            </w:tcMar>
          </w:tcPr>
          <w:p w14:paraId="362A524E"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-0.017 (-0.036, 0.001)</w:t>
            </w:r>
          </w:p>
        </w:tc>
      </w:tr>
      <w:tr w:rsidR="00F3418E" w:rsidRPr="00DF3B48" w14:paraId="05EEC4F2" w14:textId="77777777" w:rsidTr="00DF3B48">
        <w:trPr>
          <w:cantSplit/>
          <w:jc w:val="center"/>
        </w:trPr>
        <w:tc>
          <w:tcPr>
            <w:tcW w:w="296" w:type="pct"/>
            <w:tcBorders>
              <w:top w:val="nil"/>
              <w:left w:val="single" w:sz="6" w:space="0" w:color="000000"/>
              <w:bottom w:val="single" w:sz="2" w:space="0" w:color="000000"/>
              <w:right w:val="nil"/>
            </w:tcBorders>
            <w:shd w:val="clear" w:color="auto" w:fill="FFFFFF"/>
            <w:tcMar>
              <w:left w:w="80" w:type="dxa"/>
              <w:right w:w="80" w:type="dxa"/>
            </w:tcMar>
          </w:tcPr>
          <w:p w14:paraId="0A805C8F"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0.02</w:t>
            </w:r>
          </w:p>
        </w:tc>
        <w:tc>
          <w:tcPr>
            <w:tcW w:w="346" w:type="pct"/>
            <w:tcBorders>
              <w:top w:val="nil"/>
              <w:left w:val="single" w:sz="2" w:space="0" w:color="000000"/>
              <w:bottom w:val="single" w:sz="2" w:space="0" w:color="000000"/>
              <w:right w:val="nil"/>
            </w:tcBorders>
            <w:shd w:val="clear" w:color="auto" w:fill="FFFFFF"/>
            <w:tcMar>
              <w:left w:w="80" w:type="dxa"/>
              <w:right w:w="80" w:type="dxa"/>
            </w:tcMar>
          </w:tcPr>
          <w:p w14:paraId="796B906B"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0.192</w:t>
            </w:r>
          </w:p>
        </w:tc>
        <w:tc>
          <w:tcPr>
            <w:tcW w:w="346" w:type="pct"/>
            <w:tcBorders>
              <w:top w:val="nil"/>
              <w:left w:val="single" w:sz="2" w:space="0" w:color="000000"/>
              <w:bottom w:val="single" w:sz="2" w:space="0" w:color="000000"/>
              <w:right w:val="nil"/>
            </w:tcBorders>
            <w:shd w:val="clear" w:color="auto" w:fill="FFFFFF"/>
            <w:tcMar>
              <w:left w:w="80" w:type="dxa"/>
              <w:right w:w="80" w:type="dxa"/>
            </w:tcMar>
          </w:tcPr>
          <w:p w14:paraId="2E905B19"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0.133</w:t>
            </w:r>
          </w:p>
        </w:tc>
        <w:tc>
          <w:tcPr>
            <w:tcW w:w="401" w:type="pct"/>
            <w:tcBorders>
              <w:top w:val="nil"/>
              <w:left w:val="single" w:sz="2" w:space="0" w:color="000000"/>
              <w:bottom w:val="single" w:sz="2" w:space="0" w:color="000000"/>
              <w:right w:val="nil"/>
            </w:tcBorders>
            <w:shd w:val="clear" w:color="auto" w:fill="FFFFFF"/>
            <w:tcMar>
              <w:left w:w="80" w:type="dxa"/>
              <w:right w:w="80" w:type="dxa"/>
            </w:tcMar>
          </w:tcPr>
          <w:p w14:paraId="73039C3B"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0.0075</w:t>
            </w:r>
          </w:p>
        </w:tc>
        <w:tc>
          <w:tcPr>
            <w:tcW w:w="401" w:type="pct"/>
            <w:tcBorders>
              <w:top w:val="nil"/>
              <w:left w:val="single" w:sz="2" w:space="0" w:color="000000"/>
              <w:bottom w:val="single" w:sz="2" w:space="0" w:color="000000"/>
              <w:right w:val="nil"/>
            </w:tcBorders>
            <w:shd w:val="clear" w:color="auto" w:fill="FFFFFF"/>
            <w:tcMar>
              <w:left w:w="80" w:type="dxa"/>
              <w:right w:w="80" w:type="dxa"/>
            </w:tcMar>
          </w:tcPr>
          <w:p w14:paraId="6C8D6E94"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0.0000</w:t>
            </w:r>
          </w:p>
        </w:tc>
        <w:tc>
          <w:tcPr>
            <w:tcW w:w="379" w:type="pct"/>
            <w:tcBorders>
              <w:top w:val="nil"/>
              <w:left w:val="single" w:sz="2" w:space="0" w:color="000000"/>
              <w:bottom w:val="single" w:sz="2" w:space="0" w:color="000000"/>
              <w:right w:val="nil"/>
            </w:tcBorders>
            <w:shd w:val="clear" w:color="auto" w:fill="FFFFFF"/>
            <w:tcMar>
              <w:left w:w="80" w:type="dxa"/>
              <w:right w:w="80" w:type="dxa"/>
            </w:tcMar>
          </w:tcPr>
          <w:p w14:paraId="08D81A61"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0.001</w:t>
            </w:r>
          </w:p>
        </w:tc>
        <w:tc>
          <w:tcPr>
            <w:tcW w:w="379" w:type="pct"/>
            <w:tcBorders>
              <w:top w:val="nil"/>
              <w:left w:val="single" w:sz="2" w:space="0" w:color="000000"/>
              <w:bottom w:val="single" w:sz="2" w:space="0" w:color="000000"/>
              <w:right w:val="nil"/>
            </w:tcBorders>
            <w:shd w:val="clear" w:color="auto" w:fill="FFFFFF"/>
            <w:tcMar>
              <w:left w:w="80" w:type="dxa"/>
              <w:right w:w="80" w:type="dxa"/>
            </w:tcMar>
          </w:tcPr>
          <w:p w14:paraId="6578C364"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-0.008</w:t>
            </w:r>
          </w:p>
        </w:tc>
        <w:tc>
          <w:tcPr>
            <w:tcW w:w="688" w:type="pct"/>
            <w:tcBorders>
              <w:top w:val="nil"/>
              <w:left w:val="single" w:sz="2" w:space="0" w:color="000000"/>
              <w:bottom w:val="single" w:sz="2" w:space="0" w:color="000000"/>
              <w:right w:val="nil"/>
            </w:tcBorders>
            <w:shd w:val="clear" w:color="auto" w:fill="FFFFFF"/>
            <w:tcMar>
              <w:left w:w="80" w:type="dxa"/>
              <w:right w:w="80" w:type="dxa"/>
            </w:tcMar>
          </w:tcPr>
          <w:p w14:paraId="64ECD075"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-0.027</w:t>
            </w:r>
          </w:p>
        </w:tc>
        <w:tc>
          <w:tcPr>
            <w:tcW w:w="705" w:type="pct"/>
            <w:tcBorders>
              <w:top w:val="nil"/>
              <w:left w:val="single" w:sz="2" w:space="0" w:color="000000"/>
              <w:bottom w:val="single" w:sz="2" w:space="0" w:color="000000"/>
              <w:right w:val="nil"/>
            </w:tcBorders>
            <w:shd w:val="clear" w:color="auto" w:fill="FFFFFF"/>
            <w:tcMar>
              <w:left w:w="80" w:type="dxa"/>
              <w:right w:w="80" w:type="dxa"/>
            </w:tcMar>
          </w:tcPr>
          <w:p w14:paraId="6C05FF61"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0.010</w:t>
            </w:r>
          </w:p>
        </w:tc>
        <w:tc>
          <w:tcPr>
            <w:tcW w:w="1058" w:type="pct"/>
            <w:tcBorders>
              <w:top w:val="nil"/>
              <w:left w:val="single" w:sz="2" w:space="0" w:color="000000"/>
              <w:bottom w:val="single" w:sz="2" w:space="0" w:color="000000"/>
              <w:right w:val="single" w:sz="6" w:space="0" w:color="000000"/>
            </w:tcBorders>
            <w:shd w:val="clear" w:color="auto" w:fill="FFFFFF"/>
            <w:tcMar>
              <w:left w:w="80" w:type="dxa"/>
              <w:right w:w="80" w:type="dxa"/>
            </w:tcMar>
          </w:tcPr>
          <w:p w14:paraId="3D231523"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-0.008 (-0.027, 0.010)</w:t>
            </w:r>
          </w:p>
        </w:tc>
      </w:tr>
      <w:tr w:rsidR="00F3418E" w:rsidRPr="00DF3B48" w14:paraId="3617B33F" w14:textId="77777777" w:rsidTr="00DF3B48">
        <w:trPr>
          <w:cantSplit/>
          <w:jc w:val="center"/>
        </w:trPr>
        <w:tc>
          <w:tcPr>
            <w:tcW w:w="296" w:type="pct"/>
            <w:tcBorders>
              <w:top w:val="nil"/>
              <w:left w:val="single" w:sz="6" w:space="0" w:color="000000"/>
              <w:bottom w:val="single" w:sz="2" w:space="0" w:color="000000"/>
              <w:right w:val="nil"/>
            </w:tcBorders>
            <w:shd w:val="clear" w:color="auto" w:fill="FFFFFF"/>
            <w:tcMar>
              <w:left w:w="80" w:type="dxa"/>
              <w:right w:w="80" w:type="dxa"/>
            </w:tcMar>
          </w:tcPr>
          <w:p w14:paraId="34063A9A"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0.04</w:t>
            </w:r>
          </w:p>
        </w:tc>
        <w:tc>
          <w:tcPr>
            <w:tcW w:w="346" w:type="pct"/>
            <w:tcBorders>
              <w:top w:val="nil"/>
              <w:left w:val="single" w:sz="2" w:space="0" w:color="000000"/>
              <w:bottom w:val="single" w:sz="2" w:space="0" w:color="000000"/>
              <w:right w:val="nil"/>
            </w:tcBorders>
            <w:shd w:val="clear" w:color="auto" w:fill="FFFFFF"/>
            <w:tcMar>
              <w:left w:w="80" w:type="dxa"/>
              <w:right w:w="80" w:type="dxa"/>
            </w:tcMar>
          </w:tcPr>
          <w:p w14:paraId="6E02F2BF"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0.192</w:t>
            </w:r>
          </w:p>
        </w:tc>
        <w:tc>
          <w:tcPr>
            <w:tcW w:w="346" w:type="pct"/>
            <w:tcBorders>
              <w:top w:val="nil"/>
              <w:left w:val="single" w:sz="2" w:space="0" w:color="000000"/>
              <w:bottom w:val="single" w:sz="2" w:space="0" w:color="000000"/>
              <w:right w:val="nil"/>
            </w:tcBorders>
            <w:shd w:val="clear" w:color="auto" w:fill="FFFFFF"/>
            <w:tcMar>
              <w:left w:w="80" w:type="dxa"/>
              <w:right w:w="80" w:type="dxa"/>
            </w:tcMar>
          </w:tcPr>
          <w:p w14:paraId="02276A33"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0.133</w:t>
            </w:r>
          </w:p>
        </w:tc>
        <w:tc>
          <w:tcPr>
            <w:tcW w:w="401" w:type="pct"/>
            <w:tcBorders>
              <w:top w:val="nil"/>
              <w:left w:val="single" w:sz="2" w:space="0" w:color="000000"/>
              <w:bottom w:val="single" w:sz="2" w:space="0" w:color="000000"/>
              <w:right w:val="nil"/>
            </w:tcBorders>
            <w:shd w:val="clear" w:color="auto" w:fill="FFFFFF"/>
            <w:tcMar>
              <w:left w:w="80" w:type="dxa"/>
              <w:right w:w="80" w:type="dxa"/>
            </w:tcMar>
          </w:tcPr>
          <w:p w14:paraId="3D21CDB7"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0.0075</w:t>
            </w:r>
          </w:p>
        </w:tc>
        <w:tc>
          <w:tcPr>
            <w:tcW w:w="401" w:type="pct"/>
            <w:tcBorders>
              <w:top w:val="nil"/>
              <w:left w:val="single" w:sz="2" w:space="0" w:color="000000"/>
              <w:bottom w:val="single" w:sz="2" w:space="0" w:color="000000"/>
              <w:right w:val="nil"/>
            </w:tcBorders>
            <w:shd w:val="clear" w:color="auto" w:fill="FFFFFF"/>
            <w:tcMar>
              <w:left w:w="80" w:type="dxa"/>
              <w:right w:w="80" w:type="dxa"/>
            </w:tcMar>
          </w:tcPr>
          <w:p w14:paraId="54DDBF3F"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0.0000</w:t>
            </w:r>
          </w:p>
        </w:tc>
        <w:tc>
          <w:tcPr>
            <w:tcW w:w="379" w:type="pct"/>
            <w:tcBorders>
              <w:top w:val="nil"/>
              <w:left w:val="single" w:sz="2" w:space="0" w:color="000000"/>
              <w:bottom w:val="single" w:sz="2" w:space="0" w:color="000000"/>
              <w:right w:val="nil"/>
            </w:tcBorders>
            <w:shd w:val="clear" w:color="auto" w:fill="FFFFFF"/>
            <w:tcMar>
              <w:left w:w="80" w:type="dxa"/>
              <w:right w:w="80" w:type="dxa"/>
            </w:tcMar>
          </w:tcPr>
          <w:p w14:paraId="59FEB598"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0.002</w:t>
            </w:r>
          </w:p>
        </w:tc>
        <w:tc>
          <w:tcPr>
            <w:tcW w:w="379" w:type="pct"/>
            <w:tcBorders>
              <w:top w:val="nil"/>
              <w:left w:val="single" w:sz="2" w:space="0" w:color="000000"/>
              <w:bottom w:val="single" w:sz="2" w:space="0" w:color="000000"/>
              <w:right w:val="nil"/>
            </w:tcBorders>
            <w:shd w:val="clear" w:color="auto" w:fill="FFFFFF"/>
            <w:tcMar>
              <w:left w:w="80" w:type="dxa"/>
              <w:right w:w="80" w:type="dxa"/>
            </w:tcMar>
          </w:tcPr>
          <w:p w14:paraId="1B895CAA"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-0.007</w:t>
            </w:r>
          </w:p>
        </w:tc>
        <w:tc>
          <w:tcPr>
            <w:tcW w:w="688" w:type="pct"/>
            <w:tcBorders>
              <w:top w:val="nil"/>
              <w:left w:val="single" w:sz="2" w:space="0" w:color="000000"/>
              <w:bottom w:val="single" w:sz="2" w:space="0" w:color="000000"/>
              <w:right w:val="nil"/>
            </w:tcBorders>
            <w:shd w:val="clear" w:color="auto" w:fill="FFFFFF"/>
            <w:tcMar>
              <w:left w:w="80" w:type="dxa"/>
              <w:right w:w="80" w:type="dxa"/>
            </w:tcMar>
          </w:tcPr>
          <w:p w14:paraId="7FB4B46E"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-0.026</w:t>
            </w:r>
          </w:p>
        </w:tc>
        <w:tc>
          <w:tcPr>
            <w:tcW w:w="705" w:type="pct"/>
            <w:tcBorders>
              <w:top w:val="nil"/>
              <w:left w:val="single" w:sz="2" w:space="0" w:color="000000"/>
              <w:bottom w:val="single" w:sz="2" w:space="0" w:color="000000"/>
              <w:right w:val="nil"/>
            </w:tcBorders>
            <w:shd w:val="clear" w:color="auto" w:fill="FFFFFF"/>
            <w:tcMar>
              <w:left w:w="80" w:type="dxa"/>
              <w:right w:w="80" w:type="dxa"/>
            </w:tcMar>
          </w:tcPr>
          <w:p w14:paraId="527AD586"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0.011</w:t>
            </w:r>
          </w:p>
        </w:tc>
        <w:tc>
          <w:tcPr>
            <w:tcW w:w="1058" w:type="pct"/>
            <w:tcBorders>
              <w:top w:val="nil"/>
              <w:left w:val="single" w:sz="2" w:space="0" w:color="000000"/>
              <w:bottom w:val="single" w:sz="2" w:space="0" w:color="000000"/>
              <w:right w:val="single" w:sz="6" w:space="0" w:color="000000"/>
            </w:tcBorders>
            <w:shd w:val="clear" w:color="auto" w:fill="FFFFFF"/>
            <w:tcMar>
              <w:left w:w="80" w:type="dxa"/>
              <w:right w:w="80" w:type="dxa"/>
            </w:tcMar>
          </w:tcPr>
          <w:p w14:paraId="4D5E4F5E"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-0.007 (-0.026, 0.011)</w:t>
            </w:r>
          </w:p>
        </w:tc>
      </w:tr>
      <w:tr w:rsidR="00F3418E" w:rsidRPr="00DF3B48" w14:paraId="2C9FD202" w14:textId="77777777" w:rsidTr="00DF3B48">
        <w:trPr>
          <w:cantSplit/>
          <w:jc w:val="center"/>
        </w:trPr>
        <w:tc>
          <w:tcPr>
            <w:tcW w:w="296" w:type="pct"/>
            <w:tcBorders>
              <w:top w:val="nil"/>
              <w:left w:val="single" w:sz="6" w:space="0" w:color="000000"/>
              <w:bottom w:val="single" w:sz="2" w:space="0" w:color="000000"/>
              <w:right w:val="nil"/>
            </w:tcBorders>
            <w:shd w:val="clear" w:color="auto" w:fill="FFFFFF"/>
            <w:tcMar>
              <w:left w:w="80" w:type="dxa"/>
              <w:right w:w="80" w:type="dxa"/>
            </w:tcMar>
          </w:tcPr>
          <w:p w14:paraId="46445985"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0.02</w:t>
            </w:r>
          </w:p>
        </w:tc>
        <w:tc>
          <w:tcPr>
            <w:tcW w:w="346" w:type="pct"/>
            <w:tcBorders>
              <w:top w:val="nil"/>
              <w:left w:val="single" w:sz="2" w:space="0" w:color="000000"/>
              <w:bottom w:val="single" w:sz="2" w:space="0" w:color="000000"/>
              <w:right w:val="nil"/>
            </w:tcBorders>
            <w:shd w:val="clear" w:color="auto" w:fill="FFFFFF"/>
            <w:tcMar>
              <w:left w:w="80" w:type="dxa"/>
              <w:right w:w="80" w:type="dxa"/>
            </w:tcMar>
          </w:tcPr>
          <w:p w14:paraId="472B10CB"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0.192</w:t>
            </w:r>
          </w:p>
        </w:tc>
        <w:tc>
          <w:tcPr>
            <w:tcW w:w="346" w:type="pct"/>
            <w:tcBorders>
              <w:top w:val="nil"/>
              <w:left w:val="single" w:sz="2" w:space="0" w:color="000000"/>
              <w:bottom w:val="single" w:sz="2" w:space="0" w:color="000000"/>
              <w:right w:val="nil"/>
            </w:tcBorders>
            <w:shd w:val="clear" w:color="auto" w:fill="FFFFFF"/>
            <w:tcMar>
              <w:left w:w="80" w:type="dxa"/>
              <w:right w:w="80" w:type="dxa"/>
            </w:tcMar>
          </w:tcPr>
          <w:p w14:paraId="5A300E8A"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0.133</w:t>
            </w:r>
          </w:p>
        </w:tc>
        <w:tc>
          <w:tcPr>
            <w:tcW w:w="401" w:type="pct"/>
            <w:tcBorders>
              <w:top w:val="nil"/>
              <w:left w:val="single" w:sz="2" w:space="0" w:color="000000"/>
              <w:bottom w:val="single" w:sz="2" w:space="0" w:color="000000"/>
              <w:right w:val="nil"/>
            </w:tcBorders>
            <w:shd w:val="clear" w:color="auto" w:fill="FFFFFF"/>
            <w:tcMar>
              <w:left w:w="80" w:type="dxa"/>
              <w:right w:w="80" w:type="dxa"/>
            </w:tcMar>
          </w:tcPr>
          <w:p w14:paraId="00AAB953"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0.0075</w:t>
            </w:r>
          </w:p>
        </w:tc>
        <w:tc>
          <w:tcPr>
            <w:tcW w:w="401" w:type="pct"/>
            <w:tcBorders>
              <w:top w:val="nil"/>
              <w:left w:val="single" w:sz="2" w:space="0" w:color="000000"/>
              <w:bottom w:val="single" w:sz="2" w:space="0" w:color="000000"/>
              <w:right w:val="nil"/>
            </w:tcBorders>
            <w:shd w:val="clear" w:color="auto" w:fill="FFFFFF"/>
            <w:tcMar>
              <w:left w:w="80" w:type="dxa"/>
              <w:right w:w="80" w:type="dxa"/>
            </w:tcMar>
          </w:tcPr>
          <w:p w14:paraId="30945BED"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0.0075</w:t>
            </w:r>
          </w:p>
        </w:tc>
        <w:tc>
          <w:tcPr>
            <w:tcW w:w="379" w:type="pct"/>
            <w:tcBorders>
              <w:top w:val="nil"/>
              <w:left w:val="single" w:sz="2" w:space="0" w:color="000000"/>
              <w:bottom w:val="single" w:sz="2" w:space="0" w:color="000000"/>
              <w:right w:val="nil"/>
            </w:tcBorders>
            <w:shd w:val="clear" w:color="auto" w:fill="FFFFFF"/>
            <w:tcMar>
              <w:left w:w="80" w:type="dxa"/>
              <w:right w:w="80" w:type="dxa"/>
            </w:tcMar>
          </w:tcPr>
          <w:p w14:paraId="46976479"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-0.002</w:t>
            </w:r>
          </w:p>
        </w:tc>
        <w:tc>
          <w:tcPr>
            <w:tcW w:w="379" w:type="pct"/>
            <w:tcBorders>
              <w:top w:val="nil"/>
              <w:left w:val="single" w:sz="2" w:space="0" w:color="000000"/>
              <w:bottom w:val="single" w:sz="2" w:space="0" w:color="000000"/>
              <w:right w:val="nil"/>
            </w:tcBorders>
            <w:shd w:val="clear" w:color="auto" w:fill="FFFFFF"/>
            <w:tcMar>
              <w:left w:w="80" w:type="dxa"/>
              <w:right w:w="80" w:type="dxa"/>
            </w:tcMar>
          </w:tcPr>
          <w:p w14:paraId="38F63EFA"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-0.011</w:t>
            </w:r>
          </w:p>
        </w:tc>
        <w:tc>
          <w:tcPr>
            <w:tcW w:w="688" w:type="pct"/>
            <w:tcBorders>
              <w:top w:val="nil"/>
              <w:left w:val="single" w:sz="2" w:space="0" w:color="000000"/>
              <w:bottom w:val="single" w:sz="2" w:space="0" w:color="000000"/>
              <w:right w:val="nil"/>
            </w:tcBorders>
            <w:shd w:val="clear" w:color="auto" w:fill="FFFFFF"/>
            <w:tcMar>
              <w:left w:w="80" w:type="dxa"/>
              <w:right w:w="80" w:type="dxa"/>
            </w:tcMar>
          </w:tcPr>
          <w:p w14:paraId="59DAC3DA"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-0.030</w:t>
            </w:r>
          </w:p>
        </w:tc>
        <w:tc>
          <w:tcPr>
            <w:tcW w:w="705" w:type="pct"/>
            <w:tcBorders>
              <w:top w:val="nil"/>
              <w:left w:val="single" w:sz="2" w:space="0" w:color="000000"/>
              <w:bottom w:val="single" w:sz="2" w:space="0" w:color="000000"/>
              <w:right w:val="nil"/>
            </w:tcBorders>
            <w:shd w:val="clear" w:color="auto" w:fill="FFFFFF"/>
            <w:tcMar>
              <w:left w:w="80" w:type="dxa"/>
              <w:right w:w="80" w:type="dxa"/>
            </w:tcMar>
          </w:tcPr>
          <w:p w14:paraId="38986387"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0.007</w:t>
            </w:r>
          </w:p>
        </w:tc>
        <w:tc>
          <w:tcPr>
            <w:tcW w:w="1058" w:type="pct"/>
            <w:tcBorders>
              <w:top w:val="nil"/>
              <w:left w:val="single" w:sz="2" w:space="0" w:color="000000"/>
              <w:bottom w:val="single" w:sz="2" w:space="0" w:color="000000"/>
              <w:right w:val="single" w:sz="6" w:space="0" w:color="000000"/>
            </w:tcBorders>
            <w:shd w:val="clear" w:color="auto" w:fill="FFFFFF"/>
            <w:tcMar>
              <w:left w:w="80" w:type="dxa"/>
              <w:right w:w="80" w:type="dxa"/>
            </w:tcMar>
          </w:tcPr>
          <w:p w14:paraId="492F0A02"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-0.011 (-0.030, 0.007)</w:t>
            </w:r>
          </w:p>
        </w:tc>
      </w:tr>
      <w:tr w:rsidR="00F3418E" w:rsidRPr="00DF3B48" w14:paraId="41CC0949" w14:textId="77777777" w:rsidTr="00DF3B48">
        <w:trPr>
          <w:cantSplit/>
          <w:jc w:val="center"/>
        </w:trPr>
        <w:tc>
          <w:tcPr>
            <w:tcW w:w="296" w:type="pct"/>
            <w:tcBorders>
              <w:top w:val="nil"/>
              <w:left w:val="single" w:sz="6" w:space="0" w:color="000000"/>
              <w:bottom w:val="single" w:sz="2" w:space="0" w:color="000000"/>
              <w:right w:val="nil"/>
            </w:tcBorders>
            <w:shd w:val="clear" w:color="auto" w:fill="FFFFFF"/>
            <w:tcMar>
              <w:left w:w="80" w:type="dxa"/>
              <w:right w:w="80" w:type="dxa"/>
            </w:tcMar>
          </w:tcPr>
          <w:p w14:paraId="0A48640E"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0.04</w:t>
            </w:r>
          </w:p>
        </w:tc>
        <w:tc>
          <w:tcPr>
            <w:tcW w:w="346" w:type="pct"/>
            <w:tcBorders>
              <w:top w:val="nil"/>
              <w:left w:val="single" w:sz="2" w:space="0" w:color="000000"/>
              <w:bottom w:val="single" w:sz="2" w:space="0" w:color="000000"/>
              <w:right w:val="nil"/>
            </w:tcBorders>
            <w:shd w:val="clear" w:color="auto" w:fill="FFFFFF"/>
            <w:tcMar>
              <w:left w:w="80" w:type="dxa"/>
              <w:right w:w="80" w:type="dxa"/>
            </w:tcMar>
          </w:tcPr>
          <w:p w14:paraId="163331F3"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0.192</w:t>
            </w:r>
          </w:p>
        </w:tc>
        <w:tc>
          <w:tcPr>
            <w:tcW w:w="346" w:type="pct"/>
            <w:tcBorders>
              <w:top w:val="nil"/>
              <w:left w:val="single" w:sz="2" w:space="0" w:color="000000"/>
              <w:bottom w:val="single" w:sz="2" w:space="0" w:color="000000"/>
              <w:right w:val="nil"/>
            </w:tcBorders>
            <w:shd w:val="clear" w:color="auto" w:fill="FFFFFF"/>
            <w:tcMar>
              <w:left w:w="80" w:type="dxa"/>
              <w:right w:w="80" w:type="dxa"/>
            </w:tcMar>
          </w:tcPr>
          <w:p w14:paraId="450FE7FB"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0.133</w:t>
            </w:r>
          </w:p>
        </w:tc>
        <w:tc>
          <w:tcPr>
            <w:tcW w:w="401" w:type="pct"/>
            <w:tcBorders>
              <w:top w:val="nil"/>
              <w:left w:val="single" w:sz="2" w:space="0" w:color="000000"/>
              <w:bottom w:val="single" w:sz="2" w:space="0" w:color="000000"/>
              <w:right w:val="nil"/>
            </w:tcBorders>
            <w:shd w:val="clear" w:color="auto" w:fill="FFFFFF"/>
            <w:tcMar>
              <w:left w:w="80" w:type="dxa"/>
              <w:right w:w="80" w:type="dxa"/>
            </w:tcMar>
          </w:tcPr>
          <w:p w14:paraId="0E436493"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0.0075</w:t>
            </w:r>
          </w:p>
        </w:tc>
        <w:tc>
          <w:tcPr>
            <w:tcW w:w="401" w:type="pct"/>
            <w:tcBorders>
              <w:top w:val="nil"/>
              <w:left w:val="single" w:sz="2" w:space="0" w:color="000000"/>
              <w:bottom w:val="single" w:sz="2" w:space="0" w:color="000000"/>
              <w:right w:val="nil"/>
            </w:tcBorders>
            <w:shd w:val="clear" w:color="auto" w:fill="FFFFFF"/>
            <w:tcMar>
              <w:left w:w="80" w:type="dxa"/>
              <w:right w:w="80" w:type="dxa"/>
            </w:tcMar>
          </w:tcPr>
          <w:p w14:paraId="4A760D74"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0.0075</w:t>
            </w:r>
          </w:p>
        </w:tc>
        <w:tc>
          <w:tcPr>
            <w:tcW w:w="379" w:type="pct"/>
            <w:tcBorders>
              <w:top w:val="nil"/>
              <w:left w:val="single" w:sz="2" w:space="0" w:color="000000"/>
              <w:bottom w:val="single" w:sz="2" w:space="0" w:color="000000"/>
              <w:right w:val="nil"/>
            </w:tcBorders>
            <w:shd w:val="clear" w:color="auto" w:fill="FFFFFF"/>
            <w:tcMar>
              <w:left w:w="80" w:type="dxa"/>
              <w:right w:w="80" w:type="dxa"/>
            </w:tcMar>
          </w:tcPr>
          <w:p w14:paraId="2DEF01DE"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-0.002</w:t>
            </w:r>
          </w:p>
        </w:tc>
        <w:tc>
          <w:tcPr>
            <w:tcW w:w="379" w:type="pct"/>
            <w:tcBorders>
              <w:top w:val="nil"/>
              <w:left w:val="single" w:sz="2" w:space="0" w:color="000000"/>
              <w:bottom w:val="single" w:sz="2" w:space="0" w:color="000000"/>
              <w:right w:val="nil"/>
            </w:tcBorders>
            <w:shd w:val="clear" w:color="auto" w:fill="FFFFFF"/>
            <w:tcMar>
              <w:left w:w="80" w:type="dxa"/>
              <w:right w:w="80" w:type="dxa"/>
            </w:tcMar>
          </w:tcPr>
          <w:p w14:paraId="45277C9D"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-0.011</w:t>
            </w:r>
          </w:p>
        </w:tc>
        <w:tc>
          <w:tcPr>
            <w:tcW w:w="688" w:type="pct"/>
            <w:tcBorders>
              <w:top w:val="nil"/>
              <w:left w:val="single" w:sz="2" w:space="0" w:color="000000"/>
              <w:bottom w:val="single" w:sz="2" w:space="0" w:color="000000"/>
              <w:right w:val="nil"/>
            </w:tcBorders>
            <w:shd w:val="clear" w:color="auto" w:fill="FFFFFF"/>
            <w:tcMar>
              <w:left w:w="80" w:type="dxa"/>
              <w:right w:w="80" w:type="dxa"/>
            </w:tcMar>
          </w:tcPr>
          <w:p w14:paraId="16E45A25"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-0.030</w:t>
            </w:r>
          </w:p>
        </w:tc>
        <w:tc>
          <w:tcPr>
            <w:tcW w:w="705" w:type="pct"/>
            <w:tcBorders>
              <w:top w:val="nil"/>
              <w:left w:val="single" w:sz="2" w:space="0" w:color="000000"/>
              <w:bottom w:val="single" w:sz="2" w:space="0" w:color="000000"/>
              <w:right w:val="nil"/>
            </w:tcBorders>
            <w:shd w:val="clear" w:color="auto" w:fill="FFFFFF"/>
            <w:tcMar>
              <w:left w:w="80" w:type="dxa"/>
              <w:right w:w="80" w:type="dxa"/>
            </w:tcMar>
          </w:tcPr>
          <w:p w14:paraId="5162FF61"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0.008</w:t>
            </w:r>
          </w:p>
        </w:tc>
        <w:tc>
          <w:tcPr>
            <w:tcW w:w="1058" w:type="pct"/>
            <w:tcBorders>
              <w:top w:val="nil"/>
              <w:left w:val="single" w:sz="2" w:space="0" w:color="000000"/>
              <w:bottom w:val="single" w:sz="2" w:space="0" w:color="000000"/>
              <w:right w:val="single" w:sz="6" w:space="0" w:color="000000"/>
            </w:tcBorders>
            <w:shd w:val="clear" w:color="auto" w:fill="FFFFFF"/>
            <w:tcMar>
              <w:left w:w="80" w:type="dxa"/>
              <w:right w:w="80" w:type="dxa"/>
            </w:tcMar>
          </w:tcPr>
          <w:p w14:paraId="5DEC0015"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-0.011 (-0.030, 0.008)</w:t>
            </w:r>
          </w:p>
        </w:tc>
      </w:tr>
      <w:tr w:rsidR="00F3418E" w:rsidRPr="00DF3B48" w14:paraId="27D6312E" w14:textId="77777777" w:rsidTr="00DF3B48">
        <w:trPr>
          <w:cantSplit/>
          <w:jc w:val="center"/>
        </w:trPr>
        <w:tc>
          <w:tcPr>
            <w:tcW w:w="296" w:type="pct"/>
            <w:tcBorders>
              <w:top w:val="nil"/>
              <w:left w:val="single" w:sz="6" w:space="0" w:color="000000"/>
              <w:bottom w:val="single" w:sz="2" w:space="0" w:color="000000"/>
              <w:right w:val="nil"/>
            </w:tcBorders>
            <w:shd w:val="clear" w:color="auto" w:fill="FFFFFF"/>
            <w:tcMar>
              <w:left w:w="80" w:type="dxa"/>
              <w:right w:w="80" w:type="dxa"/>
            </w:tcMar>
          </w:tcPr>
          <w:p w14:paraId="4B8CFF53"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0.02</w:t>
            </w:r>
          </w:p>
        </w:tc>
        <w:tc>
          <w:tcPr>
            <w:tcW w:w="346" w:type="pct"/>
            <w:tcBorders>
              <w:top w:val="nil"/>
              <w:left w:val="single" w:sz="2" w:space="0" w:color="000000"/>
              <w:bottom w:val="single" w:sz="2" w:space="0" w:color="000000"/>
              <w:right w:val="nil"/>
            </w:tcBorders>
            <w:shd w:val="clear" w:color="auto" w:fill="FFFFFF"/>
            <w:tcMar>
              <w:left w:w="80" w:type="dxa"/>
              <w:right w:w="80" w:type="dxa"/>
            </w:tcMar>
          </w:tcPr>
          <w:p w14:paraId="7B2BE9C4"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0.192</w:t>
            </w:r>
          </w:p>
        </w:tc>
        <w:tc>
          <w:tcPr>
            <w:tcW w:w="346" w:type="pct"/>
            <w:tcBorders>
              <w:top w:val="nil"/>
              <w:left w:val="single" w:sz="2" w:space="0" w:color="000000"/>
              <w:bottom w:val="single" w:sz="2" w:space="0" w:color="000000"/>
              <w:right w:val="nil"/>
            </w:tcBorders>
            <w:shd w:val="clear" w:color="auto" w:fill="FFFFFF"/>
            <w:tcMar>
              <w:left w:w="80" w:type="dxa"/>
              <w:right w:w="80" w:type="dxa"/>
            </w:tcMar>
          </w:tcPr>
          <w:p w14:paraId="5EB40381"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0.133</w:t>
            </w:r>
          </w:p>
        </w:tc>
        <w:tc>
          <w:tcPr>
            <w:tcW w:w="401" w:type="pct"/>
            <w:tcBorders>
              <w:top w:val="nil"/>
              <w:left w:val="single" w:sz="2" w:space="0" w:color="000000"/>
              <w:bottom w:val="single" w:sz="2" w:space="0" w:color="000000"/>
              <w:right w:val="nil"/>
            </w:tcBorders>
            <w:shd w:val="clear" w:color="auto" w:fill="FFFFFF"/>
            <w:tcMar>
              <w:left w:w="80" w:type="dxa"/>
              <w:right w:w="80" w:type="dxa"/>
            </w:tcMar>
          </w:tcPr>
          <w:p w14:paraId="3AF75D15"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0.0075</w:t>
            </w:r>
          </w:p>
        </w:tc>
        <w:tc>
          <w:tcPr>
            <w:tcW w:w="401" w:type="pct"/>
            <w:tcBorders>
              <w:top w:val="nil"/>
              <w:left w:val="single" w:sz="2" w:space="0" w:color="000000"/>
              <w:bottom w:val="single" w:sz="2" w:space="0" w:color="000000"/>
              <w:right w:val="nil"/>
            </w:tcBorders>
            <w:shd w:val="clear" w:color="auto" w:fill="FFFFFF"/>
            <w:tcMar>
              <w:left w:w="80" w:type="dxa"/>
              <w:right w:w="80" w:type="dxa"/>
            </w:tcMar>
          </w:tcPr>
          <w:p w14:paraId="3EBAB3B7"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0.0150</w:t>
            </w:r>
          </w:p>
        </w:tc>
        <w:tc>
          <w:tcPr>
            <w:tcW w:w="379" w:type="pct"/>
            <w:tcBorders>
              <w:top w:val="nil"/>
              <w:left w:val="single" w:sz="2" w:space="0" w:color="000000"/>
              <w:bottom w:val="single" w:sz="2" w:space="0" w:color="000000"/>
              <w:right w:val="nil"/>
            </w:tcBorders>
            <w:shd w:val="clear" w:color="auto" w:fill="FFFFFF"/>
            <w:tcMar>
              <w:left w:w="80" w:type="dxa"/>
              <w:right w:w="80" w:type="dxa"/>
            </w:tcMar>
          </w:tcPr>
          <w:p w14:paraId="1B8D3917"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-0.005</w:t>
            </w:r>
          </w:p>
        </w:tc>
        <w:tc>
          <w:tcPr>
            <w:tcW w:w="379" w:type="pct"/>
            <w:tcBorders>
              <w:top w:val="nil"/>
              <w:left w:val="single" w:sz="2" w:space="0" w:color="000000"/>
              <w:bottom w:val="single" w:sz="2" w:space="0" w:color="000000"/>
              <w:right w:val="nil"/>
            </w:tcBorders>
            <w:shd w:val="clear" w:color="auto" w:fill="FFFFFF"/>
            <w:tcMar>
              <w:left w:w="80" w:type="dxa"/>
              <w:right w:w="80" w:type="dxa"/>
            </w:tcMar>
          </w:tcPr>
          <w:p w14:paraId="13D3F762"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-0.014</w:t>
            </w:r>
          </w:p>
        </w:tc>
        <w:tc>
          <w:tcPr>
            <w:tcW w:w="688" w:type="pct"/>
            <w:tcBorders>
              <w:top w:val="nil"/>
              <w:left w:val="single" w:sz="2" w:space="0" w:color="000000"/>
              <w:bottom w:val="single" w:sz="2" w:space="0" w:color="000000"/>
              <w:right w:val="nil"/>
            </w:tcBorders>
            <w:shd w:val="clear" w:color="auto" w:fill="FFFFFF"/>
            <w:tcMar>
              <w:left w:w="80" w:type="dxa"/>
              <w:right w:w="80" w:type="dxa"/>
            </w:tcMar>
          </w:tcPr>
          <w:p w14:paraId="45C61DC7"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-0.033</w:t>
            </w:r>
          </w:p>
        </w:tc>
        <w:tc>
          <w:tcPr>
            <w:tcW w:w="705" w:type="pct"/>
            <w:tcBorders>
              <w:top w:val="nil"/>
              <w:left w:val="single" w:sz="2" w:space="0" w:color="000000"/>
              <w:bottom w:val="single" w:sz="2" w:space="0" w:color="000000"/>
              <w:right w:val="nil"/>
            </w:tcBorders>
            <w:shd w:val="clear" w:color="auto" w:fill="FFFFFF"/>
            <w:tcMar>
              <w:left w:w="80" w:type="dxa"/>
              <w:right w:w="80" w:type="dxa"/>
            </w:tcMar>
          </w:tcPr>
          <w:p w14:paraId="5C713774"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0.004</w:t>
            </w:r>
          </w:p>
        </w:tc>
        <w:tc>
          <w:tcPr>
            <w:tcW w:w="1058" w:type="pct"/>
            <w:tcBorders>
              <w:top w:val="nil"/>
              <w:left w:val="single" w:sz="2" w:space="0" w:color="000000"/>
              <w:bottom w:val="single" w:sz="2" w:space="0" w:color="000000"/>
              <w:right w:val="single" w:sz="6" w:space="0" w:color="000000"/>
            </w:tcBorders>
            <w:shd w:val="clear" w:color="auto" w:fill="FFFFFF"/>
            <w:tcMar>
              <w:left w:w="80" w:type="dxa"/>
              <w:right w:w="80" w:type="dxa"/>
            </w:tcMar>
          </w:tcPr>
          <w:p w14:paraId="7E694703"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-0.014 (-0.033, 0.004)</w:t>
            </w:r>
          </w:p>
        </w:tc>
      </w:tr>
      <w:tr w:rsidR="00F3418E" w:rsidRPr="00DF3B48" w14:paraId="081E0D69" w14:textId="77777777" w:rsidTr="00DF3B48">
        <w:trPr>
          <w:cantSplit/>
          <w:jc w:val="center"/>
        </w:trPr>
        <w:tc>
          <w:tcPr>
            <w:tcW w:w="296" w:type="pct"/>
            <w:tcBorders>
              <w:top w:val="nil"/>
              <w:left w:val="single" w:sz="6" w:space="0" w:color="000000"/>
              <w:bottom w:val="single" w:sz="2" w:space="0" w:color="000000"/>
              <w:right w:val="nil"/>
            </w:tcBorders>
            <w:shd w:val="clear" w:color="auto" w:fill="FFFFFF"/>
            <w:tcMar>
              <w:left w:w="80" w:type="dxa"/>
              <w:right w:w="80" w:type="dxa"/>
            </w:tcMar>
          </w:tcPr>
          <w:p w14:paraId="5F298B8C"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0.04</w:t>
            </w:r>
          </w:p>
        </w:tc>
        <w:tc>
          <w:tcPr>
            <w:tcW w:w="346" w:type="pct"/>
            <w:tcBorders>
              <w:top w:val="nil"/>
              <w:left w:val="single" w:sz="2" w:space="0" w:color="000000"/>
              <w:bottom w:val="single" w:sz="2" w:space="0" w:color="000000"/>
              <w:right w:val="nil"/>
            </w:tcBorders>
            <w:shd w:val="clear" w:color="auto" w:fill="FFFFFF"/>
            <w:tcMar>
              <w:left w:w="80" w:type="dxa"/>
              <w:right w:w="80" w:type="dxa"/>
            </w:tcMar>
          </w:tcPr>
          <w:p w14:paraId="57DB71E5"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0.192</w:t>
            </w:r>
          </w:p>
        </w:tc>
        <w:tc>
          <w:tcPr>
            <w:tcW w:w="346" w:type="pct"/>
            <w:tcBorders>
              <w:top w:val="nil"/>
              <w:left w:val="single" w:sz="2" w:space="0" w:color="000000"/>
              <w:bottom w:val="single" w:sz="2" w:space="0" w:color="000000"/>
              <w:right w:val="nil"/>
            </w:tcBorders>
            <w:shd w:val="clear" w:color="auto" w:fill="FFFFFF"/>
            <w:tcMar>
              <w:left w:w="80" w:type="dxa"/>
              <w:right w:w="80" w:type="dxa"/>
            </w:tcMar>
          </w:tcPr>
          <w:p w14:paraId="18AD3795"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0.133</w:t>
            </w:r>
          </w:p>
        </w:tc>
        <w:tc>
          <w:tcPr>
            <w:tcW w:w="401" w:type="pct"/>
            <w:tcBorders>
              <w:top w:val="nil"/>
              <w:left w:val="single" w:sz="2" w:space="0" w:color="000000"/>
              <w:bottom w:val="single" w:sz="2" w:space="0" w:color="000000"/>
              <w:right w:val="nil"/>
            </w:tcBorders>
            <w:shd w:val="clear" w:color="auto" w:fill="FFFFFF"/>
            <w:tcMar>
              <w:left w:w="80" w:type="dxa"/>
              <w:right w:w="80" w:type="dxa"/>
            </w:tcMar>
          </w:tcPr>
          <w:p w14:paraId="483A1D5B"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0.0075</w:t>
            </w:r>
          </w:p>
        </w:tc>
        <w:tc>
          <w:tcPr>
            <w:tcW w:w="401" w:type="pct"/>
            <w:tcBorders>
              <w:top w:val="nil"/>
              <w:left w:val="single" w:sz="2" w:space="0" w:color="000000"/>
              <w:bottom w:val="single" w:sz="2" w:space="0" w:color="000000"/>
              <w:right w:val="nil"/>
            </w:tcBorders>
            <w:shd w:val="clear" w:color="auto" w:fill="FFFFFF"/>
            <w:tcMar>
              <w:left w:w="80" w:type="dxa"/>
              <w:right w:w="80" w:type="dxa"/>
            </w:tcMar>
          </w:tcPr>
          <w:p w14:paraId="7884F7CF"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0.0150</w:t>
            </w:r>
          </w:p>
        </w:tc>
        <w:tc>
          <w:tcPr>
            <w:tcW w:w="379" w:type="pct"/>
            <w:tcBorders>
              <w:top w:val="nil"/>
              <w:left w:val="single" w:sz="2" w:space="0" w:color="000000"/>
              <w:bottom w:val="single" w:sz="2" w:space="0" w:color="000000"/>
              <w:right w:val="nil"/>
            </w:tcBorders>
            <w:shd w:val="clear" w:color="auto" w:fill="FFFFFF"/>
            <w:tcMar>
              <w:left w:w="80" w:type="dxa"/>
              <w:right w:w="80" w:type="dxa"/>
            </w:tcMar>
          </w:tcPr>
          <w:p w14:paraId="2023B28B"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-0.005</w:t>
            </w:r>
          </w:p>
        </w:tc>
        <w:tc>
          <w:tcPr>
            <w:tcW w:w="379" w:type="pct"/>
            <w:tcBorders>
              <w:top w:val="nil"/>
              <w:left w:val="single" w:sz="2" w:space="0" w:color="000000"/>
              <w:bottom w:val="single" w:sz="2" w:space="0" w:color="000000"/>
              <w:right w:val="nil"/>
            </w:tcBorders>
            <w:shd w:val="clear" w:color="auto" w:fill="FFFFFF"/>
            <w:tcMar>
              <w:left w:w="80" w:type="dxa"/>
              <w:right w:w="80" w:type="dxa"/>
            </w:tcMar>
          </w:tcPr>
          <w:p w14:paraId="1485392B"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-0.015</w:t>
            </w:r>
          </w:p>
        </w:tc>
        <w:tc>
          <w:tcPr>
            <w:tcW w:w="688" w:type="pct"/>
            <w:tcBorders>
              <w:top w:val="nil"/>
              <w:left w:val="single" w:sz="2" w:space="0" w:color="000000"/>
              <w:bottom w:val="single" w:sz="2" w:space="0" w:color="000000"/>
              <w:right w:val="nil"/>
            </w:tcBorders>
            <w:shd w:val="clear" w:color="auto" w:fill="FFFFFF"/>
            <w:tcMar>
              <w:left w:w="80" w:type="dxa"/>
              <w:right w:w="80" w:type="dxa"/>
            </w:tcMar>
          </w:tcPr>
          <w:p w14:paraId="55EEE2B6"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-0.034</w:t>
            </w:r>
          </w:p>
        </w:tc>
        <w:tc>
          <w:tcPr>
            <w:tcW w:w="705" w:type="pct"/>
            <w:tcBorders>
              <w:top w:val="nil"/>
              <w:left w:val="single" w:sz="2" w:space="0" w:color="000000"/>
              <w:bottom w:val="single" w:sz="2" w:space="0" w:color="000000"/>
              <w:right w:val="nil"/>
            </w:tcBorders>
            <w:shd w:val="clear" w:color="auto" w:fill="FFFFFF"/>
            <w:tcMar>
              <w:left w:w="80" w:type="dxa"/>
              <w:right w:w="80" w:type="dxa"/>
            </w:tcMar>
          </w:tcPr>
          <w:p w14:paraId="487C53E2"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0.004</w:t>
            </w:r>
          </w:p>
        </w:tc>
        <w:tc>
          <w:tcPr>
            <w:tcW w:w="1058" w:type="pct"/>
            <w:tcBorders>
              <w:top w:val="nil"/>
              <w:left w:val="single" w:sz="2" w:space="0" w:color="000000"/>
              <w:bottom w:val="single" w:sz="2" w:space="0" w:color="000000"/>
              <w:right w:val="single" w:sz="6" w:space="0" w:color="000000"/>
            </w:tcBorders>
            <w:shd w:val="clear" w:color="auto" w:fill="FFFFFF"/>
            <w:tcMar>
              <w:left w:w="80" w:type="dxa"/>
              <w:right w:w="80" w:type="dxa"/>
            </w:tcMar>
          </w:tcPr>
          <w:p w14:paraId="64AAD0ED"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-0.015 (-0.034, 0.004)</w:t>
            </w:r>
          </w:p>
        </w:tc>
      </w:tr>
      <w:tr w:rsidR="00F3418E" w:rsidRPr="00DF3B48" w14:paraId="71FA704A" w14:textId="77777777" w:rsidTr="00DF3B48">
        <w:trPr>
          <w:cantSplit/>
          <w:jc w:val="center"/>
        </w:trPr>
        <w:tc>
          <w:tcPr>
            <w:tcW w:w="296" w:type="pct"/>
            <w:tcBorders>
              <w:top w:val="nil"/>
              <w:left w:val="single" w:sz="6" w:space="0" w:color="000000"/>
              <w:bottom w:val="single" w:sz="2" w:space="0" w:color="000000"/>
              <w:right w:val="nil"/>
            </w:tcBorders>
            <w:shd w:val="clear" w:color="auto" w:fill="FFFFFF"/>
            <w:tcMar>
              <w:left w:w="80" w:type="dxa"/>
              <w:right w:w="80" w:type="dxa"/>
            </w:tcMar>
          </w:tcPr>
          <w:p w14:paraId="03F52B8C"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0.02</w:t>
            </w:r>
          </w:p>
        </w:tc>
        <w:tc>
          <w:tcPr>
            <w:tcW w:w="346" w:type="pct"/>
            <w:tcBorders>
              <w:top w:val="nil"/>
              <w:left w:val="single" w:sz="2" w:space="0" w:color="000000"/>
              <w:bottom w:val="single" w:sz="2" w:space="0" w:color="000000"/>
              <w:right w:val="nil"/>
            </w:tcBorders>
            <w:shd w:val="clear" w:color="auto" w:fill="FFFFFF"/>
            <w:tcMar>
              <w:left w:w="80" w:type="dxa"/>
              <w:right w:w="80" w:type="dxa"/>
            </w:tcMar>
          </w:tcPr>
          <w:p w14:paraId="6F944863"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0.192</w:t>
            </w:r>
          </w:p>
        </w:tc>
        <w:tc>
          <w:tcPr>
            <w:tcW w:w="346" w:type="pct"/>
            <w:tcBorders>
              <w:top w:val="nil"/>
              <w:left w:val="single" w:sz="2" w:space="0" w:color="000000"/>
              <w:bottom w:val="single" w:sz="2" w:space="0" w:color="000000"/>
              <w:right w:val="nil"/>
            </w:tcBorders>
            <w:shd w:val="clear" w:color="auto" w:fill="FFFFFF"/>
            <w:tcMar>
              <w:left w:w="80" w:type="dxa"/>
              <w:right w:w="80" w:type="dxa"/>
            </w:tcMar>
          </w:tcPr>
          <w:p w14:paraId="26A9F674"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0.133</w:t>
            </w:r>
          </w:p>
        </w:tc>
        <w:tc>
          <w:tcPr>
            <w:tcW w:w="401" w:type="pct"/>
            <w:tcBorders>
              <w:top w:val="nil"/>
              <w:left w:val="single" w:sz="2" w:space="0" w:color="000000"/>
              <w:bottom w:val="single" w:sz="2" w:space="0" w:color="000000"/>
              <w:right w:val="nil"/>
            </w:tcBorders>
            <w:shd w:val="clear" w:color="auto" w:fill="FFFFFF"/>
            <w:tcMar>
              <w:left w:w="80" w:type="dxa"/>
              <w:right w:w="80" w:type="dxa"/>
            </w:tcMar>
          </w:tcPr>
          <w:p w14:paraId="6160769D"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0.0150</w:t>
            </w:r>
          </w:p>
        </w:tc>
        <w:tc>
          <w:tcPr>
            <w:tcW w:w="401" w:type="pct"/>
            <w:tcBorders>
              <w:top w:val="nil"/>
              <w:left w:val="single" w:sz="2" w:space="0" w:color="000000"/>
              <w:bottom w:val="single" w:sz="2" w:space="0" w:color="000000"/>
              <w:right w:val="nil"/>
            </w:tcBorders>
            <w:shd w:val="clear" w:color="auto" w:fill="FFFFFF"/>
            <w:tcMar>
              <w:left w:w="80" w:type="dxa"/>
              <w:right w:w="80" w:type="dxa"/>
            </w:tcMar>
          </w:tcPr>
          <w:p w14:paraId="4CB340E6"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0.0000</w:t>
            </w:r>
          </w:p>
        </w:tc>
        <w:tc>
          <w:tcPr>
            <w:tcW w:w="379" w:type="pct"/>
            <w:tcBorders>
              <w:top w:val="nil"/>
              <w:left w:val="single" w:sz="2" w:space="0" w:color="000000"/>
              <w:bottom w:val="single" w:sz="2" w:space="0" w:color="000000"/>
              <w:right w:val="nil"/>
            </w:tcBorders>
            <w:shd w:val="clear" w:color="auto" w:fill="FFFFFF"/>
            <w:tcMar>
              <w:left w:w="80" w:type="dxa"/>
              <w:right w:w="80" w:type="dxa"/>
            </w:tcMar>
          </w:tcPr>
          <w:p w14:paraId="13CD858F"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0.002</w:t>
            </w:r>
          </w:p>
        </w:tc>
        <w:tc>
          <w:tcPr>
            <w:tcW w:w="379" w:type="pct"/>
            <w:tcBorders>
              <w:top w:val="nil"/>
              <w:left w:val="single" w:sz="2" w:space="0" w:color="000000"/>
              <w:bottom w:val="single" w:sz="2" w:space="0" w:color="000000"/>
              <w:right w:val="nil"/>
            </w:tcBorders>
            <w:shd w:val="clear" w:color="auto" w:fill="FFFFFF"/>
            <w:tcMar>
              <w:left w:w="80" w:type="dxa"/>
              <w:right w:w="80" w:type="dxa"/>
            </w:tcMar>
          </w:tcPr>
          <w:p w14:paraId="4E8975CC"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-0.007</w:t>
            </w:r>
          </w:p>
        </w:tc>
        <w:tc>
          <w:tcPr>
            <w:tcW w:w="688" w:type="pct"/>
            <w:tcBorders>
              <w:top w:val="nil"/>
              <w:left w:val="single" w:sz="2" w:space="0" w:color="000000"/>
              <w:bottom w:val="single" w:sz="2" w:space="0" w:color="000000"/>
              <w:right w:val="nil"/>
            </w:tcBorders>
            <w:shd w:val="clear" w:color="auto" w:fill="FFFFFF"/>
            <w:tcMar>
              <w:left w:w="80" w:type="dxa"/>
              <w:right w:w="80" w:type="dxa"/>
            </w:tcMar>
          </w:tcPr>
          <w:p w14:paraId="0A78EB74"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-0.026</w:t>
            </w:r>
          </w:p>
        </w:tc>
        <w:tc>
          <w:tcPr>
            <w:tcW w:w="705" w:type="pct"/>
            <w:tcBorders>
              <w:top w:val="nil"/>
              <w:left w:val="single" w:sz="2" w:space="0" w:color="000000"/>
              <w:bottom w:val="single" w:sz="2" w:space="0" w:color="000000"/>
              <w:right w:val="nil"/>
            </w:tcBorders>
            <w:shd w:val="clear" w:color="auto" w:fill="FFFFFF"/>
            <w:tcMar>
              <w:left w:w="80" w:type="dxa"/>
              <w:right w:w="80" w:type="dxa"/>
            </w:tcMar>
          </w:tcPr>
          <w:p w14:paraId="5BED7A89"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0.011</w:t>
            </w:r>
          </w:p>
        </w:tc>
        <w:tc>
          <w:tcPr>
            <w:tcW w:w="1058" w:type="pct"/>
            <w:tcBorders>
              <w:top w:val="nil"/>
              <w:left w:val="single" w:sz="2" w:space="0" w:color="000000"/>
              <w:bottom w:val="single" w:sz="2" w:space="0" w:color="000000"/>
              <w:right w:val="single" w:sz="6" w:space="0" w:color="000000"/>
            </w:tcBorders>
            <w:shd w:val="clear" w:color="auto" w:fill="FFFFFF"/>
            <w:tcMar>
              <w:left w:w="80" w:type="dxa"/>
              <w:right w:w="80" w:type="dxa"/>
            </w:tcMar>
          </w:tcPr>
          <w:p w14:paraId="4082B8DB"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-0.007 (-0.026, 0.011)</w:t>
            </w:r>
          </w:p>
        </w:tc>
      </w:tr>
      <w:tr w:rsidR="00F3418E" w:rsidRPr="00DF3B48" w14:paraId="39DAC6B2" w14:textId="77777777" w:rsidTr="00DF3B48">
        <w:trPr>
          <w:cantSplit/>
          <w:jc w:val="center"/>
        </w:trPr>
        <w:tc>
          <w:tcPr>
            <w:tcW w:w="296" w:type="pct"/>
            <w:tcBorders>
              <w:top w:val="nil"/>
              <w:left w:val="single" w:sz="6" w:space="0" w:color="000000"/>
              <w:bottom w:val="single" w:sz="2" w:space="0" w:color="000000"/>
              <w:right w:val="nil"/>
            </w:tcBorders>
            <w:shd w:val="clear" w:color="auto" w:fill="FFFFFF"/>
            <w:tcMar>
              <w:left w:w="80" w:type="dxa"/>
              <w:right w:w="80" w:type="dxa"/>
            </w:tcMar>
          </w:tcPr>
          <w:p w14:paraId="2FB2B2B5"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0.04</w:t>
            </w:r>
          </w:p>
        </w:tc>
        <w:tc>
          <w:tcPr>
            <w:tcW w:w="346" w:type="pct"/>
            <w:tcBorders>
              <w:top w:val="nil"/>
              <w:left w:val="single" w:sz="2" w:space="0" w:color="000000"/>
              <w:bottom w:val="single" w:sz="2" w:space="0" w:color="000000"/>
              <w:right w:val="nil"/>
            </w:tcBorders>
            <w:shd w:val="clear" w:color="auto" w:fill="FFFFFF"/>
            <w:tcMar>
              <w:left w:w="80" w:type="dxa"/>
              <w:right w:w="80" w:type="dxa"/>
            </w:tcMar>
          </w:tcPr>
          <w:p w14:paraId="757E8BEA"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0.192</w:t>
            </w:r>
          </w:p>
        </w:tc>
        <w:tc>
          <w:tcPr>
            <w:tcW w:w="346" w:type="pct"/>
            <w:tcBorders>
              <w:top w:val="nil"/>
              <w:left w:val="single" w:sz="2" w:space="0" w:color="000000"/>
              <w:bottom w:val="single" w:sz="2" w:space="0" w:color="000000"/>
              <w:right w:val="nil"/>
            </w:tcBorders>
            <w:shd w:val="clear" w:color="auto" w:fill="FFFFFF"/>
            <w:tcMar>
              <w:left w:w="80" w:type="dxa"/>
              <w:right w:w="80" w:type="dxa"/>
            </w:tcMar>
          </w:tcPr>
          <w:p w14:paraId="12CA78C3"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0.133</w:t>
            </w:r>
          </w:p>
        </w:tc>
        <w:tc>
          <w:tcPr>
            <w:tcW w:w="401" w:type="pct"/>
            <w:tcBorders>
              <w:top w:val="nil"/>
              <w:left w:val="single" w:sz="2" w:space="0" w:color="000000"/>
              <w:bottom w:val="single" w:sz="2" w:space="0" w:color="000000"/>
              <w:right w:val="nil"/>
            </w:tcBorders>
            <w:shd w:val="clear" w:color="auto" w:fill="FFFFFF"/>
            <w:tcMar>
              <w:left w:w="80" w:type="dxa"/>
              <w:right w:w="80" w:type="dxa"/>
            </w:tcMar>
          </w:tcPr>
          <w:p w14:paraId="7C8781EA"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0.0150</w:t>
            </w:r>
          </w:p>
        </w:tc>
        <w:tc>
          <w:tcPr>
            <w:tcW w:w="401" w:type="pct"/>
            <w:tcBorders>
              <w:top w:val="nil"/>
              <w:left w:val="single" w:sz="2" w:space="0" w:color="000000"/>
              <w:bottom w:val="single" w:sz="2" w:space="0" w:color="000000"/>
              <w:right w:val="nil"/>
            </w:tcBorders>
            <w:shd w:val="clear" w:color="auto" w:fill="FFFFFF"/>
            <w:tcMar>
              <w:left w:w="80" w:type="dxa"/>
              <w:right w:w="80" w:type="dxa"/>
            </w:tcMar>
          </w:tcPr>
          <w:p w14:paraId="758FED3C"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0.0000</w:t>
            </w:r>
          </w:p>
        </w:tc>
        <w:tc>
          <w:tcPr>
            <w:tcW w:w="379" w:type="pct"/>
            <w:tcBorders>
              <w:top w:val="nil"/>
              <w:left w:val="single" w:sz="2" w:space="0" w:color="000000"/>
              <w:bottom w:val="single" w:sz="2" w:space="0" w:color="000000"/>
              <w:right w:val="nil"/>
            </w:tcBorders>
            <w:shd w:val="clear" w:color="auto" w:fill="FFFFFF"/>
            <w:tcMar>
              <w:left w:w="80" w:type="dxa"/>
              <w:right w:w="80" w:type="dxa"/>
            </w:tcMar>
          </w:tcPr>
          <w:p w14:paraId="2D8D011F"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0.005</w:t>
            </w:r>
          </w:p>
        </w:tc>
        <w:tc>
          <w:tcPr>
            <w:tcW w:w="379" w:type="pct"/>
            <w:tcBorders>
              <w:top w:val="nil"/>
              <w:left w:val="single" w:sz="2" w:space="0" w:color="000000"/>
              <w:bottom w:val="single" w:sz="2" w:space="0" w:color="000000"/>
              <w:right w:val="nil"/>
            </w:tcBorders>
            <w:shd w:val="clear" w:color="auto" w:fill="FFFFFF"/>
            <w:tcMar>
              <w:left w:w="80" w:type="dxa"/>
              <w:right w:w="80" w:type="dxa"/>
            </w:tcMar>
          </w:tcPr>
          <w:p w14:paraId="1570D283"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-0.005</w:t>
            </w:r>
          </w:p>
        </w:tc>
        <w:tc>
          <w:tcPr>
            <w:tcW w:w="688" w:type="pct"/>
            <w:tcBorders>
              <w:top w:val="nil"/>
              <w:left w:val="single" w:sz="2" w:space="0" w:color="000000"/>
              <w:bottom w:val="single" w:sz="2" w:space="0" w:color="000000"/>
              <w:right w:val="nil"/>
            </w:tcBorders>
            <w:shd w:val="clear" w:color="auto" w:fill="FFFFFF"/>
            <w:tcMar>
              <w:left w:w="80" w:type="dxa"/>
              <w:right w:w="80" w:type="dxa"/>
            </w:tcMar>
          </w:tcPr>
          <w:p w14:paraId="2448B3AC"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-0.024</w:t>
            </w:r>
          </w:p>
        </w:tc>
        <w:tc>
          <w:tcPr>
            <w:tcW w:w="705" w:type="pct"/>
            <w:tcBorders>
              <w:top w:val="nil"/>
              <w:left w:val="single" w:sz="2" w:space="0" w:color="000000"/>
              <w:bottom w:val="single" w:sz="2" w:space="0" w:color="000000"/>
              <w:right w:val="nil"/>
            </w:tcBorders>
            <w:shd w:val="clear" w:color="auto" w:fill="FFFFFF"/>
            <w:tcMar>
              <w:left w:w="80" w:type="dxa"/>
              <w:right w:w="80" w:type="dxa"/>
            </w:tcMar>
          </w:tcPr>
          <w:p w14:paraId="14219D49"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0.014</w:t>
            </w:r>
          </w:p>
        </w:tc>
        <w:tc>
          <w:tcPr>
            <w:tcW w:w="1058" w:type="pct"/>
            <w:tcBorders>
              <w:top w:val="nil"/>
              <w:left w:val="single" w:sz="2" w:space="0" w:color="000000"/>
              <w:bottom w:val="single" w:sz="2" w:space="0" w:color="000000"/>
              <w:right w:val="single" w:sz="6" w:space="0" w:color="000000"/>
            </w:tcBorders>
            <w:shd w:val="clear" w:color="auto" w:fill="FFFFFF"/>
            <w:tcMar>
              <w:left w:w="80" w:type="dxa"/>
              <w:right w:w="80" w:type="dxa"/>
            </w:tcMar>
          </w:tcPr>
          <w:p w14:paraId="689BBE27"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-0.005 (-0.024, 0.014)</w:t>
            </w:r>
          </w:p>
        </w:tc>
      </w:tr>
      <w:tr w:rsidR="00F3418E" w:rsidRPr="00DF3B48" w14:paraId="4346B3D3" w14:textId="77777777" w:rsidTr="00DF3B48">
        <w:trPr>
          <w:cantSplit/>
          <w:jc w:val="center"/>
        </w:trPr>
        <w:tc>
          <w:tcPr>
            <w:tcW w:w="296" w:type="pct"/>
            <w:tcBorders>
              <w:top w:val="nil"/>
              <w:left w:val="single" w:sz="6" w:space="0" w:color="000000"/>
              <w:bottom w:val="single" w:sz="2" w:space="0" w:color="000000"/>
              <w:right w:val="nil"/>
            </w:tcBorders>
            <w:shd w:val="clear" w:color="auto" w:fill="FFFFFF"/>
            <w:tcMar>
              <w:left w:w="80" w:type="dxa"/>
              <w:right w:w="80" w:type="dxa"/>
            </w:tcMar>
          </w:tcPr>
          <w:p w14:paraId="19055D0E"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0.02</w:t>
            </w:r>
          </w:p>
        </w:tc>
        <w:tc>
          <w:tcPr>
            <w:tcW w:w="346" w:type="pct"/>
            <w:tcBorders>
              <w:top w:val="nil"/>
              <w:left w:val="single" w:sz="2" w:space="0" w:color="000000"/>
              <w:bottom w:val="single" w:sz="2" w:space="0" w:color="000000"/>
              <w:right w:val="nil"/>
            </w:tcBorders>
            <w:shd w:val="clear" w:color="auto" w:fill="FFFFFF"/>
            <w:tcMar>
              <w:left w:w="80" w:type="dxa"/>
              <w:right w:w="80" w:type="dxa"/>
            </w:tcMar>
          </w:tcPr>
          <w:p w14:paraId="7DCF9303"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0.192</w:t>
            </w:r>
          </w:p>
        </w:tc>
        <w:tc>
          <w:tcPr>
            <w:tcW w:w="346" w:type="pct"/>
            <w:tcBorders>
              <w:top w:val="nil"/>
              <w:left w:val="single" w:sz="2" w:space="0" w:color="000000"/>
              <w:bottom w:val="single" w:sz="2" w:space="0" w:color="000000"/>
              <w:right w:val="nil"/>
            </w:tcBorders>
            <w:shd w:val="clear" w:color="auto" w:fill="FFFFFF"/>
            <w:tcMar>
              <w:left w:w="80" w:type="dxa"/>
              <w:right w:w="80" w:type="dxa"/>
            </w:tcMar>
          </w:tcPr>
          <w:p w14:paraId="1F47CB62"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0.133</w:t>
            </w:r>
          </w:p>
        </w:tc>
        <w:tc>
          <w:tcPr>
            <w:tcW w:w="401" w:type="pct"/>
            <w:tcBorders>
              <w:top w:val="nil"/>
              <w:left w:val="single" w:sz="2" w:space="0" w:color="000000"/>
              <w:bottom w:val="single" w:sz="2" w:space="0" w:color="000000"/>
              <w:right w:val="nil"/>
            </w:tcBorders>
            <w:shd w:val="clear" w:color="auto" w:fill="FFFFFF"/>
            <w:tcMar>
              <w:left w:w="80" w:type="dxa"/>
              <w:right w:w="80" w:type="dxa"/>
            </w:tcMar>
          </w:tcPr>
          <w:p w14:paraId="20523AA8"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0.0150</w:t>
            </w:r>
          </w:p>
        </w:tc>
        <w:tc>
          <w:tcPr>
            <w:tcW w:w="401" w:type="pct"/>
            <w:tcBorders>
              <w:top w:val="nil"/>
              <w:left w:val="single" w:sz="2" w:space="0" w:color="000000"/>
              <w:bottom w:val="single" w:sz="2" w:space="0" w:color="000000"/>
              <w:right w:val="nil"/>
            </w:tcBorders>
            <w:shd w:val="clear" w:color="auto" w:fill="FFFFFF"/>
            <w:tcMar>
              <w:left w:w="80" w:type="dxa"/>
              <w:right w:w="80" w:type="dxa"/>
            </w:tcMar>
          </w:tcPr>
          <w:p w14:paraId="0DA10086"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0.0075</w:t>
            </w:r>
          </w:p>
        </w:tc>
        <w:tc>
          <w:tcPr>
            <w:tcW w:w="379" w:type="pct"/>
            <w:tcBorders>
              <w:top w:val="nil"/>
              <w:left w:val="single" w:sz="2" w:space="0" w:color="000000"/>
              <w:bottom w:val="single" w:sz="2" w:space="0" w:color="000000"/>
              <w:right w:val="nil"/>
            </w:tcBorders>
            <w:shd w:val="clear" w:color="auto" w:fill="FFFFFF"/>
            <w:tcMar>
              <w:left w:w="80" w:type="dxa"/>
              <w:right w:w="80" w:type="dxa"/>
            </w:tcMar>
          </w:tcPr>
          <w:p w14:paraId="749DBEB6"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-0.001</w:t>
            </w:r>
          </w:p>
        </w:tc>
        <w:tc>
          <w:tcPr>
            <w:tcW w:w="379" w:type="pct"/>
            <w:tcBorders>
              <w:top w:val="nil"/>
              <w:left w:val="single" w:sz="2" w:space="0" w:color="000000"/>
              <w:bottom w:val="single" w:sz="2" w:space="0" w:color="000000"/>
              <w:right w:val="nil"/>
            </w:tcBorders>
            <w:shd w:val="clear" w:color="auto" w:fill="FFFFFF"/>
            <w:tcMar>
              <w:left w:w="80" w:type="dxa"/>
              <w:right w:w="80" w:type="dxa"/>
            </w:tcMar>
          </w:tcPr>
          <w:p w14:paraId="62AA487F"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-0.010</w:t>
            </w:r>
          </w:p>
        </w:tc>
        <w:tc>
          <w:tcPr>
            <w:tcW w:w="688" w:type="pct"/>
            <w:tcBorders>
              <w:top w:val="nil"/>
              <w:left w:val="single" w:sz="2" w:space="0" w:color="000000"/>
              <w:bottom w:val="single" w:sz="2" w:space="0" w:color="000000"/>
              <w:right w:val="nil"/>
            </w:tcBorders>
            <w:shd w:val="clear" w:color="auto" w:fill="FFFFFF"/>
            <w:tcMar>
              <w:left w:w="80" w:type="dxa"/>
              <w:right w:w="80" w:type="dxa"/>
            </w:tcMar>
          </w:tcPr>
          <w:p w14:paraId="39AC1E0F"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-0.029</w:t>
            </w:r>
          </w:p>
        </w:tc>
        <w:tc>
          <w:tcPr>
            <w:tcW w:w="705" w:type="pct"/>
            <w:tcBorders>
              <w:top w:val="nil"/>
              <w:left w:val="single" w:sz="2" w:space="0" w:color="000000"/>
              <w:bottom w:val="single" w:sz="2" w:space="0" w:color="000000"/>
              <w:right w:val="nil"/>
            </w:tcBorders>
            <w:shd w:val="clear" w:color="auto" w:fill="FFFFFF"/>
            <w:tcMar>
              <w:left w:w="80" w:type="dxa"/>
              <w:right w:w="80" w:type="dxa"/>
            </w:tcMar>
          </w:tcPr>
          <w:p w14:paraId="1B09EAD6"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0.008</w:t>
            </w:r>
          </w:p>
        </w:tc>
        <w:tc>
          <w:tcPr>
            <w:tcW w:w="1058" w:type="pct"/>
            <w:tcBorders>
              <w:top w:val="nil"/>
              <w:left w:val="single" w:sz="2" w:space="0" w:color="000000"/>
              <w:bottom w:val="single" w:sz="2" w:space="0" w:color="000000"/>
              <w:right w:val="single" w:sz="6" w:space="0" w:color="000000"/>
            </w:tcBorders>
            <w:shd w:val="clear" w:color="auto" w:fill="FFFFFF"/>
            <w:tcMar>
              <w:left w:w="80" w:type="dxa"/>
              <w:right w:w="80" w:type="dxa"/>
            </w:tcMar>
          </w:tcPr>
          <w:p w14:paraId="6682CEDC"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-0.010 (-0.029, 0.008)</w:t>
            </w:r>
          </w:p>
        </w:tc>
      </w:tr>
      <w:tr w:rsidR="00F3418E" w:rsidRPr="00DF3B48" w14:paraId="4B96BFC4" w14:textId="77777777" w:rsidTr="00DF3B48">
        <w:trPr>
          <w:cantSplit/>
          <w:jc w:val="center"/>
        </w:trPr>
        <w:tc>
          <w:tcPr>
            <w:tcW w:w="296" w:type="pct"/>
            <w:tcBorders>
              <w:top w:val="nil"/>
              <w:left w:val="single" w:sz="6" w:space="0" w:color="000000"/>
              <w:bottom w:val="single" w:sz="2" w:space="0" w:color="000000"/>
              <w:right w:val="nil"/>
            </w:tcBorders>
            <w:shd w:val="clear" w:color="auto" w:fill="FFFFFF"/>
            <w:tcMar>
              <w:left w:w="80" w:type="dxa"/>
              <w:right w:w="80" w:type="dxa"/>
            </w:tcMar>
          </w:tcPr>
          <w:p w14:paraId="0A6D80B2"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0.04</w:t>
            </w:r>
          </w:p>
        </w:tc>
        <w:tc>
          <w:tcPr>
            <w:tcW w:w="346" w:type="pct"/>
            <w:tcBorders>
              <w:top w:val="nil"/>
              <w:left w:val="single" w:sz="2" w:space="0" w:color="000000"/>
              <w:bottom w:val="single" w:sz="2" w:space="0" w:color="000000"/>
              <w:right w:val="nil"/>
            </w:tcBorders>
            <w:shd w:val="clear" w:color="auto" w:fill="FFFFFF"/>
            <w:tcMar>
              <w:left w:w="80" w:type="dxa"/>
              <w:right w:w="80" w:type="dxa"/>
            </w:tcMar>
          </w:tcPr>
          <w:p w14:paraId="25EED461"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0.192</w:t>
            </w:r>
          </w:p>
        </w:tc>
        <w:tc>
          <w:tcPr>
            <w:tcW w:w="346" w:type="pct"/>
            <w:tcBorders>
              <w:top w:val="nil"/>
              <w:left w:val="single" w:sz="2" w:space="0" w:color="000000"/>
              <w:bottom w:val="single" w:sz="2" w:space="0" w:color="000000"/>
              <w:right w:val="nil"/>
            </w:tcBorders>
            <w:shd w:val="clear" w:color="auto" w:fill="FFFFFF"/>
            <w:tcMar>
              <w:left w:w="80" w:type="dxa"/>
              <w:right w:w="80" w:type="dxa"/>
            </w:tcMar>
          </w:tcPr>
          <w:p w14:paraId="56564B0E"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0.133</w:t>
            </w:r>
          </w:p>
        </w:tc>
        <w:tc>
          <w:tcPr>
            <w:tcW w:w="401" w:type="pct"/>
            <w:tcBorders>
              <w:top w:val="nil"/>
              <w:left w:val="single" w:sz="2" w:space="0" w:color="000000"/>
              <w:bottom w:val="single" w:sz="2" w:space="0" w:color="000000"/>
              <w:right w:val="nil"/>
            </w:tcBorders>
            <w:shd w:val="clear" w:color="auto" w:fill="FFFFFF"/>
            <w:tcMar>
              <w:left w:w="80" w:type="dxa"/>
              <w:right w:w="80" w:type="dxa"/>
            </w:tcMar>
          </w:tcPr>
          <w:p w14:paraId="478A2C4E"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0.0150</w:t>
            </w:r>
          </w:p>
        </w:tc>
        <w:tc>
          <w:tcPr>
            <w:tcW w:w="401" w:type="pct"/>
            <w:tcBorders>
              <w:top w:val="nil"/>
              <w:left w:val="single" w:sz="2" w:space="0" w:color="000000"/>
              <w:bottom w:val="single" w:sz="2" w:space="0" w:color="000000"/>
              <w:right w:val="nil"/>
            </w:tcBorders>
            <w:shd w:val="clear" w:color="auto" w:fill="FFFFFF"/>
            <w:tcMar>
              <w:left w:w="80" w:type="dxa"/>
              <w:right w:w="80" w:type="dxa"/>
            </w:tcMar>
          </w:tcPr>
          <w:p w14:paraId="1AD28C79"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0.0075</w:t>
            </w:r>
          </w:p>
        </w:tc>
        <w:tc>
          <w:tcPr>
            <w:tcW w:w="379" w:type="pct"/>
            <w:tcBorders>
              <w:top w:val="nil"/>
              <w:left w:val="single" w:sz="2" w:space="0" w:color="000000"/>
              <w:bottom w:val="single" w:sz="2" w:space="0" w:color="000000"/>
              <w:right w:val="nil"/>
            </w:tcBorders>
            <w:shd w:val="clear" w:color="auto" w:fill="FFFFFF"/>
            <w:tcMar>
              <w:left w:w="80" w:type="dxa"/>
              <w:right w:w="80" w:type="dxa"/>
            </w:tcMar>
          </w:tcPr>
          <w:p w14:paraId="1A63B329"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0.001</w:t>
            </w:r>
          </w:p>
        </w:tc>
        <w:tc>
          <w:tcPr>
            <w:tcW w:w="379" w:type="pct"/>
            <w:tcBorders>
              <w:top w:val="nil"/>
              <w:left w:val="single" w:sz="2" w:space="0" w:color="000000"/>
              <w:bottom w:val="single" w:sz="2" w:space="0" w:color="000000"/>
              <w:right w:val="nil"/>
            </w:tcBorders>
            <w:shd w:val="clear" w:color="auto" w:fill="FFFFFF"/>
            <w:tcMar>
              <w:left w:w="80" w:type="dxa"/>
              <w:right w:w="80" w:type="dxa"/>
            </w:tcMar>
          </w:tcPr>
          <w:p w14:paraId="7DDCDE05"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-0.009</w:t>
            </w:r>
          </w:p>
        </w:tc>
        <w:tc>
          <w:tcPr>
            <w:tcW w:w="688" w:type="pct"/>
            <w:tcBorders>
              <w:top w:val="nil"/>
              <w:left w:val="single" w:sz="2" w:space="0" w:color="000000"/>
              <w:bottom w:val="single" w:sz="2" w:space="0" w:color="000000"/>
              <w:right w:val="nil"/>
            </w:tcBorders>
            <w:shd w:val="clear" w:color="auto" w:fill="FFFFFF"/>
            <w:tcMar>
              <w:left w:w="80" w:type="dxa"/>
              <w:right w:w="80" w:type="dxa"/>
            </w:tcMar>
          </w:tcPr>
          <w:p w14:paraId="1D3E5384"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-0.027</w:t>
            </w:r>
          </w:p>
        </w:tc>
        <w:tc>
          <w:tcPr>
            <w:tcW w:w="705" w:type="pct"/>
            <w:tcBorders>
              <w:top w:val="nil"/>
              <w:left w:val="single" w:sz="2" w:space="0" w:color="000000"/>
              <w:bottom w:val="single" w:sz="2" w:space="0" w:color="000000"/>
              <w:right w:val="nil"/>
            </w:tcBorders>
            <w:shd w:val="clear" w:color="auto" w:fill="FFFFFF"/>
            <w:tcMar>
              <w:left w:w="80" w:type="dxa"/>
              <w:right w:w="80" w:type="dxa"/>
            </w:tcMar>
          </w:tcPr>
          <w:p w14:paraId="7B169F6E"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0.010</w:t>
            </w:r>
          </w:p>
        </w:tc>
        <w:tc>
          <w:tcPr>
            <w:tcW w:w="1058" w:type="pct"/>
            <w:tcBorders>
              <w:top w:val="nil"/>
              <w:left w:val="single" w:sz="2" w:space="0" w:color="000000"/>
              <w:bottom w:val="single" w:sz="2" w:space="0" w:color="000000"/>
              <w:right w:val="single" w:sz="6" w:space="0" w:color="000000"/>
            </w:tcBorders>
            <w:shd w:val="clear" w:color="auto" w:fill="FFFFFF"/>
            <w:tcMar>
              <w:left w:w="80" w:type="dxa"/>
              <w:right w:w="80" w:type="dxa"/>
            </w:tcMar>
          </w:tcPr>
          <w:p w14:paraId="2DEF2CCF"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-0.009 (-0.027, 0.010)</w:t>
            </w:r>
          </w:p>
        </w:tc>
      </w:tr>
      <w:tr w:rsidR="00F3418E" w:rsidRPr="00DF3B48" w14:paraId="4F862304" w14:textId="77777777" w:rsidTr="00DF3B48">
        <w:trPr>
          <w:cantSplit/>
          <w:jc w:val="center"/>
        </w:trPr>
        <w:tc>
          <w:tcPr>
            <w:tcW w:w="296" w:type="pct"/>
            <w:tcBorders>
              <w:top w:val="nil"/>
              <w:left w:val="single" w:sz="6" w:space="0" w:color="000000"/>
              <w:bottom w:val="single" w:sz="2" w:space="0" w:color="000000"/>
              <w:right w:val="nil"/>
            </w:tcBorders>
            <w:shd w:val="clear" w:color="auto" w:fill="FFFFFF"/>
            <w:tcMar>
              <w:left w:w="80" w:type="dxa"/>
              <w:right w:w="80" w:type="dxa"/>
            </w:tcMar>
          </w:tcPr>
          <w:p w14:paraId="71478F60"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0.02</w:t>
            </w:r>
          </w:p>
        </w:tc>
        <w:tc>
          <w:tcPr>
            <w:tcW w:w="346" w:type="pct"/>
            <w:tcBorders>
              <w:top w:val="nil"/>
              <w:left w:val="single" w:sz="2" w:space="0" w:color="000000"/>
              <w:bottom w:val="single" w:sz="2" w:space="0" w:color="000000"/>
              <w:right w:val="nil"/>
            </w:tcBorders>
            <w:shd w:val="clear" w:color="auto" w:fill="FFFFFF"/>
            <w:tcMar>
              <w:left w:w="80" w:type="dxa"/>
              <w:right w:w="80" w:type="dxa"/>
            </w:tcMar>
          </w:tcPr>
          <w:p w14:paraId="61545986"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0.192</w:t>
            </w:r>
          </w:p>
        </w:tc>
        <w:tc>
          <w:tcPr>
            <w:tcW w:w="346" w:type="pct"/>
            <w:tcBorders>
              <w:top w:val="nil"/>
              <w:left w:val="single" w:sz="2" w:space="0" w:color="000000"/>
              <w:bottom w:val="single" w:sz="2" w:space="0" w:color="000000"/>
              <w:right w:val="nil"/>
            </w:tcBorders>
            <w:shd w:val="clear" w:color="auto" w:fill="FFFFFF"/>
            <w:tcMar>
              <w:left w:w="80" w:type="dxa"/>
              <w:right w:w="80" w:type="dxa"/>
            </w:tcMar>
          </w:tcPr>
          <w:p w14:paraId="7BFB490F"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0.133</w:t>
            </w:r>
          </w:p>
        </w:tc>
        <w:tc>
          <w:tcPr>
            <w:tcW w:w="401" w:type="pct"/>
            <w:tcBorders>
              <w:top w:val="nil"/>
              <w:left w:val="single" w:sz="2" w:space="0" w:color="000000"/>
              <w:bottom w:val="single" w:sz="2" w:space="0" w:color="000000"/>
              <w:right w:val="nil"/>
            </w:tcBorders>
            <w:shd w:val="clear" w:color="auto" w:fill="FFFFFF"/>
            <w:tcMar>
              <w:left w:w="80" w:type="dxa"/>
              <w:right w:w="80" w:type="dxa"/>
            </w:tcMar>
          </w:tcPr>
          <w:p w14:paraId="722ECD6A"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0.0150</w:t>
            </w:r>
          </w:p>
        </w:tc>
        <w:tc>
          <w:tcPr>
            <w:tcW w:w="401" w:type="pct"/>
            <w:tcBorders>
              <w:top w:val="nil"/>
              <w:left w:val="single" w:sz="2" w:space="0" w:color="000000"/>
              <w:bottom w:val="single" w:sz="2" w:space="0" w:color="000000"/>
              <w:right w:val="nil"/>
            </w:tcBorders>
            <w:shd w:val="clear" w:color="auto" w:fill="FFFFFF"/>
            <w:tcMar>
              <w:left w:w="80" w:type="dxa"/>
              <w:right w:w="80" w:type="dxa"/>
            </w:tcMar>
          </w:tcPr>
          <w:p w14:paraId="088B5D36"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0.0150</w:t>
            </w:r>
          </w:p>
        </w:tc>
        <w:tc>
          <w:tcPr>
            <w:tcW w:w="379" w:type="pct"/>
            <w:tcBorders>
              <w:top w:val="nil"/>
              <w:left w:val="single" w:sz="2" w:space="0" w:color="000000"/>
              <w:bottom w:val="single" w:sz="2" w:space="0" w:color="000000"/>
              <w:right w:val="nil"/>
            </w:tcBorders>
            <w:shd w:val="clear" w:color="auto" w:fill="FFFFFF"/>
            <w:tcMar>
              <w:left w:w="80" w:type="dxa"/>
              <w:right w:w="80" w:type="dxa"/>
            </w:tcMar>
          </w:tcPr>
          <w:p w14:paraId="6583A447"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-0.004</w:t>
            </w:r>
          </w:p>
        </w:tc>
        <w:tc>
          <w:tcPr>
            <w:tcW w:w="379" w:type="pct"/>
            <w:tcBorders>
              <w:top w:val="nil"/>
              <w:left w:val="single" w:sz="2" w:space="0" w:color="000000"/>
              <w:bottom w:val="single" w:sz="2" w:space="0" w:color="000000"/>
              <w:right w:val="nil"/>
            </w:tcBorders>
            <w:shd w:val="clear" w:color="auto" w:fill="FFFFFF"/>
            <w:tcMar>
              <w:left w:w="80" w:type="dxa"/>
              <w:right w:w="80" w:type="dxa"/>
            </w:tcMar>
          </w:tcPr>
          <w:p w14:paraId="06421276"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-0.013</w:t>
            </w:r>
          </w:p>
        </w:tc>
        <w:tc>
          <w:tcPr>
            <w:tcW w:w="688" w:type="pct"/>
            <w:tcBorders>
              <w:top w:val="nil"/>
              <w:left w:val="single" w:sz="2" w:space="0" w:color="000000"/>
              <w:bottom w:val="single" w:sz="2" w:space="0" w:color="000000"/>
              <w:right w:val="nil"/>
            </w:tcBorders>
            <w:shd w:val="clear" w:color="auto" w:fill="FFFFFF"/>
            <w:tcMar>
              <w:left w:w="80" w:type="dxa"/>
              <w:right w:w="80" w:type="dxa"/>
            </w:tcMar>
          </w:tcPr>
          <w:p w14:paraId="2FCAE41A"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-0.032</w:t>
            </w:r>
          </w:p>
        </w:tc>
        <w:tc>
          <w:tcPr>
            <w:tcW w:w="705" w:type="pct"/>
            <w:tcBorders>
              <w:top w:val="nil"/>
              <w:left w:val="single" w:sz="2" w:space="0" w:color="000000"/>
              <w:bottom w:val="single" w:sz="2" w:space="0" w:color="000000"/>
              <w:right w:val="nil"/>
            </w:tcBorders>
            <w:shd w:val="clear" w:color="auto" w:fill="FFFFFF"/>
            <w:tcMar>
              <w:left w:w="80" w:type="dxa"/>
              <w:right w:w="80" w:type="dxa"/>
            </w:tcMar>
          </w:tcPr>
          <w:p w14:paraId="159D8BDF"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0.005</w:t>
            </w:r>
          </w:p>
        </w:tc>
        <w:tc>
          <w:tcPr>
            <w:tcW w:w="1058" w:type="pct"/>
            <w:tcBorders>
              <w:top w:val="nil"/>
              <w:left w:val="single" w:sz="2" w:space="0" w:color="000000"/>
              <w:bottom w:val="single" w:sz="2" w:space="0" w:color="000000"/>
              <w:right w:val="single" w:sz="6" w:space="0" w:color="000000"/>
            </w:tcBorders>
            <w:shd w:val="clear" w:color="auto" w:fill="FFFFFF"/>
            <w:tcMar>
              <w:left w:w="80" w:type="dxa"/>
              <w:right w:w="80" w:type="dxa"/>
            </w:tcMar>
          </w:tcPr>
          <w:p w14:paraId="580B95FE"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-0.013 (-0.032, 0.005)</w:t>
            </w:r>
          </w:p>
        </w:tc>
      </w:tr>
      <w:tr w:rsidR="00F3418E" w:rsidRPr="00DF3B48" w14:paraId="1FA4B163" w14:textId="77777777" w:rsidTr="00DF3B48">
        <w:trPr>
          <w:cantSplit/>
          <w:jc w:val="center"/>
        </w:trPr>
        <w:tc>
          <w:tcPr>
            <w:tcW w:w="296" w:type="pct"/>
            <w:tcBorders>
              <w:top w:val="nil"/>
              <w:left w:val="single" w:sz="6" w:space="0" w:color="000000"/>
              <w:bottom w:val="single" w:sz="6" w:space="0" w:color="000000"/>
              <w:right w:val="nil"/>
            </w:tcBorders>
            <w:shd w:val="clear" w:color="auto" w:fill="FFFFFF"/>
            <w:tcMar>
              <w:left w:w="80" w:type="dxa"/>
              <w:right w:w="80" w:type="dxa"/>
            </w:tcMar>
          </w:tcPr>
          <w:p w14:paraId="67FA1FF3"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0.04</w:t>
            </w:r>
          </w:p>
        </w:tc>
        <w:tc>
          <w:tcPr>
            <w:tcW w:w="346" w:type="pct"/>
            <w:tcBorders>
              <w:top w:val="nil"/>
              <w:left w:val="single" w:sz="2" w:space="0" w:color="000000"/>
              <w:bottom w:val="single" w:sz="6" w:space="0" w:color="000000"/>
              <w:right w:val="nil"/>
            </w:tcBorders>
            <w:shd w:val="clear" w:color="auto" w:fill="FFFFFF"/>
            <w:tcMar>
              <w:left w:w="80" w:type="dxa"/>
              <w:right w:w="80" w:type="dxa"/>
            </w:tcMar>
          </w:tcPr>
          <w:p w14:paraId="01A8A2C5"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0.192</w:t>
            </w:r>
          </w:p>
        </w:tc>
        <w:tc>
          <w:tcPr>
            <w:tcW w:w="346" w:type="pct"/>
            <w:tcBorders>
              <w:top w:val="nil"/>
              <w:left w:val="single" w:sz="2" w:space="0" w:color="000000"/>
              <w:bottom w:val="single" w:sz="6" w:space="0" w:color="000000"/>
              <w:right w:val="nil"/>
            </w:tcBorders>
            <w:shd w:val="clear" w:color="auto" w:fill="FFFFFF"/>
            <w:tcMar>
              <w:left w:w="80" w:type="dxa"/>
              <w:right w:w="80" w:type="dxa"/>
            </w:tcMar>
          </w:tcPr>
          <w:p w14:paraId="3D790BD9"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0.133</w:t>
            </w:r>
          </w:p>
        </w:tc>
        <w:tc>
          <w:tcPr>
            <w:tcW w:w="401" w:type="pct"/>
            <w:tcBorders>
              <w:top w:val="nil"/>
              <w:left w:val="single" w:sz="2" w:space="0" w:color="000000"/>
              <w:bottom w:val="single" w:sz="6" w:space="0" w:color="000000"/>
              <w:right w:val="nil"/>
            </w:tcBorders>
            <w:shd w:val="clear" w:color="auto" w:fill="FFFFFF"/>
            <w:tcMar>
              <w:left w:w="80" w:type="dxa"/>
              <w:right w:w="80" w:type="dxa"/>
            </w:tcMar>
          </w:tcPr>
          <w:p w14:paraId="67C86B15"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0.0150</w:t>
            </w:r>
          </w:p>
        </w:tc>
        <w:tc>
          <w:tcPr>
            <w:tcW w:w="401" w:type="pct"/>
            <w:tcBorders>
              <w:top w:val="nil"/>
              <w:left w:val="single" w:sz="2" w:space="0" w:color="000000"/>
              <w:bottom w:val="single" w:sz="6" w:space="0" w:color="000000"/>
              <w:right w:val="nil"/>
            </w:tcBorders>
            <w:shd w:val="clear" w:color="auto" w:fill="FFFFFF"/>
            <w:tcMar>
              <w:left w:w="80" w:type="dxa"/>
              <w:right w:w="80" w:type="dxa"/>
            </w:tcMar>
          </w:tcPr>
          <w:p w14:paraId="0EC0F579"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0.0150</w:t>
            </w:r>
          </w:p>
        </w:tc>
        <w:tc>
          <w:tcPr>
            <w:tcW w:w="379" w:type="pct"/>
            <w:tcBorders>
              <w:top w:val="nil"/>
              <w:left w:val="single" w:sz="2" w:space="0" w:color="000000"/>
              <w:bottom w:val="single" w:sz="6" w:space="0" w:color="000000"/>
              <w:right w:val="nil"/>
            </w:tcBorders>
            <w:shd w:val="clear" w:color="auto" w:fill="FFFFFF"/>
            <w:tcMar>
              <w:left w:w="80" w:type="dxa"/>
              <w:right w:w="80" w:type="dxa"/>
            </w:tcMar>
          </w:tcPr>
          <w:p w14:paraId="1B95EB91"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-0.003</w:t>
            </w:r>
          </w:p>
        </w:tc>
        <w:tc>
          <w:tcPr>
            <w:tcW w:w="379" w:type="pct"/>
            <w:tcBorders>
              <w:top w:val="nil"/>
              <w:left w:val="single" w:sz="2" w:space="0" w:color="000000"/>
              <w:bottom w:val="single" w:sz="6" w:space="0" w:color="000000"/>
              <w:right w:val="nil"/>
            </w:tcBorders>
            <w:shd w:val="clear" w:color="auto" w:fill="FFFFFF"/>
            <w:tcMar>
              <w:left w:w="80" w:type="dxa"/>
              <w:right w:w="80" w:type="dxa"/>
            </w:tcMar>
          </w:tcPr>
          <w:p w14:paraId="617ACD86"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-0.013</w:t>
            </w:r>
          </w:p>
        </w:tc>
        <w:tc>
          <w:tcPr>
            <w:tcW w:w="688" w:type="pct"/>
            <w:tcBorders>
              <w:top w:val="nil"/>
              <w:left w:val="single" w:sz="2" w:space="0" w:color="000000"/>
              <w:bottom w:val="single" w:sz="6" w:space="0" w:color="000000"/>
              <w:right w:val="nil"/>
            </w:tcBorders>
            <w:shd w:val="clear" w:color="auto" w:fill="FFFFFF"/>
            <w:tcMar>
              <w:left w:w="80" w:type="dxa"/>
              <w:right w:w="80" w:type="dxa"/>
            </w:tcMar>
          </w:tcPr>
          <w:p w14:paraId="3F2B8232"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-0.031</w:t>
            </w:r>
          </w:p>
        </w:tc>
        <w:tc>
          <w:tcPr>
            <w:tcW w:w="705" w:type="pct"/>
            <w:tcBorders>
              <w:top w:val="nil"/>
              <w:left w:val="single" w:sz="2" w:space="0" w:color="000000"/>
              <w:bottom w:val="single" w:sz="6" w:space="0" w:color="000000"/>
              <w:right w:val="nil"/>
            </w:tcBorders>
            <w:shd w:val="clear" w:color="auto" w:fill="FFFFFF"/>
            <w:tcMar>
              <w:left w:w="80" w:type="dxa"/>
              <w:right w:w="80" w:type="dxa"/>
            </w:tcMar>
          </w:tcPr>
          <w:p w14:paraId="032E7CF4"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0.006</w:t>
            </w:r>
          </w:p>
        </w:tc>
        <w:tc>
          <w:tcPr>
            <w:tcW w:w="1058" w:type="pct"/>
            <w:tcBorders>
              <w:top w:val="nil"/>
              <w:left w:val="single" w:sz="2" w:space="0" w:color="000000"/>
              <w:bottom w:val="single" w:sz="6" w:space="0" w:color="000000"/>
              <w:right w:val="single" w:sz="6" w:space="0" w:color="000000"/>
            </w:tcBorders>
            <w:shd w:val="clear" w:color="auto" w:fill="FFFFFF"/>
            <w:tcMar>
              <w:left w:w="80" w:type="dxa"/>
              <w:right w:w="80" w:type="dxa"/>
            </w:tcMar>
          </w:tcPr>
          <w:p w14:paraId="297C4661"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-0.013 (-0.031, 0.006)</w:t>
            </w:r>
          </w:p>
        </w:tc>
      </w:tr>
    </w:tbl>
    <w:p w14:paraId="0C35EBA6" w14:textId="414F864C" w:rsidR="00F3418E" w:rsidRPr="00F3418E" w:rsidRDefault="003E77B4" w:rsidP="00897C5B">
      <w:pPr>
        <w:pStyle w:val="Caption"/>
      </w:pPr>
      <w:r>
        <w:t xml:space="preserve">Table </w:t>
      </w:r>
      <w:r w:rsidR="00171526">
        <w:t>App-E</w:t>
      </w:r>
      <w:r>
        <w:t>8. Results for modelled scenarios for survivor causal effect for Frailty Index</w:t>
      </w:r>
    </w:p>
    <w:p w14:paraId="0B9DFA20" w14:textId="77777777" w:rsidR="00F3418E" w:rsidRPr="00F3418E" w:rsidRDefault="00F3418E" w:rsidP="00DF3B48">
      <w:pPr>
        <w:pStyle w:val="Heading4"/>
      </w:pPr>
      <w:r w:rsidRPr="00F3418E">
        <w:t>Weight</w:t>
      </w:r>
    </w:p>
    <w:tbl>
      <w:tblPr>
        <w:tblW w:w="5000" w:type="pct"/>
        <w:jc w:val="center"/>
        <w:tblCellMar>
          <w:left w:w="0" w:type="dxa"/>
          <w:right w:w="0" w:type="dxa"/>
        </w:tblCellMar>
        <w:tblLook w:val="0000" w:firstRow="0" w:lastRow="0" w:firstColumn="0" w:lastColumn="0" w:noHBand="0" w:noVBand="0"/>
        <w:tblCaption w:val="Results for modelled scenarios for survivor causal effect for Weight"/>
        <w:tblDescription w:val="Results for modelled scenarios for survivor causal effect for Weight"/>
      </w:tblPr>
      <w:tblGrid>
        <w:gridCol w:w="523"/>
        <w:gridCol w:w="613"/>
        <w:gridCol w:w="613"/>
        <w:gridCol w:w="633"/>
        <w:gridCol w:w="633"/>
        <w:gridCol w:w="573"/>
        <w:gridCol w:w="1317"/>
        <w:gridCol w:w="1218"/>
        <w:gridCol w:w="1249"/>
        <w:gridCol w:w="1638"/>
      </w:tblGrid>
      <w:tr w:rsidR="00DF3B48" w:rsidRPr="00DF3B48" w14:paraId="1308E35A" w14:textId="77777777" w:rsidTr="00DF3B48">
        <w:trPr>
          <w:cantSplit/>
          <w:tblHeader/>
          <w:jc w:val="center"/>
        </w:trPr>
        <w:tc>
          <w:tcPr>
            <w:tcW w:w="291" w:type="pct"/>
            <w:tcBorders>
              <w:top w:val="single" w:sz="6" w:space="0" w:color="000000"/>
              <w:left w:val="single" w:sz="6" w:space="0" w:color="000000"/>
              <w:bottom w:val="single" w:sz="2" w:space="0" w:color="000000"/>
              <w:right w:val="nil"/>
            </w:tcBorders>
            <w:shd w:val="clear" w:color="auto" w:fill="000000" w:themeFill="text1"/>
            <w:tcMar>
              <w:left w:w="80" w:type="dxa"/>
              <w:right w:w="80" w:type="dxa"/>
            </w:tcMar>
            <w:vAlign w:val="bottom"/>
          </w:tcPr>
          <w:p w14:paraId="469167A7" w14:textId="77777777" w:rsidR="00F3418E" w:rsidRPr="00DF3B48" w:rsidRDefault="00F3418E" w:rsidP="00DF3B48">
            <w:pPr>
              <w:pStyle w:val="TableHeader"/>
              <w:rPr>
                <w:rFonts w:ascii="Arial Narrow" w:hAnsi="Arial Narrow"/>
                <w:sz w:val="20"/>
                <w:szCs w:val="20"/>
              </w:rPr>
            </w:pPr>
            <w:r w:rsidRPr="00DF3B48">
              <w:rPr>
                <w:rFonts w:ascii="Arial Narrow" w:hAnsi="Arial Narrow"/>
                <w:sz w:val="20"/>
                <w:szCs w:val="20"/>
              </w:rPr>
              <w:t>pi01</w:t>
            </w:r>
          </w:p>
        </w:tc>
        <w:tc>
          <w:tcPr>
            <w:tcW w:w="340" w:type="pct"/>
            <w:tcBorders>
              <w:top w:val="single" w:sz="6" w:space="0" w:color="000000"/>
              <w:left w:val="single" w:sz="2" w:space="0" w:color="000000"/>
              <w:bottom w:val="single" w:sz="2" w:space="0" w:color="000000"/>
              <w:right w:val="nil"/>
            </w:tcBorders>
            <w:shd w:val="clear" w:color="auto" w:fill="000000" w:themeFill="text1"/>
            <w:tcMar>
              <w:left w:w="80" w:type="dxa"/>
              <w:right w:w="80" w:type="dxa"/>
            </w:tcMar>
            <w:vAlign w:val="bottom"/>
          </w:tcPr>
          <w:p w14:paraId="53425D30" w14:textId="77777777" w:rsidR="00F3418E" w:rsidRPr="00DF3B48" w:rsidRDefault="00F3418E" w:rsidP="00DF3B48">
            <w:pPr>
              <w:pStyle w:val="TableHeader"/>
              <w:rPr>
                <w:rFonts w:ascii="Arial Narrow" w:hAnsi="Arial Narrow"/>
                <w:sz w:val="20"/>
                <w:szCs w:val="20"/>
              </w:rPr>
            </w:pPr>
            <w:r w:rsidRPr="00DF3B48">
              <w:rPr>
                <w:rFonts w:ascii="Arial Narrow" w:hAnsi="Arial Narrow"/>
                <w:sz w:val="20"/>
                <w:szCs w:val="20"/>
              </w:rPr>
              <w:t>p1</w:t>
            </w:r>
          </w:p>
        </w:tc>
        <w:tc>
          <w:tcPr>
            <w:tcW w:w="340" w:type="pct"/>
            <w:tcBorders>
              <w:top w:val="single" w:sz="6" w:space="0" w:color="000000"/>
              <w:left w:val="single" w:sz="2" w:space="0" w:color="000000"/>
              <w:bottom w:val="single" w:sz="2" w:space="0" w:color="000000"/>
              <w:right w:val="nil"/>
            </w:tcBorders>
            <w:shd w:val="clear" w:color="auto" w:fill="000000" w:themeFill="text1"/>
            <w:tcMar>
              <w:left w:w="80" w:type="dxa"/>
              <w:right w:w="80" w:type="dxa"/>
            </w:tcMar>
            <w:vAlign w:val="bottom"/>
          </w:tcPr>
          <w:p w14:paraId="33FDED61" w14:textId="77777777" w:rsidR="00F3418E" w:rsidRPr="00DF3B48" w:rsidRDefault="00F3418E" w:rsidP="00DF3B48">
            <w:pPr>
              <w:pStyle w:val="TableHeader"/>
              <w:rPr>
                <w:rFonts w:ascii="Arial Narrow" w:hAnsi="Arial Narrow"/>
                <w:sz w:val="20"/>
                <w:szCs w:val="20"/>
              </w:rPr>
            </w:pPr>
            <w:r w:rsidRPr="00DF3B48">
              <w:rPr>
                <w:rFonts w:ascii="Arial Narrow" w:hAnsi="Arial Narrow"/>
                <w:sz w:val="20"/>
                <w:szCs w:val="20"/>
              </w:rPr>
              <w:t>p0</w:t>
            </w:r>
          </w:p>
        </w:tc>
        <w:tc>
          <w:tcPr>
            <w:tcW w:w="351" w:type="pct"/>
            <w:tcBorders>
              <w:top w:val="single" w:sz="6" w:space="0" w:color="000000"/>
              <w:left w:val="single" w:sz="2" w:space="0" w:color="000000"/>
              <w:bottom w:val="single" w:sz="2" w:space="0" w:color="000000"/>
              <w:right w:val="nil"/>
            </w:tcBorders>
            <w:shd w:val="clear" w:color="auto" w:fill="000000" w:themeFill="text1"/>
            <w:tcMar>
              <w:left w:w="80" w:type="dxa"/>
              <w:right w:w="80" w:type="dxa"/>
            </w:tcMar>
            <w:vAlign w:val="bottom"/>
          </w:tcPr>
          <w:p w14:paraId="2F886E24" w14:textId="77777777" w:rsidR="00F3418E" w:rsidRPr="00DF3B48" w:rsidRDefault="00F3418E" w:rsidP="00DF3B48">
            <w:pPr>
              <w:pStyle w:val="TableHeader"/>
              <w:rPr>
                <w:rFonts w:ascii="Arial Narrow" w:hAnsi="Arial Narrow"/>
                <w:sz w:val="20"/>
                <w:szCs w:val="20"/>
              </w:rPr>
            </w:pPr>
            <w:r w:rsidRPr="00DF3B48">
              <w:rPr>
                <w:rFonts w:ascii="Arial Narrow" w:hAnsi="Arial Narrow"/>
                <w:sz w:val="20"/>
                <w:szCs w:val="20"/>
              </w:rPr>
              <w:t>beta0</w:t>
            </w:r>
          </w:p>
        </w:tc>
        <w:tc>
          <w:tcPr>
            <w:tcW w:w="351" w:type="pct"/>
            <w:tcBorders>
              <w:top w:val="single" w:sz="6" w:space="0" w:color="000000"/>
              <w:left w:val="single" w:sz="2" w:space="0" w:color="000000"/>
              <w:bottom w:val="single" w:sz="2" w:space="0" w:color="000000"/>
              <w:right w:val="nil"/>
            </w:tcBorders>
            <w:shd w:val="clear" w:color="auto" w:fill="000000" w:themeFill="text1"/>
            <w:tcMar>
              <w:left w:w="80" w:type="dxa"/>
              <w:right w:w="80" w:type="dxa"/>
            </w:tcMar>
            <w:vAlign w:val="bottom"/>
          </w:tcPr>
          <w:p w14:paraId="1FF634FF" w14:textId="77777777" w:rsidR="00F3418E" w:rsidRPr="00DF3B48" w:rsidRDefault="00F3418E" w:rsidP="00DF3B48">
            <w:pPr>
              <w:pStyle w:val="TableHeader"/>
              <w:rPr>
                <w:rFonts w:ascii="Arial Narrow" w:hAnsi="Arial Narrow"/>
                <w:sz w:val="20"/>
                <w:szCs w:val="20"/>
              </w:rPr>
            </w:pPr>
            <w:r w:rsidRPr="00DF3B48">
              <w:rPr>
                <w:rFonts w:ascii="Arial Narrow" w:hAnsi="Arial Narrow"/>
                <w:sz w:val="20"/>
                <w:szCs w:val="20"/>
              </w:rPr>
              <w:t>beta1</w:t>
            </w:r>
          </w:p>
        </w:tc>
        <w:tc>
          <w:tcPr>
            <w:tcW w:w="318" w:type="pct"/>
            <w:tcBorders>
              <w:top w:val="single" w:sz="6" w:space="0" w:color="000000"/>
              <w:left w:val="single" w:sz="2" w:space="0" w:color="000000"/>
              <w:bottom w:val="single" w:sz="2" w:space="0" w:color="000000"/>
              <w:right w:val="nil"/>
            </w:tcBorders>
            <w:shd w:val="clear" w:color="auto" w:fill="000000" w:themeFill="text1"/>
            <w:tcMar>
              <w:left w:w="80" w:type="dxa"/>
              <w:right w:w="80" w:type="dxa"/>
            </w:tcMar>
            <w:vAlign w:val="bottom"/>
          </w:tcPr>
          <w:p w14:paraId="435BCCEA" w14:textId="77777777" w:rsidR="00F3418E" w:rsidRPr="00DF3B48" w:rsidRDefault="00F3418E" w:rsidP="00DF3B48">
            <w:pPr>
              <w:pStyle w:val="TableHeader"/>
              <w:rPr>
                <w:rFonts w:ascii="Arial Narrow" w:hAnsi="Arial Narrow"/>
                <w:sz w:val="20"/>
                <w:szCs w:val="20"/>
              </w:rPr>
            </w:pPr>
            <w:r w:rsidRPr="00DF3B48">
              <w:rPr>
                <w:rFonts w:ascii="Arial Narrow" w:hAnsi="Arial Narrow"/>
                <w:sz w:val="20"/>
                <w:szCs w:val="20"/>
              </w:rPr>
              <w:t>bias</w:t>
            </w:r>
          </w:p>
        </w:tc>
        <w:tc>
          <w:tcPr>
            <w:tcW w:w="731" w:type="pct"/>
            <w:tcBorders>
              <w:top w:val="single" w:sz="6" w:space="0" w:color="000000"/>
              <w:left w:val="single" w:sz="2" w:space="0" w:color="000000"/>
              <w:bottom w:val="single" w:sz="2" w:space="0" w:color="000000"/>
              <w:right w:val="nil"/>
            </w:tcBorders>
            <w:shd w:val="clear" w:color="auto" w:fill="000000" w:themeFill="text1"/>
            <w:tcMar>
              <w:left w:w="80" w:type="dxa"/>
              <w:right w:w="80" w:type="dxa"/>
            </w:tcMar>
            <w:vAlign w:val="bottom"/>
          </w:tcPr>
          <w:p w14:paraId="33D10247" w14:textId="77777777" w:rsidR="00F3418E" w:rsidRPr="00DF3B48" w:rsidRDefault="00F3418E" w:rsidP="00DF3B48">
            <w:pPr>
              <w:pStyle w:val="TableHeader"/>
              <w:rPr>
                <w:rFonts w:ascii="Arial Narrow" w:hAnsi="Arial Narrow"/>
                <w:sz w:val="20"/>
                <w:szCs w:val="20"/>
              </w:rPr>
            </w:pPr>
            <w:proofErr w:type="spellStart"/>
            <w:r w:rsidRPr="00DF3B48">
              <w:rPr>
                <w:rFonts w:ascii="Arial Narrow" w:hAnsi="Arial Narrow"/>
                <w:sz w:val="20"/>
                <w:szCs w:val="20"/>
              </w:rPr>
              <w:t>SACE_weight</w:t>
            </w:r>
            <w:proofErr w:type="spellEnd"/>
          </w:p>
        </w:tc>
        <w:tc>
          <w:tcPr>
            <w:tcW w:w="676" w:type="pct"/>
            <w:tcBorders>
              <w:top w:val="single" w:sz="6" w:space="0" w:color="000000"/>
              <w:left w:val="single" w:sz="2" w:space="0" w:color="000000"/>
              <w:bottom w:val="single" w:sz="2" w:space="0" w:color="000000"/>
              <w:right w:val="nil"/>
            </w:tcBorders>
            <w:shd w:val="clear" w:color="auto" w:fill="000000" w:themeFill="text1"/>
            <w:tcMar>
              <w:left w:w="80" w:type="dxa"/>
              <w:right w:w="80" w:type="dxa"/>
            </w:tcMar>
            <w:vAlign w:val="bottom"/>
          </w:tcPr>
          <w:p w14:paraId="74512C64" w14:textId="77777777" w:rsidR="00F3418E" w:rsidRPr="00DF3B48" w:rsidRDefault="00F3418E" w:rsidP="00DF3B48">
            <w:pPr>
              <w:pStyle w:val="TableHeader"/>
              <w:rPr>
                <w:rFonts w:ascii="Arial Narrow" w:hAnsi="Arial Narrow"/>
                <w:sz w:val="20"/>
                <w:szCs w:val="20"/>
              </w:rPr>
            </w:pPr>
            <w:proofErr w:type="spellStart"/>
            <w:r w:rsidRPr="00DF3B48">
              <w:rPr>
                <w:rFonts w:ascii="Arial Narrow" w:hAnsi="Arial Narrow"/>
                <w:sz w:val="20"/>
                <w:szCs w:val="20"/>
              </w:rPr>
              <w:t>SACE_lower</w:t>
            </w:r>
            <w:proofErr w:type="spellEnd"/>
          </w:p>
        </w:tc>
        <w:tc>
          <w:tcPr>
            <w:tcW w:w="693" w:type="pct"/>
            <w:tcBorders>
              <w:top w:val="single" w:sz="6" w:space="0" w:color="000000"/>
              <w:left w:val="single" w:sz="2" w:space="0" w:color="000000"/>
              <w:bottom w:val="single" w:sz="2" w:space="0" w:color="000000"/>
              <w:right w:val="nil"/>
            </w:tcBorders>
            <w:shd w:val="clear" w:color="auto" w:fill="000000" w:themeFill="text1"/>
            <w:tcMar>
              <w:left w:w="80" w:type="dxa"/>
              <w:right w:w="80" w:type="dxa"/>
            </w:tcMar>
            <w:vAlign w:val="bottom"/>
          </w:tcPr>
          <w:p w14:paraId="6920E6EC" w14:textId="77777777" w:rsidR="00F3418E" w:rsidRPr="00DF3B48" w:rsidRDefault="00F3418E" w:rsidP="00DF3B48">
            <w:pPr>
              <w:pStyle w:val="TableHeader"/>
              <w:rPr>
                <w:rFonts w:ascii="Arial Narrow" w:hAnsi="Arial Narrow"/>
                <w:sz w:val="20"/>
                <w:szCs w:val="20"/>
              </w:rPr>
            </w:pPr>
            <w:proofErr w:type="spellStart"/>
            <w:r w:rsidRPr="00DF3B48">
              <w:rPr>
                <w:rFonts w:ascii="Arial Narrow" w:hAnsi="Arial Narrow"/>
                <w:sz w:val="20"/>
                <w:szCs w:val="20"/>
              </w:rPr>
              <w:t>SACE_upper</w:t>
            </w:r>
            <w:proofErr w:type="spellEnd"/>
          </w:p>
        </w:tc>
        <w:tc>
          <w:tcPr>
            <w:tcW w:w="910" w:type="pct"/>
            <w:tcBorders>
              <w:top w:val="single" w:sz="6" w:space="0" w:color="000000"/>
              <w:left w:val="single" w:sz="2" w:space="0" w:color="000000"/>
              <w:bottom w:val="single" w:sz="2" w:space="0" w:color="000000"/>
              <w:right w:val="single" w:sz="6" w:space="0" w:color="000000"/>
            </w:tcBorders>
            <w:shd w:val="clear" w:color="auto" w:fill="000000" w:themeFill="text1"/>
            <w:tcMar>
              <w:left w:w="80" w:type="dxa"/>
              <w:right w:w="80" w:type="dxa"/>
            </w:tcMar>
            <w:vAlign w:val="bottom"/>
          </w:tcPr>
          <w:p w14:paraId="2E47C979" w14:textId="77777777" w:rsidR="00F3418E" w:rsidRPr="00DF3B48" w:rsidRDefault="00F3418E" w:rsidP="00DF3B48">
            <w:pPr>
              <w:pStyle w:val="TableHeader"/>
              <w:rPr>
                <w:rFonts w:ascii="Arial Narrow" w:hAnsi="Arial Narrow"/>
                <w:sz w:val="20"/>
                <w:szCs w:val="20"/>
              </w:rPr>
            </w:pPr>
            <w:r w:rsidRPr="00DF3B48">
              <w:rPr>
                <w:rFonts w:ascii="Arial Narrow" w:hAnsi="Arial Narrow"/>
                <w:sz w:val="20"/>
                <w:szCs w:val="20"/>
              </w:rPr>
              <w:t>ci</w:t>
            </w:r>
          </w:p>
        </w:tc>
      </w:tr>
      <w:tr w:rsidR="00DF3B48" w:rsidRPr="00DF3B48" w14:paraId="207E3F27" w14:textId="77777777" w:rsidTr="00DF3B48">
        <w:trPr>
          <w:cantSplit/>
          <w:jc w:val="center"/>
        </w:trPr>
        <w:tc>
          <w:tcPr>
            <w:tcW w:w="291" w:type="pct"/>
            <w:tcBorders>
              <w:top w:val="nil"/>
              <w:left w:val="single" w:sz="6" w:space="0" w:color="000000"/>
              <w:bottom w:val="single" w:sz="2" w:space="0" w:color="000000"/>
              <w:right w:val="nil"/>
            </w:tcBorders>
            <w:shd w:val="clear" w:color="auto" w:fill="FFFFFF"/>
            <w:tcMar>
              <w:left w:w="80" w:type="dxa"/>
              <w:right w:w="80" w:type="dxa"/>
            </w:tcMar>
          </w:tcPr>
          <w:p w14:paraId="5706B69B"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0.02</w:t>
            </w:r>
          </w:p>
        </w:tc>
        <w:tc>
          <w:tcPr>
            <w:tcW w:w="340" w:type="pct"/>
            <w:tcBorders>
              <w:top w:val="nil"/>
              <w:left w:val="single" w:sz="2" w:space="0" w:color="000000"/>
              <w:bottom w:val="single" w:sz="2" w:space="0" w:color="000000"/>
              <w:right w:val="nil"/>
            </w:tcBorders>
            <w:shd w:val="clear" w:color="auto" w:fill="FFFFFF"/>
            <w:tcMar>
              <w:left w:w="80" w:type="dxa"/>
              <w:right w:w="80" w:type="dxa"/>
            </w:tcMar>
          </w:tcPr>
          <w:p w14:paraId="37983A04"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0.192</w:t>
            </w:r>
          </w:p>
        </w:tc>
        <w:tc>
          <w:tcPr>
            <w:tcW w:w="340" w:type="pct"/>
            <w:tcBorders>
              <w:top w:val="nil"/>
              <w:left w:val="single" w:sz="2" w:space="0" w:color="000000"/>
              <w:bottom w:val="single" w:sz="2" w:space="0" w:color="000000"/>
              <w:right w:val="nil"/>
            </w:tcBorders>
            <w:shd w:val="clear" w:color="auto" w:fill="FFFFFF"/>
            <w:tcMar>
              <w:left w:w="80" w:type="dxa"/>
              <w:right w:w="80" w:type="dxa"/>
            </w:tcMar>
          </w:tcPr>
          <w:p w14:paraId="65F67FE5"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0.133</w:t>
            </w:r>
          </w:p>
        </w:tc>
        <w:tc>
          <w:tcPr>
            <w:tcW w:w="351" w:type="pct"/>
            <w:tcBorders>
              <w:top w:val="nil"/>
              <w:left w:val="single" w:sz="2" w:space="0" w:color="000000"/>
              <w:bottom w:val="single" w:sz="2" w:space="0" w:color="000000"/>
              <w:right w:val="nil"/>
            </w:tcBorders>
            <w:shd w:val="clear" w:color="auto" w:fill="FFFFFF"/>
            <w:tcMar>
              <w:left w:w="80" w:type="dxa"/>
              <w:right w:w="80" w:type="dxa"/>
            </w:tcMar>
          </w:tcPr>
          <w:p w14:paraId="3C95693B"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-2</w:t>
            </w:r>
          </w:p>
        </w:tc>
        <w:tc>
          <w:tcPr>
            <w:tcW w:w="351" w:type="pct"/>
            <w:tcBorders>
              <w:top w:val="nil"/>
              <w:left w:val="single" w:sz="2" w:space="0" w:color="000000"/>
              <w:bottom w:val="single" w:sz="2" w:space="0" w:color="000000"/>
              <w:right w:val="nil"/>
            </w:tcBorders>
            <w:shd w:val="clear" w:color="auto" w:fill="FFFFFF"/>
            <w:tcMar>
              <w:left w:w="80" w:type="dxa"/>
              <w:right w:w="80" w:type="dxa"/>
            </w:tcMar>
          </w:tcPr>
          <w:p w14:paraId="4AF2CBA2"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-2</w:t>
            </w:r>
          </w:p>
        </w:tc>
        <w:tc>
          <w:tcPr>
            <w:tcW w:w="318" w:type="pct"/>
            <w:tcBorders>
              <w:top w:val="nil"/>
              <w:left w:val="single" w:sz="2" w:space="0" w:color="000000"/>
              <w:bottom w:val="single" w:sz="2" w:space="0" w:color="000000"/>
              <w:right w:val="nil"/>
            </w:tcBorders>
            <w:shd w:val="clear" w:color="auto" w:fill="FFFFFF"/>
            <w:tcMar>
              <w:left w:w="80" w:type="dxa"/>
              <w:right w:w="80" w:type="dxa"/>
            </w:tcMar>
          </w:tcPr>
          <w:p w14:paraId="5F7ADF77"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0.52</w:t>
            </w:r>
          </w:p>
        </w:tc>
        <w:tc>
          <w:tcPr>
            <w:tcW w:w="731" w:type="pct"/>
            <w:tcBorders>
              <w:top w:val="nil"/>
              <w:left w:val="single" w:sz="2" w:space="0" w:color="000000"/>
              <w:bottom w:val="single" w:sz="2" w:space="0" w:color="000000"/>
              <w:right w:val="nil"/>
            </w:tcBorders>
            <w:shd w:val="clear" w:color="auto" w:fill="FFFFFF"/>
            <w:tcMar>
              <w:left w:w="80" w:type="dxa"/>
              <w:right w:w="80" w:type="dxa"/>
            </w:tcMar>
          </w:tcPr>
          <w:p w14:paraId="07DBBB5D"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-0.82</w:t>
            </w:r>
          </w:p>
        </w:tc>
        <w:tc>
          <w:tcPr>
            <w:tcW w:w="676" w:type="pct"/>
            <w:tcBorders>
              <w:top w:val="nil"/>
              <w:left w:val="single" w:sz="2" w:space="0" w:color="000000"/>
              <w:bottom w:val="single" w:sz="2" w:space="0" w:color="000000"/>
              <w:right w:val="nil"/>
            </w:tcBorders>
            <w:shd w:val="clear" w:color="auto" w:fill="FFFFFF"/>
            <w:tcMar>
              <w:left w:w="80" w:type="dxa"/>
              <w:right w:w="80" w:type="dxa"/>
            </w:tcMar>
          </w:tcPr>
          <w:p w14:paraId="13AF9E2D"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-2.08</w:t>
            </w:r>
          </w:p>
        </w:tc>
        <w:tc>
          <w:tcPr>
            <w:tcW w:w="693" w:type="pct"/>
            <w:tcBorders>
              <w:top w:val="nil"/>
              <w:left w:val="single" w:sz="2" w:space="0" w:color="000000"/>
              <w:bottom w:val="single" w:sz="2" w:space="0" w:color="000000"/>
              <w:right w:val="nil"/>
            </w:tcBorders>
            <w:shd w:val="clear" w:color="auto" w:fill="FFFFFF"/>
            <w:tcMar>
              <w:left w:w="80" w:type="dxa"/>
              <w:right w:w="80" w:type="dxa"/>
            </w:tcMar>
          </w:tcPr>
          <w:p w14:paraId="5353F173"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0.43</w:t>
            </w:r>
          </w:p>
        </w:tc>
        <w:tc>
          <w:tcPr>
            <w:tcW w:w="910" w:type="pct"/>
            <w:tcBorders>
              <w:top w:val="nil"/>
              <w:left w:val="single" w:sz="2" w:space="0" w:color="000000"/>
              <w:bottom w:val="single" w:sz="2" w:space="0" w:color="000000"/>
              <w:right w:val="single" w:sz="6" w:space="0" w:color="000000"/>
            </w:tcBorders>
            <w:shd w:val="clear" w:color="auto" w:fill="FFFFFF"/>
            <w:tcMar>
              <w:left w:w="80" w:type="dxa"/>
              <w:right w:w="80" w:type="dxa"/>
            </w:tcMar>
          </w:tcPr>
          <w:p w14:paraId="56629F18"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-0.82 (-2.08, 0.43)</w:t>
            </w:r>
          </w:p>
        </w:tc>
      </w:tr>
      <w:tr w:rsidR="00DF3B48" w:rsidRPr="00DF3B48" w14:paraId="5295A65F" w14:textId="77777777" w:rsidTr="00DF3B48">
        <w:trPr>
          <w:cantSplit/>
          <w:jc w:val="center"/>
        </w:trPr>
        <w:tc>
          <w:tcPr>
            <w:tcW w:w="291" w:type="pct"/>
            <w:tcBorders>
              <w:top w:val="nil"/>
              <w:left w:val="single" w:sz="6" w:space="0" w:color="000000"/>
              <w:bottom w:val="single" w:sz="2" w:space="0" w:color="000000"/>
              <w:right w:val="nil"/>
            </w:tcBorders>
            <w:shd w:val="clear" w:color="auto" w:fill="FFFFFF"/>
            <w:tcMar>
              <w:left w:w="80" w:type="dxa"/>
              <w:right w:w="80" w:type="dxa"/>
            </w:tcMar>
          </w:tcPr>
          <w:p w14:paraId="26497012"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0.04</w:t>
            </w:r>
          </w:p>
        </w:tc>
        <w:tc>
          <w:tcPr>
            <w:tcW w:w="340" w:type="pct"/>
            <w:tcBorders>
              <w:top w:val="nil"/>
              <w:left w:val="single" w:sz="2" w:space="0" w:color="000000"/>
              <w:bottom w:val="single" w:sz="2" w:space="0" w:color="000000"/>
              <w:right w:val="nil"/>
            </w:tcBorders>
            <w:shd w:val="clear" w:color="auto" w:fill="FFFFFF"/>
            <w:tcMar>
              <w:left w:w="80" w:type="dxa"/>
              <w:right w:w="80" w:type="dxa"/>
            </w:tcMar>
          </w:tcPr>
          <w:p w14:paraId="6A5D1F27"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0.192</w:t>
            </w:r>
          </w:p>
        </w:tc>
        <w:tc>
          <w:tcPr>
            <w:tcW w:w="340" w:type="pct"/>
            <w:tcBorders>
              <w:top w:val="nil"/>
              <w:left w:val="single" w:sz="2" w:space="0" w:color="000000"/>
              <w:bottom w:val="single" w:sz="2" w:space="0" w:color="000000"/>
              <w:right w:val="nil"/>
            </w:tcBorders>
            <w:shd w:val="clear" w:color="auto" w:fill="FFFFFF"/>
            <w:tcMar>
              <w:left w:w="80" w:type="dxa"/>
              <w:right w:w="80" w:type="dxa"/>
            </w:tcMar>
          </w:tcPr>
          <w:p w14:paraId="1181195A"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0.133</w:t>
            </w:r>
          </w:p>
        </w:tc>
        <w:tc>
          <w:tcPr>
            <w:tcW w:w="351" w:type="pct"/>
            <w:tcBorders>
              <w:top w:val="nil"/>
              <w:left w:val="single" w:sz="2" w:space="0" w:color="000000"/>
              <w:bottom w:val="single" w:sz="2" w:space="0" w:color="000000"/>
              <w:right w:val="nil"/>
            </w:tcBorders>
            <w:shd w:val="clear" w:color="auto" w:fill="FFFFFF"/>
            <w:tcMar>
              <w:left w:w="80" w:type="dxa"/>
              <w:right w:w="80" w:type="dxa"/>
            </w:tcMar>
          </w:tcPr>
          <w:p w14:paraId="20B640AD"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-2</w:t>
            </w:r>
          </w:p>
        </w:tc>
        <w:tc>
          <w:tcPr>
            <w:tcW w:w="351" w:type="pct"/>
            <w:tcBorders>
              <w:top w:val="nil"/>
              <w:left w:val="single" w:sz="2" w:space="0" w:color="000000"/>
              <w:bottom w:val="single" w:sz="2" w:space="0" w:color="000000"/>
              <w:right w:val="nil"/>
            </w:tcBorders>
            <w:shd w:val="clear" w:color="auto" w:fill="FFFFFF"/>
            <w:tcMar>
              <w:left w:w="80" w:type="dxa"/>
              <w:right w:w="80" w:type="dxa"/>
            </w:tcMar>
          </w:tcPr>
          <w:p w14:paraId="0ADC026B"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-2</w:t>
            </w:r>
          </w:p>
        </w:tc>
        <w:tc>
          <w:tcPr>
            <w:tcW w:w="318" w:type="pct"/>
            <w:tcBorders>
              <w:top w:val="nil"/>
              <w:left w:val="single" w:sz="2" w:space="0" w:color="000000"/>
              <w:bottom w:val="single" w:sz="2" w:space="0" w:color="000000"/>
              <w:right w:val="nil"/>
            </w:tcBorders>
            <w:shd w:val="clear" w:color="auto" w:fill="FFFFFF"/>
            <w:tcMar>
              <w:left w:w="80" w:type="dxa"/>
              <w:right w:w="80" w:type="dxa"/>
            </w:tcMar>
          </w:tcPr>
          <w:p w14:paraId="355586FB"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0.43</w:t>
            </w:r>
          </w:p>
        </w:tc>
        <w:tc>
          <w:tcPr>
            <w:tcW w:w="731" w:type="pct"/>
            <w:tcBorders>
              <w:top w:val="nil"/>
              <w:left w:val="single" w:sz="2" w:space="0" w:color="000000"/>
              <w:bottom w:val="single" w:sz="2" w:space="0" w:color="000000"/>
              <w:right w:val="nil"/>
            </w:tcBorders>
            <w:shd w:val="clear" w:color="auto" w:fill="FFFFFF"/>
            <w:tcMar>
              <w:left w:w="80" w:type="dxa"/>
              <w:right w:w="80" w:type="dxa"/>
            </w:tcMar>
          </w:tcPr>
          <w:p w14:paraId="2D28294C"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-0.91</w:t>
            </w:r>
          </w:p>
        </w:tc>
        <w:tc>
          <w:tcPr>
            <w:tcW w:w="676" w:type="pct"/>
            <w:tcBorders>
              <w:top w:val="nil"/>
              <w:left w:val="single" w:sz="2" w:space="0" w:color="000000"/>
              <w:bottom w:val="single" w:sz="2" w:space="0" w:color="000000"/>
              <w:right w:val="nil"/>
            </w:tcBorders>
            <w:shd w:val="clear" w:color="auto" w:fill="FFFFFF"/>
            <w:tcMar>
              <w:left w:w="80" w:type="dxa"/>
              <w:right w:w="80" w:type="dxa"/>
            </w:tcMar>
          </w:tcPr>
          <w:p w14:paraId="78C5017A"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-2.17</w:t>
            </w:r>
          </w:p>
        </w:tc>
        <w:tc>
          <w:tcPr>
            <w:tcW w:w="693" w:type="pct"/>
            <w:tcBorders>
              <w:top w:val="nil"/>
              <w:left w:val="single" w:sz="2" w:space="0" w:color="000000"/>
              <w:bottom w:val="single" w:sz="2" w:space="0" w:color="000000"/>
              <w:right w:val="nil"/>
            </w:tcBorders>
            <w:shd w:val="clear" w:color="auto" w:fill="FFFFFF"/>
            <w:tcMar>
              <w:left w:w="80" w:type="dxa"/>
              <w:right w:w="80" w:type="dxa"/>
            </w:tcMar>
          </w:tcPr>
          <w:p w14:paraId="38D6A05A"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0.34</w:t>
            </w:r>
          </w:p>
        </w:tc>
        <w:tc>
          <w:tcPr>
            <w:tcW w:w="910" w:type="pct"/>
            <w:tcBorders>
              <w:top w:val="nil"/>
              <w:left w:val="single" w:sz="2" w:space="0" w:color="000000"/>
              <w:bottom w:val="single" w:sz="2" w:space="0" w:color="000000"/>
              <w:right w:val="single" w:sz="6" w:space="0" w:color="000000"/>
            </w:tcBorders>
            <w:shd w:val="clear" w:color="auto" w:fill="FFFFFF"/>
            <w:tcMar>
              <w:left w:w="80" w:type="dxa"/>
              <w:right w:w="80" w:type="dxa"/>
            </w:tcMar>
          </w:tcPr>
          <w:p w14:paraId="1CD2806D"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-0.91 (-2.17, 0.34)</w:t>
            </w:r>
          </w:p>
        </w:tc>
      </w:tr>
      <w:tr w:rsidR="00DF3B48" w:rsidRPr="00DF3B48" w14:paraId="43DEA314" w14:textId="77777777" w:rsidTr="00DF3B48">
        <w:trPr>
          <w:cantSplit/>
          <w:jc w:val="center"/>
        </w:trPr>
        <w:tc>
          <w:tcPr>
            <w:tcW w:w="291" w:type="pct"/>
            <w:tcBorders>
              <w:top w:val="nil"/>
              <w:left w:val="single" w:sz="6" w:space="0" w:color="000000"/>
              <w:bottom w:val="single" w:sz="2" w:space="0" w:color="000000"/>
              <w:right w:val="nil"/>
            </w:tcBorders>
            <w:shd w:val="clear" w:color="auto" w:fill="FFFFFF"/>
            <w:tcMar>
              <w:left w:w="80" w:type="dxa"/>
              <w:right w:w="80" w:type="dxa"/>
            </w:tcMar>
          </w:tcPr>
          <w:p w14:paraId="521C5D02"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0.02</w:t>
            </w:r>
          </w:p>
        </w:tc>
        <w:tc>
          <w:tcPr>
            <w:tcW w:w="340" w:type="pct"/>
            <w:tcBorders>
              <w:top w:val="nil"/>
              <w:left w:val="single" w:sz="2" w:space="0" w:color="000000"/>
              <w:bottom w:val="single" w:sz="2" w:space="0" w:color="000000"/>
              <w:right w:val="nil"/>
            </w:tcBorders>
            <w:shd w:val="clear" w:color="auto" w:fill="FFFFFF"/>
            <w:tcMar>
              <w:left w:w="80" w:type="dxa"/>
              <w:right w:w="80" w:type="dxa"/>
            </w:tcMar>
          </w:tcPr>
          <w:p w14:paraId="2528EF0B"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0.192</w:t>
            </w:r>
          </w:p>
        </w:tc>
        <w:tc>
          <w:tcPr>
            <w:tcW w:w="340" w:type="pct"/>
            <w:tcBorders>
              <w:top w:val="nil"/>
              <w:left w:val="single" w:sz="2" w:space="0" w:color="000000"/>
              <w:bottom w:val="single" w:sz="2" w:space="0" w:color="000000"/>
              <w:right w:val="nil"/>
            </w:tcBorders>
            <w:shd w:val="clear" w:color="auto" w:fill="FFFFFF"/>
            <w:tcMar>
              <w:left w:w="80" w:type="dxa"/>
              <w:right w:w="80" w:type="dxa"/>
            </w:tcMar>
          </w:tcPr>
          <w:p w14:paraId="2E674041"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0.133</w:t>
            </w:r>
          </w:p>
        </w:tc>
        <w:tc>
          <w:tcPr>
            <w:tcW w:w="351" w:type="pct"/>
            <w:tcBorders>
              <w:top w:val="nil"/>
              <w:left w:val="single" w:sz="2" w:space="0" w:color="000000"/>
              <w:bottom w:val="single" w:sz="2" w:space="0" w:color="000000"/>
              <w:right w:val="nil"/>
            </w:tcBorders>
            <w:shd w:val="clear" w:color="auto" w:fill="FFFFFF"/>
            <w:tcMar>
              <w:left w:w="80" w:type="dxa"/>
              <w:right w:w="80" w:type="dxa"/>
            </w:tcMar>
          </w:tcPr>
          <w:p w14:paraId="4A18CD7D"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-2</w:t>
            </w:r>
          </w:p>
        </w:tc>
        <w:tc>
          <w:tcPr>
            <w:tcW w:w="351" w:type="pct"/>
            <w:tcBorders>
              <w:top w:val="nil"/>
              <w:left w:val="single" w:sz="2" w:space="0" w:color="000000"/>
              <w:bottom w:val="single" w:sz="2" w:space="0" w:color="000000"/>
              <w:right w:val="nil"/>
            </w:tcBorders>
            <w:shd w:val="clear" w:color="auto" w:fill="FFFFFF"/>
            <w:tcMar>
              <w:left w:w="80" w:type="dxa"/>
              <w:right w:w="80" w:type="dxa"/>
            </w:tcMar>
          </w:tcPr>
          <w:p w14:paraId="34900004"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w:t>
            </w:r>
          </w:p>
        </w:tc>
        <w:tc>
          <w:tcPr>
            <w:tcW w:w="318" w:type="pct"/>
            <w:tcBorders>
              <w:top w:val="nil"/>
              <w:left w:val="single" w:sz="2" w:space="0" w:color="000000"/>
              <w:bottom w:val="single" w:sz="2" w:space="0" w:color="000000"/>
              <w:right w:val="nil"/>
            </w:tcBorders>
            <w:shd w:val="clear" w:color="auto" w:fill="FFFFFF"/>
            <w:tcMar>
              <w:left w:w="80" w:type="dxa"/>
              <w:right w:w="80" w:type="dxa"/>
            </w:tcMar>
          </w:tcPr>
          <w:p w14:paraId="135D577F"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0.11</w:t>
            </w:r>
          </w:p>
        </w:tc>
        <w:tc>
          <w:tcPr>
            <w:tcW w:w="731" w:type="pct"/>
            <w:tcBorders>
              <w:top w:val="nil"/>
              <w:left w:val="single" w:sz="2" w:space="0" w:color="000000"/>
              <w:bottom w:val="single" w:sz="2" w:space="0" w:color="000000"/>
              <w:right w:val="nil"/>
            </w:tcBorders>
            <w:shd w:val="clear" w:color="auto" w:fill="FFFFFF"/>
            <w:tcMar>
              <w:left w:w="80" w:type="dxa"/>
              <w:right w:w="80" w:type="dxa"/>
            </w:tcMar>
          </w:tcPr>
          <w:p w14:paraId="7EF265E5"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-1.23</w:t>
            </w:r>
          </w:p>
        </w:tc>
        <w:tc>
          <w:tcPr>
            <w:tcW w:w="676" w:type="pct"/>
            <w:tcBorders>
              <w:top w:val="nil"/>
              <w:left w:val="single" w:sz="2" w:space="0" w:color="000000"/>
              <w:bottom w:val="single" w:sz="2" w:space="0" w:color="000000"/>
              <w:right w:val="nil"/>
            </w:tcBorders>
            <w:shd w:val="clear" w:color="auto" w:fill="FFFFFF"/>
            <w:tcMar>
              <w:left w:w="80" w:type="dxa"/>
              <w:right w:w="80" w:type="dxa"/>
            </w:tcMar>
          </w:tcPr>
          <w:p w14:paraId="343BFC53"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-2.49</w:t>
            </w:r>
          </w:p>
        </w:tc>
        <w:tc>
          <w:tcPr>
            <w:tcW w:w="693" w:type="pct"/>
            <w:tcBorders>
              <w:top w:val="nil"/>
              <w:left w:val="single" w:sz="2" w:space="0" w:color="000000"/>
              <w:bottom w:val="single" w:sz="2" w:space="0" w:color="000000"/>
              <w:right w:val="nil"/>
            </w:tcBorders>
            <w:shd w:val="clear" w:color="auto" w:fill="FFFFFF"/>
            <w:tcMar>
              <w:left w:w="80" w:type="dxa"/>
              <w:right w:w="80" w:type="dxa"/>
            </w:tcMar>
          </w:tcPr>
          <w:p w14:paraId="7C4BD8FC"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0.02</w:t>
            </w:r>
          </w:p>
        </w:tc>
        <w:tc>
          <w:tcPr>
            <w:tcW w:w="910" w:type="pct"/>
            <w:tcBorders>
              <w:top w:val="nil"/>
              <w:left w:val="single" w:sz="2" w:space="0" w:color="000000"/>
              <w:bottom w:val="single" w:sz="2" w:space="0" w:color="000000"/>
              <w:right w:val="single" w:sz="6" w:space="0" w:color="000000"/>
            </w:tcBorders>
            <w:shd w:val="clear" w:color="auto" w:fill="FFFFFF"/>
            <w:tcMar>
              <w:left w:w="80" w:type="dxa"/>
              <w:right w:w="80" w:type="dxa"/>
            </w:tcMar>
          </w:tcPr>
          <w:p w14:paraId="04D03DC7"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-1.23 (-2.49, 0.02)</w:t>
            </w:r>
          </w:p>
        </w:tc>
      </w:tr>
      <w:tr w:rsidR="00DF3B48" w:rsidRPr="00DF3B48" w14:paraId="1BBDAB22" w14:textId="77777777" w:rsidTr="00DF3B48">
        <w:trPr>
          <w:cantSplit/>
          <w:jc w:val="center"/>
        </w:trPr>
        <w:tc>
          <w:tcPr>
            <w:tcW w:w="291" w:type="pct"/>
            <w:tcBorders>
              <w:top w:val="nil"/>
              <w:left w:val="single" w:sz="6" w:space="0" w:color="000000"/>
              <w:bottom w:val="single" w:sz="2" w:space="0" w:color="000000"/>
              <w:right w:val="nil"/>
            </w:tcBorders>
            <w:shd w:val="clear" w:color="auto" w:fill="FFFFFF"/>
            <w:tcMar>
              <w:left w:w="80" w:type="dxa"/>
              <w:right w:w="80" w:type="dxa"/>
            </w:tcMar>
          </w:tcPr>
          <w:p w14:paraId="4F23216A"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0.04</w:t>
            </w:r>
          </w:p>
        </w:tc>
        <w:tc>
          <w:tcPr>
            <w:tcW w:w="340" w:type="pct"/>
            <w:tcBorders>
              <w:top w:val="nil"/>
              <w:left w:val="single" w:sz="2" w:space="0" w:color="000000"/>
              <w:bottom w:val="single" w:sz="2" w:space="0" w:color="000000"/>
              <w:right w:val="nil"/>
            </w:tcBorders>
            <w:shd w:val="clear" w:color="auto" w:fill="FFFFFF"/>
            <w:tcMar>
              <w:left w:w="80" w:type="dxa"/>
              <w:right w:w="80" w:type="dxa"/>
            </w:tcMar>
          </w:tcPr>
          <w:p w14:paraId="11C5AF9C"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0.192</w:t>
            </w:r>
          </w:p>
        </w:tc>
        <w:tc>
          <w:tcPr>
            <w:tcW w:w="340" w:type="pct"/>
            <w:tcBorders>
              <w:top w:val="nil"/>
              <w:left w:val="single" w:sz="2" w:space="0" w:color="000000"/>
              <w:bottom w:val="single" w:sz="2" w:space="0" w:color="000000"/>
              <w:right w:val="nil"/>
            </w:tcBorders>
            <w:shd w:val="clear" w:color="auto" w:fill="FFFFFF"/>
            <w:tcMar>
              <w:left w:w="80" w:type="dxa"/>
              <w:right w:w="80" w:type="dxa"/>
            </w:tcMar>
          </w:tcPr>
          <w:p w14:paraId="67EEADD0"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0.133</w:t>
            </w:r>
          </w:p>
        </w:tc>
        <w:tc>
          <w:tcPr>
            <w:tcW w:w="351" w:type="pct"/>
            <w:tcBorders>
              <w:top w:val="nil"/>
              <w:left w:val="single" w:sz="2" w:space="0" w:color="000000"/>
              <w:bottom w:val="single" w:sz="2" w:space="0" w:color="000000"/>
              <w:right w:val="nil"/>
            </w:tcBorders>
            <w:shd w:val="clear" w:color="auto" w:fill="FFFFFF"/>
            <w:tcMar>
              <w:left w:w="80" w:type="dxa"/>
              <w:right w:w="80" w:type="dxa"/>
            </w:tcMar>
          </w:tcPr>
          <w:p w14:paraId="4A8F02F7"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-2</w:t>
            </w:r>
          </w:p>
        </w:tc>
        <w:tc>
          <w:tcPr>
            <w:tcW w:w="351" w:type="pct"/>
            <w:tcBorders>
              <w:top w:val="nil"/>
              <w:left w:val="single" w:sz="2" w:space="0" w:color="000000"/>
              <w:bottom w:val="single" w:sz="2" w:space="0" w:color="000000"/>
              <w:right w:val="nil"/>
            </w:tcBorders>
            <w:shd w:val="clear" w:color="auto" w:fill="FFFFFF"/>
            <w:tcMar>
              <w:left w:w="80" w:type="dxa"/>
              <w:right w:w="80" w:type="dxa"/>
            </w:tcMar>
          </w:tcPr>
          <w:p w14:paraId="6B71A7FA"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w:t>
            </w:r>
          </w:p>
        </w:tc>
        <w:tc>
          <w:tcPr>
            <w:tcW w:w="318" w:type="pct"/>
            <w:tcBorders>
              <w:top w:val="nil"/>
              <w:left w:val="single" w:sz="2" w:space="0" w:color="000000"/>
              <w:bottom w:val="single" w:sz="2" w:space="0" w:color="000000"/>
              <w:right w:val="nil"/>
            </w:tcBorders>
            <w:shd w:val="clear" w:color="auto" w:fill="FFFFFF"/>
            <w:tcMar>
              <w:left w:w="80" w:type="dxa"/>
              <w:right w:w="80" w:type="dxa"/>
            </w:tcMar>
          </w:tcPr>
          <w:p w14:paraId="02461165"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-0.09</w:t>
            </w:r>
          </w:p>
        </w:tc>
        <w:tc>
          <w:tcPr>
            <w:tcW w:w="731" w:type="pct"/>
            <w:tcBorders>
              <w:top w:val="nil"/>
              <w:left w:val="single" w:sz="2" w:space="0" w:color="000000"/>
              <w:bottom w:val="single" w:sz="2" w:space="0" w:color="000000"/>
              <w:right w:val="nil"/>
            </w:tcBorders>
            <w:shd w:val="clear" w:color="auto" w:fill="FFFFFF"/>
            <w:tcMar>
              <w:left w:w="80" w:type="dxa"/>
              <w:right w:w="80" w:type="dxa"/>
            </w:tcMar>
          </w:tcPr>
          <w:p w14:paraId="5515EEA3"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-1.43</w:t>
            </w:r>
          </w:p>
        </w:tc>
        <w:tc>
          <w:tcPr>
            <w:tcW w:w="676" w:type="pct"/>
            <w:tcBorders>
              <w:top w:val="nil"/>
              <w:left w:val="single" w:sz="2" w:space="0" w:color="000000"/>
              <w:bottom w:val="single" w:sz="2" w:space="0" w:color="000000"/>
              <w:right w:val="nil"/>
            </w:tcBorders>
            <w:shd w:val="clear" w:color="auto" w:fill="FFFFFF"/>
            <w:tcMar>
              <w:left w:w="80" w:type="dxa"/>
              <w:right w:w="80" w:type="dxa"/>
            </w:tcMar>
          </w:tcPr>
          <w:p w14:paraId="4570BDBB"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-2.69</w:t>
            </w:r>
          </w:p>
        </w:tc>
        <w:tc>
          <w:tcPr>
            <w:tcW w:w="693" w:type="pct"/>
            <w:tcBorders>
              <w:top w:val="nil"/>
              <w:left w:val="single" w:sz="2" w:space="0" w:color="000000"/>
              <w:bottom w:val="single" w:sz="2" w:space="0" w:color="000000"/>
              <w:right w:val="nil"/>
            </w:tcBorders>
            <w:shd w:val="clear" w:color="auto" w:fill="FFFFFF"/>
            <w:tcMar>
              <w:left w:w="80" w:type="dxa"/>
              <w:right w:w="80" w:type="dxa"/>
            </w:tcMar>
          </w:tcPr>
          <w:p w14:paraId="112B899A"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-0.18</w:t>
            </w:r>
          </w:p>
        </w:tc>
        <w:tc>
          <w:tcPr>
            <w:tcW w:w="910" w:type="pct"/>
            <w:tcBorders>
              <w:top w:val="nil"/>
              <w:left w:val="single" w:sz="2" w:space="0" w:color="000000"/>
              <w:bottom w:val="single" w:sz="2" w:space="0" w:color="000000"/>
              <w:right w:val="single" w:sz="6" w:space="0" w:color="000000"/>
            </w:tcBorders>
            <w:shd w:val="clear" w:color="auto" w:fill="FFFFFF"/>
            <w:tcMar>
              <w:left w:w="80" w:type="dxa"/>
              <w:right w:w="80" w:type="dxa"/>
            </w:tcMar>
          </w:tcPr>
          <w:p w14:paraId="4E4A842E"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-1.43 (-2.69, -0.18)</w:t>
            </w:r>
          </w:p>
        </w:tc>
      </w:tr>
      <w:tr w:rsidR="00DF3B48" w:rsidRPr="00DF3B48" w14:paraId="7A72DBF1" w14:textId="77777777" w:rsidTr="00DF3B48">
        <w:trPr>
          <w:cantSplit/>
          <w:jc w:val="center"/>
        </w:trPr>
        <w:tc>
          <w:tcPr>
            <w:tcW w:w="291" w:type="pct"/>
            <w:tcBorders>
              <w:top w:val="nil"/>
              <w:left w:val="single" w:sz="6" w:space="0" w:color="000000"/>
              <w:bottom w:val="single" w:sz="2" w:space="0" w:color="000000"/>
              <w:right w:val="nil"/>
            </w:tcBorders>
            <w:shd w:val="clear" w:color="auto" w:fill="FFFFFF"/>
            <w:tcMar>
              <w:left w:w="80" w:type="dxa"/>
              <w:right w:w="80" w:type="dxa"/>
            </w:tcMar>
          </w:tcPr>
          <w:p w14:paraId="565B09B2"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0.02</w:t>
            </w:r>
          </w:p>
        </w:tc>
        <w:tc>
          <w:tcPr>
            <w:tcW w:w="340" w:type="pct"/>
            <w:tcBorders>
              <w:top w:val="nil"/>
              <w:left w:val="single" w:sz="2" w:space="0" w:color="000000"/>
              <w:bottom w:val="single" w:sz="2" w:space="0" w:color="000000"/>
              <w:right w:val="nil"/>
            </w:tcBorders>
            <w:shd w:val="clear" w:color="auto" w:fill="FFFFFF"/>
            <w:tcMar>
              <w:left w:w="80" w:type="dxa"/>
              <w:right w:w="80" w:type="dxa"/>
            </w:tcMar>
          </w:tcPr>
          <w:p w14:paraId="7D8FE367"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0.192</w:t>
            </w:r>
          </w:p>
        </w:tc>
        <w:tc>
          <w:tcPr>
            <w:tcW w:w="340" w:type="pct"/>
            <w:tcBorders>
              <w:top w:val="nil"/>
              <w:left w:val="single" w:sz="2" w:space="0" w:color="000000"/>
              <w:bottom w:val="single" w:sz="2" w:space="0" w:color="000000"/>
              <w:right w:val="nil"/>
            </w:tcBorders>
            <w:shd w:val="clear" w:color="auto" w:fill="FFFFFF"/>
            <w:tcMar>
              <w:left w:w="80" w:type="dxa"/>
              <w:right w:w="80" w:type="dxa"/>
            </w:tcMar>
          </w:tcPr>
          <w:p w14:paraId="1413DC48"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0.133</w:t>
            </w:r>
          </w:p>
        </w:tc>
        <w:tc>
          <w:tcPr>
            <w:tcW w:w="351" w:type="pct"/>
            <w:tcBorders>
              <w:top w:val="nil"/>
              <w:left w:val="single" w:sz="2" w:space="0" w:color="000000"/>
              <w:bottom w:val="single" w:sz="2" w:space="0" w:color="000000"/>
              <w:right w:val="nil"/>
            </w:tcBorders>
            <w:shd w:val="clear" w:color="auto" w:fill="FFFFFF"/>
            <w:tcMar>
              <w:left w:w="80" w:type="dxa"/>
              <w:right w:w="80" w:type="dxa"/>
            </w:tcMar>
          </w:tcPr>
          <w:p w14:paraId="58F6855B"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-2</w:t>
            </w:r>
          </w:p>
        </w:tc>
        <w:tc>
          <w:tcPr>
            <w:tcW w:w="351" w:type="pct"/>
            <w:tcBorders>
              <w:top w:val="nil"/>
              <w:left w:val="single" w:sz="2" w:space="0" w:color="000000"/>
              <w:bottom w:val="single" w:sz="2" w:space="0" w:color="000000"/>
              <w:right w:val="nil"/>
            </w:tcBorders>
            <w:shd w:val="clear" w:color="auto" w:fill="FFFFFF"/>
            <w:tcMar>
              <w:left w:w="80" w:type="dxa"/>
              <w:right w:w="80" w:type="dxa"/>
            </w:tcMar>
          </w:tcPr>
          <w:p w14:paraId="0466CDAD"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w:t>
            </w:r>
          </w:p>
        </w:tc>
        <w:tc>
          <w:tcPr>
            <w:tcW w:w="318" w:type="pct"/>
            <w:tcBorders>
              <w:top w:val="nil"/>
              <w:left w:val="single" w:sz="2" w:space="0" w:color="000000"/>
              <w:bottom w:val="single" w:sz="2" w:space="0" w:color="000000"/>
              <w:right w:val="nil"/>
            </w:tcBorders>
            <w:shd w:val="clear" w:color="auto" w:fill="FFFFFF"/>
            <w:tcMar>
              <w:left w:w="80" w:type="dxa"/>
              <w:right w:w="80" w:type="dxa"/>
            </w:tcMar>
          </w:tcPr>
          <w:p w14:paraId="76ED229D"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-0.30</w:t>
            </w:r>
          </w:p>
        </w:tc>
        <w:tc>
          <w:tcPr>
            <w:tcW w:w="731" w:type="pct"/>
            <w:tcBorders>
              <w:top w:val="nil"/>
              <w:left w:val="single" w:sz="2" w:space="0" w:color="000000"/>
              <w:bottom w:val="single" w:sz="2" w:space="0" w:color="000000"/>
              <w:right w:val="nil"/>
            </w:tcBorders>
            <w:shd w:val="clear" w:color="auto" w:fill="FFFFFF"/>
            <w:tcMar>
              <w:left w:w="80" w:type="dxa"/>
              <w:right w:w="80" w:type="dxa"/>
            </w:tcMar>
          </w:tcPr>
          <w:p w14:paraId="0255C6CB"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-1.64</w:t>
            </w:r>
          </w:p>
        </w:tc>
        <w:tc>
          <w:tcPr>
            <w:tcW w:w="676" w:type="pct"/>
            <w:tcBorders>
              <w:top w:val="nil"/>
              <w:left w:val="single" w:sz="2" w:space="0" w:color="000000"/>
              <w:bottom w:val="single" w:sz="2" w:space="0" w:color="000000"/>
              <w:right w:val="nil"/>
            </w:tcBorders>
            <w:shd w:val="clear" w:color="auto" w:fill="FFFFFF"/>
            <w:tcMar>
              <w:left w:w="80" w:type="dxa"/>
              <w:right w:w="80" w:type="dxa"/>
            </w:tcMar>
          </w:tcPr>
          <w:p w14:paraId="2FB800A3"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-2.90</w:t>
            </w:r>
          </w:p>
        </w:tc>
        <w:tc>
          <w:tcPr>
            <w:tcW w:w="693" w:type="pct"/>
            <w:tcBorders>
              <w:top w:val="nil"/>
              <w:left w:val="single" w:sz="2" w:space="0" w:color="000000"/>
              <w:bottom w:val="single" w:sz="2" w:space="0" w:color="000000"/>
              <w:right w:val="nil"/>
            </w:tcBorders>
            <w:shd w:val="clear" w:color="auto" w:fill="FFFFFF"/>
            <w:tcMar>
              <w:left w:w="80" w:type="dxa"/>
              <w:right w:w="80" w:type="dxa"/>
            </w:tcMar>
          </w:tcPr>
          <w:p w14:paraId="40FD2B1C"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-0.39</w:t>
            </w:r>
          </w:p>
        </w:tc>
        <w:tc>
          <w:tcPr>
            <w:tcW w:w="910" w:type="pct"/>
            <w:tcBorders>
              <w:top w:val="nil"/>
              <w:left w:val="single" w:sz="2" w:space="0" w:color="000000"/>
              <w:bottom w:val="single" w:sz="2" w:space="0" w:color="000000"/>
              <w:right w:val="single" w:sz="6" w:space="0" w:color="000000"/>
            </w:tcBorders>
            <w:shd w:val="clear" w:color="auto" w:fill="FFFFFF"/>
            <w:tcMar>
              <w:left w:w="80" w:type="dxa"/>
              <w:right w:w="80" w:type="dxa"/>
            </w:tcMar>
          </w:tcPr>
          <w:p w14:paraId="4B6B9D00"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-1.64 (-2.90, -0.39)</w:t>
            </w:r>
          </w:p>
        </w:tc>
      </w:tr>
      <w:tr w:rsidR="00DF3B48" w:rsidRPr="00DF3B48" w14:paraId="5CF1E155" w14:textId="77777777" w:rsidTr="00DF3B48">
        <w:trPr>
          <w:cantSplit/>
          <w:jc w:val="center"/>
        </w:trPr>
        <w:tc>
          <w:tcPr>
            <w:tcW w:w="291" w:type="pct"/>
            <w:tcBorders>
              <w:top w:val="nil"/>
              <w:left w:val="single" w:sz="6" w:space="0" w:color="000000"/>
              <w:bottom w:val="single" w:sz="2" w:space="0" w:color="000000"/>
              <w:right w:val="nil"/>
            </w:tcBorders>
            <w:shd w:val="clear" w:color="auto" w:fill="FFFFFF"/>
            <w:tcMar>
              <w:left w:w="80" w:type="dxa"/>
              <w:right w:w="80" w:type="dxa"/>
            </w:tcMar>
          </w:tcPr>
          <w:p w14:paraId="236CAFAD"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0.04</w:t>
            </w:r>
          </w:p>
        </w:tc>
        <w:tc>
          <w:tcPr>
            <w:tcW w:w="340" w:type="pct"/>
            <w:tcBorders>
              <w:top w:val="nil"/>
              <w:left w:val="single" w:sz="2" w:space="0" w:color="000000"/>
              <w:bottom w:val="single" w:sz="2" w:space="0" w:color="000000"/>
              <w:right w:val="nil"/>
            </w:tcBorders>
            <w:shd w:val="clear" w:color="auto" w:fill="FFFFFF"/>
            <w:tcMar>
              <w:left w:w="80" w:type="dxa"/>
              <w:right w:w="80" w:type="dxa"/>
            </w:tcMar>
          </w:tcPr>
          <w:p w14:paraId="1B9C54E5"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0.192</w:t>
            </w:r>
          </w:p>
        </w:tc>
        <w:tc>
          <w:tcPr>
            <w:tcW w:w="340" w:type="pct"/>
            <w:tcBorders>
              <w:top w:val="nil"/>
              <w:left w:val="single" w:sz="2" w:space="0" w:color="000000"/>
              <w:bottom w:val="single" w:sz="2" w:space="0" w:color="000000"/>
              <w:right w:val="nil"/>
            </w:tcBorders>
            <w:shd w:val="clear" w:color="auto" w:fill="FFFFFF"/>
            <w:tcMar>
              <w:left w:w="80" w:type="dxa"/>
              <w:right w:w="80" w:type="dxa"/>
            </w:tcMar>
          </w:tcPr>
          <w:p w14:paraId="57718EE3"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0.133</w:t>
            </w:r>
          </w:p>
        </w:tc>
        <w:tc>
          <w:tcPr>
            <w:tcW w:w="351" w:type="pct"/>
            <w:tcBorders>
              <w:top w:val="nil"/>
              <w:left w:val="single" w:sz="2" w:space="0" w:color="000000"/>
              <w:bottom w:val="single" w:sz="2" w:space="0" w:color="000000"/>
              <w:right w:val="nil"/>
            </w:tcBorders>
            <w:shd w:val="clear" w:color="auto" w:fill="FFFFFF"/>
            <w:tcMar>
              <w:left w:w="80" w:type="dxa"/>
              <w:right w:w="80" w:type="dxa"/>
            </w:tcMar>
          </w:tcPr>
          <w:p w14:paraId="3A836F0F"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-2</w:t>
            </w:r>
          </w:p>
        </w:tc>
        <w:tc>
          <w:tcPr>
            <w:tcW w:w="351" w:type="pct"/>
            <w:tcBorders>
              <w:top w:val="nil"/>
              <w:left w:val="single" w:sz="2" w:space="0" w:color="000000"/>
              <w:bottom w:val="single" w:sz="2" w:space="0" w:color="000000"/>
              <w:right w:val="nil"/>
            </w:tcBorders>
            <w:shd w:val="clear" w:color="auto" w:fill="FFFFFF"/>
            <w:tcMar>
              <w:left w:w="80" w:type="dxa"/>
              <w:right w:w="80" w:type="dxa"/>
            </w:tcMar>
          </w:tcPr>
          <w:p w14:paraId="5F486F0F"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w:t>
            </w:r>
          </w:p>
        </w:tc>
        <w:tc>
          <w:tcPr>
            <w:tcW w:w="318" w:type="pct"/>
            <w:tcBorders>
              <w:top w:val="nil"/>
              <w:left w:val="single" w:sz="2" w:space="0" w:color="000000"/>
              <w:bottom w:val="single" w:sz="2" w:space="0" w:color="000000"/>
              <w:right w:val="nil"/>
            </w:tcBorders>
            <w:shd w:val="clear" w:color="auto" w:fill="FFFFFF"/>
            <w:tcMar>
              <w:left w:w="80" w:type="dxa"/>
              <w:right w:w="80" w:type="dxa"/>
            </w:tcMar>
          </w:tcPr>
          <w:p w14:paraId="78D97FC4"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-0.60</w:t>
            </w:r>
          </w:p>
        </w:tc>
        <w:tc>
          <w:tcPr>
            <w:tcW w:w="731" w:type="pct"/>
            <w:tcBorders>
              <w:top w:val="nil"/>
              <w:left w:val="single" w:sz="2" w:space="0" w:color="000000"/>
              <w:bottom w:val="single" w:sz="2" w:space="0" w:color="000000"/>
              <w:right w:val="nil"/>
            </w:tcBorders>
            <w:shd w:val="clear" w:color="auto" w:fill="FFFFFF"/>
            <w:tcMar>
              <w:left w:w="80" w:type="dxa"/>
              <w:right w:w="80" w:type="dxa"/>
            </w:tcMar>
          </w:tcPr>
          <w:p w14:paraId="4B0782EE"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-1.94</w:t>
            </w:r>
          </w:p>
        </w:tc>
        <w:tc>
          <w:tcPr>
            <w:tcW w:w="676" w:type="pct"/>
            <w:tcBorders>
              <w:top w:val="nil"/>
              <w:left w:val="single" w:sz="2" w:space="0" w:color="000000"/>
              <w:bottom w:val="single" w:sz="2" w:space="0" w:color="000000"/>
              <w:right w:val="nil"/>
            </w:tcBorders>
            <w:shd w:val="clear" w:color="auto" w:fill="FFFFFF"/>
            <w:tcMar>
              <w:left w:w="80" w:type="dxa"/>
              <w:right w:w="80" w:type="dxa"/>
            </w:tcMar>
          </w:tcPr>
          <w:p w14:paraId="7A36C0B2"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-3.20</w:t>
            </w:r>
          </w:p>
        </w:tc>
        <w:tc>
          <w:tcPr>
            <w:tcW w:w="693" w:type="pct"/>
            <w:tcBorders>
              <w:top w:val="nil"/>
              <w:left w:val="single" w:sz="2" w:space="0" w:color="000000"/>
              <w:bottom w:val="single" w:sz="2" w:space="0" w:color="000000"/>
              <w:right w:val="nil"/>
            </w:tcBorders>
            <w:shd w:val="clear" w:color="auto" w:fill="FFFFFF"/>
            <w:tcMar>
              <w:left w:w="80" w:type="dxa"/>
              <w:right w:w="80" w:type="dxa"/>
            </w:tcMar>
          </w:tcPr>
          <w:p w14:paraId="218B5D82"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-0.69</w:t>
            </w:r>
          </w:p>
        </w:tc>
        <w:tc>
          <w:tcPr>
            <w:tcW w:w="910" w:type="pct"/>
            <w:tcBorders>
              <w:top w:val="nil"/>
              <w:left w:val="single" w:sz="2" w:space="0" w:color="000000"/>
              <w:bottom w:val="single" w:sz="2" w:space="0" w:color="000000"/>
              <w:right w:val="single" w:sz="6" w:space="0" w:color="000000"/>
            </w:tcBorders>
            <w:shd w:val="clear" w:color="auto" w:fill="FFFFFF"/>
            <w:tcMar>
              <w:left w:w="80" w:type="dxa"/>
              <w:right w:w="80" w:type="dxa"/>
            </w:tcMar>
          </w:tcPr>
          <w:p w14:paraId="7A8F0CFB"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-1.94 (-3.20, -0.69)</w:t>
            </w:r>
          </w:p>
        </w:tc>
      </w:tr>
      <w:tr w:rsidR="00DF3B48" w:rsidRPr="00DF3B48" w14:paraId="79C982D3" w14:textId="77777777" w:rsidTr="00DF3B48">
        <w:trPr>
          <w:cantSplit/>
          <w:jc w:val="center"/>
        </w:trPr>
        <w:tc>
          <w:tcPr>
            <w:tcW w:w="291" w:type="pct"/>
            <w:tcBorders>
              <w:top w:val="nil"/>
              <w:left w:val="single" w:sz="6" w:space="0" w:color="000000"/>
              <w:bottom w:val="single" w:sz="2" w:space="0" w:color="000000"/>
              <w:right w:val="nil"/>
            </w:tcBorders>
            <w:shd w:val="clear" w:color="auto" w:fill="FFFFFF"/>
            <w:tcMar>
              <w:left w:w="80" w:type="dxa"/>
              <w:right w:w="80" w:type="dxa"/>
            </w:tcMar>
          </w:tcPr>
          <w:p w14:paraId="465E664D"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0.02</w:t>
            </w:r>
          </w:p>
        </w:tc>
        <w:tc>
          <w:tcPr>
            <w:tcW w:w="340" w:type="pct"/>
            <w:tcBorders>
              <w:top w:val="nil"/>
              <w:left w:val="single" w:sz="2" w:space="0" w:color="000000"/>
              <w:bottom w:val="single" w:sz="2" w:space="0" w:color="000000"/>
              <w:right w:val="nil"/>
            </w:tcBorders>
            <w:shd w:val="clear" w:color="auto" w:fill="FFFFFF"/>
            <w:tcMar>
              <w:left w:w="80" w:type="dxa"/>
              <w:right w:w="80" w:type="dxa"/>
            </w:tcMar>
          </w:tcPr>
          <w:p w14:paraId="2E876B72"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0.192</w:t>
            </w:r>
          </w:p>
        </w:tc>
        <w:tc>
          <w:tcPr>
            <w:tcW w:w="340" w:type="pct"/>
            <w:tcBorders>
              <w:top w:val="nil"/>
              <w:left w:val="single" w:sz="2" w:space="0" w:color="000000"/>
              <w:bottom w:val="single" w:sz="2" w:space="0" w:color="000000"/>
              <w:right w:val="nil"/>
            </w:tcBorders>
            <w:shd w:val="clear" w:color="auto" w:fill="FFFFFF"/>
            <w:tcMar>
              <w:left w:w="80" w:type="dxa"/>
              <w:right w:w="80" w:type="dxa"/>
            </w:tcMar>
          </w:tcPr>
          <w:p w14:paraId="1C31B53B"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0.133</w:t>
            </w:r>
          </w:p>
        </w:tc>
        <w:tc>
          <w:tcPr>
            <w:tcW w:w="351" w:type="pct"/>
            <w:tcBorders>
              <w:top w:val="nil"/>
              <w:left w:val="single" w:sz="2" w:space="0" w:color="000000"/>
              <w:bottom w:val="single" w:sz="2" w:space="0" w:color="000000"/>
              <w:right w:val="nil"/>
            </w:tcBorders>
            <w:shd w:val="clear" w:color="auto" w:fill="FFFFFF"/>
            <w:tcMar>
              <w:left w:w="80" w:type="dxa"/>
              <w:right w:w="80" w:type="dxa"/>
            </w:tcMar>
          </w:tcPr>
          <w:p w14:paraId="3A02507B"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-2</w:t>
            </w:r>
          </w:p>
        </w:tc>
        <w:tc>
          <w:tcPr>
            <w:tcW w:w="351" w:type="pct"/>
            <w:tcBorders>
              <w:top w:val="nil"/>
              <w:left w:val="single" w:sz="2" w:space="0" w:color="000000"/>
              <w:bottom w:val="single" w:sz="2" w:space="0" w:color="000000"/>
              <w:right w:val="nil"/>
            </w:tcBorders>
            <w:shd w:val="clear" w:color="auto" w:fill="FFFFFF"/>
            <w:tcMar>
              <w:left w:w="80" w:type="dxa"/>
              <w:right w:w="80" w:type="dxa"/>
            </w:tcMar>
          </w:tcPr>
          <w:p w14:paraId="05D6536E"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w:t>
            </w:r>
          </w:p>
        </w:tc>
        <w:tc>
          <w:tcPr>
            <w:tcW w:w="318" w:type="pct"/>
            <w:tcBorders>
              <w:top w:val="nil"/>
              <w:left w:val="single" w:sz="2" w:space="0" w:color="000000"/>
              <w:bottom w:val="single" w:sz="2" w:space="0" w:color="000000"/>
              <w:right w:val="nil"/>
            </w:tcBorders>
            <w:shd w:val="clear" w:color="auto" w:fill="FFFFFF"/>
            <w:tcMar>
              <w:left w:w="80" w:type="dxa"/>
              <w:right w:w="80" w:type="dxa"/>
            </w:tcMar>
          </w:tcPr>
          <w:p w14:paraId="0A4B6726"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-0.71</w:t>
            </w:r>
          </w:p>
        </w:tc>
        <w:tc>
          <w:tcPr>
            <w:tcW w:w="731" w:type="pct"/>
            <w:tcBorders>
              <w:top w:val="nil"/>
              <w:left w:val="single" w:sz="2" w:space="0" w:color="000000"/>
              <w:bottom w:val="single" w:sz="2" w:space="0" w:color="000000"/>
              <w:right w:val="nil"/>
            </w:tcBorders>
            <w:shd w:val="clear" w:color="auto" w:fill="FFFFFF"/>
            <w:tcMar>
              <w:left w:w="80" w:type="dxa"/>
              <w:right w:w="80" w:type="dxa"/>
            </w:tcMar>
          </w:tcPr>
          <w:p w14:paraId="09C0DB86"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-2.05</w:t>
            </w:r>
          </w:p>
        </w:tc>
        <w:tc>
          <w:tcPr>
            <w:tcW w:w="676" w:type="pct"/>
            <w:tcBorders>
              <w:top w:val="nil"/>
              <w:left w:val="single" w:sz="2" w:space="0" w:color="000000"/>
              <w:bottom w:val="single" w:sz="2" w:space="0" w:color="000000"/>
              <w:right w:val="nil"/>
            </w:tcBorders>
            <w:shd w:val="clear" w:color="auto" w:fill="FFFFFF"/>
            <w:tcMar>
              <w:left w:w="80" w:type="dxa"/>
              <w:right w:w="80" w:type="dxa"/>
            </w:tcMar>
          </w:tcPr>
          <w:p w14:paraId="46B2586E"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-3.31</w:t>
            </w:r>
          </w:p>
        </w:tc>
        <w:tc>
          <w:tcPr>
            <w:tcW w:w="693" w:type="pct"/>
            <w:tcBorders>
              <w:top w:val="nil"/>
              <w:left w:val="single" w:sz="2" w:space="0" w:color="000000"/>
              <w:bottom w:val="single" w:sz="2" w:space="0" w:color="000000"/>
              <w:right w:val="nil"/>
            </w:tcBorders>
            <w:shd w:val="clear" w:color="auto" w:fill="FFFFFF"/>
            <w:tcMar>
              <w:left w:w="80" w:type="dxa"/>
              <w:right w:w="80" w:type="dxa"/>
            </w:tcMar>
          </w:tcPr>
          <w:p w14:paraId="42F74901"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-0.80</w:t>
            </w:r>
          </w:p>
        </w:tc>
        <w:tc>
          <w:tcPr>
            <w:tcW w:w="910" w:type="pct"/>
            <w:tcBorders>
              <w:top w:val="nil"/>
              <w:left w:val="single" w:sz="2" w:space="0" w:color="000000"/>
              <w:bottom w:val="single" w:sz="2" w:space="0" w:color="000000"/>
              <w:right w:val="single" w:sz="6" w:space="0" w:color="000000"/>
            </w:tcBorders>
            <w:shd w:val="clear" w:color="auto" w:fill="FFFFFF"/>
            <w:tcMar>
              <w:left w:w="80" w:type="dxa"/>
              <w:right w:w="80" w:type="dxa"/>
            </w:tcMar>
          </w:tcPr>
          <w:p w14:paraId="23B88B6C"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-2.05 (-3.31, -0.80)</w:t>
            </w:r>
          </w:p>
        </w:tc>
      </w:tr>
      <w:tr w:rsidR="00DF3B48" w:rsidRPr="00DF3B48" w14:paraId="56F354BC" w14:textId="77777777" w:rsidTr="00DF3B48">
        <w:trPr>
          <w:cantSplit/>
          <w:jc w:val="center"/>
        </w:trPr>
        <w:tc>
          <w:tcPr>
            <w:tcW w:w="291" w:type="pct"/>
            <w:tcBorders>
              <w:top w:val="nil"/>
              <w:left w:val="single" w:sz="6" w:space="0" w:color="000000"/>
              <w:bottom w:val="single" w:sz="2" w:space="0" w:color="000000"/>
              <w:right w:val="nil"/>
            </w:tcBorders>
            <w:shd w:val="clear" w:color="auto" w:fill="FFFFFF"/>
            <w:tcMar>
              <w:left w:w="80" w:type="dxa"/>
              <w:right w:w="80" w:type="dxa"/>
            </w:tcMar>
          </w:tcPr>
          <w:p w14:paraId="42ACDBA1"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0.04</w:t>
            </w:r>
          </w:p>
        </w:tc>
        <w:tc>
          <w:tcPr>
            <w:tcW w:w="340" w:type="pct"/>
            <w:tcBorders>
              <w:top w:val="nil"/>
              <w:left w:val="single" w:sz="2" w:space="0" w:color="000000"/>
              <w:bottom w:val="single" w:sz="2" w:space="0" w:color="000000"/>
              <w:right w:val="nil"/>
            </w:tcBorders>
            <w:shd w:val="clear" w:color="auto" w:fill="FFFFFF"/>
            <w:tcMar>
              <w:left w:w="80" w:type="dxa"/>
              <w:right w:w="80" w:type="dxa"/>
            </w:tcMar>
          </w:tcPr>
          <w:p w14:paraId="7C727671"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0.192</w:t>
            </w:r>
          </w:p>
        </w:tc>
        <w:tc>
          <w:tcPr>
            <w:tcW w:w="340" w:type="pct"/>
            <w:tcBorders>
              <w:top w:val="nil"/>
              <w:left w:val="single" w:sz="2" w:space="0" w:color="000000"/>
              <w:bottom w:val="single" w:sz="2" w:space="0" w:color="000000"/>
              <w:right w:val="nil"/>
            </w:tcBorders>
            <w:shd w:val="clear" w:color="auto" w:fill="FFFFFF"/>
            <w:tcMar>
              <w:left w:w="80" w:type="dxa"/>
              <w:right w:w="80" w:type="dxa"/>
            </w:tcMar>
          </w:tcPr>
          <w:p w14:paraId="4E36CDC7"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0.133</w:t>
            </w:r>
          </w:p>
        </w:tc>
        <w:tc>
          <w:tcPr>
            <w:tcW w:w="351" w:type="pct"/>
            <w:tcBorders>
              <w:top w:val="nil"/>
              <w:left w:val="single" w:sz="2" w:space="0" w:color="000000"/>
              <w:bottom w:val="single" w:sz="2" w:space="0" w:color="000000"/>
              <w:right w:val="nil"/>
            </w:tcBorders>
            <w:shd w:val="clear" w:color="auto" w:fill="FFFFFF"/>
            <w:tcMar>
              <w:left w:w="80" w:type="dxa"/>
              <w:right w:w="80" w:type="dxa"/>
            </w:tcMar>
          </w:tcPr>
          <w:p w14:paraId="27812788"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-2</w:t>
            </w:r>
          </w:p>
        </w:tc>
        <w:tc>
          <w:tcPr>
            <w:tcW w:w="351" w:type="pct"/>
            <w:tcBorders>
              <w:top w:val="nil"/>
              <w:left w:val="single" w:sz="2" w:space="0" w:color="000000"/>
              <w:bottom w:val="single" w:sz="2" w:space="0" w:color="000000"/>
              <w:right w:val="nil"/>
            </w:tcBorders>
            <w:shd w:val="clear" w:color="auto" w:fill="FFFFFF"/>
            <w:tcMar>
              <w:left w:w="80" w:type="dxa"/>
              <w:right w:w="80" w:type="dxa"/>
            </w:tcMar>
          </w:tcPr>
          <w:p w14:paraId="20D656E3"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w:t>
            </w:r>
          </w:p>
        </w:tc>
        <w:tc>
          <w:tcPr>
            <w:tcW w:w="318" w:type="pct"/>
            <w:tcBorders>
              <w:top w:val="nil"/>
              <w:left w:val="single" w:sz="2" w:space="0" w:color="000000"/>
              <w:bottom w:val="single" w:sz="2" w:space="0" w:color="000000"/>
              <w:right w:val="nil"/>
            </w:tcBorders>
            <w:shd w:val="clear" w:color="auto" w:fill="FFFFFF"/>
            <w:tcMar>
              <w:left w:w="80" w:type="dxa"/>
              <w:right w:w="80" w:type="dxa"/>
            </w:tcMar>
          </w:tcPr>
          <w:p w14:paraId="59D00B12"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-1.12</w:t>
            </w:r>
          </w:p>
        </w:tc>
        <w:tc>
          <w:tcPr>
            <w:tcW w:w="731" w:type="pct"/>
            <w:tcBorders>
              <w:top w:val="nil"/>
              <w:left w:val="single" w:sz="2" w:space="0" w:color="000000"/>
              <w:bottom w:val="single" w:sz="2" w:space="0" w:color="000000"/>
              <w:right w:val="nil"/>
            </w:tcBorders>
            <w:shd w:val="clear" w:color="auto" w:fill="FFFFFF"/>
            <w:tcMar>
              <w:left w:w="80" w:type="dxa"/>
              <w:right w:w="80" w:type="dxa"/>
            </w:tcMar>
          </w:tcPr>
          <w:p w14:paraId="1D458BC1"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-2.46</w:t>
            </w:r>
          </w:p>
        </w:tc>
        <w:tc>
          <w:tcPr>
            <w:tcW w:w="676" w:type="pct"/>
            <w:tcBorders>
              <w:top w:val="nil"/>
              <w:left w:val="single" w:sz="2" w:space="0" w:color="000000"/>
              <w:bottom w:val="single" w:sz="2" w:space="0" w:color="000000"/>
              <w:right w:val="nil"/>
            </w:tcBorders>
            <w:shd w:val="clear" w:color="auto" w:fill="FFFFFF"/>
            <w:tcMar>
              <w:left w:w="80" w:type="dxa"/>
              <w:right w:w="80" w:type="dxa"/>
            </w:tcMar>
          </w:tcPr>
          <w:p w14:paraId="100F3944"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-3.72</w:t>
            </w:r>
          </w:p>
        </w:tc>
        <w:tc>
          <w:tcPr>
            <w:tcW w:w="693" w:type="pct"/>
            <w:tcBorders>
              <w:top w:val="nil"/>
              <w:left w:val="single" w:sz="2" w:space="0" w:color="000000"/>
              <w:bottom w:val="single" w:sz="2" w:space="0" w:color="000000"/>
              <w:right w:val="nil"/>
            </w:tcBorders>
            <w:shd w:val="clear" w:color="auto" w:fill="FFFFFF"/>
            <w:tcMar>
              <w:left w:w="80" w:type="dxa"/>
              <w:right w:w="80" w:type="dxa"/>
            </w:tcMar>
          </w:tcPr>
          <w:p w14:paraId="3314AA7D"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-1.21</w:t>
            </w:r>
          </w:p>
        </w:tc>
        <w:tc>
          <w:tcPr>
            <w:tcW w:w="910" w:type="pct"/>
            <w:tcBorders>
              <w:top w:val="nil"/>
              <w:left w:val="single" w:sz="2" w:space="0" w:color="000000"/>
              <w:bottom w:val="single" w:sz="2" w:space="0" w:color="000000"/>
              <w:right w:val="single" w:sz="6" w:space="0" w:color="000000"/>
            </w:tcBorders>
            <w:shd w:val="clear" w:color="auto" w:fill="FFFFFF"/>
            <w:tcMar>
              <w:left w:w="80" w:type="dxa"/>
              <w:right w:w="80" w:type="dxa"/>
            </w:tcMar>
          </w:tcPr>
          <w:p w14:paraId="3ADD4D82"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-2.46 (-3.72, -1.21)</w:t>
            </w:r>
          </w:p>
        </w:tc>
      </w:tr>
      <w:tr w:rsidR="00DF3B48" w:rsidRPr="00DF3B48" w14:paraId="4168D40B" w14:textId="77777777" w:rsidTr="00DF3B48">
        <w:trPr>
          <w:cantSplit/>
          <w:jc w:val="center"/>
        </w:trPr>
        <w:tc>
          <w:tcPr>
            <w:tcW w:w="291" w:type="pct"/>
            <w:tcBorders>
              <w:top w:val="nil"/>
              <w:left w:val="single" w:sz="6" w:space="0" w:color="000000"/>
              <w:bottom w:val="single" w:sz="2" w:space="0" w:color="000000"/>
              <w:right w:val="nil"/>
            </w:tcBorders>
            <w:shd w:val="clear" w:color="auto" w:fill="FFFFFF"/>
            <w:tcMar>
              <w:left w:w="80" w:type="dxa"/>
              <w:right w:w="80" w:type="dxa"/>
            </w:tcMar>
          </w:tcPr>
          <w:p w14:paraId="50068856"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0.02</w:t>
            </w:r>
          </w:p>
        </w:tc>
        <w:tc>
          <w:tcPr>
            <w:tcW w:w="340" w:type="pct"/>
            <w:tcBorders>
              <w:top w:val="nil"/>
              <w:left w:val="single" w:sz="2" w:space="0" w:color="000000"/>
              <w:bottom w:val="single" w:sz="2" w:space="0" w:color="000000"/>
              <w:right w:val="nil"/>
            </w:tcBorders>
            <w:shd w:val="clear" w:color="auto" w:fill="FFFFFF"/>
            <w:tcMar>
              <w:left w:w="80" w:type="dxa"/>
              <w:right w:w="80" w:type="dxa"/>
            </w:tcMar>
          </w:tcPr>
          <w:p w14:paraId="25A9357E"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0.192</w:t>
            </w:r>
          </w:p>
        </w:tc>
        <w:tc>
          <w:tcPr>
            <w:tcW w:w="340" w:type="pct"/>
            <w:tcBorders>
              <w:top w:val="nil"/>
              <w:left w:val="single" w:sz="2" w:space="0" w:color="000000"/>
              <w:bottom w:val="single" w:sz="2" w:space="0" w:color="000000"/>
              <w:right w:val="nil"/>
            </w:tcBorders>
            <w:shd w:val="clear" w:color="auto" w:fill="FFFFFF"/>
            <w:tcMar>
              <w:left w:w="80" w:type="dxa"/>
              <w:right w:w="80" w:type="dxa"/>
            </w:tcMar>
          </w:tcPr>
          <w:p w14:paraId="6775EBFA"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0.133</w:t>
            </w:r>
          </w:p>
        </w:tc>
        <w:tc>
          <w:tcPr>
            <w:tcW w:w="351" w:type="pct"/>
            <w:tcBorders>
              <w:top w:val="nil"/>
              <w:left w:val="single" w:sz="2" w:space="0" w:color="000000"/>
              <w:bottom w:val="single" w:sz="2" w:space="0" w:color="000000"/>
              <w:right w:val="nil"/>
            </w:tcBorders>
            <w:shd w:val="clear" w:color="auto" w:fill="FFFFFF"/>
            <w:tcMar>
              <w:left w:w="80" w:type="dxa"/>
              <w:right w:w="80" w:type="dxa"/>
            </w:tcMar>
          </w:tcPr>
          <w:p w14:paraId="31EAC16B"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-2</w:t>
            </w:r>
          </w:p>
        </w:tc>
        <w:tc>
          <w:tcPr>
            <w:tcW w:w="351" w:type="pct"/>
            <w:tcBorders>
              <w:top w:val="nil"/>
              <w:left w:val="single" w:sz="2" w:space="0" w:color="000000"/>
              <w:bottom w:val="single" w:sz="2" w:space="0" w:color="000000"/>
              <w:right w:val="nil"/>
            </w:tcBorders>
            <w:shd w:val="clear" w:color="auto" w:fill="FFFFFF"/>
            <w:tcMar>
              <w:left w:w="80" w:type="dxa"/>
              <w:right w:w="80" w:type="dxa"/>
            </w:tcMar>
          </w:tcPr>
          <w:p w14:paraId="160AF96B"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2</w:t>
            </w:r>
          </w:p>
        </w:tc>
        <w:tc>
          <w:tcPr>
            <w:tcW w:w="318" w:type="pct"/>
            <w:tcBorders>
              <w:top w:val="nil"/>
              <w:left w:val="single" w:sz="2" w:space="0" w:color="000000"/>
              <w:bottom w:val="single" w:sz="2" w:space="0" w:color="000000"/>
              <w:right w:val="nil"/>
            </w:tcBorders>
            <w:shd w:val="clear" w:color="auto" w:fill="FFFFFF"/>
            <w:tcMar>
              <w:left w:w="80" w:type="dxa"/>
              <w:right w:w="80" w:type="dxa"/>
            </w:tcMar>
          </w:tcPr>
          <w:p w14:paraId="3E0F45A7"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-1.12</w:t>
            </w:r>
          </w:p>
        </w:tc>
        <w:tc>
          <w:tcPr>
            <w:tcW w:w="731" w:type="pct"/>
            <w:tcBorders>
              <w:top w:val="nil"/>
              <w:left w:val="single" w:sz="2" w:space="0" w:color="000000"/>
              <w:bottom w:val="single" w:sz="2" w:space="0" w:color="000000"/>
              <w:right w:val="nil"/>
            </w:tcBorders>
            <w:shd w:val="clear" w:color="auto" w:fill="FFFFFF"/>
            <w:tcMar>
              <w:left w:w="80" w:type="dxa"/>
              <w:right w:w="80" w:type="dxa"/>
            </w:tcMar>
          </w:tcPr>
          <w:p w14:paraId="6AEFF1F4"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-2.46</w:t>
            </w:r>
          </w:p>
        </w:tc>
        <w:tc>
          <w:tcPr>
            <w:tcW w:w="676" w:type="pct"/>
            <w:tcBorders>
              <w:top w:val="nil"/>
              <w:left w:val="single" w:sz="2" w:space="0" w:color="000000"/>
              <w:bottom w:val="single" w:sz="2" w:space="0" w:color="000000"/>
              <w:right w:val="nil"/>
            </w:tcBorders>
            <w:shd w:val="clear" w:color="auto" w:fill="FFFFFF"/>
            <w:tcMar>
              <w:left w:w="80" w:type="dxa"/>
              <w:right w:w="80" w:type="dxa"/>
            </w:tcMar>
          </w:tcPr>
          <w:p w14:paraId="12221920"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-3.72</w:t>
            </w:r>
          </w:p>
        </w:tc>
        <w:tc>
          <w:tcPr>
            <w:tcW w:w="693" w:type="pct"/>
            <w:tcBorders>
              <w:top w:val="nil"/>
              <w:left w:val="single" w:sz="2" w:space="0" w:color="000000"/>
              <w:bottom w:val="single" w:sz="2" w:space="0" w:color="000000"/>
              <w:right w:val="nil"/>
            </w:tcBorders>
            <w:shd w:val="clear" w:color="auto" w:fill="FFFFFF"/>
            <w:tcMar>
              <w:left w:w="80" w:type="dxa"/>
              <w:right w:w="80" w:type="dxa"/>
            </w:tcMar>
          </w:tcPr>
          <w:p w14:paraId="412AA14A"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-1.21</w:t>
            </w:r>
          </w:p>
        </w:tc>
        <w:tc>
          <w:tcPr>
            <w:tcW w:w="910" w:type="pct"/>
            <w:tcBorders>
              <w:top w:val="nil"/>
              <w:left w:val="single" w:sz="2" w:space="0" w:color="000000"/>
              <w:bottom w:val="single" w:sz="2" w:space="0" w:color="000000"/>
              <w:right w:val="single" w:sz="6" w:space="0" w:color="000000"/>
            </w:tcBorders>
            <w:shd w:val="clear" w:color="auto" w:fill="FFFFFF"/>
            <w:tcMar>
              <w:left w:w="80" w:type="dxa"/>
              <w:right w:w="80" w:type="dxa"/>
            </w:tcMar>
          </w:tcPr>
          <w:p w14:paraId="1B7A645C"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-2.46 (-3.72, -1.21)</w:t>
            </w:r>
          </w:p>
        </w:tc>
      </w:tr>
      <w:tr w:rsidR="00DF3B48" w:rsidRPr="00DF3B48" w14:paraId="2BD47067" w14:textId="77777777" w:rsidTr="00DF3B48">
        <w:trPr>
          <w:cantSplit/>
          <w:jc w:val="center"/>
        </w:trPr>
        <w:tc>
          <w:tcPr>
            <w:tcW w:w="291" w:type="pct"/>
            <w:tcBorders>
              <w:top w:val="nil"/>
              <w:left w:val="single" w:sz="6" w:space="0" w:color="000000"/>
              <w:bottom w:val="single" w:sz="2" w:space="0" w:color="000000"/>
              <w:right w:val="nil"/>
            </w:tcBorders>
            <w:shd w:val="clear" w:color="auto" w:fill="FFFFFF"/>
            <w:tcMar>
              <w:left w:w="80" w:type="dxa"/>
              <w:right w:w="80" w:type="dxa"/>
            </w:tcMar>
          </w:tcPr>
          <w:p w14:paraId="6D9B93CB"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0.04</w:t>
            </w:r>
          </w:p>
        </w:tc>
        <w:tc>
          <w:tcPr>
            <w:tcW w:w="340" w:type="pct"/>
            <w:tcBorders>
              <w:top w:val="nil"/>
              <w:left w:val="single" w:sz="2" w:space="0" w:color="000000"/>
              <w:bottom w:val="single" w:sz="2" w:space="0" w:color="000000"/>
              <w:right w:val="nil"/>
            </w:tcBorders>
            <w:shd w:val="clear" w:color="auto" w:fill="FFFFFF"/>
            <w:tcMar>
              <w:left w:w="80" w:type="dxa"/>
              <w:right w:w="80" w:type="dxa"/>
            </w:tcMar>
          </w:tcPr>
          <w:p w14:paraId="0481BEDF"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0.192</w:t>
            </w:r>
          </w:p>
        </w:tc>
        <w:tc>
          <w:tcPr>
            <w:tcW w:w="340" w:type="pct"/>
            <w:tcBorders>
              <w:top w:val="nil"/>
              <w:left w:val="single" w:sz="2" w:space="0" w:color="000000"/>
              <w:bottom w:val="single" w:sz="2" w:space="0" w:color="000000"/>
              <w:right w:val="nil"/>
            </w:tcBorders>
            <w:shd w:val="clear" w:color="auto" w:fill="FFFFFF"/>
            <w:tcMar>
              <w:left w:w="80" w:type="dxa"/>
              <w:right w:w="80" w:type="dxa"/>
            </w:tcMar>
          </w:tcPr>
          <w:p w14:paraId="008428B0"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0.133</w:t>
            </w:r>
          </w:p>
        </w:tc>
        <w:tc>
          <w:tcPr>
            <w:tcW w:w="351" w:type="pct"/>
            <w:tcBorders>
              <w:top w:val="nil"/>
              <w:left w:val="single" w:sz="2" w:space="0" w:color="000000"/>
              <w:bottom w:val="single" w:sz="2" w:space="0" w:color="000000"/>
              <w:right w:val="nil"/>
            </w:tcBorders>
            <w:shd w:val="clear" w:color="auto" w:fill="FFFFFF"/>
            <w:tcMar>
              <w:left w:w="80" w:type="dxa"/>
              <w:right w:w="80" w:type="dxa"/>
            </w:tcMar>
          </w:tcPr>
          <w:p w14:paraId="691999D6"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-2</w:t>
            </w:r>
          </w:p>
        </w:tc>
        <w:tc>
          <w:tcPr>
            <w:tcW w:w="351" w:type="pct"/>
            <w:tcBorders>
              <w:top w:val="nil"/>
              <w:left w:val="single" w:sz="2" w:space="0" w:color="000000"/>
              <w:bottom w:val="single" w:sz="2" w:space="0" w:color="000000"/>
              <w:right w:val="nil"/>
            </w:tcBorders>
            <w:shd w:val="clear" w:color="auto" w:fill="FFFFFF"/>
            <w:tcMar>
              <w:left w:w="80" w:type="dxa"/>
              <w:right w:w="80" w:type="dxa"/>
            </w:tcMar>
          </w:tcPr>
          <w:p w14:paraId="162FA5E6"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2</w:t>
            </w:r>
          </w:p>
        </w:tc>
        <w:tc>
          <w:tcPr>
            <w:tcW w:w="318" w:type="pct"/>
            <w:tcBorders>
              <w:top w:val="nil"/>
              <w:left w:val="single" w:sz="2" w:space="0" w:color="000000"/>
              <w:bottom w:val="single" w:sz="2" w:space="0" w:color="000000"/>
              <w:right w:val="nil"/>
            </w:tcBorders>
            <w:shd w:val="clear" w:color="auto" w:fill="FFFFFF"/>
            <w:tcMar>
              <w:left w:w="80" w:type="dxa"/>
              <w:right w:w="80" w:type="dxa"/>
            </w:tcMar>
          </w:tcPr>
          <w:p w14:paraId="3CFC30DC"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-1.63</w:t>
            </w:r>
          </w:p>
        </w:tc>
        <w:tc>
          <w:tcPr>
            <w:tcW w:w="731" w:type="pct"/>
            <w:tcBorders>
              <w:top w:val="nil"/>
              <w:left w:val="single" w:sz="2" w:space="0" w:color="000000"/>
              <w:bottom w:val="single" w:sz="2" w:space="0" w:color="000000"/>
              <w:right w:val="nil"/>
            </w:tcBorders>
            <w:shd w:val="clear" w:color="auto" w:fill="FFFFFF"/>
            <w:tcMar>
              <w:left w:w="80" w:type="dxa"/>
              <w:right w:w="80" w:type="dxa"/>
            </w:tcMar>
          </w:tcPr>
          <w:p w14:paraId="31EB4CA0"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-2.97</w:t>
            </w:r>
          </w:p>
        </w:tc>
        <w:tc>
          <w:tcPr>
            <w:tcW w:w="676" w:type="pct"/>
            <w:tcBorders>
              <w:top w:val="nil"/>
              <w:left w:val="single" w:sz="2" w:space="0" w:color="000000"/>
              <w:bottom w:val="single" w:sz="2" w:space="0" w:color="000000"/>
              <w:right w:val="nil"/>
            </w:tcBorders>
            <w:shd w:val="clear" w:color="auto" w:fill="FFFFFF"/>
            <w:tcMar>
              <w:left w:w="80" w:type="dxa"/>
              <w:right w:w="80" w:type="dxa"/>
            </w:tcMar>
          </w:tcPr>
          <w:p w14:paraId="2AE774C3"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-4.23</w:t>
            </w:r>
          </w:p>
        </w:tc>
        <w:tc>
          <w:tcPr>
            <w:tcW w:w="693" w:type="pct"/>
            <w:tcBorders>
              <w:top w:val="nil"/>
              <w:left w:val="single" w:sz="2" w:space="0" w:color="000000"/>
              <w:bottom w:val="single" w:sz="2" w:space="0" w:color="000000"/>
              <w:right w:val="nil"/>
            </w:tcBorders>
            <w:shd w:val="clear" w:color="auto" w:fill="FFFFFF"/>
            <w:tcMar>
              <w:left w:w="80" w:type="dxa"/>
              <w:right w:w="80" w:type="dxa"/>
            </w:tcMar>
          </w:tcPr>
          <w:p w14:paraId="0C772021"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-1.72</w:t>
            </w:r>
          </w:p>
        </w:tc>
        <w:tc>
          <w:tcPr>
            <w:tcW w:w="910" w:type="pct"/>
            <w:tcBorders>
              <w:top w:val="nil"/>
              <w:left w:val="single" w:sz="2" w:space="0" w:color="000000"/>
              <w:bottom w:val="single" w:sz="2" w:space="0" w:color="000000"/>
              <w:right w:val="single" w:sz="6" w:space="0" w:color="000000"/>
            </w:tcBorders>
            <w:shd w:val="clear" w:color="auto" w:fill="FFFFFF"/>
            <w:tcMar>
              <w:left w:w="80" w:type="dxa"/>
              <w:right w:w="80" w:type="dxa"/>
            </w:tcMar>
          </w:tcPr>
          <w:p w14:paraId="511849CF"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-2.97 (-4.23, -1.72)</w:t>
            </w:r>
          </w:p>
        </w:tc>
      </w:tr>
      <w:tr w:rsidR="00DF3B48" w:rsidRPr="00DF3B48" w14:paraId="04E66928" w14:textId="77777777" w:rsidTr="00DF3B48">
        <w:trPr>
          <w:cantSplit/>
          <w:jc w:val="center"/>
        </w:trPr>
        <w:tc>
          <w:tcPr>
            <w:tcW w:w="291" w:type="pct"/>
            <w:tcBorders>
              <w:top w:val="nil"/>
              <w:left w:val="single" w:sz="6" w:space="0" w:color="000000"/>
              <w:bottom w:val="single" w:sz="2" w:space="0" w:color="000000"/>
              <w:right w:val="nil"/>
            </w:tcBorders>
            <w:shd w:val="clear" w:color="auto" w:fill="FFFFFF"/>
            <w:tcMar>
              <w:left w:w="80" w:type="dxa"/>
              <w:right w:w="80" w:type="dxa"/>
            </w:tcMar>
          </w:tcPr>
          <w:p w14:paraId="0FE8EFF8"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0.02</w:t>
            </w:r>
          </w:p>
        </w:tc>
        <w:tc>
          <w:tcPr>
            <w:tcW w:w="340" w:type="pct"/>
            <w:tcBorders>
              <w:top w:val="nil"/>
              <w:left w:val="single" w:sz="2" w:space="0" w:color="000000"/>
              <w:bottom w:val="single" w:sz="2" w:space="0" w:color="000000"/>
              <w:right w:val="nil"/>
            </w:tcBorders>
            <w:shd w:val="clear" w:color="auto" w:fill="FFFFFF"/>
            <w:tcMar>
              <w:left w:w="80" w:type="dxa"/>
              <w:right w:w="80" w:type="dxa"/>
            </w:tcMar>
          </w:tcPr>
          <w:p w14:paraId="764ABAAF"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0.192</w:t>
            </w:r>
          </w:p>
        </w:tc>
        <w:tc>
          <w:tcPr>
            <w:tcW w:w="340" w:type="pct"/>
            <w:tcBorders>
              <w:top w:val="nil"/>
              <w:left w:val="single" w:sz="2" w:space="0" w:color="000000"/>
              <w:bottom w:val="single" w:sz="2" w:space="0" w:color="000000"/>
              <w:right w:val="nil"/>
            </w:tcBorders>
            <w:shd w:val="clear" w:color="auto" w:fill="FFFFFF"/>
            <w:tcMar>
              <w:left w:w="80" w:type="dxa"/>
              <w:right w:w="80" w:type="dxa"/>
            </w:tcMar>
          </w:tcPr>
          <w:p w14:paraId="2BE8B141"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0.133</w:t>
            </w:r>
          </w:p>
        </w:tc>
        <w:tc>
          <w:tcPr>
            <w:tcW w:w="351" w:type="pct"/>
            <w:tcBorders>
              <w:top w:val="nil"/>
              <w:left w:val="single" w:sz="2" w:space="0" w:color="000000"/>
              <w:bottom w:val="single" w:sz="2" w:space="0" w:color="000000"/>
              <w:right w:val="nil"/>
            </w:tcBorders>
            <w:shd w:val="clear" w:color="auto" w:fill="FFFFFF"/>
            <w:tcMar>
              <w:left w:w="80" w:type="dxa"/>
              <w:right w:w="80" w:type="dxa"/>
            </w:tcMar>
          </w:tcPr>
          <w:p w14:paraId="18E4D0D3"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w:t>
            </w:r>
          </w:p>
        </w:tc>
        <w:tc>
          <w:tcPr>
            <w:tcW w:w="351" w:type="pct"/>
            <w:tcBorders>
              <w:top w:val="nil"/>
              <w:left w:val="single" w:sz="2" w:space="0" w:color="000000"/>
              <w:bottom w:val="single" w:sz="2" w:space="0" w:color="000000"/>
              <w:right w:val="nil"/>
            </w:tcBorders>
            <w:shd w:val="clear" w:color="auto" w:fill="FFFFFF"/>
            <w:tcMar>
              <w:left w:w="80" w:type="dxa"/>
              <w:right w:w="80" w:type="dxa"/>
            </w:tcMar>
          </w:tcPr>
          <w:p w14:paraId="1D2BE9B3"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-2</w:t>
            </w:r>
          </w:p>
        </w:tc>
        <w:tc>
          <w:tcPr>
            <w:tcW w:w="318" w:type="pct"/>
            <w:tcBorders>
              <w:top w:val="nil"/>
              <w:left w:val="single" w:sz="2" w:space="0" w:color="000000"/>
              <w:bottom w:val="single" w:sz="2" w:space="0" w:color="000000"/>
              <w:right w:val="nil"/>
            </w:tcBorders>
            <w:shd w:val="clear" w:color="auto" w:fill="FFFFFF"/>
            <w:tcMar>
              <w:left w:w="80" w:type="dxa"/>
              <w:right w:w="80" w:type="dxa"/>
            </w:tcMar>
          </w:tcPr>
          <w:p w14:paraId="38B13099"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0.67</w:t>
            </w:r>
          </w:p>
        </w:tc>
        <w:tc>
          <w:tcPr>
            <w:tcW w:w="731" w:type="pct"/>
            <w:tcBorders>
              <w:top w:val="nil"/>
              <w:left w:val="single" w:sz="2" w:space="0" w:color="000000"/>
              <w:bottom w:val="single" w:sz="2" w:space="0" w:color="000000"/>
              <w:right w:val="nil"/>
            </w:tcBorders>
            <w:shd w:val="clear" w:color="auto" w:fill="FFFFFF"/>
            <w:tcMar>
              <w:left w:w="80" w:type="dxa"/>
              <w:right w:w="80" w:type="dxa"/>
            </w:tcMar>
          </w:tcPr>
          <w:p w14:paraId="00A23CBF"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-0.67</w:t>
            </w:r>
          </w:p>
        </w:tc>
        <w:tc>
          <w:tcPr>
            <w:tcW w:w="676" w:type="pct"/>
            <w:tcBorders>
              <w:top w:val="nil"/>
              <w:left w:val="single" w:sz="2" w:space="0" w:color="000000"/>
              <w:bottom w:val="single" w:sz="2" w:space="0" w:color="000000"/>
              <w:right w:val="nil"/>
            </w:tcBorders>
            <w:shd w:val="clear" w:color="auto" w:fill="FFFFFF"/>
            <w:tcMar>
              <w:left w:w="80" w:type="dxa"/>
              <w:right w:w="80" w:type="dxa"/>
            </w:tcMar>
          </w:tcPr>
          <w:p w14:paraId="6B0112B9"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-1.93</w:t>
            </w:r>
          </w:p>
        </w:tc>
        <w:tc>
          <w:tcPr>
            <w:tcW w:w="693" w:type="pct"/>
            <w:tcBorders>
              <w:top w:val="nil"/>
              <w:left w:val="single" w:sz="2" w:space="0" w:color="000000"/>
              <w:bottom w:val="single" w:sz="2" w:space="0" w:color="000000"/>
              <w:right w:val="nil"/>
            </w:tcBorders>
            <w:shd w:val="clear" w:color="auto" w:fill="FFFFFF"/>
            <w:tcMar>
              <w:left w:w="80" w:type="dxa"/>
              <w:right w:w="80" w:type="dxa"/>
            </w:tcMar>
          </w:tcPr>
          <w:p w14:paraId="23382AE9"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0.58</w:t>
            </w:r>
          </w:p>
        </w:tc>
        <w:tc>
          <w:tcPr>
            <w:tcW w:w="910" w:type="pct"/>
            <w:tcBorders>
              <w:top w:val="nil"/>
              <w:left w:val="single" w:sz="2" w:space="0" w:color="000000"/>
              <w:bottom w:val="single" w:sz="2" w:space="0" w:color="000000"/>
              <w:right w:val="single" w:sz="6" w:space="0" w:color="000000"/>
            </w:tcBorders>
            <w:shd w:val="clear" w:color="auto" w:fill="FFFFFF"/>
            <w:tcMar>
              <w:left w:w="80" w:type="dxa"/>
              <w:right w:w="80" w:type="dxa"/>
            </w:tcMar>
          </w:tcPr>
          <w:p w14:paraId="3CD2FAA5"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-0.67 (-1.93, 0.58)</w:t>
            </w:r>
          </w:p>
        </w:tc>
      </w:tr>
      <w:tr w:rsidR="00DF3B48" w:rsidRPr="00DF3B48" w14:paraId="49DDDBF4" w14:textId="77777777" w:rsidTr="00DF3B48">
        <w:trPr>
          <w:cantSplit/>
          <w:jc w:val="center"/>
        </w:trPr>
        <w:tc>
          <w:tcPr>
            <w:tcW w:w="291" w:type="pct"/>
            <w:tcBorders>
              <w:top w:val="nil"/>
              <w:left w:val="single" w:sz="6" w:space="0" w:color="000000"/>
              <w:bottom w:val="single" w:sz="2" w:space="0" w:color="000000"/>
              <w:right w:val="nil"/>
            </w:tcBorders>
            <w:shd w:val="clear" w:color="auto" w:fill="FFFFFF"/>
            <w:tcMar>
              <w:left w:w="80" w:type="dxa"/>
              <w:right w:w="80" w:type="dxa"/>
            </w:tcMar>
          </w:tcPr>
          <w:p w14:paraId="165CD583"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0.04</w:t>
            </w:r>
          </w:p>
        </w:tc>
        <w:tc>
          <w:tcPr>
            <w:tcW w:w="340" w:type="pct"/>
            <w:tcBorders>
              <w:top w:val="nil"/>
              <w:left w:val="single" w:sz="2" w:space="0" w:color="000000"/>
              <w:bottom w:val="single" w:sz="2" w:space="0" w:color="000000"/>
              <w:right w:val="nil"/>
            </w:tcBorders>
            <w:shd w:val="clear" w:color="auto" w:fill="FFFFFF"/>
            <w:tcMar>
              <w:left w:w="80" w:type="dxa"/>
              <w:right w:w="80" w:type="dxa"/>
            </w:tcMar>
          </w:tcPr>
          <w:p w14:paraId="0277BBFD"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0.192</w:t>
            </w:r>
          </w:p>
        </w:tc>
        <w:tc>
          <w:tcPr>
            <w:tcW w:w="340" w:type="pct"/>
            <w:tcBorders>
              <w:top w:val="nil"/>
              <w:left w:val="single" w:sz="2" w:space="0" w:color="000000"/>
              <w:bottom w:val="single" w:sz="2" w:space="0" w:color="000000"/>
              <w:right w:val="nil"/>
            </w:tcBorders>
            <w:shd w:val="clear" w:color="auto" w:fill="FFFFFF"/>
            <w:tcMar>
              <w:left w:w="80" w:type="dxa"/>
              <w:right w:w="80" w:type="dxa"/>
            </w:tcMar>
          </w:tcPr>
          <w:p w14:paraId="467391A1"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0.133</w:t>
            </w:r>
          </w:p>
        </w:tc>
        <w:tc>
          <w:tcPr>
            <w:tcW w:w="351" w:type="pct"/>
            <w:tcBorders>
              <w:top w:val="nil"/>
              <w:left w:val="single" w:sz="2" w:space="0" w:color="000000"/>
              <w:bottom w:val="single" w:sz="2" w:space="0" w:color="000000"/>
              <w:right w:val="nil"/>
            </w:tcBorders>
            <w:shd w:val="clear" w:color="auto" w:fill="FFFFFF"/>
            <w:tcMar>
              <w:left w:w="80" w:type="dxa"/>
              <w:right w:w="80" w:type="dxa"/>
            </w:tcMar>
          </w:tcPr>
          <w:p w14:paraId="5AA6BA96"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w:t>
            </w:r>
          </w:p>
        </w:tc>
        <w:tc>
          <w:tcPr>
            <w:tcW w:w="351" w:type="pct"/>
            <w:tcBorders>
              <w:top w:val="nil"/>
              <w:left w:val="single" w:sz="2" w:space="0" w:color="000000"/>
              <w:bottom w:val="single" w:sz="2" w:space="0" w:color="000000"/>
              <w:right w:val="nil"/>
            </w:tcBorders>
            <w:shd w:val="clear" w:color="auto" w:fill="FFFFFF"/>
            <w:tcMar>
              <w:left w:w="80" w:type="dxa"/>
              <w:right w:w="80" w:type="dxa"/>
            </w:tcMar>
          </w:tcPr>
          <w:p w14:paraId="4950E8F4"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-2</w:t>
            </w:r>
          </w:p>
        </w:tc>
        <w:tc>
          <w:tcPr>
            <w:tcW w:w="318" w:type="pct"/>
            <w:tcBorders>
              <w:top w:val="nil"/>
              <w:left w:val="single" w:sz="2" w:space="0" w:color="000000"/>
              <w:bottom w:val="single" w:sz="2" w:space="0" w:color="000000"/>
              <w:right w:val="nil"/>
            </w:tcBorders>
            <w:shd w:val="clear" w:color="auto" w:fill="FFFFFF"/>
            <w:tcMar>
              <w:left w:w="80" w:type="dxa"/>
              <w:right w:w="80" w:type="dxa"/>
            </w:tcMar>
          </w:tcPr>
          <w:p w14:paraId="4005B806"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0.73</w:t>
            </w:r>
          </w:p>
        </w:tc>
        <w:tc>
          <w:tcPr>
            <w:tcW w:w="731" w:type="pct"/>
            <w:tcBorders>
              <w:top w:val="nil"/>
              <w:left w:val="single" w:sz="2" w:space="0" w:color="000000"/>
              <w:bottom w:val="single" w:sz="2" w:space="0" w:color="000000"/>
              <w:right w:val="nil"/>
            </w:tcBorders>
            <w:shd w:val="clear" w:color="auto" w:fill="FFFFFF"/>
            <w:tcMar>
              <w:left w:w="80" w:type="dxa"/>
              <w:right w:w="80" w:type="dxa"/>
            </w:tcMar>
          </w:tcPr>
          <w:p w14:paraId="3671A0C9"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-0.61</w:t>
            </w:r>
          </w:p>
        </w:tc>
        <w:tc>
          <w:tcPr>
            <w:tcW w:w="676" w:type="pct"/>
            <w:tcBorders>
              <w:top w:val="nil"/>
              <w:left w:val="single" w:sz="2" w:space="0" w:color="000000"/>
              <w:bottom w:val="single" w:sz="2" w:space="0" w:color="000000"/>
              <w:right w:val="nil"/>
            </w:tcBorders>
            <w:shd w:val="clear" w:color="auto" w:fill="FFFFFF"/>
            <w:tcMar>
              <w:left w:w="80" w:type="dxa"/>
              <w:right w:w="80" w:type="dxa"/>
            </w:tcMar>
          </w:tcPr>
          <w:p w14:paraId="40321A5C"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-1.87</w:t>
            </w:r>
          </w:p>
        </w:tc>
        <w:tc>
          <w:tcPr>
            <w:tcW w:w="693" w:type="pct"/>
            <w:tcBorders>
              <w:top w:val="nil"/>
              <w:left w:val="single" w:sz="2" w:space="0" w:color="000000"/>
              <w:bottom w:val="single" w:sz="2" w:space="0" w:color="000000"/>
              <w:right w:val="nil"/>
            </w:tcBorders>
            <w:shd w:val="clear" w:color="auto" w:fill="FFFFFF"/>
            <w:tcMar>
              <w:left w:w="80" w:type="dxa"/>
              <w:right w:w="80" w:type="dxa"/>
            </w:tcMar>
          </w:tcPr>
          <w:p w14:paraId="5D29FF01"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0.64</w:t>
            </w:r>
          </w:p>
        </w:tc>
        <w:tc>
          <w:tcPr>
            <w:tcW w:w="910" w:type="pct"/>
            <w:tcBorders>
              <w:top w:val="nil"/>
              <w:left w:val="single" w:sz="2" w:space="0" w:color="000000"/>
              <w:bottom w:val="single" w:sz="2" w:space="0" w:color="000000"/>
              <w:right w:val="single" w:sz="6" w:space="0" w:color="000000"/>
            </w:tcBorders>
            <w:shd w:val="clear" w:color="auto" w:fill="FFFFFF"/>
            <w:tcMar>
              <w:left w:w="80" w:type="dxa"/>
              <w:right w:w="80" w:type="dxa"/>
            </w:tcMar>
          </w:tcPr>
          <w:p w14:paraId="2F28C36C"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-0.61 (-1.87, 0.64)</w:t>
            </w:r>
          </w:p>
        </w:tc>
      </w:tr>
      <w:tr w:rsidR="00DF3B48" w:rsidRPr="00DF3B48" w14:paraId="77ECA3B9" w14:textId="77777777" w:rsidTr="00DF3B48">
        <w:trPr>
          <w:cantSplit/>
          <w:jc w:val="center"/>
        </w:trPr>
        <w:tc>
          <w:tcPr>
            <w:tcW w:w="291" w:type="pct"/>
            <w:tcBorders>
              <w:top w:val="nil"/>
              <w:left w:val="single" w:sz="6" w:space="0" w:color="000000"/>
              <w:bottom w:val="single" w:sz="2" w:space="0" w:color="000000"/>
              <w:right w:val="nil"/>
            </w:tcBorders>
            <w:shd w:val="clear" w:color="auto" w:fill="FFFFFF"/>
            <w:tcMar>
              <w:left w:w="80" w:type="dxa"/>
              <w:right w:w="80" w:type="dxa"/>
            </w:tcMar>
          </w:tcPr>
          <w:p w14:paraId="5F4BF1AF"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0.02</w:t>
            </w:r>
          </w:p>
        </w:tc>
        <w:tc>
          <w:tcPr>
            <w:tcW w:w="340" w:type="pct"/>
            <w:tcBorders>
              <w:top w:val="nil"/>
              <w:left w:val="single" w:sz="2" w:space="0" w:color="000000"/>
              <w:bottom w:val="single" w:sz="2" w:space="0" w:color="000000"/>
              <w:right w:val="nil"/>
            </w:tcBorders>
            <w:shd w:val="clear" w:color="auto" w:fill="FFFFFF"/>
            <w:tcMar>
              <w:left w:w="80" w:type="dxa"/>
              <w:right w:w="80" w:type="dxa"/>
            </w:tcMar>
          </w:tcPr>
          <w:p w14:paraId="7F83C2CD"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0.192</w:t>
            </w:r>
          </w:p>
        </w:tc>
        <w:tc>
          <w:tcPr>
            <w:tcW w:w="340" w:type="pct"/>
            <w:tcBorders>
              <w:top w:val="nil"/>
              <w:left w:val="single" w:sz="2" w:space="0" w:color="000000"/>
              <w:bottom w:val="single" w:sz="2" w:space="0" w:color="000000"/>
              <w:right w:val="nil"/>
            </w:tcBorders>
            <w:shd w:val="clear" w:color="auto" w:fill="FFFFFF"/>
            <w:tcMar>
              <w:left w:w="80" w:type="dxa"/>
              <w:right w:w="80" w:type="dxa"/>
            </w:tcMar>
          </w:tcPr>
          <w:p w14:paraId="7CD538D1"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0.133</w:t>
            </w:r>
          </w:p>
        </w:tc>
        <w:tc>
          <w:tcPr>
            <w:tcW w:w="351" w:type="pct"/>
            <w:tcBorders>
              <w:top w:val="nil"/>
              <w:left w:val="single" w:sz="2" w:space="0" w:color="000000"/>
              <w:bottom w:val="single" w:sz="2" w:space="0" w:color="000000"/>
              <w:right w:val="nil"/>
            </w:tcBorders>
            <w:shd w:val="clear" w:color="auto" w:fill="FFFFFF"/>
            <w:tcMar>
              <w:left w:w="80" w:type="dxa"/>
              <w:right w:w="80" w:type="dxa"/>
            </w:tcMar>
          </w:tcPr>
          <w:p w14:paraId="1AF19DFE"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w:t>
            </w:r>
          </w:p>
        </w:tc>
        <w:tc>
          <w:tcPr>
            <w:tcW w:w="351" w:type="pct"/>
            <w:tcBorders>
              <w:top w:val="nil"/>
              <w:left w:val="single" w:sz="2" w:space="0" w:color="000000"/>
              <w:bottom w:val="single" w:sz="2" w:space="0" w:color="000000"/>
              <w:right w:val="nil"/>
            </w:tcBorders>
            <w:shd w:val="clear" w:color="auto" w:fill="FFFFFF"/>
            <w:tcMar>
              <w:left w:w="80" w:type="dxa"/>
              <w:right w:w="80" w:type="dxa"/>
            </w:tcMar>
          </w:tcPr>
          <w:p w14:paraId="4246DAB0"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w:t>
            </w:r>
          </w:p>
        </w:tc>
        <w:tc>
          <w:tcPr>
            <w:tcW w:w="318" w:type="pct"/>
            <w:tcBorders>
              <w:top w:val="nil"/>
              <w:left w:val="single" w:sz="2" w:space="0" w:color="000000"/>
              <w:bottom w:val="single" w:sz="2" w:space="0" w:color="000000"/>
              <w:right w:val="nil"/>
            </w:tcBorders>
            <w:shd w:val="clear" w:color="auto" w:fill="FFFFFF"/>
            <w:tcMar>
              <w:left w:w="80" w:type="dxa"/>
              <w:right w:w="80" w:type="dxa"/>
            </w:tcMar>
          </w:tcPr>
          <w:p w14:paraId="33405B5E"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0.26</w:t>
            </w:r>
          </w:p>
        </w:tc>
        <w:tc>
          <w:tcPr>
            <w:tcW w:w="731" w:type="pct"/>
            <w:tcBorders>
              <w:top w:val="nil"/>
              <w:left w:val="single" w:sz="2" w:space="0" w:color="000000"/>
              <w:bottom w:val="single" w:sz="2" w:space="0" w:color="000000"/>
              <w:right w:val="nil"/>
            </w:tcBorders>
            <w:shd w:val="clear" w:color="auto" w:fill="FFFFFF"/>
            <w:tcMar>
              <w:left w:w="80" w:type="dxa"/>
              <w:right w:w="80" w:type="dxa"/>
            </w:tcMar>
          </w:tcPr>
          <w:p w14:paraId="46FDFF49"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-1.08</w:t>
            </w:r>
          </w:p>
        </w:tc>
        <w:tc>
          <w:tcPr>
            <w:tcW w:w="676" w:type="pct"/>
            <w:tcBorders>
              <w:top w:val="nil"/>
              <w:left w:val="single" w:sz="2" w:space="0" w:color="000000"/>
              <w:bottom w:val="single" w:sz="2" w:space="0" w:color="000000"/>
              <w:right w:val="nil"/>
            </w:tcBorders>
            <w:shd w:val="clear" w:color="auto" w:fill="FFFFFF"/>
            <w:tcMar>
              <w:left w:w="80" w:type="dxa"/>
              <w:right w:w="80" w:type="dxa"/>
            </w:tcMar>
          </w:tcPr>
          <w:p w14:paraId="19378111"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-2.34</w:t>
            </w:r>
          </w:p>
        </w:tc>
        <w:tc>
          <w:tcPr>
            <w:tcW w:w="693" w:type="pct"/>
            <w:tcBorders>
              <w:top w:val="nil"/>
              <w:left w:val="single" w:sz="2" w:space="0" w:color="000000"/>
              <w:bottom w:val="single" w:sz="2" w:space="0" w:color="000000"/>
              <w:right w:val="nil"/>
            </w:tcBorders>
            <w:shd w:val="clear" w:color="auto" w:fill="FFFFFF"/>
            <w:tcMar>
              <w:left w:w="80" w:type="dxa"/>
              <w:right w:w="80" w:type="dxa"/>
            </w:tcMar>
          </w:tcPr>
          <w:p w14:paraId="015F3216"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0.17</w:t>
            </w:r>
          </w:p>
        </w:tc>
        <w:tc>
          <w:tcPr>
            <w:tcW w:w="910" w:type="pct"/>
            <w:tcBorders>
              <w:top w:val="nil"/>
              <w:left w:val="single" w:sz="2" w:space="0" w:color="000000"/>
              <w:bottom w:val="single" w:sz="2" w:space="0" w:color="000000"/>
              <w:right w:val="single" w:sz="6" w:space="0" w:color="000000"/>
            </w:tcBorders>
            <w:shd w:val="clear" w:color="auto" w:fill="FFFFFF"/>
            <w:tcMar>
              <w:left w:w="80" w:type="dxa"/>
              <w:right w:w="80" w:type="dxa"/>
            </w:tcMar>
          </w:tcPr>
          <w:p w14:paraId="3C111F5A"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-1.08 (-2.34, 0.17)</w:t>
            </w:r>
          </w:p>
        </w:tc>
      </w:tr>
      <w:tr w:rsidR="00DF3B48" w:rsidRPr="00DF3B48" w14:paraId="7FE8B072" w14:textId="77777777" w:rsidTr="00DF3B48">
        <w:trPr>
          <w:cantSplit/>
          <w:jc w:val="center"/>
        </w:trPr>
        <w:tc>
          <w:tcPr>
            <w:tcW w:w="291" w:type="pct"/>
            <w:tcBorders>
              <w:top w:val="nil"/>
              <w:left w:val="single" w:sz="6" w:space="0" w:color="000000"/>
              <w:bottom w:val="single" w:sz="2" w:space="0" w:color="000000"/>
              <w:right w:val="nil"/>
            </w:tcBorders>
            <w:shd w:val="clear" w:color="auto" w:fill="FFFFFF"/>
            <w:tcMar>
              <w:left w:w="80" w:type="dxa"/>
              <w:right w:w="80" w:type="dxa"/>
            </w:tcMar>
          </w:tcPr>
          <w:p w14:paraId="4C51E851"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0.04</w:t>
            </w:r>
          </w:p>
        </w:tc>
        <w:tc>
          <w:tcPr>
            <w:tcW w:w="340" w:type="pct"/>
            <w:tcBorders>
              <w:top w:val="nil"/>
              <w:left w:val="single" w:sz="2" w:space="0" w:color="000000"/>
              <w:bottom w:val="single" w:sz="2" w:space="0" w:color="000000"/>
              <w:right w:val="nil"/>
            </w:tcBorders>
            <w:shd w:val="clear" w:color="auto" w:fill="FFFFFF"/>
            <w:tcMar>
              <w:left w:w="80" w:type="dxa"/>
              <w:right w:w="80" w:type="dxa"/>
            </w:tcMar>
          </w:tcPr>
          <w:p w14:paraId="7D4A4BDB"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0.192</w:t>
            </w:r>
          </w:p>
        </w:tc>
        <w:tc>
          <w:tcPr>
            <w:tcW w:w="340" w:type="pct"/>
            <w:tcBorders>
              <w:top w:val="nil"/>
              <w:left w:val="single" w:sz="2" w:space="0" w:color="000000"/>
              <w:bottom w:val="single" w:sz="2" w:space="0" w:color="000000"/>
              <w:right w:val="nil"/>
            </w:tcBorders>
            <w:shd w:val="clear" w:color="auto" w:fill="FFFFFF"/>
            <w:tcMar>
              <w:left w:w="80" w:type="dxa"/>
              <w:right w:w="80" w:type="dxa"/>
            </w:tcMar>
          </w:tcPr>
          <w:p w14:paraId="264D07FF"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0.133</w:t>
            </w:r>
          </w:p>
        </w:tc>
        <w:tc>
          <w:tcPr>
            <w:tcW w:w="351" w:type="pct"/>
            <w:tcBorders>
              <w:top w:val="nil"/>
              <w:left w:val="single" w:sz="2" w:space="0" w:color="000000"/>
              <w:bottom w:val="single" w:sz="2" w:space="0" w:color="000000"/>
              <w:right w:val="nil"/>
            </w:tcBorders>
            <w:shd w:val="clear" w:color="auto" w:fill="FFFFFF"/>
            <w:tcMar>
              <w:left w:w="80" w:type="dxa"/>
              <w:right w:w="80" w:type="dxa"/>
            </w:tcMar>
          </w:tcPr>
          <w:p w14:paraId="743889CA"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w:t>
            </w:r>
          </w:p>
        </w:tc>
        <w:tc>
          <w:tcPr>
            <w:tcW w:w="351" w:type="pct"/>
            <w:tcBorders>
              <w:top w:val="nil"/>
              <w:left w:val="single" w:sz="2" w:space="0" w:color="000000"/>
              <w:bottom w:val="single" w:sz="2" w:space="0" w:color="000000"/>
              <w:right w:val="nil"/>
            </w:tcBorders>
            <w:shd w:val="clear" w:color="auto" w:fill="FFFFFF"/>
            <w:tcMar>
              <w:left w:w="80" w:type="dxa"/>
              <w:right w:w="80" w:type="dxa"/>
            </w:tcMar>
          </w:tcPr>
          <w:p w14:paraId="380B0784"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w:t>
            </w:r>
          </w:p>
        </w:tc>
        <w:tc>
          <w:tcPr>
            <w:tcW w:w="318" w:type="pct"/>
            <w:tcBorders>
              <w:top w:val="nil"/>
              <w:left w:val="single" w:sz="2" w:space="0" w:color="000000"/>
              <w:bottom w:val="single" w:sz="2" w:space="0" w:color="000000"/>
              <w:right w:val="nil"/>
            </w:tcBorders>
            <w:shd w:val="clear" w:color="auto" w:fill="FFFFFF"/>
            <w:tcMar>
              <w:left w:w="80" w:type="dxa"/>
              <w:right w:w="80" w:type="dxa"/>
            </w:tcMar>
          </w:tcPr>
          <w:p w14:paraId="1A2C139E"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0.21</w:t>
            </w:r>
          </w:p>
        </w:tc>
        <w:tc>
          <w:tcPr>
            <w:tcW w:w="731" w:type="pct"/>
            <w:tcBorders>
              <w:top w:val="nil"/>
              <w:left w:val="single" w:sz="2" w:space="0" w:color="000000"/>
              <w:bottom w:val="single" w:sz="2" w:space="0" w:color="000000"/>
              <w:right w:val="nil"/>
            </w:tcBorders>
            <w:shd w:val="clear" w:color="auto" w:fill="FFFFFF"/>
            <w:tcMar>
              <w:left w:w="80" w:type="dxa"/>
              <w:right w:w="80" w:type="dxa"/>
            </w:tcMar>
          </w:tcPr>
          <w:p w14:paraId="27F964E0"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-1.13</w:t>
            </w:r>
          </w:p>
        </w:tc>
        <w:tc>
          <w:tcPr>
            <w:tcW w:w="676" w:type="pct"/>
            <w:tcBorders>
              <w:top w:val="nil"/>
              <w:left w:val="single" w:sz="2" w:space="0" w:color="000000"/>
              <w:bottom w:val="single" w:sz="2" w:space="0" w:color="000000"/>
              <w:right w:val="nil"/>
            </w:tcBorders>
            <w:shd w:val="clear" w:color="auto" w:fill="FFFFFF"/>
            <w:tcMar>
              <w:left w:w="80" w:type="dxa"/>
              <w:right w:w="80" w:type="dxa"/>
            </w:tcMar>
          </w:tcPr>
          <w:p w14:paraId="259F9C00"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-2.39</w:t>
            </w:r>
          </w:p>
        </w:tc>
        <w:tc>
          <w:tcPr>
            <w:tcW w:w="693" w:type="pct"/>
            <w:tcBorders>
              <w:top w:val="nil"/>
              <w:left w:val="single" w:sz="2" w:space="0" w:color="000000"/>
              <w:bottom w:val="single" w:sz="2" w:space="0" w:color="000000"/>
              <w:right w:val="nil"/>
            </w:tcBorders>
            <w:shd w:val="clear" w:color="auto" w:fill="FFFFFF"/>
            <w:tcMar>
              <w:left w:w="80" w:type="dxa"/>
              <w:right w:w="80" w:type="dxa"/>
            </w:tcMar>
          </w:tcPr>
          <w:p w14:paraId="77306F6F"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0.12</w:t>
            </w:r>
          </w:p>
        </w:tc>
        <w:tc>
          <w:tcPr>
            <w:tcW w:w="910" w:type="pct"/>
            <w:tcBorders>
              <w:top w:val="nil"/>
              <w:left w:val="single" w:sz="2" w:space="0" w:color="000000"/>
              <w:bottom w:val="single" w:sz="2" w:space="0" w:color="000000"/>
              <w:right w:val="single" w:sz="6" w:space="0" w:color="000000"/>
            </w:tcBorders>
            <w:shd w:val="clear" w:color="auto" w:fill="FFFFFF"/>
            <w:tcMar>
              <w:left w:w="80" w:type="dxa"/>
              <w:right w:w="80" w:type="dxa"/>
            </w:tcMar>
          </w:tcPr>
          <w:p w14:paraId="182FE173"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-1.13 (-2.39, 0.12)</w:t>
            </w:r>
          </w:p>
        </w:tc>
      </w:tr>
      <w:tr w:rsidR="00DF3B48" w:rsidRPr="00DF3B48" w14:paraId="0FA13850" w14:textId="77777777" w:rsidTr="00DF3B48">
        <w:trPr>
          <w:cantSplit/>
          <w:jc w:val="center"/>
        </w:trPr>
        <w:tc>
          <w:tcPr>
            <w:tcW w:w="291" w:type="pct"/>
            <w:tcBorders>
              <w:top w:val="nil"/>
              <w:left w:val="single" w:sz="6" w:space="0" w:color="000000"/>
              <w:bottom w:val="single" w:sz="2" w:space="0" w:color="000000"/>
              <w:right w:val="nil"/>
            </w:tcBorders>
            <w:shd w:val="clear" w:color="auto" w:fill="FFFFFF"/>
            <w:tcMar>
              <w:left w:w="80" w:type="dxa"/>
              <w:right w:w="80" w:type="dxa"/>
            </w:tcMar>
          </w:tcPr>
          <w:p w14:paraId="1CC6040C"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0.02</w:t>
            </w:r>
          </w:p>
        </w:tc>
        <w:tc>
          <w:tcPr>
            <w:tcW w:w="340" w:type="pct"/>
            <w:tcBorders>
              <w:top w:val="nil"/>
              <w:left w:val="single" w:sz="2" w:space="0" w:color="000000"/>
              <w:bottom w:val="single" w:sz="2" w:space="0" w:color="000000"/>
              <w:right w:val="nil"/>
            </w:tcBorders>
            <w:shd w:val="clear" w:color="auto" w:fill="FFFFFF"/>
            <w:tcMar>
              <w:left w:w="80" w:type="dxa"/>
              <w:right w:w="80" w:type="dxa"/>
            </w:tcMar>
          </w:tcPr>
          <w:p w14:paraId="7395F2EF"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0.192</w:t>
            </w:r>
          </w:p>
        </w:tc>
        <w:tc>
          <w:tcPr>
            <w:tcW w:w="340" w:type="pct"/>
            <w:tcBorders>
              <w:top w:val="nil"/>
              <w:left w:val="single" w:sz="2" w:space="0" w:color="000000"/>
              <w:bottom w:val="single" w:sz="2" w:space="0" w:color="000000"/>
              <w:right w:val="nil"/>
            </w:tcBorders>
            <w:shd w:val="clear" w:color="auto" w:fill="FFFFFF"/>
            <w:tcMar>
              <w:left w:w="80" w:type="dxa"/>
              <w:right w:w="80" w:type="dxa"/>
            </w:tcMar>
          </w:tcPr>
          <w:p w14:paraId="5A95ABF7"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0.133</w:t>
            </w:r>
          </w:p>
        </w:tc>
        <w:tc>
          <w:tcPr>
            <w:tcW w:w="351" w:type="pct"/>
            <w:tcBorders>
              <w:top w:val="nil"/>
              <w:left w:val="single" w:sz="2" w:space="0" w:color="000000"/>
              <w:bottom w:val="single" w:sz="2" w:space="0" w:color="000000"/>
              <w:right w:val="nil"/>
            </w:tcBorders>
            <w:shd w:val="clear" w:color="auto" w:fill="FFFFFF"/>
            <w:tcMar>
              <w:left w:w="80" w:type="dxa"/>
              <w:right w:w="80" w:type="dxa"/>
            </w:tcMar>
          </w:tcPr>
          <w:p w14:paraId="3AF3075C"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w:t>
            </w:r>
          </w:p>
        </w:tc>
        <w:tc>
          <w:tcPr>
            <w:tcW w:w="351" w:type="pct"/>
            <w:tcBorders>
              <w:top w:val="nil"/>
              <w:left w:val="single" w:sz="2" w:space="0" w:color="000000"/>
              <w:bottom w:val="single" w:sz="2" w:space="0" w:color="000000"/>
              <w:right w:val="nil"/>
            </w:tcBorders>
            <w:shd w:val="clear" w:color="auto" w:fill="FFFFFF"/>
            <w:tcMar>
              <w:left w:w="80" w:type="dxa"/>
              <w:right w:w="80" w:type="dxa"/>
            </w:tcMar>
          </w:tcPr>
          <w:p w14:paraId="186E2C17"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w:t>
            </w:r>
          </w:p>
        </w:tc>
        <w:tc>
          <w:tcPr>
            <w:tcW w:w="318" w:type="pct"/>
            <w:tcBorders>
              <w:top w:val="nil"/>
              <w:left w:val="single" w:sz="2" w:space="0" w:color="000000"/>
              <w:bottom w:val="single" w:sz="2" w:space="0" w:color="000000"/>
              <w:right w:val="nil"/>
            </w:tcBorders>
            <w:shd w:val="clear" w:color="auto" w:fill="FFFFFF"/>
            <w:tcMar>
              <w:left w:w="80" w:type="dxa"/>
              <w:right w:w="80" w:type="dxa"/>
            </w:tcMar>
          </w:tcPr>
          <w:p w14:paraId="559E35C3"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-0.15</w:t>
            </w:r>
          </w:p>
        </w:tc>
        <w:tc>
          <w:tcPr>
            <w:tcW w:w="731" w:type="pct"/>
            <w:tcBorders>
              <w:top w:val="nil"/>
              <w:left w:val="single" w:sz="2" w:space="0" w:color="000000"/>
              <w:bottom w:val="single" w:sz="2" w:space="0" w:color="000000"/>
              <w:right w:val="nil"/>
            </w:tcBorders>
            <w:shd w:val="clear" w:color="auto" w:fill="FFFFFF"/>
            <w:tcMar>
              <w:left w:w="80" w:type="dxa"/>
              <w:right w:w="80" w:type="dxa"/>
            </w:tcMar>
          </w:tcPr>
          <w:p w14:paraId="318157A7"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-1.49</w:t>
            </w:r>
          </w:p>
        </w:tc>
        <w:tc>
          <w:tcPr>
            <w:tcW w:w="676" w:type="pct"/>
            <w:tcBorders>
              <w:top w:val="nil"/>
              <w:left w:val="single" w:sz="2" w:space="0" w:color="000000"/>
              <w:bottom w:val="single" w:sz="2" w:space="0" w:color="000000"/>
              <w:right w:val="nil"/>
            </w:tcBorders>
            <w:shd w:val="clear" w:color="auto" w:fill="FFFFFF"/>
            <w:tcMar>
              <w:left w:w="80" w:type="dxa"/>
              <w:right w:w="80" w:type="dxa"/>
            </w:tcMar>
          </w:tcPr>
          <w:p w14:paraId="4A0C6507"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-2.75</w:t>
            </w:r>
          </w:p>
        </w:tc>
        <w:tc>
          <w:tcPr>
            <w:tcW w:w="693" w:type="pct"/>
            <w:tcBorders>
              <w:top w:val="nil"/>
              <w:left w:val="single" w:sz="2" w:space="0" w:color="000000"/>
              <w:bottom w:val="single" w:sz="2" w:space="0" w:color="000000"/>
              <w:right w:val="nil"/>
            </w:tcBorders>
            <w:shd w:val="clear" w:color="auto" w:fill="FFFFFF"/>
            <w:tcMar>
              <w:left w:w="80" w:type="dxa"/>
              <w:right w:w="80" w:type="dxa"/>
            </w:tcMar>
          </w:tcPr>
          <w:p w14:paraId="588CA2B2"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-0.24</w:t>
            </w:r>
          </w:p>
        </w:tc>
        <w:tc>
          <w:tcPr>
            <w:tcW w:w="910" w:type="pct"/>
            <w:tcBorders>
              <w:top w:val="nil"/>
              <w:left w:val="single" w:sz="2" w:space="0" w:color="000000"/>
              <w:bottom w:val="single" w:sz="2" w:space="0" w:color="000000"/>
              <w:right w:val="single" w:sz="6" w:space="0" w:color="000000"/>
            </w:tcBorders>
            <w:shd w:val="clear" w:color="auto" w:fill="FFFFFF"/>
            <w:tcMar>
              <w:left w:w="80" w:type="dxa"/>
              <w:right w:w="80" w:type="dxa"/>
            </w:tcMar>
          </w:tcPr>
          <w:p w14:paraId="264A68BF"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-1.49 (-2.75, -0.24)</w:t>
            </w:r>
          </w:p>
        </w:tc>
      </w:tr>
      <w:tr w:rsidR="00DF3B48" w:rsidRPr="00DF3B48" w14:paraId="70E261FA" w14:textId="77777777" w:rsidTr="00DF3B48">
        <w:trPr>
          <w:cantSplit/>
          <w:jc w:val="center"/>
        </w:trPr>
        <w:tc>
          <w:tcPr>
            <w:tcW w:w="291" w:type="pct"/>
            <w:tcBorders>
              <w:top w:val="nil"/>
              <w:left w:val="single" w:sz="6" w:space="0" w:color="000000"/>
              <w:bottom w:val="single" w:sz="2" w:space="0" w:color="000000"/>
              <w:right w:val="nil"/>
            </w:tcBorders>
            <w:shd w:val="clear" w:color="auto" w:fill="FFFFFF"/>
            <w:tcMar>
              <w:left w:w="80" w:type="dxa"/>
              <w:right w:w="80" w:type="dxa"/>
            </w:tcMar>
          </w:tcPr>
          <w:p w14:paraId="36FA0F22"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lastRenderedPageBreak/>
              <w:t>0.04</w:t>
            </w:r>
          </w:p>
        </w:tc>
        <w:tc>
          <w:tcPr>
            <w:tcW w:w="340" w:type="pct"/>
            <w:tcBorders>
              <w:top w:val="nil"/>
              <w:left w:val="single" w:sz="2" w:space="0" w:color="000000"/>
              <w:bottom w:val="single" w:sz="2" w:space="0" w:color="000000"/>
              <w:right w:val="nil"/>
            </w:tcBorders>
            <w:shd w:val="clear" w:color="auto" w:fill="FFFFFF"/>
            <w:tcMar>
              <w:left w:w="80" w:type="dxa"/>
              <w:right w:w="80" w:type="dxa"/>
            </w:tcMar>
          </w:tcPr>
          <w:p w14:paraId="32235C6D"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0.192</w:t>
            </w:r>
          </w:p>
        </w:tc>
        <w:tc>
          <w:tcPr>
            <w:tcW w:w="340" w:type="pct"/>
            <w:tcBorders>
              <w:top w:val="nil"/>
              <w:left w:val="single" w:sz="2" w:space="0" w:color="000000"/>
              <w:bottom w:val="single" w:sz="2" w:space="0" w:color="000000"/>
              <w:right w:val="nil"/>
            </w:tcBorders>
            <w:shd w:val="clear" w:color="auto" w:fill="FFFFFF"/>
            <w:tcMar>
              <w:left w:w="80" w:type="dxa"/>
              <w:right w:w="80" w:type="dxa"/>
            </w:tcMar>
          </w:tcPr>
          <w:p w14:paraId="119D899B"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0.133</w:t>
            </w:r>
          </w:p>
        </w:tc>
        <w:tc>
          <w:tcPr>
            <w:tcW w:w="351" w:type="pct"/>
            <w:tcBorders>
              <w:top w:val="nil"/>
              <w:left w:val="single" w:sz="2" w:space="0" w:color="000000"/>
              <w:bottom w:val="single" w:sz="2" w:space="0" w:color="000000"/>
              <w:right w:val="nil"/>
            </w:tcBorders>
            <w:shd w:val="clear" w:color="auto" w:fill="FFFFFF"/>
            <w:tcMar>
              <w:left w:w="80" w:type="dxa"/>
              <w:right w:w="80" w:type="dxa"/>
            </w:tcMar>
          </w:tcPr>
          <w:p w14:paraId="63B4C823"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w:t>
            </w:r>
          </w:p>
        </w:tc>
        <w:tc>
          <w:tcPr>
            <w:tcW w:w="351" w:type="pct"/>
            <w:tcBorders>
              <w:top w:val="nil"/>
              <w:left w:val="single" w:sz="2" w:space="0" w:color="000000"/>
              <w:bottom w:val="single" w:sz="2" w:space="0" w:color="000000"/>
              <w:right w:val="nil"/>
            </w:tcBorders>
            <w:shd w:val="clear" w:color="auto" w:fill="FFFFFF"/>
            <w:tcMar>
              <w:left w:w="80" w:type="dxa"/>
              <w:right w:w="80" w:type="dxa"/>
            </w:tcMar>
          </w:tcPr>
          <w:p w14:paraId="296ED5D6"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w:t>
            </w:r>
          </w:p>
        </w:tc>
        <w:tc>
          <w:tcPr>
            <w:tcW w:w="318" w:type="pct"/>
            <w:tcBorders>
              <w:top w:val="nil"/>
              <w:left w:val="single" w:sz="2" w:space="0" w:color="000000"/>
              <w:bottom w:val="single" w:sz="2" w:space="0" w:color="000000"/>
              <w:right w:val="nil"/>
            </w:tcBorders>
            <w:shd w:val="clear" w:color="auto" w:fill="FFFFFF"/>
            <w:tcMar>
              <w:left w:w="80" w:type="dxa"/>
              <w:right w:w="80" w:type="dxa"/>
            </w:tcMar>
          </w:tcPr>
          <w:p w14:paraId="1C0E3488"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-0.30</w:t>
            </w:r>
          </w:p>
        </w:tc>
        <w:tc>
          <w:tcPr>
            <w:tcW w:w="731" w:type="pct"/>
            <w:tcBorders>
              <w:top w:val="nil"/>
              <w:left w:val="single" w:sz="2" w:space="0" w:color="000000"/>
              <w:bottom w:val="single" w:sz="2" w:space="0" w:color="000000"/>
              <w:right w:val="nil"/>
            </w:tcBorders>
            <w:shd w:val="clear" w:color="auto" w:fill="FFFFFF"/>
            <w:tcMar>
              <w:left w:w="80" w:type="dxa"/>
              <w:right w:w="80" w:type="dxa"/>
            </w:tcMar>
          </w:tcPr>
          <w:p w14:paraId="68020B50"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-1.64</w:t>
            </w:r>
          </w:p>
        </w:tc>
        <w:tc>
          <w:tcPr>
            <w:tcW w:w="676" w:type="pct"/>
            <w:tcBorders>
              <w:top w:val="nil"/>
              <w:left w:val="single" w:sz="2" w:space="0" w:color="000000"/>
              <w:bottom w:val="single" w:sz="2" w:space="0" w:color="000000"/>
              <w:right w:val="nil"/>
            </w:tcBorders>
            <w:shd w:val="clear" w:color="auto" w:fill="FFFFFF"/>
            <w:tcMar>
              <w:left w:w="80" w:type="dxa"/>
              <w:right w:w="80" w:type="dxa"/>
            </w:tcMar>
          </w:tcPr>
          <w:p w14:paraId="3178E7F6"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-2.90</w:t>
            </w:r>
          </w:p>
        </w:tc>
        <w:tc>
          <w:tcPr>
            <w:tcW w:w="693" w:type="pct"/>
            <w:tcBorders>
              <w:top w:val="nil"/>
              <w:left w:val="single" w:sz="2" w:space="0" w:color="000000"/>
              <w:bottom w:val="single" w:sz="2" w:space="0" w:color="000000"/>
              <w:right w:val="nil"/>
            </w:tcBorders>
            <w:shd w:val="clear" w:color="auto" w:fill="FFFFFF"/>
            <w:tcMar>
              <w:left w:w="80" w:type="dxa"/>
              <w:right w:w="80" w:type="dxa"/>
            </w:tcMar>
          </w:tcPr>
          <w:p w14:paraId="0667916D"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-0.39</w:t>
            </w:r>
          </w:p>
        </w:tc>
        <w:tc>
          <w:tcPr>
            <w:tcW w:w="910" w:type="pct"/>
            <w:tcBorders>
              <w:top w:val="nil"/>
              <w:left w:val="single" w:sz="2" w:space="0" w:color="000000"/>
              <w:bottom w:val="single" w:sz="2" w:space="0" w:color="000000"/>
              <w:right w:val="single" w:sz="6" w:space="0" w:color="000000"/>
            </w:tcBorders>
            <w:shd w:val="clear" w:color="auto" w:fill="FFFFFF"/>
            <w:tcMar>
              <w:left w:w="80" w:type="dxa"/>
              <w:right w:w="80" w:type="dxa"/>
            </w:tcMar>
          </w:tcPr>
          <w:p w14:paraId="4E42B9E5"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-1.64 (-2.90, -0.39)</w:t>
            </w:r>
          </w:p>
        </w:tc>
      </w:tr>
      <w:tr w:rsidR="00DF3B48" w:rsidRPr="00DF3B48" w14:paraId="5B638EC1" w14:textId="77777777" w:rsidTr="00DF3B48">
        <w:trPr>
          <w:cantSplit/>
          <w:jc w:val="center"/>
        </w:trPr>
        <w:tc>
          <w:tcPr>
            <w:tcW w:w="291" w:type="pct"/>
            <w:tcBorders>
              <w:top w:val="nil"/>
              <w:left w:val="single" w:sz="6" w:space="0" w:color="000000"/>
              <w:bottom w:val="single" w:sz="2" w:space="0" w:color="000000"/>
              <w:right w:val="nil"/>
            </w:tcBorders>
            <w:shd w:val="clear" w:color="auto" w:fill="FFFFFF"/>
            <w:tcMar>
              <w:left w:w="80" w:type="dxa"/>
              <w:right w:w="80" w:type="dxa"/>
            </w:tcMar>
          </w:tcPr>
          <w:p w14:paraId="37D5A137"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0.02</w:t>
            </w:r>
          </w:p>
        </w:tc>
        <w:tc>
          <w:tcPr>
            <w:tcW w:w="340" w:type="pct"/>
            <w:tcBorders>
              <w:top w:val="nil"/>
              <w:left w:val="single" w:sz="2" w:space="0" w:color="000000"/>
              <w:bottom w:val="single" w:sz="2" w:space="0" w:color="000000"/>
              <w:right w:val="nil"/>
            </w:tcBorders>
            <w:shd w:val="clear" w:color="auto" w:fill="FFFFFF"/>
            <w:tcMar>
              <w:left w:w="80" w:type="dxa"/>
              <w:right w:w="80" w:type="dxa"/>
            </w:tcMar>
          </w:tcPr>
          <w:p w14:paraId="19969C51"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0.192</w:t>
            </w:r>
          </w:p>
        </w:tc>
        <w:tc>
          <w:tcPr>
            <w:tcW w:w="340" w:type="pct"/>
            <w:tcBorders>
              <w:top w:val="nil"/>
              <w:left w:val="single" w:sz="2" w:space="0" w:color="000000"/>
              <w:bottom w:val="single" w:sz="2" w:space="0" w:color="000000"/>
              <w:right w:val="nil"/>
            </w:tcBorders>
            <w:shd w:val="clear" w:color="auto" w:fill="FFFFFF"/>
            <w:tcMar>
              <w:left w:w="80" w:type="dxa"/>
              <w:right w:w="80" w:type="dxa"/>
            </w:tcMar>
          </w:tcPr>
          <w:p w14:paraId="41F78107"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0.133</w:t>
            </w:r>
          </w:p>
        </w:tc>
        <w:tc>
          <w:tcPr>
            <w:tcW w:w="351" w:type="pct"/>
            <w:tcBorders>
              <w:top w:val="nil"/>
              <w:left w:val="single" w:sz="2" w:space="0" w:color="000000"/>
              <w:bottom w:val="single" w:sz="2" w:space="0" w:color="000000"/>
              <w:right w:val="nil"/>
            </w:tcBorders>
            <w:shd w:val="clear" w:color="auto" w:fill="FFFFFF"/>
            <w:tcMar>
              <w:left w:w="80" w:type="dxa"/>
              <w:right w:w="80" w:type="dxa"/>
            </w:tcMar>
          </w:tcPr>
          <w:p w14:paraId="4F1DCCD3"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w:t>
            </w:r>
          </w:p>
        </w:tc>
        <w:tc>
          <w:tcPr>
            <w:tcW w:w="351" w:type="pct"/>
            <w:tcBorders>
              <w:top w:val="nil"/>
              <w:left w:val="single" w:sz="2" w:space="0" w:color="000000"/>
              <w:bottom w:val="single" w:sz="2" w:space="0" w:color="000000"/>
              <w:right w:val="nil"/>
            </w:tcBorders>
            <w:shd w:val="clear" w:color="auto" w:fill="FFFFFF"/>
            <w:tcMar>
              <w:left w:w="80" w:type="dxa"/>
              <w:right w:w="80" w:type="dxa"/>
            </w:tcMar>
          </w:tcPr>
          <w:p w14:paraId="454787FA"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w:t>
            </w:r>
          </w:p>
        </w:tc>
        <w:tc>
          <w:tcPr>
            <w:tcW w:w="318" w:type="pct"/>
            <w:tcBorders>
              <w:top w:val="nil"/>
              <w:left w:val="single" w:sz="2" w:space="0" w:color="000000"/>
              <w:bottom w:val="single" w:sz="2" w:space="0" w:color="000000"/>
              <w:right w:val="nil"/>
            </w:tcBorders>
            <w:shd w:val="clear" w:color="auto" w:fill="FFFFFF"/>
            <w:tcMar>
              <w:left w:w="80" w:type="dxa"/>
              <w:right w:w="80" w:type="dxa"/>
            </w:tcMar>
          </w:tcPr>
          <w:p w14:paraId="64386D0A"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-0.56</w:t>
            </w:r>
          </w:p>
        </w:tc>
        <w:tc>
          <w:tcPr>
            <w:tcW w:w="731" w:type="pct"/>
            <w:tcBorders>
              <w:top w:val="nil"/>
              <w:left w:val="single" w:sz="2" w:space="0" w:color="000000"/>
              <w:bottom w:val="single" w:sz="2" w:space="0" w:color="000000"/>
              <w:right w:val="nil"/>
            </w:tcBorders>
            <w:shd w:val="clear" w:color="auto" w:fill="FFFFFF"/>
            <w:tcMar>
              <w:left w:w="80" w:type="dxa"/>
              <w:right w:w="80" w:type="dxa"/>
            </w:tcMar>
          </w:tcPr>
          <w:p w14:paraId="63BC1610"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-1.90</w:t>
            </w:r>
          </w:p>
        </w:tc>
        <w:tc>
          <w:tcPr>
            <w:tcW w:w="676" w:type="pct"/>
            <w:tcBorders>
              <w:top w:val="nil"/>
              <w:left w:val="single" w:sz="2" w:space="0" w:color="000000"/>
              <w:bottom w:val="single" w:sz="2" w:space="0" w:color="000000"/>
              <w:right w:val="nil"/>
            </w:tcBorders>
            <w:shd w:val="clear" w:color="auto" w:fill="FFFFFF"/>
            <w:tcMar>
              <w:left w:w="80" w:type="dxa"/>
              <w:right w:w="80" w:type="dxa"/>
            </w:tcMar>
          </w:tcPr>
          <w:p w14:paraId="41A74033"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-3.16</w:t>
            </w:r>
          </w:p>
        </w:tc>
        <w:tc>
          <w:tcPr>
            <w:tcW w:w="693" w:type="pct"/>
            <w:tcBorders>
              <w:top w:val="nil"/>
              <w:left w:val="single" w:sz="2" w:space="0" w:color="000000"/>
              <w:bottom w:val="single" w:sz="2" w:space="0" w:color="000000"/>
              <w:right w:val="nil"/>
            </w:tcBorders>
            <w:shd w:val="clear" w:color="auto" w:fill="FFFFFF"/>
            <w:tcMar>
              <w:left w:w="80" w:type="dxa"/>
              <w:right w:w="80" w:type="dxa"/>
            </w:tcMar>
          </w:tcPr>
          <w:p w14:paraId="4856BCF1"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-0.65</w:t>
            </w:r>
          </w:p>
        </w:tc>
        <w:tc>
          <w:tcPr>
            <w:tcW w:w="910" w:type="pct"/>
            <w:tcBorders>
              <w:top w:val="nil"/>
              <w:left w:val="single" w:sz="2" w:space="0" w:color="000000"/>
              <w:bottom w:val="single" w:sz="2" w:space="0" w:color="000000"/>
              <w:right w:val="single" w:sz="6" w:space="0" w:color="000000"/>
            </w:tcBorders>
            <w:shd w:val="clear" w:color="auto" w:fill="FFFFFF"/>
            <w:tcMar>
              <w:left w:w="80" w:type="dxa"/>
              <w:right w:w="80" w:type="dxa"/>
            </w:tcMar>
          </w:tcPr>
          <w:p w14:paraId="429B5047"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-1.90 (-3.16, -0.65)</w:t>
            </w:r>
          </w:p>
        </w:tc>
      </w:tr>
      <w:tr w:rsidR="00DF3B48" w:rsidRPr="00DF3B48" w14:paraId="4D5035FB" w14:textId="77777777" w:rsidTr="00DF3B48">
        <w:trPr>
          <w:cantSplit/>
          <w:jc w:val="center"/>
        </w:trPr>
        <w:tc>
          <w:tcPr>
            <w:tcW w:w="291" w:type="pct"/>
            <w:tcBorders>
              <w:top w:val="nil"/>
              <w:left w:val="single" w:sz="6" w:space="0" w:color="000000"/>
              <w:bottom w:val="single" w:sz="2" w:space="0" w:color="000000"/>
              <w:right w:val="nil"/>
            </w:tcBorders>
            <w:shd w:val="clear" w:color="auto" w:fill="FFFFFF"/>
            <w:tcMar>
              <w:left w:w="80" w:type="dxa"/>
              <w:right w:w="80" w:type="dxa"/>
            </w:tcMar>
          </w:tcPr>
          <w:p w14:paraId="15686F96"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0.04</w:t>
            </w:r>
          </w:p>
        </w:tc>
        <w:tc>
          <w:tcPr>
            <w:tcW w:w="340" w:type="pct"/>
            <w:tcBorders>
              <w:top w:val="nil"/>
              <w:left w:val="single" w:sz="2" w:space="0" w:color="000000"/>
              <w:bottom w:val="single" w:sz="2" w:space="0" w:color="000000"/>
              <w:right w:val="nil"/>
            </w:tcBorders>
            <w:shd w:val="clear" w:color="auto" w:fill="FFFFFF"/>
            <w:tcMar>
              <w:left w:w="80" w:type="dxa"/>
              <w:right w:w="80" w:type="dxa"/>
            </w:tcMar>
          </w:tcPr>
          <w:p w14:paraId="628D8F6D"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0.192</w:t>
            </w:r>
          </w:p>
        </w:tc>
        <w:tc>
          <w:tcPr>
            <w:tcW w:w="340" w:type="pct"/>
            <w:tcBorders>
              <w:top w:val="nil"/>
              <w:left w:val="single" w:sz="2" w:space="0" w:color="000000"/>
              <w:bottom w:val="single" w:sz="2" w:space="0" w:color="000000"/>
              <w:right w:val="nil"/>
            </w:tcBorders>
            <w:shd w:val="clear" w:color="auto" w:fill="FFFFFF"/>
            <w:tcMar>
              <w:left w:w="80" w:type="dxa"/>
              <w:right w:w="80" w:type="dxa"/>
            </w:tcMar>
          </w:tcPr>
          <w:p w14:paraId="6BC442CE"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0.133</w:t>
            </w:r>
          </w:p>
        </w:tc>
        <w:tc>
          <w:tcPr>
            <w:tcW w:w="351" w:type="pct"/>
            <w:tcBorders>
              <w:top w:val="nil"/>
              <w:left w:val="single" w:sz="2" w:space="0" w:color="000000"/>
              <w:bottom w:val="single" w:sz="2" w:space="0" w:color="000000"/>
              <w:right w:val="nil"/>
            </w:tcBorders>
            <w:shd w:val="clear" w:color="auto" w:fill="FFFFFF"/>
            <w:tcMar>
              <w:left w:w="80" w:type="dxa"/>
              <w:right w:w="80" w:type="dxa"/>
            </w:tcMar>
          </w:tcPr>
          <w:p w14:paraId="6343BC7D"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w:t>
            </w:r>
          </w:p>
        </w:tc>
        <w:tc>
          <w:tcPr>
            <w:tcW w:w="351" w:type="pct"/>
            <w:tcBorders>
              <w:top w:val="nil"/>
              <w:left w:val="single" w:sz="2" w:space="0" w:color="000000"/>
              <w:bottom w:val="single" w:sz="2" w:space="0" w:color="000000"/>
              <w:right w:val="nil"/>
            </w:tcBorders>
            <w:shd w:val="clear" w:color="auto" w:fill="FFFFFF"/>
            <w:tcMar>
              <w:left w:w="80" w:type="dxa"/>
              <w:right w:w="80" w:type="dxa"/>
            </w:tcMar>
          </w:tcPr>
          <w:p w14:paraId="38A2F7BA"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w:t>
            </w:r>
          </w:p>
        </w:tc>
        <w:tc>
          <w:tcPr>
            <w:tcW w:w="318" w:type="pct"/>
            <w:tcBorders>
              <w:top w:val="nil"/>
              <w:left w:val="single" w:sz="2" w:space="0" w:color="000000"/>
              <w:bottom w:val="single" w:sz="2" w:space="0" w:color="000000"/>
              <w:right w:val="nil"/>
            </w:tcBorders>
            <w:shd w:val="clear" w:color="auto" w:fill="FFFFFF"/>
            <w:tcMar>
              <w:left w:w="80" w:type="dxa"/>
              <w:right w:w="80" w:type="dxa"/>
            </w:tcMar>
          </w:tcPr>
          <w:p w14:paraId="5F067F1F"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-0.82</w:t>
            </w:r>
          </w:p>
        </w:tc>
        <w:tc>
          <w:tcPr>
            <w:tcW w:w="731" w:type="pct"/>
            <w:tcBorders>
              <w:top w:val="nil"/>
              <w:left w:val="single" w:sz="2" w:space="0" w:color="000000"/>
              <w:bottom w:val="single" w:sz="2" w:space="0" w:color="000000"/>
              <w:right w:val="nil"/>
            </w:tcBorders>
            <w:shd w:val="clear" w:color="auto" w:fill="FFFFFF"/>
            <w:tcMar>
              <w:left w:w="80" w:type="dxa"/>
              <w:right w:w="80" w:type="dxa"/>
            </w:tcMar>
          </w:tcPr>
          <w:p w14:paraId="1747BF53"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-2.16</w:t>
            </w:r>
          </w:p>
        </w:tc>
        <w:tc>
          <w:tcPr>
            <w:tcW w:w="676" w:type="pct"/>
            <w:tcBorders>
              <w:top w:val="nil"/>
              <w:left w:val="single" w:sz="2" w:space="0" w:color="000000"/>
              <w:bottom w:val="single" w:sz="2" w:space="0" w:color="000000"/>
              <w:right w:val="nil"/>
            </w:tcBorders>
            <w:shd w:val="clear" w:color="auto" w:fill="FFFFFF"/>
            <w:tcMar>
              <w:left w:w="80" w:type="dxa"/>
              <w:right w:w="80" w:type="dxa"/>
            </w:tcMar>
          </w:tcPr>
          <w:p w14:paraId="36839EAE"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-3.42</w:t>
            </w:r>
          </w:p>
        </w:tc>
        <w:tc>
          <w:tcPr>
            <w:tcW w:w="693" w:type="pct"/>
            <w:tcBorders>
              <w:top w:val="nil"/>
              <w:left w:val="single" w:sz="2" w:space="0" w:color="000000"/>
              <w:bottom w:val="single" w:sz="2" w:space="0" w:color="000000"/>
              <w:right w:val="nil"/>
            </w:tcBorders>
            <w:shd w:val="clear" w:color="auto" w:fill="FFFFFF"/>
            <w:tcMar>
              <w:left w:w="80" w:type="dxa"/>
              <w:right w:w="80" w:type="dxa"/>
            </w:tcMar>
          </w:tcPr>
          <w:p w14:paraId="726B56A5"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-0.91</w:t>
            </w:r>
          </w:p>
        </w:tc>
        <w:tc>
          <w:tcPr>
            <w:tcW w:w="910" w:type="pct"/>
            <w:tcBorders>
              <w:top w:val="nil"/>
              <w:left w:val="single" w:sz="2" w:space="0" w:color="000000"/>
              <w:bottom w:val="single" w:sz="2" w:space="0" w:color="000000"/>
              <w:right w:val="single" w:sz="6" w:space="0" w:color="000000"/>
            </w:tcBorders>
            <w:shd w:val="clear" w:color="auto" w:fill="FFFFFF"/>
            <w:tcMar>
              <w:left w:w="80" w:type="dxa"/>
              <w:right w:w="80" w:type="dxa"/>
            </w:tcMar>
          </w:tcPr>
          <w:p w14:paraId="1AE7E531"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-2.16 (-3.42, -0.91)</w:t>
            </w:r>
          </w:p>
        </w:tc>
      </w:tr>
      <w:tr w:rsidR="00DF3B48" w:rsidRPr="00DF3B48" w14:paraId="55D3C065" w14:textId="77777777" w:rsidTr="00DF3B48">
        <w:trPr>
          <w:cantSplit/>
          <w:jc w:val="center"/>
        </w:trPr>
        <w:tc>
          <w:tcPr>
            <w:tcW w:w="291" w:type="pct"/>
            <w:tcBorders>
              <w:top w:val="nil"/>
              <w:left w:val="single" w:sz="6" w:space="0" w:color="000000"/>
              <w:bottom w:val="single" w:sz="2" w:space="0" w:color="000000"/>
              <w:right w:val="nil"/>
            </w:tcBorders>
            <w:shd w:val="clear" w:color="auto" w:fill="FFFFFF"/>
            <w:tcMar>
              <w:left w:w="80" w:type="dxa"/>
              <w:right w:w="80" w:type="dxa"/>
            </w:tcMar>
          </w:tcPr>
          <w:p w14:paraId="1933CC55"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0.02</w:t>
            </w:r>
          </w:p>
        </w:tc>
        <w:tc>
          <w:tcPr>
            <w:tcW w:w="340" w:type="pct"/>
            <w:tcBorders>
              <w:top w:val="nil"/>
              <w:left w:val="single" w:sz="2" w:space="0" w:color="000000"/>
              <w:bottom w:val="single" w:sz="2" w:space="0" w:color="000000"/>
              <w:right w:val="nil"/>
            </w:tcBorders>
            <w:shd w:val="clear" w:color="auto" w:fill="FFFFFF"/>
            <w:tcMar>
              <w:left w:w="80" w:type="dxa"/>
              <w:right w:w="80" w:type="dxa"/>
            </w:tcMar>
          </w:tcPr>
          <w:p w14:paraId="73328CCD"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0.192</w:t>
            </w:r>
          </w:p>
        </w:tc>
        <w:tc>
          <w:tcPr>
            <w:tcW w:w="340" w:type="pct"/>
            <w:tcBorders>
              <w:top w:val="nil"/>
              <w:left w:val="single" w:sz="2" w:space="0" w:color="000000"/>
              <w:bottom w:val="single" w:sz="2" w:space="0" w:color="000000"/>
              <w:right w:val="nil"/>
            </w:tcBorders>
            <w:shd w:val="clear" w:color="auto" w:fill="FFFFFF"/>
            <w:tcMar>
              <w:left w:w="80" w:type="dxa"/>
              <w:right w:w="80" w:type="dxa"/>
            </w:tcMar>
          </w:tcPr>
          <w:p w14:paraId="75508FF4"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0.133</w:t>
            </w:r>
          </w:p>
        </w:tc>
        <w:tc>
          <w:tcPr>
            <w:tcW w:w="351" w:type="pct"/>
            <w:tcBorders>
              <w:top w:val="nil"/>
              <w:left w:val="single" w:sz="2" w:space="0" w:color="000000"/>
              <w:bottom w:val="single" w:sz="2" w:space="0" w:color="000000"/>
              <w:right w:val="nil"/>
            </w:tcBorders>
            <w:shd w:val="clear" w:color="auto" w:fill="FFFFFF"/>
            <w:tcMar>
              <w:left w:w="80" w:type="dxa"/>
              <w:right w:w="80" w:type="dxa"/>
            </w:tcMar>
          </w:tcPr>
          <w:p w14:paraId="2EAF6AAB"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w:t>
            </w:r>
          </w:p>
        </w:tc>
        <w:tc>
          <w:tcPr>
            <w:tcW w:w="351" w:type="pct"/>
            <w:tcBorders>
              <w:top w:val="nil"/>
              <w:left w:val="single" w:sz="2" w:space="0" w:color="000000"/>
              <w:bottom w:val="single" w:sz="2" w:space="0" w:color="000000"/>
              <w:right w:val="nil"/>
            </w:tcBorders>
            <w:shd w:val="clear" w:color="auto" w:fill="FFFFFF"/>
            <w:tcMar>
              <w:left w:w="80" w:type="dxa"/>
              <w:right w:w="80" w:type="dxa"/>
            </w:tcMar>
          </w:tcPr>
          <w:p w14:paraId="1A9BF2AC"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2</w:t>
            </w:r>
          </w:p>
        </w:tc>
        <w:tc>
          <w:tcPr>
            <w:tcW w:w="318" w:type="pct"/>
            <w:tcBorders>
              <w:top w:val="nil"/>
              <w:left w:val="single" w:sz="2" w:space="0" w:color="000000"/>
              <w:bottom w:val="single" w:sz="2" w:space="0" w:color="000000"/>
              <w:right w:val="nil"/>
            </w:tcBorders>
            <w:shd w:val="clear" w:color="auto" w:fill="FFFFFF"/>
            <w:tcMar>
              <w:left w:w="80" w:type="dxa"/>
              <w:right w:w="80" w:type="dxa"/>
            </w:tcMar>
          </w:tcPr>
          <w:p w14:paraId="6BB96E13"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-0.97</w:t>
            </w:r>
          </w:p>
        </w:tc>
        <w:tc>
          <w:tcPr>
            <w:tcW w:w="731" w:type="pct"/>
            <w:tcBorders>
              <w:top w:val="nil"/>
              <w:left w:val="single" w:sz="2" w:space="0" w:color="000000"/>
              <w:bottom w:val="single" w:sz="2" w:space="0" w:color="000000"/>
              <w:right w:val="nil"/>
            </w:tcBorders>
            <w:shd w:val="clear" w:color="auto" w:fill="FFFFFF"/>
            <w:tcMar>
              <w:left w:w="80" w:type="dxa"/>
              <w:right w:w="80" w:type="dxa"/>
            </w:tcMar>
          </w:tcPr>
          <w:p w14:paraId="43C0B495"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-2.31</w:t>
            </w:r>
          </w:p>
        </w:tc>
        <w:tc>
          <w:tcPr>
            <w:tcW w:w="676" w:type="pct"/>
            <w:tcBorders>
              <w:top w:val="nil"/>
              <w:left w:val="single" w:sz="2" w:space="0" w:color="000000"/>
              <w:bottom w:val="single" w:sz="2" w:space="0" w:color="000000"/>
              <w:right w:val="nil"/>
            </w:tcBorders>
            <w:shd w:val="clear" w:color="auto" w:fill="FFFFFF"/>
            <w:tcMar>
              <w:left w:w="80" w:type="dxa"/>
              <w:right w:w="80" w:type="dxa"/>
            </w:tcMar>
          </w:tcPr>
          <w:p w14:paraId="52DC7E56"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-3.57</w:t>
            </w:r>
          </w:p>
        </w:tc>
        <w:tc>
          <w:tcPr>
            <w:tcW w:w="693" w:type="pct"/>
            <w:tcBorders>
              <w:top w:val="nil"/>
              <w:left w:val="single" w:sz="2" w:space="0" w:color="000000"/>
              <w:bottom w:val="single" w:sz="2" w:space="0" w:color="000000"/>
              <w:right w:val="nil"/>
            </w:tcBorders>
            <w:shd w:val="clear" w:color="auto" w:fill="FFFFFF"/>
            <w:tcMar>
              <w:left w:w="80" w:type="dxa"/>
              <w:right w:w="80" w:type="dxa"/>
            </w:tcMar>
          </w:tcPr>
          <w:p w14:paraId="6FE78AA5"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-1.06</w:t>
            </w:r>
          </w:p>
        </w:tc>
        <w:tc>
          <w:tcPr>
            <w:tcW w:w="910" w:type="pct"/>
            <w:tcBorders>
              <w:top w:val="nil"/>
              <w:left w:val="single" w:sz="2" w:space="0" w:color="000000"/>
              <w:bottom w:val="single" w:sz="2" w:space="0" w:color="000000"/>
              <w:right w:val="single" w:sz="6" w:space="0" w:color="000000"/>
            </w:tcBorders>
            <w:shd w:val="clear" w:color="auto" w:fill="FFFFFF"/>
            <w:tcMar>
              <w:left w:w="80" w:type="dxa"/>
              <w:right w:w="80" w:type="dxa"/>
            </w:tcMar>
          </w:tcPr>
          <w:p w14:paraId="20BEE13E"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-2.31 (-3.57, -1.06)</w:t>
            </w:r>
          </w:p>
        </w:tc>
      </w:tr>
      <w:tr w:rsidR="00DF3B48" w:rsidRPr="00DF3B48" w14:paraId="01AE5939" w14:textId="77777777" w:rsidTr="00DF3B48">
        <w:trPr>
          <w:cantSplit/>
          <w:jc w:val="center"/>
        </w:trPr>
        <w:tc>
          <w:tcPr>
            <w:tcW w:w="291" w:type="pct"/>
            <w:tcBorders>
              <w:top w:val="nil"/>
              <w:left w:val="single" w:sz="6" w:space="0" w:color="000000"/>
              <w:bottom w:val="single" w:sz="2" w:space="0" w:color="000000"/>
              <w:right w:val="nil"/>
            </w:tcBorders>
            <w:shd w:val="clear" w:color="auto" w:fill="FFFFFF"/>
            <w:tcMar>
              <w:left w:w="80" w:type="dxa"/>
              <w:right w:w="80" w:type="dxa"/>
            </w:tcMar>
          </w:tcPr>
          <w:p w14:paraId="3788B75C"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0.04</w:t>
            </w:r>
          </w:p>
        </w:tc>
        <w:tc>
          <w:tcPr>
            <w:tcW w:w="340" w:type="pct"/>
            <w:tcBorders>
              <w:top w:val="nil"/>
              <w:left w:val="single" w:sz="2" w:space="0" w:color="000000"/>
              <w:bottom w:val="single" w:sz="2" w:space="0" w:color="000000"/>
              <w:right w:val="nil"/>
            </w:tcBorders>
            <w:shd w:val="clear" w:color="auto" w:fill="FFFFFF"/>
            <w:tcMar>
              <w:left w:w="80" w:type="dxa"/>
              <w:right w:w="80" w:type="dxa"/>
            </w:tcMar>
          </w:tcPr>
          <w:p w14:paraId="12EF2801"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0.192</w:t>
            </w:r>
          </w:p>
        </w:tc>
        <w:tc>
          <w:tcPr>
            <w:tcW w:w="340" w:type="pct"/>
            <w:tcBorders>
              <w:top w:val="nil"/>
              <w:left w:val="single" w:sz="2" w:space="0" w:color="000000"/>
              <w:bottom w:val="single" w:sz="2" w:space="0" w:color="000000"/>
              <w:right w:val="nil"/>
            </w:tcBorders>
            <w:shd w:val="clear" w:color="auto" w:fill="FFFFFF"/>
            <w:tcMar>
              <w:left w:w="80" w:type="dxa"/>
              <w:right w:w="80" w:type="dxa"/>
            </w:tcMar>
          </w:tcPr>
          <w:p w14:paraId="7BDE7132"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0.133</w:t>
            </w:r>
          </w:p>
        </w:tc>
        <w:tc>
          <w:tcPr>
            <w:tcW w:w="351" w:type="pct"/>
            <w:tcBorders>
              <w:top w:val="nil"/>
              <w:left w:val="single" w:sz="2" w:space="0" w:color="000000"/>
              <w:bottom w:val="single" w:sz="2" w:space="0" w:color="000000"/>
              <w:right w:val="nil"/>
            </w:tcBorders>
            <w:shd w:val="clear" w:color="auto" w:fill="FFFFFF"/>
            <w:tcMar>
              <w:left w:w="80" w:type="dxa"/>
              <w:right w:w="80" w:type="dxa"/>
            </w:tcMar>
          </w:tcPr>
          <w:p w14:paraId="1FA98C45"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w:t>
            </w:r>
          </w:p>
        </w:tc>
        <w:tc>
          <w:tcPr>
            <w:tcW w:w="351" w:type="pct"/>
            <w:tcBorders>
              <w:top w:val="nil"/>
              <w:left w:val="single" w:sz="2" w:space="0" w:color="000000"/>
              <w:bottom w:val="single" w:sz="2" w:space="0" w:color="000000"/>
              <w:right w:val="nil"/>
            </w:tcBorders>
            <w:shd w:val="clear" w:color="auto" w:fill="FFFFFF"/>
            <w:tcMar>
              <w:left w:w="80" w:type="dxa"/>
              <w:right w:w="80" w:type="dxa"/>
            </w:tcMar>
          </w:tcPr>
          <w:p w14:paraId="4676E558"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2</w:t>
            </w:r>
          </w:p>
        </w:tc>
        <w:tc>
          <w:tcPr>
            <w:tcW w:w="318" w:type="pct"/>
            <w:tcBorders>
              <w:top w:val="nil"/>
              <w:left w:val="single" w:sz="2" w:space="0" w:color="000000"/>
              <w:bottom w:val="single" w:sz="2" w:space="0" w:color="000000"/>
              <w:right w:val="nil"/>
            </w:tcBorders>
            <w:shd w:val="clear" w:color="auto" w:fill="FFFFFF"/>
            <w:tcMar>
              <w:left w:w="80" w:type="dxa"/>
              <w:right w:w="80" w:type="dxa"/>
            </w:tcMar>
          </w:tcPr>
          <w:p w14:paraId="5A49363C"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-1.33</w:t>
            </w:r>
          </w:p>
        </w:tc>
        <w:tc>
          <w:tcPr>
            <w:tcW w:w="731" w:type="pct"/>
            <w:tcBorders>
              <w:top w:val="nil"/>
              <w:left w:val="single" w:sz="2" w:space="0" w:color="000000"/>
              <w:bottom w:val="single" w:sz="2" w:space="0" w:color="000000"/>
              <w:right w:val="nil"/>
            </w:tcBorders>
            <w:shd w:val="clear" w:color="auto" w:fill="FFFFFF"/>
            <w:tcMar>
              <w:left w:w="80" w:type="dxa"/>
              <w:right w:w="80" w:type="dxa"/>
            </w:tcMar>
          </w:tcPr>
          <w:p w14:paraId="45B290C3"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-2.67</w:t>
            </w:r>
          </w:p>
        </w:tc>
        <w:tc>
          <w:tcPr>
            <w:tcW w:w="676" w:type="pct"/>
            <w:tcBorders>
              <w:top w:val="nil"/>
              <w:left w:val="single" w:sz="2" w:space="0" w:color="000000"/>
              <w:bottom w:val="single" w:sz="2" w:space="0" w:color="000000"/>
              <w:right w:val="nil"/>
            </w:tcBorders>
            <w:shd w:val="clear" w:color="auto" w:fill="FFFFFF"/>
            <w:tcMar>
              <w:left w:w="80" w:type="dxa"/>
              <w:right w:w="80" w:type="dxa"/>
            </w:tcMar>
          </w:tcPr>
          <w:p w14:paraId="6E685111"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-3.93</w:t>
            </w:r>
          </w:p>
        </w:tc>
        <w:tc>
          <w:tcPr>
            <w:tcW w:w="693" w:type="pct"/>
            <w:tcBorders>
              <w:top w:val="nil"/>
              <w:left w:val="single" w:sz="2" w:space="0" w:color="000000"/>
              <w:bottom w:val="single" w:sz="2" w:space="0" w:color="000000"/>
              <w:right w:val="nil"/>
            </w:tcBorders>
            <w:shd w:val="clear" w:color="auto" w:fill="FFFFFF"/>
            <w:tcMar>
              <w:left w:w="80" w:type="dxa"/>
              <w:right w:w="80" w:type="dxa"/>
            </w:tcMar>
          </w:tcPr>
          <w:p w14:paraId="32FAFD47"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-1.42</w:t>
            </w:r>
          </w:p>
        </w:tc>
        <w:tc>
          <w:tcPr>
            <w:tcW w:w="910" w:type="pct"/>
            <w:tcBorders>
              <w:top w:val="nil"/>
              <w:left w:val="single" w:sz="2" w:space="0" w:color="000000"/>
              <w:bottom w:val="single" w:sz="2" w:space="0" w:color="000000"/>
              <w:right w:val="single" w:sz="6" w:space="0" w:color="000000"/>
            </w:tcBorders>
            <w:shd w:val="clear" w:color="auto" w:fill="FFFFFF"/>
            <w:tcMar>
              <w:left w:w="80" w:type="dxa"/>
              <w:right w:w="80" w:type="dxa"/>
            </w:tcMar>
          </w:tcPr>
          <w:p w14:paraId="61D34942"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-2.67 (-3.93, -1.42)</w:t>
            </w:r>
          </w:p>
        </w:tc>
      </w:tr>
      <w:tr w:rsidR="00DF3B48" w:rsidRPr="00DF3B48" w14:paraId="31F53C6E" w14:textId="77777777" w:rsidTr="00DF3B48">
        <w:trPr>
          <w:cantSplit/>
          <w:jc w:val="center"/>
        </w:trPr>
        <w:tc>
          <w:tcPr>
            <w:tcW w:w="291" w:type="pct"/>
            <w:tcBorders>
              <w:top w:val="nil"/>
              <w:left w:val="single" w:sz="6" w:space="0" w:color="000000"/>
              <w:bottom w:val="single" w:sz="2" w:space="0" w:color="000000"/>
              <w:right w:val="nil"/>
            </w:tcBorders>
            <w:shd w:val="clear" w:color="auto" w:fill="FFFFFF"/>
            <w:tcMar>
              <w:left w:w="80" w:type="dxa"/>
              <w:right w:w="80" w:type="dxa"/>
            </w:tcMar>
          </w:tcPr>
          <w:p w14:paraId="18A196EF"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0.02</w:t>
            </w:r>
          </w:p>
        </w:tc>
        <w:tc>
          <w:tcPr>
            <w:tcW w:w="340" w:type="pct"/>
            <w:tcBorders>
              <w:top w:val="nil"/>
              <w:left w:val="single" w:sz="2" w:space="0" w:color="000000"/>
              <w:bottom w:val="single" w:sz="2" w:space="0" w:color="000000"/>
              <w:right w:val="nil"/>
            </w:tcBorders>
            <w:shd w:val="clear" w:color="auto" w:fill="FFFFFF"/>
            <w:tcMar>
              <w:left w:w="80" w:type="dxa"/>
              <w:right w:w="80" w:type="dxa"/>
            </w:tcMar>
          </w:tcPr>
          <w:p w14:paraId="0A27FD49"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0.192</w:t>
            </w:r>
          </w:p>
        </w:tc>
        <w:tc>
          <w:tcPr>
            <w:tcW w:w="340" w:type="pct"/>
            <w:tcBorders>
              <w:top w:val="nil"/>
              <w:left w:val="single" w:sz="2" w:space="0" w:color="000000"/>
              <w:bottom w:val="single" w:sz="2" w:space="0" w:color="000000"/>
              <w:right w:val="nil"/>
            </w:tcBorders>
            <w:shd w:val="clear" w:color="auto" w:fill="FFFFFF"/>
            <w:tcMar>
              <w:left w:w="80" w:type="dxa"/>
              <w:right w:w="80" w:type="dxa"/>
            </w:tcMar>
          </w:tcPr>
          <w:p w14:paraId="3B2C9550"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0.133</w:t>
            </w:r>
          </w:p>
        </w:tc>
        <w:tc>
          <w:tcPr>
            <w:tcW w:w="351" w:type="pct"/>
            <w:tcBorders>
              <w:top w:val="nil"/>
              <w:left w:val="single" w:sz="2" w:space="0" w:color="000000"/>
              <w:bottom w:val="single" w:sz="2" w:space="0" w:color="000000"/>
              <w:right w:val="nil"/>
            </w:tcBorders>
            <w:shd w:val="clear" w:color="auto" w:fill="FFFFFF"/>
            <w:tcMar>
              <w:left w:w="80" w:type="dxa"/>
              <w:right w:w="80" w:type="dxa"/>
            </w:tcMar>
          </w:tcPr>
          <w:p w14:paraId="3868F5F4"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w:t>
            </w:r>
          </w:p>
        </w:tc>
        <w:tc>
          <w:tcPr>
            <w:tcW w:w="351" w:type="pct"/>
            <w:tcBorders>
              <w:top w:val="nil"/>
              <w:left w:val="single" w:sz="2" w:space="0" w:color="000000"/>
              <w:bottom w:val="single" w:sz="2" w:space="0" w:color="000000"/>
              <w:right w:val="nil"/>
            </w:tcBorders>
            <w:shd w:val="clear" w:color="auto" w:fill="FFFFFF"/>
            <w:tcMar>
              <w:left w:w="80" w:type="dxa"/>
              <w:right w:w="80" w:type="dxa"/>
            </w:tcMar>
          </w:tcPr>
          <w:p w14:paraId="2DB06DF4"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-2</w:t>
            </w:r>
          </w:p>
        </w:tc>
        <w:tc>
          <w:tcPr>
            <w:tcW w:w="318" w:type="pct"/>
            <w:tcBorders>
              <w:top w:val="nil"/>
              <w:left w:val="single" w:sz="2" w:space="0" w:color="000000"/>
              <w:bottom w:val="single" w:sz="2" w:space="0" w:color="000000"/>
              <w:right w:val="nil"/>
            </w:tcBorders>
            <w:shd w:val="clear" w:color="auto" w:fill="FFFFFF"/>
            <w:tcMar>
              <w:left w:w="80" w:type="dxa"/>
              <w:right w:w="80" w:type="dxa"/>
            </w:tcMar>
          </w:tcPr>
          <w:p w14:paraId="6476FB16"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0.82</w:t>
            </w:r>
          </w:p>
        </w:tc>
        <w:tc>
          <w:tcPr>
            <w:tcW w:w="731" w:type="pct"/>
            <w:tcBorders>
              <w:top w:val="nil"/>
              <w:left w:val="single" w:sz="2" w:space="0" w:color="000000"/>
              <w:bottom w:val="single" w:sz="2" w:space="0" w:color="000000"/>
              <w:right w:val="nil"/>
            </w:tcBorders>
            <w:shd w:val="clear" w:color="auto" w:fill="FFFFFF"/>
            <w:tcMar>
              <w:left w:w="80" w:type="dxa"/>
              <w:right w:w="80" w:type="dxa"/>
            </w:tcMar>
          </w:tcPr>
          <w:p w14:paraId="438B65D7"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-0.52</w:t>
            </w:r>
          </w:p>
        </w:tc>
        <w:tc>
          <w:tcPr>
            <w:tcW w:w="676" w:type="pct"/>
            <w:tcBorders>
              <w:top w:val="nil"/>
              <w:left w:val="single" w:sz="2" w:space="0" w:color="000000"/>
              <w:bottom w:val="single" w:sz="2" w:space="0" w:color="000000"/>
              <w:right w:val="nil"/>
            </w:tcBorders>
            <w:shd w:val="clear" w:color="auto" w:fill="FFFFFF"/>
            <w:tcMar>
              <w:left w:w="80" w:type="dxa"/>
              <w:right w:w="80" w:type="dxa"/>
            </w:tcMar>
          </w:tcPr>
          <w:p w14:paraId="55CEC3B1"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-1.78</w:t>
            </w:r>
          </w:p>
        </w:tc>
        <w:tc>
          <w:tcPr>
            <w:tcW w:w="693" w:type="pct"/>
            <w:tcBorders>
              <w:top w:val="nil"/>
              <w:left w:val="single" w:sz="2" w:space="0" w:color="000000"/>
              <w:bottom w:val="single" w:sz="2" w:space="0" w:color="000000"/>
              <w:right w:val="nil"/>
            </w:tcBorders>
            <w:shd w:val="clear" w:color="auto" w:fill="FFFFFF"/>
            <w:tcMar>
              <w:left w:w="80" w:type="dxa"/>
              <w:right w:w="80" w:type="dxa"/>
            </w:tcMar>
          </w:tcPr>
          <w:p w14:paraId="78364E4A"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0.73</w:t>
            </w:r>
          </w:p>
        </w:tc>
        <w:tc>
          <w:tcPr>
            <w:tcW w:w="910" w:type="pct"/>
            <w:tcBorders>
              <w:top w:val="nil"/>
              <w:left w:val="single" w:sz="2" w:space="0" w:color="000000"/>
              <w:bottom w:val="single" w:sz="2" w:space="0" w:color="000000"/>
              <w:right w:val="single" w:sz="6" w:space="0" w:color="000000"/>
            </w:tcBorders>
            <w:shd w:val="clear" w:color="auto" w:fill="FFFFFF"/>
            <w:tcMar>
              <w:left w:w="80" w:type="dxa"/>
              <w:right w:w="80" w:type="dxa"/>
            </w:tcMar>
          </w:tcPr>
          <w:p w14:paraId="566669CA"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-0.52 (-1.78, 0.73)</w:t>
            </w:r>
          </w:p>
        </w:tc>
      </w:tr>
      <w:tr w:rsidR="00DF3B48" w:rsidRPr="00DF3B48" w14:paraId="7E6E11E5" w14:textId="77777777" w:rsidTr="00DF3B48">
        <w:trPr>
          <w:cantSplit/>
          <w:jc w:val="center"/>
        </w:trPr>
        <w:tc>
          <w:tcPr>
            <w:tcW w:w="291" w:type="pct"/>
            <w:tcBorders>
              <w:top w:val="nil"/>
              <w:left w:val="single" w:sz="6" w:space="0" w:color="000000"/>
              <w:bottom w:val="single" w:sz="2" w:space="0" w:color="000000"/>
              <w:right w:val="nil"/>
            </w:tcBorders>
            <w:shd w:val="clear" w:color="auto" w:fill="FFFFFF"/>
            <w:tcMar>
              <w:left w:w="80" w:type="dxa"/>
              <w:right w:w="80" w:type="dxa"/>
            </w:tcMar>
          </w:tcPr>
          <w:p w14:paraId="281C1DD5"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0.04</w:t>
            </w:r>
          </w:p>
        </w:tc>
        <w:tc>
          <w:tcPr>
            <w:tcW w:w="340" w:type="pct"/>
            <w:tcBorders>
              <w:top w:val="nil"/>
              <w:left w:val="single" w:sz="2" w:space="0" w:color="000000"/>
              <w:bottom w:val="single" w:sz="2" w:space="0" w:color="000000"/>
              <w:right w:val="nil"/>
            </w:tcBorders>
            <w:shd w:val="clear" w:color="auto" w:fill="FFFFFF"/>
            <w:tcMar>
              <w:left w:w="80" w:type="dxa"/>
              <w:right w:w="80" w:type="dxa"/>
            </w:tcMar>
          </w:tcPr>
          <w:p w14:paraId="59B12DFF"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0.192</w:t>
            </w:r>
          </w:p>
        </w:tc>
        <w:tc>
          <w:tcPr>
            <w:tcW w:w="340" w:type="pct"/>
            <w:tcBorders>
              <w:top w:val="nil"/>
              <w:left w:val="single" w:sz="2" w:space="0" w:color="000000"/>
              <w:bottom w:val="single" w:sz="2" w:space="0" w:color="000000"/>
              <w:right w:val="nil"/>
            </w:tcBorders>
            <w:shd w:val="clear" w:color="auto" w:fill="FFFFFF"/>
            <w:tcMar>
              <w:left w:w="80" w:type="dxa"/>
              <w:right w:w="80" w:type="dxa"/>
            </w:tcMar>
          </w:tcPr>
          <w:p w14:paraId="7D3E839F"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0.133</w:t>
            </w:r>
          </w:p>
        </w:tc>
        <w:tc>
          <w:tcPr>
            <w:tcW w:w="351" w:type="pct"/>
            <w:tcBorders>
              <w:top w:val="nil"/>
              <w:left w:val="single" w:sz="2" w:space="0" w:color="000000"/>
              <w:bottom w:val="single" w:sz="2" w:space="0" w:color="000000"/>
              <w:right w:val="nil"/>
            </w:tcBorders>
            <w:shd w:val="clear" w:color="auto" w:fill="FFFFFF"/>
            <w:tcMar>
              <w:left w:w="80" w:type="dxa"/>
              <w:right w:w="80" w:type="dxa"/>
            </w:tcMar>
          </w:tcPr>
          <w:p w14:paraId="624C71DB"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w:t>
            </w:r>
          </w:p>
        </w:tc>
        <w:tc>
          <w:tcPr>
            <w:tcW w:w="351" w:type="pct"/>
            <w:tcBorders>
              <w:top w:val="nil"/>
              <w:left w:val="single" w:sz="2" w:space="0" w:color="000000"/>
              <w:bottom w:val="single" w:sz="2" w:space="0" w:color="000000"/>
              <w:right w:val="nil"/>
            </w:tcBorders>
            <w:shd w:val="clear" w:color="auto" w:fill="FFFFFF"/>
            <w:tcMar>
              <w:left w:w="80" w:type="dxa"/>
              <w:right w:w="80" w:type="dxa"/>
            </w:tcMar>
          </w:tcPr>
          <w:p w14:paraId="29B8CB95"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-2</w:t>
            </w:r>
          </w:p>
        </w:tc>
        <w:tc>
          <w:tcPr>
            <w:tcW w:w="318" w:type="pct"/>
            <w:tcBorders>
              <w:top w:val="nil"/>
              <w:left w:val="single" w:sz="2" w:space="0" w:color="000000"/>
              <w:bottom w:val="single" w:sz="2" w:space="0" w:color="000000"/>
              <w:right w:val="nil"/>
            </w:tcBorders>
            <w:shd w:val="clear" w:color="auto" w:fill="FFFFFF"/>
            <w:tcMar>
              <w:left w:w="80" w:type="dxa"/>
              <w:right w:w="80" w:type="dxa"/>
            </w:tcMar>
          </w:tcPr>
          <w:p w14:paraId="3166D19F"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1.03</w:t>
            </w:r>
          </w:p>
        </w:tc>
        <w:tc>
          <w:tcPr>
            <w:tcW w:w="731" w:type="pct"/>
            <w:tcBorders>
              <w:top w:val="nil"/>
              <w:left w:val="single" w:sz="2" w:space="0" w:color="000000"/>
              <w:bottom w:val="single" w:sz="2" w:space="0" w:color="000000"/>
              <w:right w:val="nil"/>
            </w:tcBorders>
            <w:shd w:val="clear" w:color="auto" w:fill="FFFFFF"/>
            <w:tcMar>
              <w:left w:w="80" w:type="dxa"/>
              <w:right w:w="80" w:type="dxa"/>
            </w:tcMar>
          </w:tcPr>
          <w:p w14:paraId="508486F8"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-0.31</w:t>
            </w:r>
          </w:p>
        </w:tc>
        <w:tc>
          <w:tcPr>
            <w:tcW w:w="676" w:type="pct"/>
            <w:tcBorders>
              <w:top w:val="nil"/>
              <w:left w:val="single" w:sz="2" w:space="0" w:color="000000"/>
              <w:bottom w:val="single" w:sz="2" w:space="0" w:color="000000"/>
              <w:right w:val="nil"/>
            </w:tcBorders>
            <w:shd w:val="clear" w:color="auto" w:fill="FFFFFF"/>
            <w:tcMar>
              <w:left w:w="80" w:type="dxa"/>
              <w:right w:w="80" w:type="dxa"/>
            </w:tcMar>
          </w:tcPr>
          <w:p w14:paraId="073AB981"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-1.57</w:t>
            </w:r>
          </w:p>
        </w:tc>
        <w:tc>
          <w:tcPr>
            <w:tcW w:w="693" w:type="pct"/>
            <w:tcBorders>
              <w:top w:val="nil"/>
              <w:left w:val="single" w:sz="2" w:space="0" w:color="000000"/>
              <w:bottom w:val="single" w:sz="2" w:space="0" w:color="000000"/>
              <w:right w:val="nil"/>
            </w:tcBorders>
            <w:shd w:val="clear" w:color="auto" w:fill="FFFFFF"/>
            <w:tcMar>
              <w:left w:w="80" w:type="dxa"/>
              <w:right w:w="80" w:type="dxa"/>
            </w:tcMar>
          </w:tcPr>
          <w:p w14:paraId="72EB426E"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0.94</w:t>
            </w:r>
          </w:p>
        </w:tc>
        <w:tc>
          <w:tcPr>
            <w:tcW w:w="910" w:type="pct"/>
            <w:tcBorders>
              <w:top w:val="nil"/>
              <w:left w:val="single" w:sz="2" w:space="0" w:color="000000"/>
              <w:bottom w:val="single" w:sz="2" w:space="0" w:color="000000"/>
              <w:right w:val="single" w:sz="6" w:space="0" w:color="000000"/>
            </w:tcBorders>
            <w:shd w:val="clear" w:color="auto" w:fill="FFFFFF"/>
            <w:tcMar>
              <w:left w:w="80" w:type="dxa"/>
              <w:right w:w="80" w:type="dxa"/>
            </w:tcMar>
          </w:tcPr>
          <w:p w14:paraId="46607B7C"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-0.31 (-1.57, 0.94)</w:t>
            </w:r>
          </w:p>
        </w:tc>
      </w:tr>
      <w:tr w:rsidR="00DF3B48" w:rsidRPr="00DF3B48" w14:paraId="41151B68" w14:textId="77777777" w:rsidTr="00DF3B48">
        <w:trPr>
          <w:cantSplit/>
          <w:jc w:val="center"/>
        </w:trPr>
        <w:tc>
          <w:tcPr>
            <w:tcW w:w="291" w:type="pct"/>
            <w:tcBorders>
              <w:top w:val="nil"/>
              <w:left w:val="single" w:sz="6" w:space="0" w:color="000000"/>
              <w:bottom w:val="single" w:sz="2" w:space="0" w:color="000000"/>
              <w:right w:val="nil"/>
            </w:tcBorders>
            <w:shd w:val="clear" w:color="auto" w:fill="FFFFFF"/>
            <w:tcMar>
              <w:left w:w="80" w:type="dxa"/>
              <w:right w:w="80" w:type="dxa"/>
            </w:tcMar>
          </w:tcPr>
          <w:p w14:paraId="5FB173D4"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0.02</w:t>
            </w:r>
          </w:p>
        </w:tc>
        <w:tc>
          <w:tcPr>
            <w:tcW w:w="340" w:type="pct"/>
            <w:tcBorders>
              <w:top w:val="nil"/>
              <w:left w:val="single" w:sz="2" w:space="0" w:color="000000"/>
              <w:bottom w:val="single" w:sz="2" w:space="0" w:color="000000"/>
              <w:right w:val="nil"/>
            </w:tcBorders>
            <w:shd w:val="clear" w:color="auto" w:fill="FFFFFF"/>
            <w:tcMar>
              <w:left w:w="80" w:type="dxa"/>
              <w:right w:w="80" w:type="dxa"/>
            </w:tcMar>
          </w:tcPr>
          <w:p w14:paraId="35B56CC0"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0.192</w:t>
            </w:r>
          </w:p>
        </w:tc>
        <w:tc>
          <w:tcPr>
            <w:tcW w:w="340" w:type="pct"/>
            <w:tcBorders>
              <w:top w:val="nil"/>
              <w:left w:val="single" w:sz="2" w:space="0" w:color="000000"/>
              <w:bottom w:val="single" w:sz="2" w:space="0" w:color="000000"/>
              <w:right w:val="nil"/>
            </w:tcBorders>
            <w:shd w:val="clear" w:color="auto" w:fill="FFFFFF"/>
            <w:tcMar>
              <w:left w:w="80" w:type="dxa"/>
              <w:right w:w="80" w:type="dxa"/>
            </w:tcMar>
          </w:tcPr>
          <w:p w14:paraId="0C19C856"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0.133</w:t>
            </w:r>
          </w:p>
        </w:tc>
        <w:tc>
          <w:tcPr>
            <w:tcW w:w="351" w:type="pct"/>
            <w:tcBorders>
              <w:top w:val="nil"/>
              <w:left w:val="single" w:sz="2" w:space="0" w:color="000000"/>
              <w:bottom w:val="single" w:sz="2" w:space="0" w:color="000000"/>
              <w:right w:val="nil"/>
            </w:tcBorders>
            <w:shd w:val="clear" w:color="auto" w:fill="FFFFFF"/>
            <w:tcMar>
              <w:left w:w="80" w:type="dxa"/>
              <w:right w:w="80" w:type="dxa"/>
            </w:tcMar>
          </w:tcPr>
          <w:p w14:paraId="542742C3"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w:t>
            </w:r>
          </w:p>
        </w:tc>
        <w:tc>
          <w:tcPr>
            <w:tcW w:w="351" w:type="pct"/>
            <w:tcBorders>
              <w:top w:val="nil"/>
              <w:left w:val="single" w:sz="2" w:space="0" w:color="000000"/>
              <w:bottom w:val="single" w:sz="2" w:space="0" w:color="000000"/>
              <w:right w:val="nil"/>
            </w:tcBorders>
            <w:shd w:val="clear" w:color="auto" w:fill="FFFFFF"/>
            <w:tcMar>
              <w:left w:w="80" w:type="dxa"/>
              <w:right w:w="80" w:type="dxa"/>
            </w:tcMar>
          </w:tcPr>
          <w:p w14:paraId="01392389"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w:t>
            </w:r>
          </w:p>
        </w:tc>
        <w:tc>
          <w:tcPr>
            <w:tcW w:w="318" w:type="pct"/>
            <w:tcBorders>
              <w:top w:val="nil"/>
              <w:left w:val="single" w:sz="2" w:space="0" w:color="000000"/>
              <w:bottom w:val="single" w:sz="2" w:space="0" w:color="000000"/>
              <w:right w:val="nil"/>
            </w:tcBorders>
            <w:shd w:val="clear" w:color="auto" w:fill="FFFFFF"/>
            <w:tcMar>
              <w:left w:w="80" w:type="dxa"/>
              <w:right w:w="80" w:type="dxa"/>
            </w:tcMar>
          </w:tcPr>
          <w:p w14:paraId="0814F971"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0.41</w:t>
            </w:r>
          </w:p>
        </w:tc>
        <w:tc>
          <w:tcPr>
            <w:tcW w:w="731" w:type="pct"/>
            <w:tcBorders>
              <w:top w:val="nil"/>
              <w:left w:val="single" w:sz="2" w:space="0" w:color="000000"/>
              <w:bottom w:val="single" w:sz="2" w:space="0" w:color="000000"/>
              <w:right w:val="nil"/>
            </w:tcBorders>
            <w:shd w:val="clear" w:color="auto" w:fill="FFFFFF"/>
            <w:tcMar>
              <w:left w:w="80" w:type="dxa"/>
              <w:right w:w="80" w:type="dxa"/>
            </w:tcMar>
          </w:tcPr>
          <w:p w14:paraId="27B22025"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-0.93</w:t>
            </w:r>
          </w:p>
        </w:tc>
        <w:tc>
          <w:tcPr>
            <w:tcW w:w="676" w:type="pct"/>
            <w:tcBorders>
              <w:top w:val="nil"/>
              <w:left w:val="single" w:sz="2" w:space="0" w:color="000000"/>
              <w:bottom w:val="single" w:sz="2" w:space="0" w:color="000000"/>
              <w:right w:val="nil"/>
            </w:tcBorders>
            <w:shd w:val="clear" w:color="auto" w:fill="FFFFFF"/>
            <w:tcMar>
              <w:left w:w="80" w:type="dxa"/>
              <w:right w:w="80" w:type="dxa"/>
            </w:tcMar>
          </w:tcPr>
          <w:p w14:paraId="77880457"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-2.19</w:t>
            </w:r>
          </w:p>
        </w:tc>
        <w:tc>
          <w:tcPr>
            <w:tcW w:w="693" w:type="pct"/>
            <w:tcBorders>
              <w:top w:val="nil"/>
              <w:left w:val="single" w:sz="2" w:space="0" w:color="000000"/>
              <w:bottom w:val="single" w:sz="2" w:space="0" w:color="000000"/>
              <w:right w:val="nil"/>
            </w:tcBorders>
            <w:shd w:val="clear" w:color="auto" w:fill="FFFFFF"/>
            <w:tcMar>
              <w:left w:w="80" w:type="dxa"/>
              <w:right w:w="80" w:type="dxa"/>
            </w:tcMar>
          </w:tcPr>
          <w:p w14:paraId="381B7E72"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0.32</w:t>
            </w:r>
          </w:p>
        </w:tc>
        <w:tc>
          <w:tcPr>
            <w:tcW w:w="910" w:type="pct"/>
            <w:tcBorders>
              <w:top w:val="nil"/>
              <w:left w:val="single" w:sz="2" w:space="0" w:color="000000"/>
              <w:bottom w:val="single" w:sz="2" w:space="0" w:color="000000"/>
              <w:right w:val="single" w:sz="6" w:space="0" w:color="000000"/>
            </w:tcBorders>
            <w:shd w:val="clear" w:color="auto" w:fill="FFFFFF"/>
            <w:tcMar>
              <w:left w:w="80" w:type="dxa"/>
              <w:right w:w="80" w:type="dxa"/>
            </w:tcMar>
          </w:tcPr>
          <w:p w14:paraId="11CEAED0"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-0.93 (-2.19, 0.32)</w:t>
            </w:r>
          </w:p>
        </w:tc>
      </w:tr>
      <w:tr w:rsidR="00DF3B48" w:rsidRPr="00DF3B48" w14:paraId="3ED06A47" w14:textId="77777777" w:rsidTr="00DF3B48">
        <w:trPr>
          <w:cantSplit/>
          <w:jc w:val="center"/>
        </w:trPr>
        <w:tc>
          <w:tcPr>
            <w:tcW w:w="291" w:type="pct"/>
            <w:tcBorders>
              <w:top w:val="nil"/>
              <w:left w:val="single" w:sz="6" w:space="0" w:color="000000"/>
              <w:bottom w:val="single" w:sz="2" w:space="0" w:color="000000"/>
              <w:right w:val="nil"/>
            </w:tcBorders>
            <w:shd w:val="clear" w:color="auto" w:fill="FFFFFF"/>
            <w:tcMar>
              <w:left w:w="80" w:type="dxa"/>
              <w:right w:w="80" w:type="dxa"/>
            </w:tcMar>
          </w:tcPr>
          <w:p w14:paraId="61C9474F"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0.04</w:t>
            </w:r>
          </w:p>
        </w:tc>
        <w:tc>
          <w:tcPr>
            <w:tcW w:w="340" w:type="pct"/>
            <w:tcBorders>
              <w:top w:val="nil"/>
              <w:left w:val="single" w:sz="2" w:space="0" w:color="000000"/>
              <w:bottom w:val="single" w:sz="2" w:space="0" w:color="000000"/>
              <w:right w:val="nil"/>
            </w:tcBorders>
            <w:shd w:val="clear" w:color="auto" w:fill="FFFFFF"/>
            <w:tcMar>
              <w:left w:w="80" w:type="dxa"/>
              <w:right w:w="80" w:type="dxa"/>
            </w:tcMar>
          </w:tcPr>
          <w:p w14:paraId="01C19C70"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0.192</w:t>
            </w:r>
          </w:p>
        </w:tc>
        <w:tc>
          <w:tcPr>
            <w:tcW w:w="340" w:type="pct"/>
            <w:tcBorders>
              <w:top w:val="nil"/>
              <w:left w:val="single" w:sz="2" w:space="0" w:color="000000"/>
              <w:bottom w:val="single" w:sz="2" w:space="0" w:color="000000"/>
              <w:right w:val="nil"/>
            </w:tcBorders>
            <w:shd w:val="clear" w:color="auto" w:fill="FFFFFF"/>
            <w:tcMar>
              <w:left w:w="80" w:type="dxa"/>
              <w:right w:w="80" w:type="dxa"/>
            </w:tcMar>
          </w:tcPr>
          <w:p w14:paraId="7B9B1607"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0.133</w:t>
            </w:r>
          </w:p>
        </w:tc>
        <w:tc>
          <w:tcPr>
            <w:tcW w:w="351" w:type="pct"/>
            <w:tcBorders>
              <w:top w:val="nil"/>
              <w:left w:val="single" w:sz="2" w:space="0" w:color="000000"/>
              <w:bottom w:val="single" w:sz="2" w:space="0" w:color="000000"/>
              <w:right w:val="nil"/>
            </w:tcBorders>
            <w:shd w:val="clear" w:color="auto" w:fill="FFFFFF"/>
            <w:tcMar>
              <w:left w:w="80" w:type="dxa"/>
              <w:right w:w="80" w:type="dxa"/>
            </w:tcMar>
          </w:tcPr>
          <w:p w14:paraId="07A9043C"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w:t>
            </w:r>
          </w:p>
        </w:tc>
        <w:tc>
          <w:tcPr>
            <w:tcW w:w="351" w:type="pct"/>
            <w:tcBorders>
              <w:top w:val="nil"/>
              <w:left w:val="single" w:sz="2" w:space="0" w:color="000000"/>
              <w:bottom w:val="single" w:sz="2" w:space="0" w:color="000000"/>
              <w:right w:val="nil"/>
            </w:tcBorders>
            <w:shd w:val="clear" w:color="auto" w:fill="FFFFFF"/>
            <w:tcMar>
              <w:left w:w="80" w:type="dxa"/>
              <w:right w:w="80" w:type="dxa"/>
            </w:tcMar>
          </w:tcPr>
          <w:p w14:paraId="7A141562"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w:t>
            </w:r>
          </w:p>
        </w:tc>
        <w:tc>
          <w:tcPr>
            <w:tcW w:w="318" w:type="pct"/>
            <w:tcBorders>
              <w:top w:val="nil"/>
              <w:left w:val="single" w:sz="2" w:space="0" w:color="000000"/>
              <w:bottom w:val="single" w:sz="2" w:space="0" w:color="000000"/>
              <w:right w:val="nil"/>
            </w:tcBorders>
            <w:shd w:val="clear" w:color="auto" w:fill="FFFFFF"/>
            <w:tcMar>
              <w:left w:w="80" w:type="dxa"/>
              <w:right w:w="80" w:type="dxa"/>
            </w:tcMar>
          </w:tcPr>
          <w:p w14:paraId="6F855B84"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0.52</w:t>
            </w:r>
          </w:p>
        </w:tc>
        <w:tc>
          <w:tcPr>
            <w:tcW w:w="731" w:type="pct"/>
            <w:tcBorders>
              <w:top w:val="nil"/>
              <w:left w:val="single" w:sz="2" w:space="0" w:color="000000"/>
              <w:bottom w:val="single" w:sz="2" w:space="0" w:color="000000"/>
              <w:right w:val="nil"/>
            </w:tcBorders>
            <w:shd w:val="clear" w:color="auto" w:fill="FFFFFF"/>
            <w:tcMar>
              <w:left w:w="80" w:type="dxa"/>
              <w:right w:w="80" w:type="dxa"/>
            </w:tcMar>
          </w:tcPr>
          <w:p w14:paraId="6A14CE29"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-0.82</w:t>
            </w:r>
          </w:p>
        </w:tc>
        <w:tc>
          <w:tcPr>
            <w:tcW w:w="676" w:type="pct"/>
            <w:tcBorders>
              <w:top w:val="nil"/>
              <w:left w:val="single" w:sz="2" w:space="0" w:color="000000"/>
              <w:bottom w:val="single" w:sz="2" w:space="0" w:color="000000"/>
              <w:right w:val="nil"/>
            </w:tcBorders>
            <w:shd w:val="clear" w:color="auto" w:fill="FFFFFF"/>
            <w:tcMar>
              <w:left w:w="80" w:type="dxa"/>
              <w:right w:w="80" w:type="dxa"/>
            </w:tcMar>
          </w:tcPr>
          <w:p w14:paraId="3B35FACC"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-2.08</w:t>
            </w:r>
          </w:p>
        </w:tc>
        <w:tc>
          <w:tcPr>
            <w:tcW w:w="693" w:type="pct"/>
            <w:tcBorders>
              <w:top w:val="nil"/>
              <w:left w:val="single" w:sz="2" w:space="0" w:color="000000"/>
              <w:bottom w:val="single" w:sz="2" w:space="0" w:color="000000"/>
              <w:right w:val="nil"/>
            </w:tcBorders>
            <w:shd w:val="clear" w:color="auto" w:fill="FFFFFF"/>
            <w:tcMar>
              <w:left w:w="80" w:type="dxa"/>
              <w:right w:w="80" w:type="dxa"/>
            </w:tcMar>
          </w:tcPr>
          <w:p w14:paraId="20E34046"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0.43</w:t>
            </w:r>
          </w:p>
        </w:tc>
        <w:tc>
          <w:tcPr>
            <w:tcW w:w="910" w:type="pct"/>
            <w:tcBorders>
              <w:top w:val="nil"/>
              <w:left w:val="single" w:sz="2" w:space="0" w:color="000000"/>
              <w:bottom w:val="single" w:sz="2" w:space="0" w:color="000000"/>
              <w:right w:val="single" w:sz="6" w:space="0" w:color="000000"/>
            </w:tcBorders>
            <w:shd w:val="clear" w:color="auto" w:fill="FFFFFF"/>
            <w:tcMar>
              <w:left w:w="80" w:type="dxa"/>
              <w:right w:w="80" w:type="dxa"/>
            </w:tcMar>
          </w:tcPr>
          <w:p w14:paraId="492580F1"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-0.82 (-2.08, 0.43)</w:t>
            </w:r>
          </w:p>
        </w:tc>
      </w:tr>
      <w:tr w:rsidR="00DF3B48" w:rsidRPr="00DF3B48" w14:paraId="6513EA48" w14:textId="77777777" w:rsidTr="00DF3B48">
        <w:trPr>
          <w:cantSplit/>
          <w:jc w:val="center"/>
        </w:trPr>
        <w:tc>
          <w:tcPr>
            <w:tcW w:w="291" w:type="pct"/>
            <w:tcBorders>
              <w:top w:val="nil"/>
              <w:left w:val="single" w:sz="6" w:space="0" w:color="000000"/>
              <w:bottom w:val="single" w:sz="2" w:space="0" w:color="000000"/>
              <w:right w:val="nil"/>
            </w:tcBorders>
            <w:shd w:val="clear" w:color="auto" w:fill="FFFFFF"/>
            <w:tcMar>
              <w:left w:w="80" w:type="dxa"/>
              <w:right w:w="80" w:type="dxa"/>
            </w:tcMar>
          </w:tcPr>
          <w:p w14:paraId="5C89FFA1"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0.02</w:t>
            </w:r>
          </w:p>
        </w:tc>
        <w:tc>
          <w:tcPr>
            <w:tcW w:w="340" w:type="pct"/>
            <w:tcBorders>
              <w:top w:val="nil"/>
              <w:left w:val="single" w:sz="2" w:space="0" w:color="000000"/>
              <w:bottom w:val="single" w:sz="2" w:space="0" w:color="000000"/>
              <w:right w:val="nil"/>
            </w:tcBorders>
            <w:shd w:val="clear" w:color="auto" w:fill="FFFFFF"/>
            <w:tcMar>
              <w:left w:w="80" w:type="dxa"/>
              <w:right w:w="80" w:type="dxa"/>
            </w:tcMar>
          </w:tcPr>
          <w:p w14:paraId="3520BB86"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0.192</w:t>
            </w:r>
          </w:p>
        </w:tc>
        <w:tc>
          <w:tcPr>
            <w:tcW w:w="340" w:type="pct"/>
            <w:tcBorders>
              <w:top w:val="nil"/>
              <w:left w:val="single" w:sz="2" w:space="0" w:color="000000"/>
              <w:bottom w:val="single" w:sz="2" w:space="0" w:color="000000"/>
              <w:right w:val="nil"/>
            </w:tcBorders>
            <w:shd w:val="clear" w:color="auto" w:fill="FFFFFF"/>
            <w:tcMar>
              <w:left w:w="80" w:type="dxa"/>
              <w:right w:w="80" w:type="dxa"/>
            </w:tcMar>
          </w:tcPr>
          <w:p w14:paraId="43C6DD12"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0.133</w:t>
            </w:r>
          </w:p>
        </w:tc>
        <w:tc>
          <w:tcPr>
            <w:tcW w:w="351" w:type="pct"/>
            <w:tcBorders>
              <w:top w:val="nil"/>
              <w:left w:val="single" w:sz="2" w:space="0" w:color="000000"/>
              <w:bottom w:val="single" w:sz="2" w:space="0" w:color="000000"/>
              <w:right w:val="nil"/>
            </w:tcBorders>
            <w:shd w:val="clear" w:color="auto" w:fill="FFFFFF"/>
            <w:tcMar>
              <w:left w:w="80" w:type="dxa"/>
              <w:right w:w="80" w:type="dxa"/>
            </w:tcMar>
          </w:tcPr>
          <w:p w14:paraId="3F1BC9C4"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w:t>
            </w:r>
          </w:p>
        </w:tc>
        <w:tc>
          <w:tcPr>
            <w:tcW w:w="351" w:type="pct"/>
            <w:tcBorders>
              <w:top w:val="nil"/>
              <w:left w:val="single" w:sz="2" w:space="0" w:color="000000"/>
              <w:bottom w:val="single" w:sz="2" w:space="0" w:color="000000"/>
              <w:right w:val="nil"/>
            </w:tcBorders>
            <w:shd w:val="clear" w:color="auto" w:fill="FFFFFF"/>
            <w:tcMar>
              <w:left w:w="80" w:type="dxa"/>
              <w:right w:w="80" w:type="dxa"/>
            </w:tcMar>
          </w:tcPr>
          <w:p w14:paraId="28182FF5"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w:t>
            </w:r>
          </w:p>
        </w:tc>
        <w:tc>
          <w:tcPr>
            <w:tcW w:w="318" w:type="pct"/>
            <w:tcBorders>
              <w:top w:val="nil"/>
              <w:left w:val="single" w:sz="2" w:space="0" w:color="000000"/>
              <w:bottom w:val="single" w:sz="2" w:space="0" w:color="000000"/>
              <w:right w:val="nil"/>
            </w:tcBorders>
            <w:shd w:val="clear" w:color="auto" w:fill="FFFFFF"/>
            <w:tcMar>
              <w:left w:w="80" w:type="dxa"/>
              <w:right w:w="80" w:type="dxa"/>
            </w:tcMar>
          </w:tcPr>
          <w:p w14:paraId="42F495FB"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0.00</w:t>
            </w:r>
          </w:p>
        </w:tc>
        <w:tc>
          <w:tcPr>
            <w:tcW w:w="731" w:type="pct"/>
            <w:tcBorders>
              <w:top w:val="nil"/>
              <w:left w:val="single" w:sz="2" w:space="0" w:color="000000"/>
              <w:bottom w:val="single" w:sz="2" w:space="0" w:color="000000"/>
              <w:right w:val="nil"/>
            </w:tcBorders>
            <w:shd w:val="clear" w:color="auto" w:fill="FFFFFF"/>
            <w:tcMar>
              <w:left w:w="80" w:type="dxa"/>
              <w:right w:w="80" w:type="dxa"/>
            </w:tcMar>
          </w:tcPr>
          <w:p w14:paraId="3C2A9F11"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-1.34</w:t>
            </w:r>
          </w:p>
        </w:tc>
        <w:tc>
          <w:tcPr>
            <w:tcW w:w="676" w:type="pct"/>
            <w:tcBorders>
              <w:top w:val="nil"/>
              <w:left w:val="single" w:sz="2" w:space="0" w:color="000000"/>
              <w:bottom w:val="single" w:sz="2" w:space="0" w:color="000000"/>
              <w:right w:val="nil"/>
            </w:tcBorders>
            <w:shd w:val="clear" w:color="auto" w:fill="FFFFFF"/>
            <w:tcMar>
              <w:left w:w="80" w:type="dxa"/>
              <w:right w:w="80" w:type="dxa"/>
            </w:tcMar>
          </w:tcPr>
          <w:p w14:paraId="4A2523B2"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-2.60</w:t>
            </w:r>
          </w:p>
        </w:tc>
        <w:tc>
          <w:tcPr>
            <w:tcW w:w="693" w:type="pct"/>
            <w:tcBorders>
              <w:top w:val="nil"/>
              <w:left w:val="single" w:sz="2" w:space="0" w:color="000000"/>
              <w:bottom w:val="single" w:sz="2" w:space="0" w:color="000000"/>
              <w:right w:val="nil"/>
            </w:tcBorders>
            <w:shd w:val="clear" w:color="auto" w:fill="FFFFFF"/>
            <w:tcMar>
              <w:left w:w="80" w:type="dxa"/>
              <w:right w:w="80" w:type="dxa"/>
            </w:tcMar>
          </w:tcPr>
          <w:p w14:paraId="0DD7394F"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-0.09</w:t>
            </w:r>
          </w:p>
        </w:tc>
        <w:tc>
          <w:tcPr>
            <w:tcW w:w="910" w:type="pct"/>
            <w:tcBorders>
              <w:top w:val="nil"/>
              <w:left w:val="single" w:sz="2" w:space="0" w:color="000000"/>
              <w:bottom w:val="single" w:sz="2" w:space="0" w:color="000000"/>
              <w:right w:val="single" w:sz="6" w:space="0" w:color="000000"/>
            </w:tcBorders>
            <w:shd w:val="clear" w:color="auto" w:fill="FFFFFF"/>
            <w:tcMar>
              <w:left w:w="80" w:type="dxa"/>
              <w:right w:w="80" w:type="dxa"/>
            </w:tcMar>
          </w:tcPr>
          <w:p w14:paraId="14BE56C8"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-1.34 (-2.60, -0.09)</w:t>
            </w:r>
          </w:p>
        </w:tc>
      </w:tr>
      <w:tr w:rsidR="00DF3B48" w:rsidRPr="00DF3B48" w14:paraId="66DA4341" w14:textId="77777777" w:rsidTr="00DF3B48">
        <w:trPr>
          <w:cantSplit/>
          <w:jc w:val="center"/>
        </w:trPr>
        <w:tc>
          <w:tcPr>
            <w:tcW w:w="291" w:type="pct"/>
            <w:tcBorders>
              <w:top w:val="nil"/>
              <w:left w:val="single" w:sz="6" w:space="0" w:color="000000"/>
              <w:bottom w:val="single" w:sz="2" w:space="0" w:color="000000"/>
              <w:right w:val="nil"/>
            </w:tcBorders>
            <w:shd w:val="clear" w:color="auto" w:fill="FFFFFF"/>
            <w:tcMar>
              <w:left w:w="80" w:type="dxa"/>
              <w:right w:w="80" w:type="dxa"/>
            </w:tcMar>
          </w:tcPr>
          <w:p w14:paraId="480FABC4"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0.04</w:t>
            </w:r>
          </w:p>
        </w:tc>
        <w:tc>
          <w:tcPr>
            <w:tcW w:w="340" w:type="pct"/>
            <w:tcBorders>
              <w:top w:val="nil"/>
              <w:left w:val="single" w:sz="2" w:space="0" w:color="000000"/>
              <w:bottom w:val="single" w:sz="2" w:space="0" w:color="000000"/>
              <w:right w:val="nil"/>
            </w:tcBorders>
            <w:shd w:val="clear" w:color="auto" w:fill="FFFFFF"/>
            <w:tcMar>
              <w:left w:w="80" w:type="dxa"/>
              <w:right w:w="80" w:type="dxa"/>
            </w:tcMar>
          </w:tcPr>
          <w:p w14:paraId="1C3D4F5A"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0.192</w:t>
            </w:r>
          </w:p>
        </w:tc>
        <w:tc>
          <w:tcPr>
            <w:tcW w:w="340" w:type="pct"/>
            <w:tcBorders>
              <w:top w:val="nil"/>
              <w:left w:val="single" w:sz="2" w:space="0" w:color="000000"/>
              <w:bottom w:val="single" w:sz="2" w:space="0" w:color="000000"/>
              <w:right w:val="nil"/>
            </w:tcBorders>
            <w:shd w:val="clear" w:color="auto" w:fill="FFFFFF"/>
            <w:tcMar>
              <w:left w:w="80" w:type="dxa"/>
              <w:right w:w="80" w:type="dxa"/>
            </w:tcMar>
          </w:tcPr>
          <w:p w14:paraId="7719FEAB"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0.133</w:t>
            </w:r>
          </w:p>
        </w:tc>
        <w:tc>
          <w:tcPr>
            <w:tcW w:w="351" w:type="pct"/>
            <w:tcBorders>
              <w:top w:val="nil"/>
              <w:left w:val="single" w:sz="2" w:space="0" w:color="000000"/>
              <w:bottom w:val="single" w:sz="2" w:space="0" w:color="000000"/>
              <w:right w:val="nil"/>
            </w:tcBorders>
            <w:shd w:val="clear" w:color="auto" w:fill="FFFFFF"/>
            <w:tcMar>
              <w:left w:w="80" w:type="dxa"/>
              <w:right w:w="80" w:type="dxa"/>
            </w:tcMar>
          </w:tcPr>
          <w:p w14:paraId="3B4BD132"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w:t>
            </w:r>
          </w:p>
        </w:tc>
        <w:tc>
          <w:tcPr>
            <w:tcW w:w="351" w:type="pct"/>
            <w:tcBorders>
              <w:top w:val="nil"/>
              <w:left w:val="single" w:sz="2" w:space="0" w:color="000000"/>
              <w:bottom w:val="single" w:sz="2" w:space="0" w:color="000000"/>
              <w:right w:val="nil"/>
            </w:tcBorders>
            <w:shd w:val="clear" w:color="auto" w:fill="FFFFFF"/>
            <w:tcMar>
              <w:left w:w="80" w:type="dxa"/>
              <w:right w:w="80" w:type="dxa"/>
            </w:tcMar>
          </w:tcPr>
          <w:p w14:paraId="66A5345E"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w:t>
            </w:r>
          </w:p>
        </w:tc>
        <w:tc>
          <w:tcPr>
            <w:tcW w:w="318" w:type="pct"/>
            <w:tcBorders>
              <w:top w:val="nil"/>
              <w:left w:val="single" w:sz="2" w:space="0" w:color="000000"/>
              <w:bottom w:val="single" w:sz="2" w:space="0" w:color="000000"/>
              <w:right w:val="nil"/>
            </w:tcBorders>
            <w:shd w:val="clear" w:color="auto" w:fill="FFFFFF"/>
            <w:tcMar>
              <w:left w:w="80" w:type="dxa"/>
              <w:right w:w="80" w:type="dxa"/>
            </w:tcMar>
          </w:tcPr>
          <w:p w14:paraId="6AD6E5BE"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0.00</w:t>
            </w:r>
          </w:p>
        </w:tc>
        <w:tc>
          <w:tcPr>
            <w:tcW w:w="731" w:type="pct"/>
            <w:tcBorders>
              <w:top w:val="nil"/>
              <w:left w:val="single" w:sz="2" w:space="0" w:color="000000"/>
              <w:bottom w:val="single" w:sz="2" w:space="0" w:color="000000"/>
              <w:right w:val="nil"/>
            </w:tcBorders>
            <w:shd w:val="clear" w:color="auto" w:fill="FFFFFF"/>
            <w:tcMar>
              <w:left w:w="80" w:type="dxa"/>
              <w:right w:w="80" w:type="dxa"/>
            </w:tcMar>
          </w:tcPr>
          <w:p w14:paraId="5138A3EE"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-1.34</w:t>
            </w:r>
          </w:p>
        </w:tc>
        <w:tc>
          <w:tcPr>
            <w:tcW w:w="676" w:type="pct"/>
            <w:tcBorders>
              <w:top w:val="nil"/>
              <w:left w:val="single" w:sz="2" w:space="0" w:color="000000"/>
              <w:bottom w:val="single" w:sz="2" w:space="0" w:color="000000"/>
              <w:right w:val="nil"/>
            </w:tcBorders>
            <w:shd w:val="clear" w:color="auto" w:fill="FFFFFF"/>
            <w:tcMar>
              <w:left w:w="80" w:type="dxa"/>
              <w:right w:w="80" w:type="dxa"/>
            </w:tcMar>
          </w:tcPr>
          <w:p w14:paraId="04F5CFAF"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-2.60</w:t>
            </w:r>
          </w:p>
        </w:tc>
        <w:tc>
          <w:tcPr>
            <w:tcW w:w="693" w:type="pct"/>
            <w:tcBorders>
              <w:top w:val="nil"/>
              <w:left w:val="single" w:sz="2" w:space="0" w:color="000000"/>
              <w:bottom w:val="single" w:sz="2" w:space="0" w:color="000000"/>
              <w:right w:val="nil"/>
            </w:tcBorders>
            <w:shd w:val="clear" w:color="auto" w:fill="FFFFFF"/>
            <w:tcMar>
              <w:left w:w="80" w:type="dxa"/>
              <w:right w:w="80" w:type="dxa"/>
            </w:tcMar>
          </w:tcPr>
          <w:p w14:paraId="652D2777"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-0.09</w:t>
            </w:r>
          </w:p>
        </w:tc>
        <w:tc>
          <w:tcPr>
            <w:tcW w:w="910" w:type="pct"/>
            <w:tcBorders>
              <w:top w:val="nil"/>
              <w:left w:val="single" w:sz="2" w:space="0" w:color="000000"/>
              <w:bottom w:val="single" w:sz="2" w:space="0" w:color="000000"/>
              <w:right w:val="single" w:sz="6" w:space="0" w:color="000000"/>
            </w:tcBorders>
            <w:shd w:val="clear" w:color="auto" w:fill="FFFFFF"/>
            <w:tcMar>
              <w:left w:w="80" w:type="dxa"/>
              <w:right w:w="80" w:type="dxa"/>
            </w:tcMar>
          </w:tcPr>
          <w:p w14:paraId="104FF798"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-1.34 (-2.60, -0.09)</w:t>
            </w:r>
          </w:p>
        </w:tc>
      </w:tr>
      <w:tr w:rsidR="00DF3B48" w:rsidRPr="00DF3B48" w14:paraId="56116A80" w14:textId="77777777" w:rsidTr="00DF3B48">
        <w:trPr>
          <w:cantSplit/>
          <w:jc w:val="center"/>
        </w:trPr>
        <w:tc>
          <w:tcPr>
            <w:tcW w:w="291" w:type="pct"/>
            <w:tcBorders>
              <w:top w:val="nil"/>
              <w:left w:val="single" w:sz="6" w:space="0" w:color="000000"/>
              <w:bottom w:val="single" w:sz="2" w:space="0" w:color="000000"/>
              <w:right w:val="nil"/>
            </w:tcBorders>
            <w:shd w:val="clear" w:color="auto" w:fill="FFFFFF"/>
            <w:tcMar>
              <w:left w:w="80" w:type="dxa"/>
              <w:right w:w="80" w:type="dxa"/>
            </w:tcMar>
          </w:tcPr>
          <w:p w14:paraId="5E5307ED"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0.02</w:t>
            </w:r>
          </w:p>
        </w:tc>
        <w:tc>
          <w:tcPr>
            <w:tcW w:w="340" w:type="pct"/>
            <w:tcBorders>
              <w:top w:val="nil"/>
              <w:left w:val="single" w:sz="2" w:space="0" w:color="000000"/>
              <w:bottom w:val="single" w:sz="2" w:space="0" w:color="000000"/>
              <w:right w:val="nil"/>
            </w:tcBorders>
            <w:shd w:val="clear" w:color="auto" w:fill="FFFFFF"/>
            <w:tcMar>
              <w:left w:w="80" w:type="dxa"/>
              <w:right w:w="80" w:type="dxa"/>
            </w:tcMar>
          </w:tcPr>
          <w:p w14:paraId="3263FDD8"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0.192</w:t>
            </w:r>
          </w:p>
        </w:tc>
        <w:tc>
          <w:tcPr>
            <w:tcW w:w="340" w:type="pct"/>
            <w:tcBorders>
              <w:top w:val="nil"/>
              <w:left w:val="single" w:sz="2" w:space="0" w:color="000000"/>
              <w:bottom w:val="single" w:sz="2" w:space="0" w:color="000000"/>
              <w:right w:val="nil"/>
            </w:tcBorders>
            <w:shd w:val="clear" w:color="auto" w:fill="FFFFFF"/>
            <w:tcMar>
              <w:left w:w="80" w:type="dxa"/>
              <w:right w:w="80" w:type="dxa"/>
            </w:tcMar>
          </w:tcPr>
          <w:p w14:paraId="410E0CC7"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0.133</w:t>
            </w:r>
          </w:p>
        </w:tc>
        <w:tc>
          <w:tcPr>
            <w:tcW w:w="351" w:type="pct"/>
            <w:tcBorders>
              <w:top w:val="nil"/>
              <w:left w:val="single" w:sz="2" w:space="0" w:color="000000"/>
              <w:bottom w:val="single" w:sz="2" w:space="0" w:color="000000"/>
              <w:right w:val="nil"/>
            </w:tcBorders>
            <w:shd w:val="clear" w:color="auto" w:fill="FFFFFF"/>
            <w:tcMar>
              <w:left w:w="80" w:type="dxa"/>
              <w:right w:w="80" w:type="dxa"/>
            </w:tcMar>
          </w:tcPr>
          <w:p w14:paraId="530D08CE"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w:t>
            </w:r>
          </w:p>
        </w:tc>
        <w:tc>
          <w:tcPr>
            <w:tcW w:w="351" w:type="pct"/>
            <w:tcBorders>
              <w:top w:val="nil"/>
              <w:left w:val="single" w:sz="2" w:space="0" w:color="000000"/>
              <w:bottom w:val="single" w:sz="2" w:space="0" w:color="000000"/>
              <w:right w:val="nil"/>
            </w:tcBorders>
            <w:shd w:val="clear" w:color="auto" w:fill="FFFFFF"/>
            <w:tcMar>
              <w:left w:w="80" w:type="dxa"/>
              <w:right w:w="80" w:type="dxa"/>
            </w:tcMar>
          </w:tcPr>
          <w:p w14:paraId="3617B0DC"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w:t>
            </w:r>
          </w:p>
        </w:tc>
        <w:tc>
          <w:tcPr>
            <w:tcW w:w="318" w:type="pct"/>
            <w:tcBorders>
              <w:top w:val="nil"/>
              <w:left w:val="single" w:sz="2" w:space="0" w:color="000000"/>
              <w:bottom w:val="single" w:sz="2" w:space="0" w:color="000000"/>
              <w:right w:val="nil"/>
            </w:tcBorders>
            <w:shd w:val="clear" w:color="auto" w:fill="FFFFFF"/>
            <w:tcMar>
              <w:left w:w="80" w:type="dxa"/>
              <w:right w:w="80" w:type="dxa"/>
            </w:tcMar>
          </w:tcPr>
          <w:p w14:paraId="45E8C296"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-0.41</w:t>
            </w:r>
          </w:p>
        </w:tc>
        <w:tc>
          <w:tcPr>
            <w:tcW w:w="731" w:type="pct"/>
            <w:tcBorders>
              <w:top w:val="nil"/>
              <w:left w:val="single" w:sz="2" w:space="0" w:color="000000"/>
              <w:bottom w:val="single" w:sz="2" w:space="0" w:color="000000"/>
              <w:right w:val="nil"/>
            </w:tcBorders>
            <w:shd w:val="clear" w:color="auto" w:fill="FFFFFF"/>
            <w:tcMar>
              <w:left w:w="80" w:type="dxa"/>
              <w:right w:w="80" w:type="dxa"/>
            </w:tcMar>
          </w:tcPr>
          <w:p w14:paraId="0D7DC618"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-1.75</w:t>
            </w:r>
          </w:p>
        </w:tc>
        <w:tc>
          <w:tcPr>
            <w:tcW w:w="676" w:type="pct"/>
            <w:tcBorders>
              <w:top w:val="nil"/>
              <w:left w:val="single" w:sz="2" w:space="0" w:color="000000"/>
              <w:bottom w:val="single" w:sz="2" w:space="0" w:color="000000"/>
              <w:right w:val="nil"/>
            </w:tcBorders>
            <w:shd w:val="clear" w:color="auto" w:fill="FFFFFF"/>
            <w:tcMar>
              <w:left w:w="80" w:type="dxa"/>
              <w:right w:w="80" w:type="dxa"/>
            </w:tcMar>
          </w:tcPr>
          <w:p w14:paraId="2D2532C7"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-3.01</w:t>
            </w:r>
          </w:p>
        </w:tc>
        <w:tc>
          <w:tcPr>
            <w:tcW w:w="693" w:type="pct"/>
            <w:tcBorders>
              <w:top w:val="nil"/>
              <w:left w:val="single" w:sz="2" w:space="0" w:color="000000"/>
              <w:bottom w:val="single" w:sz="2" w:space="0" w:color="000000"/>
              <w:right w:val="nil"/>
            </w:tcBorders>
            <w:shd w:val="clear" w:color="auto" w:fill="FFFFFF"/>
            <w:tcMar>
              <w:left w:w="80" w:type="dxa"/>
              <w:right w:w="80" w:type="dxa"/>
            </w:tcMar>
          </w:tcPr>
          <w:p w14:paraId="0719CEA5"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-0.50</w:t>
            </w:r>
          </w:p>
        </w:tc>
        <w:tc>
          <w:tcPr>
            <w:tcW w:w="910" w:type="pct"/>
            <w:tcBorders>
              <w:top w:val="nil"/>
              <w:left w:val="single" w:sz="2" w:space="0" w:color="000000"/>
              <w:bottom w:val="single" w:sz="2" w:space="0" w:color="000000"/>
              <w:right w:val="single" w:sz="6" w:space="0" w:color="000000"/>
            </w:tcBorders>
            <w:shd w:val="clear" w:color="auto" w:fill="FFFFFF"/>
            <w:tcMar>
              <w:left w:w="80" w:type="dxa"/>
              <w:right w:w="80" w:type="dxa"/>
            </w:tcMar>
          </w:tcPr>
          <w:p w14:paraId="041934F6"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-1.75 (-3.01, -0.50)</w:t>
            </w:r>
          </w:p>
        </w:tc>
      </w:tr>
      <w:tr w:rsidR="00DF3B48" w:rsidRPr="00DF3B48" w14:paraId="7B7BCE95" w14:textId="77777777" w:rsidTr="00DF3B48">
        <w:trPr>
          <w:cantSplit/>
          <w:jc w:val="center"/>
        </w:trPr>
        <w:tc>
          <w:tcPr>
            <w:tcW w:w="291" w:type="pct"/>
            <w:tcBorders>
              <w:top w:val="nil"/>
              <w:left w:val="single" w:sz="6" w:space="0" w:color="000000"/>
              <w:bottom w:val="single" w:sz="2" w:space="0" w:color="000000"/>
              <w:right w:val="nil"/>
            </w:tcBorders>
            <w:shd w:val="clear" w:color="auto" w:fill="FFFFFF"/>
            <w:tcMar>
              <w:left w:w="80" w:type="dxa"/>
              <w:right w:w="80" w:type="dxa"/>
            </w:tcMar>
          </w:tcPr>
          <w:p w14:paraId="752FA5FC"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0.04</w:t>
            </w:r>
          </w:p>
        </w:tc>
        <w:tc>
          <w:tcPr>
            <w:tcW w:w="340" w:type="pct"/>
            <w:tcBorders>
              <w:top w:val="nil"/>
              <w:left w:val="single" w:sz="2" w:space="0" w:color="000000"/>
              <w:bottom w:val="single" w:sz="2" w:space="0" w:color="000000"/>
              <w:right w:val="nil"/>
            </w:tcBorders>
            <w:shd w:val="clear" w:color="auto" w:fill="FFFFFF"/>
            <w:tcMar>
              <w:left w:w="80" w:type="dxa"/>
              <w:right w:w="80" w:type="dxa"/>
            </w:tcMar>
          </w:tcPr>
          <w:p w14:paraId="3FFFAD8E"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0.192</w:t>
            </w:r>
          </w:p>
        </w:tc>
        <w:tc>
          <w:tcPr>
            <w:tcW w:w="340" w:type="pct"/>
            <w:tcBorders>
              <w:top w:val="nil"/>
              <w:left w:val="single" w:sz="2" w:space="0" w:color="000000"/>
              <w:bottom w:val="single" w:sz="2" w:space="0" w:color="000000"/>
              <w:right w:val="nil"/>
            </w:tcBorders>
            <w:shd w:val="clear" w:color="auto" w:fill="FFFFFF"/>
            <w:tcMar>
              <w:left w:w="80" w:type="dxa"/>
              <w:right w:w="80" w:type="dxa"/>
            </w:tcMar>
          </w:tcPr>
          <w:p w14:paraId="4EB207E9"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0.133</w:t>
            </w:r>
          </w:p>
        </w:tc>
        <w:tc>
          <w:tcPr>
            <w:tcW w:w="351" w:type="pct"/>
            <w:tcBorders>
              <w:top w:val="nil"/>
              <w:left w:val="single" w:sz="2" w:space="0" w:color="000000"/>
              <w:bottom w:val="single" w:sz="2" w:space="0" w:color="000000"/>
              <w:right w:val="nil"/>
            </w:tcBorders>
            <w:shd w:val="clear" w:color="auto" w:fill="FFFFFF"/>
            <w:tcMar>
              <w:left w:w="80" w:type="dxa"/>
              <w:right w:w="80" w:type="dxa"/>
            </w:tcMar>
          </w:tcPr>
          <w:p w14:paraId="1EE661FE"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w:t>
            </w:r>
          </w:p>
        </w:tc>
        <w:tc>
          <w:tcPr>
            <w:tcW w:w="351" w:type="pct"/>
            <w:tcBorders>
              <w:top w:val="nil"/>
              <w:left w:val="single" w:sz="2" w:space="0" w:color="000000"/>
              <w:bottom w:val="single" w:sz="2" w:space="0" w:color="000000"/>
              <w:right w:val="nil"/>
            </w:tcBorders>
            <w:shd w:val="clear" w:color="auto" w:fill="FFFFFF"/>
            <w:tcMar>
              <w:left w:w="80" w:type="dxa"/>
              <w:right w:w="80" w:type="dxa"/>
            </w:tcMar>
          </w:tcPr>
          <w:p w14:paraId="074A19C7"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w:t>
            </w:r>
          </w:p>
        </w:tc>
        <w:tc>
          <w:tcPr>
            <w:tcW w:w="318" w:type="pct"/>
            <w:tcBorders>
              <w:top w:val="nil"/>
              <w:left w:val="single" w:sz="2" w:space="0" w:color="000000"/>
              <w:bottom w:val="single" w:sz="2" w:space="0" w:color="000000"/>
              <w:right w:val="nil"/>
            </w:tcBorders>
            <w:shd w:val="clear" w:color="auto" w:fill="FFFFFF"/>
            <w:tcMar>
              <w:left w:w="80" w:type="dxa"/>
              <w:right w:w="80" w:type="dxa"/>
            </w:tcMar>
          </w:tcPr>
          <w:p w14:paraId="40CBAC3A"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-0.52</w:t>
            </w:r>
          </w:p>
        </w:tc>
        <w:tc>
          <w:tcPr>
            <w:tcW w:w="731" w:type="pct"/>
            <w:tcBorders>
              <w:top w:val="nil"/>
              <w:left w:val="single" w:sz="2" w:space="0" w:color="000000"/>
              <w:bottom w:val="single" w:sz="2" w:space="0" w:color="000000"/>
              <w:right w:val="nil"/>
            </w:tcBorders>
            <w:shd w:val="clear" w:color="auto" w:fill="FFFFFF"/>
            <w:tcMar>
              <w:left w:w="80" w:type="dxa"/>
              <w:right w:w="80" w:type="dxa"/>
            </w:tcMar>
          </w:tcPr>
          <w:p w14:paraId="609B0B1B"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-1.86</w:t>
            </w:r>
          </w:p>
        </w:tc>
        <w:tc>
          <w:tcPr>
            <w:tcW w:w="676" w:type="pct"/>
            <w:tcBorders>
              <w:top w:val="nil"/>
              <w:left w:val="single" w:sz="2" w:space="0" w:color="000000"/>
              <w:bottom w:val="single" w:sz="2" w:space="0" w:color="000000"/>
              <w:right w:val="nil"/>
            </w:tcBorders>
            <w:shd w:val="clear" w:color="auto" w:fill="FFFFFF"/>
            <w:tcMar>
              <w:left w:w="80" w:type="dxa"/>
              <w:right w:w="80" w:type="dxa"/>
            </w:tcMar>
          </w:tcPr>
          <w:p w14:paraId="3705E313"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-3.12</w:t>
            </w:r>
          </w:p>
        </w:tc>
        <w:tc>
          <w:tcPr>
            <w:tcW w:w="693" w:type="pct"/>
            <w:tcBorders>
              <w:top w:val="nil"/>
              <w:left w:val="single" w:sz="2" w:space="0" w:color="000000"/>
              <w:bottom w:val="single" w:sz="2" w:space="0" w:color="000000"/>
              <w:right w:val="nil"/>
            </w:tcBorders>
            <w:shd w:val="clear" w:color="auto" w:fill="FFFFFF"/>
            <w:tcMar>
              <w:left w:w="80" w:type="dxa"/>
              <w:right w:w="80" w:type="dxa"/>
            </w:tcMar>
          </w:tcPr>
          <w:p w14:paraId="77E528B0"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-0.61</w:t>
            </w:r>
          </w:p>
        </w:tc>
        <w:tc>
          <w:tcPr>
            <w:tcW w:w="910" w:type="pct"/>
            <w:tcBorders>
              <w:top w:val="nil"/>
              <w:left w:val="single" w:sz="2" w:space="0" w:color="000000"/>
              <w:bottom w:val="single" w:sz="2" w:space="0" w:color="000000"/>
              <w:right w:val="single" w:sz="6" w:space="0" w:color="000000"/>
            </w:tcBorders>
            <w:shd w:val="clear" w:color="auto" w:fill="FFFFFF"/>
            <w:tcMar>
              <w:left w:w="80" w:type="dxa"/>
              <w:right w:w="80" w:type="dxa"/>
            </w:tcMar>
          </w:tcPr>
          <w:p w14:paraId="2D56F182"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-1.86 (-3.12, -0.61)</w:t>
            </w:r>
          </w:p>
        </w:tc>
      </w:tr>
      <w:tr w:rsidR="00DF3B48" w:rsidRPr="00DF3B48" w14:paraId="3F29156B" w14:textId="77777777" w:rsidTr="00DF3B48">
        <w:trPr>
          <w:cantSplit/>
          <w:jc w:val="center"/>
        </w:trPr>
        <w:tc>
          <w:tcPr>
            <w:tcW w:w="291" w:type="pct"/>
            <w:tcBorders>
              <w:top w:val="nil"/>
              <w:left w:val="single" w:sz="6" w:space="0" w:color="000000"/>
              <w:bottom w:val="single" w:sz="2" w:space="0" w:color="000000"/>
              <w:right w:val="nil"/>
            </w:tcBorders>
            <w:shd w:val="clear" w:color="auto" w:fill="FFFFFF"/>
            <w:tcMar>
              <w:left w:w="80" w:type="dxa"/>
              <w:right w:w="80" w:type="dxa"/>
            </w:tcMar>
          </w:tcPr>
          <w:p w14:paraId="57B11979"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0.02</w:t>
            </w:r>
          </w:p>
        </w:tc>
        <w:tc>
          <w:tcPr>
            <w:tcW w:w="340" w:type="pct"/>
            <w:tcBorders>
              <w:top w:val="nil"/>
              <w:left w:val="single" w:sz="2" w:space="0" w:color="000000"/>
              <w:bottom w:val="single" w:sz="2" w:space="0" w:color="000000"/>
              <w:right w:val="nil"/>
            </w:tcBorders>
            <w:shd w:val="clear" w:color="auto" w:fill="FFFFFF"/>
            <w:tcMar>
              <w:left w:w="80" w:type="dxa"/>
              <w:right w:w="80" w:type="dxa"/>
            </w:tcMar>
          </w:tcPr>
          <w:p w14:paraId="402B0DCD"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0.192</w:t>
            </w:r>
          </w:p>
        </w:tc>
        <w:tc>
          <w:tcPr>
            <w:tcW w:w="340" w:type="pct"/>
            <w:tcBorders>
              <w:top w:val="nil"/>
              <w:left w:val="single" w:sz="2" w:space="0" w:color="000000"/>
              <w:bottom w:val="single" w:sz="2" w:space="0" w:color="000000"/>
              <w:right w:val="nil"/>
            </w:tcBorders>
            <w:shd w:val="clear" w:color="auto" w:fill="FFFFFF"/>
            <w:tcMar>
              <w:left w:w="80" w:type="dxa"/>
              <w:right w:w="80" w:type="dxa"/>
            </w:tcMar>
          </w:tcPr>
          <w:p w14:paraId="4EBD38F4"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0.133</w:t>
            </w:r>
          </w:p>
        </w:tc>
        <w:tc>
          <w:tcPr>
            <w:tcW w:w="351" w:type="pct"/>
            <w:tcBorders>
              <w:top w:val="nil"/>
              <w:left w:val="single" w:sz="2" w:space="0" w:color="000000"/>
              <w:bottom w:val="single" w:sz="2" w:space="0" w:color="000000"/>
              <w:right w:val="nil"/>
            </w:tcBorders>
            <w:shd w:val="clear" w:color="auto" w:fill="FFFFFF"/>
            <w:tcMar>
              <w:left w:w="80" w:type="dxa"/>
              <w:right w:w="80" w:type="dxa"/>
            </w:tcMar>
          </w:tcPr>
          <w:p w14:paraId="4C3ECD6B"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w:t>
            </w:r>
          </w:p>
        </w:tc>
        <w:tc>
          <w:tcPr>
            <w:tcW w:w="351" w:type="pct"/>
            <w:tcBorders>
              <w:top w:val="nil"/>
              <w:left w:val="single" w:sz="2" w:space="0" w:color="000000"/>
              <w:bottom w:val="single" w:sz="2" w:space="0" w:color="000000"/>
              <w:right w:val="nil"/>
            </w:tcBorders>
            <w:shd w:val="clear" w:color="auto" w:fill="FFFFFF"/>
            <w:tcMar>
              <w:left w:w="80" w:type="dxa"/>
              <w:right w:w="80" w:type="dxa"/>
            </w:tcMar>
          </w:tcPr>
          <w:p w14:paraId="205B677A"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2</w:t>
            </w:r>
          </w:p>
        </w:tc>
        <w:tc>
          <w:tcPr>
            <w:tcW w:w="318" w:type="pct"/>
            <w:tcBorders>
              <w:top w:val="nil"/>
              <w:left w:val="single" w:sz="2" w:space="0" w:color="000000"/>
              <w:bottom w:val="single" w:sz="2" w:space="0" w:color="000000"/>
              <w:right w:val="nil"/>
            </w:tcBorders>
            <w:shd w:val="clear" w:color="auto" w:fill="FFFFFF"/>
            <w:tcMar>
              <w:left w:w="80" w:type="dxa"/>
              <w:right w:w="80" w:type="dxa"/>
            </w:tcMar>
          </w:tcPr>
          <w:p w14:paraId="6D9D727B"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-0.82</w:t>
            </w:r>
          </w:p>
        </w:tc>
        <w:tc>
          <w:tcPr>
            <w:tcW w:w="731" w:type="pct"/>
            <w:tcBorders>
              <w:top w:val="nil"/>
              <w:left w:val="single" w:sz="2" w:space="0" w:color="000000"/>
              <w:bottom w:val="single" w:sz="2" w:space="0" w:color="000000"/>
              <w:right w:val="nil"/>
            </w:tcBorders>
            <w:shd w:val="clear" w:color="auto" w:fill="FFFFFF"/>
            <w:tcMar>
              <w:left w:w="80" w:type="dxa"/>
              <w:right w:w="80" w:type="dxa"/>
            </w:tcMar>
          </w:tcPr>
          <w:p w14:paraId="4C3DDD9B"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-2.16</w:t>
            </w:r>
          </w:p>
        </w:tc>
        <w:tc>
          <w:tcPr>
            <w:tcW w:w="676" w:type="pct"/>
            <w:tcBorders>
              <w:top w:val="nil"/>
              <w:left w:val="single" w:sz="2" w:space="0" w:color="000000"/>
              <w:bottom w:val="single" w:sz="2" w:space="0" w:color="000000"/>
              <w:right w:val="nil"/>
            </w:tcBorders>
            <w:shd w:val="clear" w:color="auto" w:fill="FFFFFF"/>
            <w:tcMar>
              <w:left w:w="80" w:type="dxa"/>
              <w:right w:w="80" w:type="dxa"/>
            </w:tcMar>
          </w:tcPr>
          <w:p w14:paraId="7C6B6623"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-3.42</w:t>
            </w:r>
          </w:p>
        </w:tc>
        <w:tc>
          <w:tcPr>
            <w:tcW w:w="693" w:type="pct"/>
            <w:tcBorders>
              <w:top w:val="nil"/>
              <w:left w:val="single" w:sz="2" w:space="0" w:color="000000"/>
              <w:bottom w:val="single" w:sz="2" w:space="0" w:color="000000"/>
              <w:right w:val="nil"/>
            </w:tcBorders>
            <w:shd w:val="clear" w:color="auto" w:fill="FFFFFF"/>
            <w:tcMar>
              <w:left w:w="80" w:type="dxa"/>
              <w:right w:w="80" w:type="dxa"/>
            </w:tcMar>
          </w:tcPr>
          <w:p w14:paraId="3F3A3CF5"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-0.91</w:t>
            </w:r>
          </w:p>
        </w:tc>
        <w:tc>
          <w:tcPr>
            <w:tcW w:w="910" w:type="pct"/>
            <w:tcBorders>
              <w:top w:val="nil"/>
              <w:left w:val="single" w:sz="2" w:space="0" w:color="000000"/>
              <w:bottom w:val="single" w:sz="2" w:space="0" w:color="000000"/>
              <w:right w:val="single" w:sz="6" w:space="0" w:color="000000"/>
            </w:tcBorders>
            <w:shd w:val="clear" w:color="auto" w:fill="FFFFFF"/>
            <w:tcMar>
              <w:left w:w="80" w:type="dxa"/>
              <w:right w:w="80" w:type="dxa"/>
            </w:tcMar>
          </w:tcPr>
          <w:p w14:paraId="384160BD"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-2.16 (-3.42, -0.91)</w:t>
            </w:r>
          </w:p>
        </w:tc>
      </w:tr>
      <w:tr w:rsidR="00DF3B48" w:rsidRPr="00DF3B48" w14:paraId="6DBA0EC8" w14:textId="77777777" w:rsidTr="00DF3B48">
        <w:trPr>
          <w:cantSplit/>
          <w:jc w:val="center"/>
        </w:trPr>
        <w:tc>
          <w:tcPr>
            <w:tcW w:w="291" w:type="pct"/>
            <w:tcBorders>
              <w:top w:val="nil"/>
              <w:left w:val="single" w:sz="6" w:space="0" w:color="000000"/>
              <w:bottom w:val="single" w:sz="2" w:space="0" w:color="000000"/>
              <w:right w:val="nil"/>
            </w:tcBorders>
            <w:shd w:val="clear" w:color="auto" w:fill="FFFFFF"/>
            <w:tcMar>
              <w:left w:w="80" w:type="dxa"/>
              <w:right w:w="80" w:type="dxa"/>
            </w:tcMar>
          </w:tcPr>
          <w:p w14:paraId="26276CC9"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0.04</w:t>
            </w:r>
          </w:p>
        </w:tc>
        <w:tc>
          <w:tcPr>
            <w:tcW w:w="340" w:type="pct"/>
            <w:tcBorders>
              <w:top w:val="nil"/>
              <w:left w:val="single" w:sz="2" w:space="0" w:color="000000"/>
              <w:bottom w:val="single" w:sz="2" w:space="0" w:color="000000"/>
              <w:right w:val="nil"/>
            </w:tcBorders>
            <w:shd w:val="clear" w:color="auto" w:fill="FFFFFF"/>
            <w:tcMar>
              <w:left w:w="80" w:type="dxa"/>
              <w:right w:w="80" w:type="dxa"/>
            </w:tcMar>
          </w:tcPr>
          <w:p w14:paraId="5185165D"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0.192</w:t>
            </w:r>
          </w:p>
        </w:tc>
        <w:tc>
          <w:tcPr>
            <w:tcW w:w="340" w:type="pct"/>
            <w:tcBorders>
              <w:top w:val="nil"/>
              <w:left w:val="single" w:sz="2" w:space="0" w:color="000000"/>
              <w:bottom w:val="single" w:sz="2" w:space="0" w:color="000000"/>
              <w:right w:val="nil"/>
            </w:tcBorders>
            <w:shd w:val="clear" w:color="auto" w:fill="FFFFFF"/>
            <w:tcMar>
              <w:left w:w="80" w:type="dxa"/>
              <w:right w:w="80" w:type="dxa"/>
            </w:tcMar>
          </w:tcPr>
          <w:p w14:paraId="79B7C23A"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0.133</w:t>
            </w:r>
          </w:p>
        </w:tc>
        <w:tc>
          <w:tcPr>
            <w:tcW w:w="351" w:type="pct"/>
            <w:tcBorders>
              <w:top w:val="nil"/>
              <w:left w:val="single" w:sz="2" w:space="0" w:color="000000"/>
              <w:bottom w:val="single" w:sz="2" w:space="0" w:color="000000"/>
              <w:right w:val="nil"/>
            </w:tcBorders>
            <w:shd w:val="clear" w:color="auto" w:fill="FFFFFF"/>
            <w:tcMar>
              <w:left w:w="80" w:type="dxa"/>
              <w:right w:w="80" w:type="dxa"/>
            </w:tcMar>
          </w:tcPr>
          <w:p w14:paraId="19A3201C"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w:t>
            </w:r>
          </w:p>
        </w:tc>
        <w:tc>
          <w:tcPr>
            <w:tcW w:w="351" w:type="pct"/>
            <w:tcBorders>
              <w:top w:val="nil"/>
              <w:left w:val="single" w:sz="2" w:space="0" w:color="000000"/>
              <w:bottom w:val="single" w:sz="2" w:space="0" w:color="000000"/>
              <w:right w:val="nil"/>
            </w:tcBorders>
            <w:shd w:val="clear" w:color="auto" w:fill="FFFFFF"/>
            <w:tcMar>
              <w:left w:w="80" w:type="dxa"/>
              <w:right w:w="80" w:type="dxa"/>
            </w:tcMar>
          </w:tcPr>
          <w:p w14:paraId="2213A186"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2</w:t>
            </w:r>
          </w:p>
        </w:tc>
        <w:tc>
          <w:tcPr>
            <w:tcW w:w="318" w:type="pct"/>
            <w:tcBorders>
              <w:top w:val="nil"/>
              <w:left w:val="single" w:sz="2" w:space="0" w:color="000000"/>
              <w:bottom w:val="single" w:sz="2" w:space="0" w:color="000000"/>
              <w:right w:val="nil"/>
            </w:tcBorders>
            <w:shd w:val="clear" w:color="auto" w:fill="FFFFFF"/>
            <w:tcMar>
              <w:left w:w="80" w:type="dxa"/>
              <w:right w:w="80" w:type="dxa"/>
            </w:tcMar>
          </w:tcPr>
          <w:p w14:paraId="662852DE"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-1.03</w:t>
            </w:r>
          </w:p>
        </w:tc>
        <w:tc>
          <w:tcPr>
            <w:tcW w:w="731" w:type="pct"/>
            <w:tcBorders>
              <w:top w:val="nil"/>
              <w:left w:val="single" w:sz="2" w:space="0" w:color="000000"/>
              <w:bottom w:val="single" w:sz="2" w:space="0" w:color="000000"/>
              <w:right w:val="nil"/>
            </w:tcBorders>
            <w:shd w:val="clear" w:color="auto" w:fill="FFFFFF"/>
            <w:tcMar>
              <w:left w:w="80" w:type="dxa"/>
              <w:right w:w="80" w:type="dxa"/>
            </w:tcMar>
          </w:tcPr>
          <w:p w14:paraId="33FFE98A"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-2.37</w:t>
            </w:r>
          </w:p>
        </w:tc>
        <w:tc>
          <w:tcPr>
            <w:tcW w:w="676" w:type="pct"/>
            <w:tcBorders>
              <w:top w:val="nil"/>
              <w:left w:val="single" w:sz="2" w:space="0" w:color="000000"/>
              <w:bottom w:val="single" w:sz="2" w:space="0" w:color="000000"/>
              <w:right w:val="nil"/>
            </w:tcBorders>
            <w:shd w:val="clear" w:color="auto" w:fill="FFFFFF"/>
            <w:tcMar>
              <w:left w:w="80" w:type="dxa"/>
              <w:right w:w="80" w:type="dxa"/>
            </w:tcMar>
          </w:tcPr>
          <w:p w14:paraId="7BAF1345"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-3.63</w:t>
            </w:r>
          </w:p>
        </w:tc>
        <w:tc>
          <w:tcPr>
            <w:tcW w:w="693" w:type="pct"/>
            <w:tcBorders>
              <w:top w:val="nil"/>
              <w:left w:val="single" w:sz="2" w:space="0" w:color="000000"/>
              <w:bottom w:val="single" w:sz="2" w:space="0" w:color="000000"/>
              <w:right w:val="nil"/>
            </w:tcBorders>
            <w:shd w:val="clear" w:color="auto" w:fill="FFFFFF"/>
            <w:tcMar>
              <w:left w:w="80" w:type="dxa"/>
              <w:right w:w="80" w:type="dxa"/>
            </w:tcMar>
          </w:tcPr>
          <w:p w14:paraId="06832A7E"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-1.12</w:t>
            </w:r>
          </w:p>
        </w:tc>
        <w:tc>
          <w:tcPr>
            <w:tcW w:w="910" w:type="pct"/>
            <w:tcBorders>
              <w:top w:val="nil"/>
              <w:left w:val="single" w:sz="2" w:space="0" w:color="000000"/>
              <w:bottom w:val="single" w:sz="2" w:space="0" w:color="000000"/>
              <w:right w:val="single" w:sz="6" w:space="0" w:color="000000"/>
            </w:tcBorders>
            <w:shd w:val="clear" w:color="auto" w:fill="FFFFFF"/>
            <w:tcMar>
              <w:left w:w="80" w:type="dxa"/>
              <w:right w:w="80" w:type="dxa"/>
            </w:tcMar>
          </w:tcPr>
          <w:p w14:paraId="7101D0F4"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-2.37 (-3.63, -1.12)</w:t>
            </w:r>
          </w:p>
        </w:tc>
      </w:tr>
      <w:tr w:rsidR="00DF3B48" w:rsidRPr="00DF3B48" w14:paraId="75A0CB98" w14:textId="77777777" w:rsidTr="00DF3B48">
        <w:trPr>
          <w:cantSplit/>
          <w:jc w:val="center"/>
        </w:trPr>
        <w:tc>
          <w:tcPr>
            <w:tcW w:w="291" w:type="pct"/>
            <w:tcBorders>
              <w:top w:val="nil"/>
              <w:left w:val="single" w:sz="6" w:space="0" w:color="000000"/>
              <w:bottom w:val="single" w:sz="2" w:space="0" w:color="000000"/>
              <w:right w:val="nil"/>
            </w:tcBorders>
            <w:shd w:val="clear" w:color="auto" w:fill="FFFFFF"/>
            <w:tcMar>
              <w:left w:w="80" w:type="dxa"/>
              <w:right w:w="80" w:type="dxa"/>
            </w:tcMar>
          </w:tcPr>
          <w:p w14:paraId="15D60F76"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0.02</w:t>
            </w:r>
          </w:p>
        </w:tc>
        <w:tc>
          <w:tcPr>
            <w:tcW w:w="340" w:type="pct"/>
            <w:tcBorders>
              <w:top w:val="nil"/>
              <w:left w:val="single" w:sz="2" w:space="0" w:color="000000"/>
              <w:bottom w:val="single" w:sz="2" w:space="0" w:color="000000"/>
              <w:right w:val="nil"/>
            </w:tcBorders>
            <w:shd w:val="clear" w:color="auto" w:fill="FFFFFF"/>
            <w:tcMar>
              <w:left w:w="80" w:type="dxa"/>
              <w:right w:w="80" w:type="dxa"/>
            </w:tcMar>
          </w:tcPr>
          <w:p w14:paraId="501BDEA2"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0.192</w:t>
            </w:r>
          </w:p>
        </w:tc>
        <w:tc>
          <w:tcPr>
            <w:tcW w:w="340" w:type="pct"/>
            <w:tcBorders>
              <w:top w:val="nil"/>
              <w:left w:val="single" w:sz="2" w:space="0" w:color="000000"/>
              <w:bottom w:val="single" w:sz="2" w:space="0" w:color="000000"/>
              <w:right w:val="nil"/>
            </w:tcBorders>
            <w:shd w:val="clear" w:color="auto" w:fill="FFFFFF"/>
            <w:tcMar>
              <w:left w:w="80" w:type="dxa"/>
              <w:right w:w="80" w:type="dxa"/>
            </w:tcMar>
          </w:tcPr>
          <w:p w14:paraId="5838D29A"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0.133</w:t>
            </w:r>
          </w:p>
        </w:tc>
        <w:tc>
          <w:tcPr>
            <w:tcW w:w="351" w:type="pct"/>
            <w:tcBorders>
              <w:top w:val="nil"/>
              <w:left w:val="single" w:sz="2" w:space="0" w:color="000000"/>
              <w:bottom w:val="single" w:sz="2" w:space="0" w:color="000000"/>
              <w:right w:val="nil"/>
            </w:tcBorders>
            <w:shd w:val="clear" w:color="auto" w:fill="FFFFFF"/>
            <w:tcMar>
              <w:left w:w="80" w:type="dxa"/>
              <w:right w:w="80" w:type="dxa"/>
            </w:tcMar>
          </w:tcPr>
          <w:p w14:paraId="16F4516A"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w:t>
            </w:r>
          </w:p>
        </w:tc>
        <w:tc>
          <w:tcPr>
            <w:tcW w:w="351" w:type="pct"/>
            <w:tcBorders>
              <w:top w:val="nil"/>
              <w:left w:val="single" w:sz="2" w:space="0" w:color="000000"/>
              <w:bottom w:val="single" w:sz="2" w:space="0" w:color="000000"/>
              <w:right w:val="nil"/>
            </w:tcBorders>
            <w:shd w:val="clear" w:color="auto" w:fill="FFFFFF"/>
            <w:tcMar>
              <w:left w:w="80" w:type="dxa"/>
              <w:right w:w="80" w:type="dxa"/>
            </w:tcMar>
          </w:tcPr>
          <w:p w14:paraId="35E3FF76"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-2</w:t>
            </w:r>
          </w:p>
        </w:tc>
        <w:tc>
          <w:tcPr>
            <w:tcW w:w="318" w:type="pct"/>
            <w:tcBorders>
              <w:top w:val="nil"/>
              <w:left w:val="single" w:sz="2" w:space="0" w:color="000000"/>
              <w:bottom w:val="single" w:sz="2" w:space="0" w:color="000000"/>
              <w:right w:val="nil"/>
            </w:tcBorders>
            <w:shd w:val="clear" w:color="auto" w:fill="FFFFFF"/>
            <w:tcMar>
              <w:left w:w="80" w:type="dxa"/>
              <w:right w:w="80" w:type="dxa"/>
            </w:tcMar>
          </w:tcPr>
          <w:p w14:paraId="06CC354D"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0.97</w:t>
            </w:r>
          </w:p>
        </w:tc>
        <w:tc>
          <w:tcPr>
            <w:tcW w:w="731" w:type="pct"/>
            <w:tcBorders>
              <w:top w:val="nil"/>
              <w:left w:val="single" w:sz="2" w:space="0" w:color="000000"/>
              <w:bottom w:val="single" w:sz="2" w:space="0" w:color="000000"/>
              <w:right w:val="nil"/>
            </w:tcBorders>
            <w:shd w:val="clear" w:color="auto" w:fill="FFFFFF"/>
            <w:tcMar>
              <w:left w:w="80" w:type="dxa"/>
              <w:right w:w="80" w:type="dxa"/>
            </w:tcMar>
          </w:tcPr>
          <w:p w14:paraId="63257FDF"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-0.37</w:t>
            </w:r>
          </w:p>
        </w:tc>
        <w:tc>
          <w:tcPr>
            <w:tcW w:w="676" w:type="pct"/>
            <w:tcBorders>
              <w:top w:val="nil"/>
              <w:left w:val="single" w:sz="2" w:space="0" w:color="000000"/>
              <w:bottom w:val="single" w:sz="2" w:space="0" w:color="000000"/>
              <w:right w:val="nil"/>
            </w:tcBorders>
            <w:shd w:val="clear" w:color="auto" w:fill="FFFFFF"/>
            <w:tcMar>
              <w:left w:w="80" w:type="dxa"/>
              <w:right w:w="80" w:type="dxa"/>
            </w:tcMar>
          </w:tcPr>
          <w:p w14:paraId="30A770FE"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-1.63</w:t>
            </w:r>
          </w:p>
        </w:tc>
        <w:tc>
          <w:tcPr>
            <w:tcW w:w="693" w:type="pct"/>
            <w:tcBorders>
              <w:top w:val="nil"/>
              <w:left w:val="single" w:sz="2" w:space="0" w:color="000000"/>
              <w:bottom w:val="single" w:sz="2" w:space="0" w:color="000000"/>
              <w:right w:val="nil"/>
            </w:tcBorders>
            <w:shd w:val="clear" w:color="auto" w:fill="FFFFFF"/>
            <w:tcMar>
              <w:left w:w="80" w:type="dxa"/>
              <w:right w:w="80" w:type="dxa"/>
            </w:tcMar>
          </w:tcPr>
          <w:p w14:paraId="22A69817"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0.88</w:t>
            </w:r>
          </w:p>
        </w:tc>
        <w:tc>
          <w:tcPr>
            <w:tcW w:w="910" w:type="pct"/>
            <w:tcBorders>
              <w:top w:val="nil"/>
              <w:left w:val="single" w:sz="2" w:space="0" w:color="000000"/>
              <w:bottom w:val="single" w:sz="2" w:space="0" w:color="000000"/>
              <w:right w:val="single" w:sz="6" w:space="0" w:color="000000"/>
            </w:tcBorders>
            <w:shd w:val="clear" w:color="auto" w:fill="FFFFFF"/>
            <w:tcMar>
              <w:left w:w="80" w:type="dxa"/>
              <w:right w:w="80" w:type="dxa"/>
            </w:tcMar>
          </w:tcPr>
          <w:p w14:paraId="6C257FB2"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-0.37 (-1.63, 0.88)</w:t>
            </w:r>
          </w:p>
        </w:tc>
      </w:tr>
      <w:tr w:rsidR="00DF3B48" w:rsidRPr="00DF3B48" w14:paraId="2A127336" w14:textId="77777777" w:rsidTr="00DF3B48">
        <w:trPr>
          <w:cantSplit/>
          <w:jc w:val="center"/>
        </w:trPr>
        <w:tc>
          <w:tcPr>
            <w:tcW w:w="291" w:type="pct"/>
            <w:tcBorders>
              <w:top w:val="nil"/>
              <w:left w:val="single" w:sz="6" w:space="0" w:color="000000"/>
              <w:bottom w:val="single" w:sz="2" w:space="0" w:color="000000"/>
              <w:right w:val="nil"/>
            </w:tcBorders>
            <w:shd w:val="clear" w:color="auto" w:fill="FFFFFF"/>
            <w:tcMar>
              <w:left w:w="80" w:type="dxa"/>
              <w:right w:w="80" w:type="dxa"/>
            </w:tcMar>
          </w:tcPr>
          <w:p w14:paraId="34AF70D8"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0.04</w:t>
            </w:r>
          </w:p>
        </w:tc>
        <w:tc>
          <w:tcPr>
            <w:tcW w:w="340" w:type="pct"/>
            <w:tcBorders>
              <w:top w:val="nil"/>
              <w:left w:val="single" w:sz="2" w:space="0" w:color="000000"/>
              <w:bottom w:val="single" w:sz="2" w:space="0" w:color="000000"/>
              <w:right w:val="nil"/>
            </w:tcBorders>
            <w:shd w:val="clear" w:color="auto" w:fill="FFFFFF"/>
            <w:tcMar>
              <w:left w:w="80" w:type="dxa"/>
              <w:right w:w="80" w:type="dxa"/>
            </w:tcMar>
          </w:tcPr>
          <w:p w14:paraId="4988D43A"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0.192</w:t>
            </w:r>
          </w:p>
        </w:tc>
        <w:tc>
          <w:tcPr>
            <w:tcW w:w="340" w:type="pct"/>
            <w:tcBorders>
              <w:top w:val="nil"/>
              <w:left w:val="single" w:sz="2" w:space="0" w:color="000000"/>
              <w:bottom w:val="single" w:sz="2" w:space="0" w:color="000000"/>
              <w:right w:val="nil"/>
            </w:tcBorders>
            <w:shd w:val="clear" w:color="auto" w:fill="FFFFFF"/>
            <w:tcMar>
              <w:left w:w="80" w:type="dxa"/>
              <w:right w:w="80" w:type="dxa"/>
            </w:tcMar>
          </w:tcPr>
          <w:p w14:paraId="21429308"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0.133</w:t>
            </w:r>
          </w:p>
        </w:tc>
        <w:tc>
          <w:tcPr>
            <w:tcW w:w="351" w:type="pct"/>
            <w:tcBorders>
              <w:top w:val="nil"/>
              <w:left w:val="single" w:sz="2" w:space="0" w:color="000000"/>
              <w:bottom w:val="single" w:sz="2" w:space="0" w:color="000000"/>
              <w:right w:val="nil"/>
            </w:tcBorders>
            <w:shd w:val="clear" w:color="auto" w:fill="FFFFFF"/>
            <w:tcMar>
              <w:left w:w="80" w:type="dxa"/>
              <w:right w:w="80" w:type="dxa"/>
            </w:tcMar>
          </w:tcPr>
          <w:p w14:paraId="120F6B35"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w:t>
            </w:r>
          </w:p>
        </w:tc>
        <w:tc>
          <w:tcPr>
            <w:tcW w:w="351" w:type="pct"/>
            <w:tcBorders>
              <w:top w:val="nil"/>
              <w:left w:val="single" w:sz="2" w:space="0" w:color="000000"/>
              <w:bottom w:val="single" w:sz="2" w:space="0" w:color="000000"/>
              <w:right w:val="nil"/>
            </w:tcBorders>
            <w:shd w:val="clear" w:color="auto" w:fill="FFFFFF"/>
            <w:tcMar>
              <w:left w:w="80" w:type="dxa"/>
              <w:right w:w="80" w:type="dxa"/>
            </w:tcMar>
          </w:tcPr>
          <w:p w14:paraId="749086CC"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-2</w:t>
            </w:r>
          </w:p>
        </w:tc>
        <w:tc>
          <w:tcPr>
            <w:tcW w:w="318" w:type="pct"/>
            <w:tcBorders>
              <w:top w:val="nil"/>
              <w:left w:val="single" w:sz="2" w:space="0" w:color="000000"/>
              <w:bottom w:val="single" w:sz="2" w:space="0" w:color="000000"/>
              <w:right w:val="nil"/>
            </w:tcBorders>
            <w:shd w:val="clear" w:color="auto" w:fill="FFFFFF"/>
            <w:tcMar>
              <w:left w:w="80" w:type="dxa"/>
              <w:right w:w="80" w:type="dxa"/>
            </w:tcMar>
          </w:tcPr>
          <w:p w14:paraId="6790494D"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1.33</w:t>
            </w:r>
          </w:p>
        </w:tc>
        <w:tc>
          <w:tcPr>
            <w:tcW w:w="731" w:type="pct"/>
            <w:tcBorders>
              <w:top w:val="nil"/>
              <w:left w:val="single" w:sz="2" w:space="0" w:color="000000"/>
              <w:bottom w:val="single" w:sz="2" w:space="0" w:color="000000"/>
              <w:right w:val="nil"/>
            </w:tcBorders>
            <w:shd w:val="clear" w:color="auto" w:fill="FFFFFF"/>
            <w:tcMar>
              <w:left w:w="80" w:type="dxa"/>
              <w:right w:w="80" w:type="dxa"/>
            </w:tcMar>
          </w:tcPr>
          <w:p w14:paraId="2558FF4B"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-0.01</w:t>
            </w:r>
          </w:p>
        </w:tc>
        <w:tc>
          <w:tcPr>
            <w:tcW w:w="676" w:type="pct"/>
            <w:tcBorders>
              <w:top w:val="nil"/>
              <w:left w:val="single" w:sz="2" w:space="0" w:color="000000"/>
              <w:bottom w:val="single" w:sz="2" w:space="0" w:color="000000"/>
              <w:right w:val="nil"/>
            </w:tcBorders>
            <w:shd w:val="clear" w:color="auto" w:fill="FFFFFF"/>
            <w:tcMar>
              <w:left w:w="80" w:type="dxa"/>
              <w:right w:w="80" w:type="dxa"/>
            </w:tcMar>
          </w:tcPr>
          <w:p w14:paraId="62469E6F"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-1.27</w:t>
            </w:r>
          </w:p>
        </w:tc>
        <w:tc>
          <w:tcPr>
            <w:tcW w:w="693" w:type="pct"/>
            <w:tcBorders>
              <w:top w:val="nil"/>
              <w:left w:val="single" w:sz="2" w:space="0" w:color="000000"/>
              <w:bottom w:val="single" w:sz="2" w:space="0" w:color="000000"/>
              <w:right w:val="nil"/>
            </w:tcBorders>
            <w:shd w:val="clear" w:color="auto" w:fill="FFFFFF"/>
            <w:tcMar>
              <w:left w:w="80" w:type="dxa"/>
              <w:right w:w="80" w:type="dxa"/>
            </w:tcMar>
          </w:tcPr>
          <w:p w14:paraId="4A38FF63"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1.24</w:t>
            </w:r>
          </w:p>
        </w:tc>
        <w:tc>
          <w:tcPr>
            <w:tcW w:w="910" w:type="pct"/>
            <w:tcBorders>
              <w:top w:val="nil"/>
              <w:left w:val="single" w:sz="2" w:space="0" w:color="000000"/>
              <w:bottom w:val="single" w:sz="2" w:space="0" w:color="000000"/>
              <w:right w:val="single" w:sz="6" w:space="0" w:color="000000"/>
            </w:tcBorders>
            <w:shd w:val="clear" w:color="auto" w:fill="FFFFFF"/>
            <w:tcMar>
              <w:left w:w="80" w:type="dxa"/>
              <w:right w:w="80" w:type="dxa"/>
            </w:tcMar>
          </w:tcPr>
          <w:p w14:paraId="07AA447F"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-0.01 (-1.27, 1.24)</w:t>
            </w:r>
          </w:p>
        </w:tc>
      </w:tr>
      <w:tr w:rsidR="00DF3B48" w:rsidRPr="00DF3B48" w14:paraId="5E290B45" w14:textId="77777777" w:rsidTr="00DF3B48">
        <w:trPr>
          <w:cantSplit/>
          <w:jc w:val="center"/>
        </w:trPr>
        <w:tc>
          <w:tcPr>
            <w:tcW w:w="291" w:type="pct"/>
            <w:tcBorders>
              <w:top w:val="nil"/>
              <w:left w:val="single" w:sz="6" w:space="0" w:color="000000"/>
              <w:bottom w:val="single" w:sz="2" w:space="0" w:color="000000"/>
              <w:right w:val="nil"/>
            </w:tcBorders>
            <w:shd w:val="clear" w:color="auto" w:fill="FFFFFF"/>
            <w:tcMar>
              <w:left w:w="80" w:type="dxa"/>
              <w:right w:w="80" w:type="dxa"/>
            </w:tcMar>
          </w:tcPr>
          <w:p w14:paraId="20DAA580"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0.02</w:t>
            </w:r>
          </w:p>
        </w:tc>
        <w:tc>
          <w:tcPr>
            <w:tcW w:w="340" w:type="pct"/>
            <w:tcBorders>
              <w:top w:val="nil"/>
              <w:left w:val="single" w:sz="2" w:space="0" w:color="000000"/>
              <w:bottom w:val="single" w:sz="2" w:space="0" w:color="000000"/>
              <w:right w:val="nil"/>
            </w:tcBorders>
            <w:shd w:val="clear" w:color="auto" w:fill="FFFFFF"/>
            <w:tcMar>
              <w:left w:w="80" w:type="dxa"/>
              <w:right w:w="80" w:type="dxa"/>
            </w:tcMar>
          </w:tcPr>
          <w:p w14:paraId="7F0BF2E4"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0.192</w:t>
            </w:r>
          </w:p>
        </w:tc>
        <w:tc>
          <w:tcPr>
            <w:tcW w:w="340" w:type="pct"/>
            <w:tcBorders>
              <w:top w:val="nil"/>
              <w:left w:val="single" w:sz="2" w:space="0" w:color="000000"/>
              <w:bottom w:val="single" w:sz="2" w:space="0" w:color="000000"/>
              <w:right w:val="nil"/>
            </w:tcBorders>
            <w:shd w:val="clear" w:color="auto" w:fill="FFFFFF"/>
            <w:tcMar>
              <w:left w:w="80" w:type="dxa"/>
              <w:right w:w="80" w:type="dxa"/>
            </w:tcMar>
          </w:tcPr>
          <w:p w14:paraId="08721B67"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0.133</w:t>
            </w:r>
          </w:p>
        </w:tc>
        <w:tc>
          <w:tcPr>
            <w:tcW w:w="351" w:type="pct"/>
            <w:tcBorders>
              <w:top w:val="nil"/>
              <w:left w:val="single" w:sz="2" w:space="0" w:color="000000"/>
              <w:bottom w:val="single" w:sz="2" w:space="0" w:color="000000"/>
              <w:right w:val="nil"/>
            </w:tcBorders>
            <w:shd w:val="clear" w:color="auto" w:fill="FFFFFF"/>
            <w:tcMar>
              <w:left w:w="80" w:type="dxa"/>
              <w:right w:w="80" w:type="dxa"/>
            </w:tcMar>
          </w:tcPr>
          <w:p w14:paraId="1C91FA96"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w:t>
            </w:r>
          </w:p>
        </w:tc>
        <w:tc>
          <w:tcPr>
            <w:tcW w:w="351" w:type="pct"/>
            <w:tcBorders>
              <w:top w:val="nil"/>
              <w:left w:val="single" w:sz="2" w:space="0" w:color="000000"/>
              <w:bottom w:val="single" w:sz="2" w:space="0" w:color="000000"/>
              <w:right w:val="nil"/>
            </w:tcBorders>
            <w:shd w:val="clear" w:color="auto" w:fill="FFFFFF"/>
            <w:tcMar>
              <w:left w:w="80" w:type="dxa"/>
              <w:right w:w="80" w:type="dxa"/>
            </w:tcMar>
          </w:tcPr>
          <w:p w14:paraId="274720DD"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w:t>
            </w:r>
          </w:p>
        </w:tc>
        <w:tc>
          <w:tcPr>
            <w:tcW w:w="318" w:type="pct"/>
            <w:tcBorders>
              <w:top w:val="nil"/>
              <w:left w:val="single" w:sz="2" w:space="0" w:color="000000"/>
              <w:bottom w:val="single" w:sz="2" w:space="0" w:color="000000"/>
              <w:right w:val="nil"/>
            </w:tcBorders>
            <w:shd w:val="clear" w:color="auto" w:fill="FFFFFF"/>
            <w:tcMar>
              <w:left w:w="80" w:type="dxa"/>
              <w:right w:w="80" w:type="dxa"/>
            </w:tcMar>
          </w:tcPr>
          <w:p w14:paraId="6EC485FD"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0.56</w:t>
            </w:r>
          </w:p>
        </w:tc>
        <w:tc>
          <w:tcPr>
            <w:tcW w:w="731" w:type="pct"/>
            <w:tcBorders>
              <w:top w:val="nil"/>
              <w:left w:val="single" w:sz="2" w:space="0" w:color="000000"/>
              <w:bottom w:val="single" w:sz="2" w:space="0" w:color="000000"/>
              <w:right w:val="nil"/>
            </w:tcBorders>
            <w:shd w:val="clear" w:color="auto" w:fill="FFFFFF"/>
            <w:tcMar>
              <w:left w:w="80" w:type="dxa"/>
              <w:right w:w="80" w:type="dxa"/>
            </w:tcMar>
          </w:tcPr>
          <w:p w14:paraId="04553499"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-0.78</w:t>
            </w:r>
          </w:p>
        </w:tc>
        <w:tc>
          <w:tcPr>
            <w:tcW w:w="676" w:type="pct"/>
            <w:tcBorders>
              <w:top w:val="nil"/>
              <w:left w:val="single" w:sz="2" w:space="0" w:color="000000"/>
              <w:bottom w:val="single" w:sz="2" w:space="0" w:color="000000"/>
              <w:right w:val="nil"/>
            </w:tcBorders>
            <w:shd w:val="clear" w:color="auto" w:fill="FFFFFF"/>
            <w:tcMar>
              <w:left w:w="80" w:type="dxa"/>
              <w:right w:w="80" w:type="dxa"/>
            </w:tcMar>
          </w:tcPr>
          <w:p w14:paraId="53CF8475"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-2.04</w:t>
            </w:r>
          </w:p>
        </w:tc>
        <w:tc>
          <w:tcPr>
            <w:tcW w:w="693" w:type="pct"/>
            <w:tcBorders>
              <w:top w:val="nil"/>
              <w:left w:val="single" w:sz="2" w:space="0" w:color="000000"/>
              <w:bottom w:val="single" w:sz="2" w:space="0" w:color="000000"/>
              <w:right w:val="nil"/>
            </w:tcBorders>
            <w:shd w:val="clear" w:color="auto" w:fill="FFFFFF"/>
            <w:tcMar>
              <w:left w:w="80" w:type="dxa"/>
              <w:right w:w="80" w:type="dxa"/>
            </w:tcMar>
          </w:tcPr>
          <w:p w14:paraId="5B196328"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0.47</w:t>
            </w:r>
          </w:p>
        </w:tc>
        <w:tc>
          <w:tcPr>
            <w:tcW w:w="910" w:type="pct"/>
            <w:tcBorders>
              <w:top w:val="nil"/>
              <w:left w:val="single" w:sz="2" w:space="0" w:color="000000"/>
              <w:bottom w:val="single" w:sz="2" w:space="0" w:color="000000"/>
              <w:right w:val="single" w:sz="6" w:space="0" w:color="000000"/>
            </w:tcBorders>
            <w:shd w:val="clear" w:color="auto" w:fill="FFFFFF"/>
            <w:tcMar>
              <w:left w:w="80" w:type="dxa"/>
              <w:right w:w="80" w:type="dxa"/>
            </w:tcMar>
          </w:tcPr>
          <w:p w14:paraId="77FDC986"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-0.78 (-2.04, 0.47)</w:t>
            </w:r>
          </w:p>
        </w:tc>
      </w:tr>
      <w:tr w:rsidR="00DF3B48" w:rsidRPr="00DF3B48" w14:paraId="65178625" w14:textId="77777777" w:rsidTr="00DF3B48">
        <w:trPr>
          <w:cantSplit/>
          <w:jc w:val="center"/>
        </w:trPr>
        <w:tc>
          <w:tcPr>
            <w:tcW w:w="291" w:type="pct"/>
            <w:tcBorders>
              <w:top w:val="nil"/>
              <w:left w:val="single" w:sz="6" w:space="0" w:color="000000"/>
              <w:bottom w:val="single" w:sz="2" w:space="0" w:color="000000"/>
              <w:right w:val="nil"/>
            </w:tcBorders>
            <w:shd w:val="clear" w:color="auto" w:fill="FFFFFF"/>
            <w:tcMar>
              <w:left w:w="80" w:type="dxa"/>
              <w:right w:w="80" w:type="dxa"/>
            </w:tcMar>
          </w:tcPr>
          <w:p w14:paraId="67A23DFD"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0.04</w:t>
            </w:r>
          </w:p>
        </w:tc>
        <w:tc>
          <w:tcPr>
            <w:tcW w:w="340" w:type="pct"/>
            <w:tcBorders>
              <w:top w:val="nil"/>
              <w:left w:val="single" w:sz="2" w:space="0" w:color="000000"/>
              <w:bottom w:val="single" w:sz="2" w:space="0" w:color="000000"/>
              <w:right w:val="nil"/>
            </w:tcBorders>
            <w:shd w:val="clear" w:color="auto" w:fill="FFFFFF"/>
            <w:tcMar>
              <w:left w:w="80" w:type="dxa"/>
              <w:right w:w="80" w:type="dxa"/>
            </w:tcMar>
          </w:tcPr>
          <w:p w14:paraId="563110A4"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0.192</w:t>
            </w:r>
          </w:p>
        </w:tc>
        <w:tc>
          <w:tcPr>
            <w:tcW w:w="340" w:type="pct"/>
            <w:tcBorders>
              <w:top w:val="nil"/>
              <w:left w:val="single" w:sz="2" w:space="0" w:color="000000"/>
              <w:bottom w:val="single" w:sz="2" w:space="0" w:color="000000"/>
              <w:right w:val="nil"/>
            </w:tcBorders>
            <w:shd w:val="clear" w:color="auto" w:fill="FFFFFF"/>
            <w:tcMar>
              <w:left w:w="80" w:type="dxa"/>
              <w:right w:w="80" w:type="dxa"/>
            </w:tcMar>
          </w:tcPr>
          <w:p w14:paraId="3358357A"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0.133</w:t>
            </w:r>
          </w:p>
        </w:tc>
        <w:tc>
          <w:tcPr>
            <w:tcW w:w="351" w:type="pct"/>
            <w:tcBorders>
              <w:top w:val="nil"/>
              <w:left w:val="single" w:sz="2" w:space="0" w:color="000000"/>
              <w:bottom w:val="single" w:sz="2" w:space="0" w:color="000000"/>
              <w:right w:val="nil"/>
            </w:tcBorders>
            <w:shd w:val="clear" w:color="auto" w:fill="FFFFFF"/>
            <w:tcMar>
              <w:left w:w="80" w:type="dxa"/>
              <w:right w:w="80" w:type="dxa"/>
            </w:tcMar>
          </w:tcPr>
          <w:p w14:paraId="5A085140"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w:t>
            </w:r>
          </w:p>
        </w:tc>
        <w:tc>
          <w:tcPr>
            <w:tcW w:w="351" w:type="pct"/>
            <w:tcBorders>
              <w:top w:val="nil"/>
              <w:left w:val="single" w:sz="2" w:space="0" w:color="000000"/>
              <w:bottom w:val="single" w:sz="2" w:space="0" w:color="000000"/>
              <w:right w:val="nil"/>
            </w:tcBorders>
            <w:shd w:val="clear" w:color="auto" w:fill="FFFFFF"/>
            <w:tcMar>
              <w:left w:w="80" w:type="dxa"/>
              <w:right w:w="80" w:type="dxa"/>
            </w:tcMar>
          </w:tcPr>
          <w:p w14:paraId="0C21EC7B"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w:t>
            </w:r>
          </w:p>
        </w:tc>
        <w:tc>
          <w:tcPr>
            <w:tcW w:w="318" w:type="pct"/>
            <w:tcBorders>
              <w:top w:val="nil"/>
              <w:left w:val="single" w:sz="2" w:space="0" w:color="000000"/>
              <w:bottom w:val="single" w:sz="2" w:space="0" w:color="000000"/>
              <w:right w:val="nil"/>
            </w:tcBorders>
            <w:shd w:val="clear" w:color="auto" w:fill="FFFFFF"/>
            <w:tcMar>
              <w:left w:w="80" w:type="dxa"/>
              <w:right w:w="80" w:type="dxa"/>
            </w:tcMar>
          </w:tcPr>
          <w:p w14:paraId="0C79D133"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0.82</w:t>
            </w:r>
          </w:p>
        </w:tc>
        <w:tc>
          <w:tcPr>
            <w:tcW w:w="731" w:type="pct"/>
            <w:tcBorders>
              <w:top w:val="nil"/>
              <w:left w:val="single" w:sz="2" w:space="0" w:color="000000"/>
              <w:bottom w:val="single" w:sz="2" w:space="0" w:color="000000"/>
              <w:right w:val="nil"/>
            </w:tcBorders>
            <w:shd w:val="clear" w:color="auto" w:fill="FFFFFF"/>
            <w:tcMar>
              <w:left w:w="80" w:type="dxa"/>
              <w:right w:w="80" w:type="dxa"/>
            </w:tcMar>
          </w:tcPr>
          <w:p w14:paraId="385B52F1"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-0.52</w:t>
            </w:r>
          </w:p>
        </w:tc>
        <w:tc>
          <w:tcPr>
            <w:tcW w:w="676" w:type="pct"/>
            <w:tcBorders>
              <w:top w:val="nil"/>
              <w:left w:val="single" w:sz="2" w:space="0" w:color="000000"/>
              <w:bottom w:val="single" w:sz="2" w:space="0" w:color="000000"/>
              <w:right w:val="nil"/>
            </w:tcBorders>
            <w:shd w:val="clear" w:color="auto" w:fill="FFFFFF"/>
            <w:tcMar>
              <w:left w:w="80" w:type="dxa"/>
              <w:right w:w="80" w:type="dxa"/>
            </w:tcMar>
          </w:tcPr>
          <w:p w14:paraId="2289B0FC"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-1.78</w:t>
            </w:r>
          </w:p>
        </w:tc>
        <w:tc>
          <w:tcPr>
            <w:tcW w:w="693" w:type="pct"/>
            <w:tcBorders>
              <w:top w:val="nil"/>
              <w:left w:val="single" w:sz="2" w:space="0" w:color="000000"/>
              <w:bottom w:val="single" w:sz="2" w:space="0" w:color="000000"/>
              <w:right w:val="nil"/>
            </w:tcBorders>
            <w:shd w:val="clear" w:color="auto" w:fill="FFFFFF"/>
            <w:tcMar>
              <w:left w:w="80" w:type="dxa"/>
              <w:right w:w="80" w:type="dxa"/>
            </w:tcMar>
          </w:tcPr>
          <w:p w14:paraId="17576753"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0.73</w:t>
            </w:r>
          </w:p>
        </w:tc>
        <w:tc>
          <w:tcPr>
            <w:tcW w:w="910" w:type="pct"/>
            <w:tcBorders>
              <w:top w:val="nil"/>
              <w:left w:val="single" w:sz="2" w:space="0" w:color="000000"/>
              <w:bottom w:val="single" w:sz="2" w:space="0" w:color="000000"/>
              <w:right w:val="single" w:sz="6" w:space="0" w:color="000000"/>
            </w:tcBorders>
            <w:shd w:val="clear" w:color="auto" w:fill="FFFFFF"/>
            <w:tcMar>
              <w:left w:w="80" w:type="dxa"/>
              <w:right w:w="80" w:type="dxa"/>
            </w:tcMar>
          </w:tcPr>
          <w:p w14:paraId="0F23A256"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-0.52 (-1.78, 0.73)</w:t>
            </w:r>
          </w:p>
        </w:tc>
      </w:tr>
      <w:tr w:rsidR="00DF3B48" w:rsidRPr="00DF3B48" w14:paraId="51A89EAF" w14:textId="77777777" w:rsidTr="00DF3B48">
        <w:trPr>
          <w:cantSplit/>
          <w:jc w:val="center"/>
        </w:trPr>
        <w:tc>
          <w:tcPr>
            <w:tcW w:w="291" w:type="pct"/>
            <w:tcBorders>
              <w:top w:val="nil"/>
              <w:left w:val="single" w:sz="6" w:space="0" w:color="000000"/>
              <w:bottom w:val="single" w:sz="2" w:space="0" w:color="000000"/>
              <w:right w:val="nil"/>
            </w:tcBorders>
            <w:shd w:val="clear" w:color="auto" w:fill="FFFFFF"/>
            <w:tcMar>
              <w:left w:w="80" w:type="dxa"/>
              <w:right w:w="80" w:type="dxa"/>
            </w:tcMar>
          </w:tcPr>
          <w:p w14:paraId="52822F87"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0.02</w:t>
            </w:r>
          </w:p>
        </w:tc>
        <w:tc>
          <w:tcPr>
            <w:tcW w:w="340" w:type="pct"/>
            <w:tcBorders>
              <w:top w:val="nil"/>
              <w:left w:val="single" w:sz="2" w:space="0" w:color="000000"/>
              <w:bottom w:val="single" w:sz="2" w:space="0" w:color="000000"/>
              <w:right w:val="nil"/>
            </w:tcBorders>
            <w:shd w:val="clear" w:color="auto" w:fill="FFFFFF"/>
            <w:tcMar>
              <w:left w:w="80" w:type="dxa"/>
              <w:right w:w="80" w:type="dxa"/>
            </w:tcMar>
          </w:tcPr>
          <w:p w14:paraId="67663212"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0.192</w:t>
            </w:r>
          </w:p>
        </w:tc>
        <w:tc>
          <w:tcPr>
            <w:tcW w:w="340" w:type="pct"/>
            <w:tcBorders>
              <w:top w:val="nil"/>
              <w:left w:val="single" w:sz="2" w:space="0" w:color="000000"/>
              <w:bottom w:val="single" w:sz="2" w:space="0" w:color="000000"/>
              <w:right w:val="nil"/>
            </w:tcBorders>
            <w:shd w:val="clear" w:color="auto" w:fill="FFFFFF"/>
            <w:tcMar>
              <w:left w:w="80" w:type="dxa"/>
              <w:right w:w="80" w:type="dxa"/>
            </w:tcMar>
          </w:tcPr>
          <w:p w14:paraId="569BC92F"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0.133</w:t>
            </w:r>
          </w:p>
        </w:tc>
        <w:tc>
          <w:tcPr>
            <w:tcW w:w="351" w:type="pct"/>
            <w:tcBorders>
              <w:top w:val="nil"/>
              <w:left w:val="single" w:sz="2" w:space="0" w:color="000000"/>
              <w:bottom w:val="single" w:sz="2" w:space="0" w:color="000000"/>
              <w:right w:val="nil"/>
            </w:tcBorders>
            <w:shd w:val="clear" w:color="auto" w:fill="FFFFFF"/>
            <w:tcMar>
              <w:left w:w="80" w:type="dxa"/>
              <w:right w:w="80" w:type="dxa"/>
            </w:tcMar>
          </w:tcPr>
          <w:p w14:paraId="3181F873"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w:t>
            </w:r>
          </w:p>
        </w:tc>
        <w:tc>
          <w:tcPr>
            <w:tcW w:w="351" w:type="pct"/>
            <w:tcBorders>
              <w:top w:val="nil"/>
              <w:left w:val="single" w:sz="2" w:space="0" w:color="000000"/>
              <w:bottom w:val="single" w:sz="2" w:space="0" w:color="000000"/>
              <w:right w:val="nil"/>
            </w:tcBorders>
            <w:shd w:val="clear" w:color="auto" w:fill="FFFFFF"/>
            <w:tcMar>
              <w:left w:w="80" w:type="dxa"/>
              <w:right w:w="80" w:type="dxa"/>
            </w:tcMar>
          </w:tcPr>
          <w:p w14:paraId="62252E97"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w:t>
            </w:r>
          </w:p>
        </w:tc>
        <w:tc>
          <w:tcPr>
            <w:tcW w:w="318" w:type="pct"/>
            <w:tcBorders>
              <w:top w:val="nil"/>
              <w:left w:val="single" w:sz="2" w:space="0" w:color="000000"/>
              <w:bottom w:val="single" w:sz="2" w:space="0" w:color="000000"/>
              <w:right w:val="nil"/>
            </w:tcBorders>
            <w:shd w:val="clear" w:color="auto" w:fill="FFFFFF"/>
            <w:tcMar>
              <w:left w:w="80" w:type="dxa"/>
              <w:right w:w="80" w:type="dxa"/>
            </w:tcMar>
          </w:tcPr>
          <w:p w14:paraId="47793664"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0.15</w:t>
            </w:r>
          </w:p>
        </w:tc>
        <w:tc>
          <w:tcPr>
            <w:tcW w:w="731" w:type="pct"/>
            <w:tcBorders>
              <w:top w:val="nil"/>
              <w:left w:val="single" w:sz="2" w:space="0" w:color="000000"/>
              <w:bottom w:val="single" w:sz="2" w:space="0" w:color="000000"/>
              <w:right w:val="nil"/>
            </w:tcBorders>
            <w:shd w:val="clear" w:color="auto" w:fill="FFFFFF"/>
            <w:tcMar>
              <w:left w:w="80" w:type="dxa"/>
              <w:right w:w="80" w:type="dxa"/>
            </w:tcMar>
          </w:tcPr>
          <w:p w14:paraId="10286483"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-1.19</w:t>
            </w:r>
          </w:p>
        </w:tc>
        <w:tc>
          <w:tcPr>
            <w:tcW w:w="676" w:type="pct"/>
            <w:tcBorders>
              <w:top w:val="nil"/>
              <w:left w:val="single" w:sz="2" w:space="0" w:color="000000"/>
              <w:bottom w:val="single" w:sz="2" w:space="0" w:color="000000"/>
              <w:right w:val="nil"/>
            </w:tcBorders>
            <w:shd w:val="clear" w:color="auto" w:fill="FFFFFF"/>
            <w:tcMar>
              <w:left w:w="80" w:type="dxa"/>
              <w:right w:w="80" w:type="dxa"/>
            </w:tcMar>
          </w:tcPr>
          <w:p w14:paraId="78A4A252"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-2.45</w:t>
            </w:r>
          </w:p>
        </w:tc>
        <w:tc>
          <w:tcPr>
            <w:tcW w:w="693" w:type="pct"/>
            <w:tcBorders>
              <w:top w:val="nil"/>
              <w:left w:val="single" w:sz="2" w:space="0" w:color="000000"/>
              <w:bottom w:val="single" w:sz="2" w:space="0" w:color="000000"/>
              <w:right w:val="nil"/>
            </w:tcBorders>
            <w:shd w:val="clear" w:color="auto" w:fill="FFFFFF"/>
            <w:tcMar>
              <w:left w:w="80" w:type="dxa"/>
              <w:right w:w="80" w:type="dxa"/>
            </w:tcMar>
          </w:tcPr>
          <w:p w14:paraId="5EF40E7C"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0.06</w:t>
            </w:r>
          </w:p>
        </w:tc>
        <w:tc>
          <w:tcPr>
            <w:tcW w:w="910" w:type="pct"/>
            <w:tcBorders>
              <w:top w:val="nil"/>
              <w:left w:val="single" w:sz="2" w:space="0" w:color="000000"/>
              <w:bottom w:val="single" w:sz="2" w:space="0" w:color="000000"/>
              <w:right w:val="single" w:sz="6" w:space="0" w:color="000000"/>
            </w:tcBorders>
            <w:shd w:val="clear" w:color="auto" w:fill="FFFFFF"/>
            <w:tcMar>
              <w:left w:w="80" w:type="dxa"/>
              <w:right w:w="80" w:type="dxa"/>
            </w:tcMar>
          </w:tcPr>
          <w:p w14:paraId="53DC9E10"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-1.19 (-2.45, 0.06)</w:t>
            </w:r>
          </w:p>
        </w:tc>
      </w:tr>
      <w:tr w:rsidR="00DF3B48" w:rsidRPr="00DF3B48" w14:paraId="7C3D3DB2" w14:textId="77777777" w:rsidTr="00DF3B48">
        <w:trPr>
          <w:cantSplit/>
          <w:jc w:val="center"/>
        </w:trPr>
        <w:tc>
          <w:tcPr>
            <w:tcW w:w="291" w:type="pct"/>
            <w:tcBorders>
              <w:top w:val="nil"/>
              <w:left w:val="single" w:sz="6" w:space="0" w:color="000000"/>
              <w:bottom w:val="single" w:sz="2" w:space="0" w:color="000000"/>
              <w:right w:val="nil"/>
            </w:tcBorders>
            <w:shd w:val="clear" w:color="auto" w:fill="FFFFFF"/>
            <w:tcMar>
              <w:left w:w="80" w:type="dxa"/>
              <w:right w:w="80" w:type="dxa"/>
            </w:tcMar>
          </w:tcPr>
          <w:p w14:paraId="4CDC755E"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0.04</w:t>
            </w:r>
          </w:p>
        </w:tc>
        <w:tc>
          <w:tcPr>
            <w:tcW w:w="340" w:type="pct"/>
            <w:tcBorders>
              <w:top w:val="nil"/>
              <w:left w:val="single" w:sz="2" w:space="0" w:color="000000"/>
              <w:bottom w:val="single" w:sz="2" w:space="0" w:color="000000"/>
              <w:right w:val="nil"/>
            </w:tcBorders>
            <w:shd w:val="clear" w:color="auto" w:fill="FFFFFF"/>
            <w:tcMar>
              <w:left w:w="80" w:type="dxa"/>
              <w:right w:w="80" w:type="dxa"/>
            </w:tcMar>
          </w:tcPr>
          <w:p w14:paraId="408F702A"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0.192</w:t>
            </w:r>
          </w:p>
        </w:tc>
        <w:tc>
          <w:tcPr>
            <w:tcW w:w="340" w:type="pct"/>
            <w:tcBorders>
              <w:top w:val="nil"/>
              <w:left w:val="single" w:sz="2" w:space="0" w:color="000000"/>
              <w:bottom w:val="single" w:sz="2" w:space="0" w:color="000000"/>
              <w:right w:val="nil"/>
            </w:tcBorders>
            <w:shd w:val="clear" w:color="auto" w:fill="FFFFFF"/>
            <w:tcMar>
              <w:left w:w="80" w:type="dxa"/>
              <w:right w:w="80" w:type="dxa"/>
            </w:tcMar>
          </w:tcPr>
          <w:p w14:paraId="59CECD01"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0.133</w:t>
            </w:r>
          </w:p>
        </w:tc>
        <w:tc>
          <w:tcPr>
            <w:tcW w:w="351" w:type="pct"/>
            <w:tcBorders>
              <w:top w:val="nil"/>
              <w:left w:val="single" w:sz="2" w:space="0" w:color="000000"/>
              <w:bottom w:val="single" w:sz="2" w:space="0" w:color="000000"/>
              <w:right w:val="nil"/>
            </w:tcBorders>
            <w:shd w:val="clear" w:color="auto" w:fill="FFFFFF"/>
            <w:tcMar>
              <w:left w:w="80" w:type="dxa"/>
              <w:right w:w="80" w:type="dxa"/>
            </w:tcMar>
          </w:tcPr>
          <w:p w14:paraId="6D9B7FB8"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w:t>
            </w:r>
          </w:p>
        </w:tc>
        <w:tc>
          <w:tcPr>
            <w:tcW w:w="351" w:type="pct"/>
            <w:tcBorders>
              <w:top w:val="nil"/>
              <w:left w:val="single" w:sz="2" w:space="0" w:color="000000"/>
              <w:bottom w:val="single" w:sz="2" w:space="0" w:color="000000"/>
              <w:right w:val="nil"/>
            </w:tcBorders>
            <w:shd w:val="clear" w:color="auto" w:fill="FFFFFF"/>
            <w:tcMar>
              <w:left w:w="80" w:type="dxa"/>
              <w:right w:w="80" w:type="dxa"/>
            </w:tcMar>
          </w:tcPr>
          <w:p w14:paraId="017FA651"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w:t>
            </w:r>
          </w:p>
        </w:tc>
        <w:tc>
          <w:tcPr>
            <w:tcW w:w="318" w:type="pct"/>
            <w:tcBorders>
              <w:top w:val="nil"/>
              <w:left w:val="single" w:sz="2" w:space="0" w:color="000000"/>
              <w:bottom w:val="single" w:sz="2" w:space="0" w:color="000000"/>
              <w:right w:val="nil"/>
            </w:tcBorders>
            <w:shd w:val="clear" w:color="auto" w:fill="FFFFFF"/>
            <w:tcMar>
              <w:left w:w="80" w:type="dxa"/>
              <w:right w:w="80" w:type="dxa"/>
            </w:tcMar>
          </w:tcPr>
          <w:p w14:paraId="191C1744"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0.30</w:t>
            </w:r>
          </w:p>
        </w:tc>
        <w:tc>
          <w:tcPr>
            <w:tcW w:w="731" w:type="pct"/>
            <w:tcBorders>
              <w:top w:val="nil"/>
              <w:left w:val="single" w:sz="2" w:space="0" w:color="000000"/>
              <w:bottom w:val="single" w:sz="2" w:space="0" w:color="000000"/>
              <w:right w:val="nil"/>
            </w:tcBorders>
            <w:shd w:val="clear" w:color="auto" w:fill="FFFFFF"/>
            <w:tcMar>
              <w:left w:w="80" w:type="dxa"/>
              <w:right w:w="80" w:type="dxa"/>
            </w:tcMar>
          </w:tcPr>
          <w:p w14:paraId="65B55B20"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-1.04</w:t>
            </w:r>
          </w:p>
        </w:tc>
        <w:tc>
          <w:tcPr>
            <w:tcW w:w="676" w:type="pct"/>
            <w:tcBorders>
              <w:top w:val="nil"/>
              <w:left w:val="single" w:sz="2" w:space="0" w:color="000000"/>
              <w:bottom w:val="single" w:sz="2" w:space="0" w:color="000000"/>
              <w:right w:val="nil"/>
            </w:tcBorders>
            <w:shd w:val="clear" w:color="auto" w:fill="FFFFFF"/>
            <w:tcMar>
              <w:left w:w="80" w:type="dxa"/>
              <w:right w:w="80" w:type="dxa"/>
            </w:tcMar>
          </w:tcPr>
          <w:p w14:paraId="7975D4A4"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-2.30</w:t>
            </w:r>
          </w:p>
        </w:tc>
        <w:tc>
          <w:tcPr>
            <w:tcW w:w="693" w:type="pct"/>
            <w:tcBorders>
              <w:top w:val="nil"/>
              <w:left w:val="single" w:sz="2" w:space="0" w:color="000000"/>
              <w:bottom w:val="single" w:sz="2" w:space="0" w:color="000000"/>
              <w:right w:val="nil"/>
            </w:tcBorders>
            <w:shd w:val="clear" w:color="auto" w:fill="FFFFFF"/>
            <w:tcMar>
              <w:left w:w="80" w:type="dxa"/>
              <w:right w:w="80" w:type="dxa"/>
            </w:tcMar>
          </w:tcPr>
          <w:p w14:paraId="386BA365"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0.21</w:t>
            </w:r>
          </w:p>
        </w:tc>
        <w:tc>
          <w:tcPr>
            <w:tcW w:w="910" w:type="pct"/>
            <w:tcBorders>
              <w:top w:val="nil"/>
              <w:left w:val="single" w:sz="2" w:space="0" w:color="000000"/>
              <w:bottom w:val="single" w:sz="2" w:space="0" w:color="000000"/>
              <w:right w:val="single" w:sz="6" w:space="0" w:color="000000"/>
            </w:tcBorders>
            <w:shd w:val="clear" w:color="auto" w:fill="FFFFFF"/>
            <w:tcMar>
              <w:left w:w="80" w:type="dxa"/>
              <w:right w:w="80" w:type="dxa"/>
            </w:tcMar>
          </w:tcPr>
          <w:p w14:paraId="1468316F"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-1.04 (-2.30, 0.21)</w:t>
            </w:r>
          </w:p>
        </w:tc>
      </w:tr>
      <w:tr w:rsidR="00DF3B48" w:rsidRPr="00DF3B48" w14:paraId="65EA97A8" w14:textId="77777777" w:rsidTr="00DF3B48">
        <w:trPr>
          <w:cantSplit/>
          <w:jc w:val="center"/>
        </w:trPr>
        <w:tc>
          <w:tcPr>
            <w:tcW w:w="291" w:type="pct"/>
            <w:tcBorders>
              <w:top w:val="nil"/>
              <w:left w:val="single" w:sz="6" w:space="0" w:color="000000"/>
              <w:bottom w:val="single" w:sz="2" w:space="0" w:color="000000"/>
              <w:right w:val="nil"/>
            </w:tcBorders>
            <w:shd w:val="clear" w:color="auto" w:fill="FFFFFF"/>
            <w:tcMar>
              <w:left w:w="80" w:type="dxa"/>
              <w:right w:w="80" w:type="dxa"/>
            </w:tcMar>
          </w:tcPr>
          <w:p w14:paraId="5474D5B7"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0.02</w:t>
            </w:r>
          </w:p>
        </w:tc>
        <w:tc>
          <w:tcPr>
            <w:tcW w:w="340" w:type="pct"/>
            <w:tcBorders>
              <w:top w:val="nil"/>
              <w:left w:val="single" w:sz="2" w:space="0" w:color="000000"/>
              <w:bottom w:val="single" w:sz="2" w:space="0" w:color="000000"/>
              <w:right w:val="nil"/>
            </w:tcBorders>
            <w:shd w:val="clear" w:color="auto" w:fill="FFFFFF"/>
            <w:tcMar>
              <w:left w:w="80" w:type="dxa"/>
              <w:right w:w="80" w:type="dxa"/>
            </w:tcMar>
          </w:tcPr>
          <w:p w14:paraId="2137B7A8"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0.192</w:t>
            </w:r>
          </w:p>
        </w:tc>
        <w:tc>
          <w:tcPr>
            <w:tcW w:w="340" w:type="pct"/>
            <w:tcBorders>
              <w:top w:val="nil"/>
              <w:left w:val="single" w:sz="2" w:space="0" w:color="000000"/>
              <w:bottom w:val="single" w:sz="2" w:space="0" w:color="000000"/>
              <w:right w:val="nil"/>
            </w:tcBorders>
            <w:shd w:val="clear" w:color="auto" w:fill="FFFFFF"/>
            <w:tcMar>
              <w:left w:w="80" w:type="dxa"/>
              <w:right w:w="80" w:type="dxa"/>
            </w:tcMar>
          </w:tcPr>
          <w:p w14:paraId="718D6A44"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0.133</w:t>
            </w:r>
          </w:p>
        </w:tc>
        <w:tc>
          <w:tcPr>
            <w:tcW w:w="351" w:type="pct"/>
            <w:tcBorders>
              <w:top w:val="nil"/>
              <w:left w:val="single" w:sz="2" w:space="0" w:color="000000"/>
              <w:bottom w:val="single" w:sz="2" w:space="0" w:color="000000"/>
              <w:right w:val="nil"/>
            </w:tcBorders>
            <w:shd w:val="clear" w:color="auto" w:fill="FFFFFF"/>
            <w:tcMar>
              <w:left w:w="80" w:type="dxa"/>
              <w:right w:w="80" w:type="dxa"/>
            </w:tcMar>
          </w:tcPr>
          <w:p w14:paraId="5932A26C"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w:t>
            </w:r>
          </w:p>
        </w:tc>
        <w:tc>
          <w:tcPr>
            <w:tcW w:w="351" w:type="pct"/>
            <w:tcBorders>
              <w:top w:val="nil"/>
              <w:left w:val="single" w:sz="2" w:space="0" w:color="000000"/>
              <w:bottom w:val="single" w:sz="2" w:space="0" w:color="000000"/>
              <w:right w:val="nil"/>
            </w:tcBorders>
            <w:shd w:val="clear" w:color="auto" w:fill="FFFFFF"/>
            <w:tcMar>
              <w:left w:w="80" w:type="dxa"/>
              <w:right w:w="80" w:type="dxa"/>
            </w:tcMar>
          </w:tcPr>
          <w:p w14:paraId="068DDC7C"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w:t>
            </w:r>
          </w:p>
        </w:tc>
        <w:tc>
          <w:tcPr>
            <w:tcW w:w="318" w:type="pct"/>
            <w:tcBorders>
              <w:top w:val="nil"/>
              <w:left w:val="single" w:sz="2" w:space="0" w:color="000000"/>
              <w:bottom w:val="single" w:sz="2" w:space="0" w:color="000000"/>
              <w:right w:val="nil"/>
            </w:tcBorders>
            <w:shd w:val="clear" w:color="auto" w:fill="FFFFFF"/>
            <w:tcMar>
              <w:left w:w="80" w:type="dxa"/>
              <w:right w:w="80" w:type="dxa"/>
            </w:tcMar>
          </w:tcPr>
          <w:p w14:paraId="0B502CF5"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-0.26</w:t>
            </w:r>
          </w:p>
        </w:tc>
        <w:tc>
          <w:tcPr>
            <w:tcW w:w="731" w:type="pct"/>
            <w:tcBorders>
              <w:top w:val="nil"/>
              <w:left w:val="single" w:sz="2" w:space="0" w:color="000000"/>
              <w:bottom w:val="single" w:sz="2" w:space="0" w:color="000000"/>
              <w:right w:val="nil"/>
            </w:tcBorders>
            <w:shd w:val="clear" w:color="auto" w:fill="FFFFFF"/>
            <w:tcMar>
              <w:left w:w="80" w:type="dxa"/>
              <w:right w:w="80" w:type="dxa"/>
            </w:tcMar>
          </w:tcPr>
          <w:p w14:paraId="1DD9776A"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-1.60</w:t>
            </w:r>
          </w:p>
        </w:tc>
        <w:tc>
          <w:tcPr>
            <w:tcW w:w="676" w:type="pct"/>
            <w:tcBorders>
              <w:top w:val="nil"/>
              <w:left w:val="single" w:sz="2" w:space="0" w:color="000000"/>
              <w:bottom w:val="single" w:sz="2" w:space="0" w:color="000000"/>
              <w:right w:val="nil"/>
            </w:tcBorders>
            <w:shd w:val="clear" w:color="auto" w:fill="FFFFFF"/>
            <w:tcMar>
              <w:left w:w="80" w:type="dxa"/>
              <w:right w:w="80" w:type="dxa"/>
            </w:tcMar>
          </w:tcPr>
          <w:p w14:paraId="3AC6F121"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-2.86</w:t>
            </w:r>
          </w:p>
        </w:tc>
        <w:tc>
          <w:tcPr>
            <w:tcW w:w="693" w:type="pct"/>
            <w:tcBorders>
              <w:top w:val="nil"/>
              <w:left w:val="single" w:sz="2" w:space="0" w:color="000000"/>
              <w:bottom w:val="single" w:sz="2" w:space="0" w:color="000000"/>
              <w:right w:val="nil"/>
            </w:tcBorders>
            <w:shd w:val="clear" w:color="auto" w:fill="FFFFFF"/>
            <w:tcMar>
              <w:left w:w="80" w:type="dxa"/>
              <w:right w:w="80" w:type="dxa"/>
            </w:tcMar>
          </w:tcPr>
          <w:p w14:paraId="7D1D4DBC"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-0.35</w:t>
            </w:r>
          </w:p>
        </w:tc>
        <w:tc>
          <w:tcPr>
            <w:tcW w:w="910" w:type="pct"/>
            <w:tcBorders>
              <w:top w:val="nil"/>
              <w:left w:val="single" w:sz="2" w:space="0" w:color="000000"/>
              <w:bottom w:val="single" w:sz="2" w:space="0" w:color="000000"/>
              <w:right w:val="single" w:sz="6" w:space="0" w:color="000000"/>
            </w:tcBorders>
            <w:shd w:val="clear" w:color="auto" w:fill="FFFFFF"/>
            <w:tcMar>
              <w:left w:w="80" w:type="dxa"/>
              <w:right w:w="80" w:type="dxa"/>
            </w:tcMar>
          </w:tcPr>
          <w:p w14:paraId="683C21D3"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-1.60 (-2.86, -0.35)</w:t>
            </w:r>
          </w:p>
        </w:tc>
      </w:tr>
      <w:tr w:rsidR="00DF3B48" w:rsidRPr="00DF3B48" w14:paraId="63258317" w14:textId="77777777" w:rsidTr="00DF3B48">
        <w:trPr>
          <w:cantSplit/>
          <w:jc w:val="center"/>
        </w:trPr>
        <w:tc>
          <w:tcPr>
            <w:tcW w:w="291" w:type="pct"/>
            <w:tcBorders>
              <w:top w:val="nil"/>
              <w:left w:val="single" w:sz="6" w:space="0" w:color="000000"/>
              <w:bottom w:val="single" w:sz="2" w:space="0" w:color="000000"/>
              <w:right w:val="nil"/>
            </w:tcBorders>
            <w:shd w:val="clear" w:color="auto" w:fill="FFFFFF"/>
            <w:tcMar>
              <w:left w:w="80" w:type="dxa"/>
              <w:right w:w="80" w:type="dxa"/>
            </w:tcMar>
          </w:tcPr>
          <w:p w14:paraId="73C8F978"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0.04</w:t>
            </w:r>
          </w:p>
        </w:tc>
        <w:tc>
          <w:tcPr>
            <w:tcW w:w="340" w:type="pct"/>
            <w:tcBorders>
              <w:top w:val="nil"/>
              <w:left w:val="single" w:sz="2" w:space="0" w:color="000000"/>
              <w:bottom w:val="single" w:sz="2" w:space="0" w:color="000000"/>
              <w:right w:val="nil"/>
            </w:tcBorders>
            <w:shd w:val="clear" w:color="auto" w:fill="FFFFFF"/>
            <w:tcMar>
              <w:left w:w="80" w:type="dxa"/>
              <w:right w:w="80" w:type="dxa"/>
            </w:tcMar>
          </w:tcPr>
          <w:p w14:paraId="001770F3"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0.192</w:t>
            </w:r>
          </w:p>
        </w:tc>
        <w:tc>
          <w:tcPr>
            <w:tcW w:w="340" w:type="pct"/>
            <w:tcBorders>
              <w:top w:val="nil"/>
              <w:left w:val="single" w:sz="2" w:space="0" w:color="000000"/>
              <w:bottom w:val="single" w:sz="2" w:space="0" w:color="000000"/>
              <w:right w:val="nil"/>
            </w:tcBorders>
            <w:shd w:val="clear" w:color="auto" w:fill="FFFFFF"/>
            <w:tcMar>
              <w:left w:w="80" w:type="dxa"/>
              <w:right w:w="80" w:type="dxa"/>
            </w:tcMar>
          </w:tcPr>
          <w:p w14:paraId="1E54D39A"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0.133</w:t>
            </w:r>
          </w:p>
        </w:tc>
        <w:tc>
          <w:tcPr>
            <w:tcW w:w="351" w:type="pct"/>
            <w:tcBorders>
              <w:top w:val="nil"/>
              <w:left w:val="single" w:sz="2" w:space="0" w:color="000000"/>
              <w:bottom w:val="single" w:sz="2" w:space="0" w:color="000000"/>
              <w:right w:val="nil"/>
            </w:tcBorders>
            <w:shd w:val="clear" w:color="auto" w:fill="FFFFFF"/>
            <w:tcMar>
              <w:left w:w="80" w:type="dxa"/>
              <w:right w:w="80" w:type="dxa"/>
            </w:tcMar>
          </w:tcPr>
          <w:p w14:paraId="37466CB3"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w:t>
            </w:r>
          </w:p>
        </w:tc>
        <w:tc>
          <w:tcPr>
            <w:tcW w:w="351" w:type="pct"/>
            <w:tcBorders>
              <w:top w:val="nil"/>
              <w:left w:val="single" w:sz="2" w:space="0" w:color="000000"/>
              <w:bottom w:val="single" w:sz="2" w:space="0" w:color="000000"/>
              <w:right w:val="nil"/>
            </w:tcBorders>
            <w:shd w:val="clear" w:color="auto" w:fill="FFFFFF"/>
            <w:tcMar>
              <w:left w:w="80" w:type="dxa"/>
              <w:right w:w="80" w:type="dxa"/>
            </w:tcMar>
          </w:tcPr>
          <w:p w14:paraId="23C4E785"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w:t>
            </w:r>
          </w:p>
        </w:tc>
        <w:tc>
          <w:tcPr>
            <w:tcW w:w="318" w:type="pct"/>
            <w:tcBorders>
              <w:top w:val="nil"/>
              <w:left w:val="single" w:sz="2" w:space="0" w:color="000000"/>
              <w:bottom w:val="single" w:sz="2" w:space="0" w:color="000000"/>
              <w:right w:val="nil"/>
            </w:tcBorders>
            <w:shd w:val="clear" w:color="auto" w:fill="FFFFFF"/>
            <w:tcMar>
              <w:left w:w="80" w:type="dxa"/>
              <w:right w:w="80" w:type="dxa"/>
            </w:tcMar>
          </w:tcPr>
          <w:p w14:paraId="53F2A0A6"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-0.21</w:t>
            </w:r>
          </w:p>
        </w:tc>
        <w:tc>
          <w:tcPr>
            <w:tcW w:w="731" w:type="pct"/>
            <w:tcBorders>
              <w:top w:val="nil"/>
              <w:left w:val="single" w:sz="2" w:space="0" w:color="000000"/>
              <w:bottom w:val="single" w:sz="2" w:space="0" w:color="000000"/>
              <w:right w:val="nil"/>
            </w:tcBorders>
            <w:shd w:val="clear" w:color="auto" w:fill="FFFFFF"/>
            <w:tcMar>
              <w:left w:w="80" w:type="dxa"/>
              <w:right w:w="80" w:type="dxa"/>
            </w:tcMar>
          </w:tcPr>
          <w:p w14:paraId="1E09D726"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-1.55</w:t>
            </w:r>
          </w:p>
        </w:tc>
        <w:tc>
          <w:tcPr>
            <w:tcW w:w="676" w:type="pct"/>
            <w:tcBorders>
              <w:top w:val="nil"/>
              <w:left w:val="single" w:sz="2" w:space="0" w:color="000000"/>
              <w:bottom w:val="single" w:sz="2" w:space="0" w:color="000000"/>
              <w:right w:val="nil"/>
            </w:tcBorders>
            <w:shd w:val="clear" w:color="auto" w:fill="FFFFFF"/>
            <w:tcMar>
              <w:left w:w="80" w:type="dxa"/>
              <w:right w:w="80" w:type="dxa"/>
            </w:tcMar>
          </w:tcPr>
          <w:p w14:paraId="7A8F9448"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-2.81</w:t>
            </w:r>
          </w:p>
        </w:tc>
        <w:tc>
          <w:tcPr>
            <w:tcW w:w="693" w:type="pct"/>
            <w:tcBorders>
              <w:top w:val="nil"/>
              <w:left w:val="single" w:sz="2" w:space="0" w:color="000000"/>
              <w:bottom w:val="single" w:sz="2" w:space="0" w:color="000000"/>
              <w:right w:val="nil"/>
            </w:tcBorders>
            <w:shd w:val="clear" w:color="auto" w:fill="FFFFFF"/>
            <w:tcMar>
              <w:left w:w="80" w:type="dxa"/>
              <w:right w:w="80" w:type="dxa"/>
            </w:tcMar>
          </w:tcPr>
          <w:p w14:paraId="7138994C"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-0.30</w:t>
            </w:r>
          </w:p>
        </w:tc>
        <w:tc>
          <w:tcPr>
            <w:tcW w:w="910" w:type="pct"/>
            <w:tcBorders>
              <w:top w:val="nil"/>
              <w:left w:val="single" w:sz="2" w:space="0" w:color="000000"/>
              <w:bottom w:val="single" w:sz="2" w:space="0" w:color="000000"/>
              <w:right w:val="single" w:sz="6" w:space="0" w:color="000000"/>
            </w:tcBorders>
            <w:shd w:val="clear" w:color="auto" w:fill="FFFFFF"/>
            <w:tcMar>
              <w:left w:w="80" w:type="dxa"/>
              <w:right w:w="80" w:type="dxa"/>
            </w:tcMar>
          </w:tcPr>
          <w:p w14:paraId="235DDE4A"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-1.55 (-2.81, -0.30)</w:t>
            </w:r>
          </w:p>
        </w:tc>
      </w:tr>
      <w:tr w:rsidR="00DF3B48" w:rsidRPr="00DF3B48" w14:paraId="3C8D0E0A" w14:textId="77777777" w:rsidTr="00DF3B48">
        <w:trPr>
          <w:cantSplit/>
          <w:jc w:val="center"/>
        </w:trPr>
        <w:tc>
          <w:tcPr>
            <w:tcW w:w="291" w:type="pct"/>
            <w:tcBorders>
              <w:top w:val="nil"/>
              <w:left w:val="single" w:sz="6" w:space="0" w:color="000000"/>
              <w:bottom w:val="single" w:sz="2" w:space="0" w:color="000000"/>
              <w:right w:val="nil"/>
            </w:tcBorders>
            <w:shd w:val="clear" w:color="auto" w:fill="FFFFFF"/>
            <w:tcMar>
              <w:left w:w="80" w:type="dxa"/>
              <w:right w:w="80" w:type="dxa"/>
            </w:tcMar>
          </w:tcPr>
          <w:p w14:paraId="3122EAC3"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0.02</w:t>
            </w:r>
          </w:p>
        </w:tc>
        <w:tc>
          <w:tcPr>
            <w:tcW w:w="340" w:type="pct"/>
            <w:tcBorders>
              <w:top w:val="nil"/>
              <w:left w:val="single" w:sz="2" w:space="0" w:color="000000"/>
              <w:bottom w:val="single" w:sz="2" w:space="0" w:color="000000"/>
              <w:right w:val="nil"/>
            </w:tcBorders>
            <w:shd w:val="clear" w:color="auto" w:fill="FFFFFF"/>
            <w:tcMar>
              <w:left w:w="80" w:type="dxa"/>
              <w:right w:w="80" w:type="dxa"/>
            </w:tcMar>
          </w:tcPr>
          <w:p w14:paraId="239519C7"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0.192</w:t>
            </w:r>
          </w:p>
        </w:tc>
        <w:tc>
          <w:tcPr>
            <w:tcW w:w="340" w:type="pct"/>
            <w:tcBorders>
              <w:top w:val="nil"/>
              <w:left w:val="single" w:sz="2" w:space="0" w:color="000000"/>
              <w:bottom w:val="single" w:sz="2" w:space="0" w:color="000000"/>
              <w:right w:val="nil"/>
            </w:tcBorders>
            <w:shd w:val="clear" w:color="auto" w:fill="FFFFFF"/>
            <w:tcMar>
              <w:left w:w="80" w:type="dxa"/>
              <w:right w:w="80" w:type="dxa"/>
            </w:tcMar>
          </w:tcPr>
          <w:p w14:paraId="2A0AA017"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0.133</w:t>
            </w:r>
          </w:p>
        </w:tc>
        <w:tc>
          <w:tcPr>
            <w:tcW w:w="351" w:type="pct"/>
            <w:tcBorders>
              <w:top w:val="nil"/>
              <w:left w:val="single" w:sz="2" w:space="0" w:color="000000"/>
              <w:bottom w:val="single" w:sz="2" w:space="0" w:color="000000"/>
              <w:right w:val="nil"/>
            </w:tcBorders>
            <w:shd w:val="clear" w:color="auto" w:fill="FFFFFF"/>
            <w:tcMar>
              <w:left w:w="80" w:type="dxa"/>
              <w:right w:w="80" w:type="dxa"/>
            </w:tcMar>
          </w:tcPr>
          <w:p w14:paraId="74AC600E"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w:t>
            </w:r>
          </w:p>
        </w:tc>
        <w:tc>
          <w:tcPr>
            <w:tcW w:w="351" w:type="pct"/>
            <w:tcBorders>
              <w:top w:val="nil"/>
              <w:left w:val="single" w:sz="2" w:space="0" w:color="000000"/>
              <w:bottom w:val="single" w:sz="2" w:space="0" w:color="000000"/>
              <w:right w:val="nil"/>
            </w:tcBorders>
            <w:shd w:val="clear" w:color="auto" w:fill="FFFFFF"/>
            <w:tcMar>
              <w:left w:w="80" w:type="dxa"/>
              <w:right w:w="80" w:type="dxa"/>
            </w:tcMar>
          </w:tcPr>
          <w:p w14:paraId="13EDE0CA"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2</w:t>
            </w:r>
          </w:p>
        </w:tc>
        <w:tc>
          <w:tcPr>
            <w:tcW w:w="318" w:type="pct"/>
            <w:tcBorders>
              <w:top w:val="nil"/>
              <w:left w:val="single" w:sz="2" w:space="0" w:color="000000"/>
              <w:bottom w:val="single" w:sz="2" w:space="0" w:color="000000"/>
              <w:right w:val="nil"/>
            </w:tcBorders>
            <w:shd w:val="clear" w:color="auto" w:fill="FFFFFF"/>
            <w:tcMar>
              <w:left w:w="80" w:type="dxa"/>
              <w:right w:w="80" w:type="dxa"/>
            </w:tcMar>
          </w:tcPr>
          <w:p w14:paraId="27D567D9"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-0.67</w:t>
            </w:r>
          </w:p>
        </w:tc>
        <w:tc>
          <w:tcPr>
            <w:tcW w:w="731" w:type="pct"/>
            <w:tcBorders>
              <w:top w:val="nil"/>
              <w:left w:val="single" w:sz="2" w:space="0" w:color="000000"/>
              <w:bottom w:val="single" w:sz="2" w:space="0" w:color="000000"/>
              <w:right w:val="nil"/>
            </w:tcBorders>
            <w:shd w:val="clear" w:color="auto" w:fill="FFFFFF"/>
            <w:tcMar>
              <w:left w:w="80" w:type="dxa"/>
              <w:right w:w="80" w:type="dxa"/>
            </w:tcMar>
          </w:tcPr>
          <w:p w14:paraId="40FDA7BB"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-2.01</w:t>
            </w:r>
          </w:p>
        </w:tc>
        <w:tc>
          <w:tcPr>
            <w:tcW w:w="676" w:type="pct"/>
            <w:tcBorders>
              <w:top w:val="nil"/>
              <w:left w:val="single" w:sz="2" w:space="0" w:color="000000"/>
              <w:bottom w:val="single" w:sz="2" w:space="0" w:color="000000"/>
              <w:right w:val="nil"/>
            </w:tcBorders>
            <w:shd w:val="clear" w:color="auto" w:fill="FFFFFF"/>
            <w:tcMar>
              <w:left w:w="80" w:type="dxa"/>
              <w:right w:w="80" w:type="dxa"/>
            </w:tcMar>
          </w:tcPr>
          <w:p w14:paraId="5E1877BD"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-3.27</w:t>
            </w:r>
          </w:p>
        </w:tc>
        <w:tc>
          <w:tcPr>
            <w:tcW w:w="693" w:type="pct"/>
            <w:tcBorders>
              <w:top w:val="nil"/>
              <w:left w:val="single" w:sz="2" w:space="0" w:color="000000"/>
              <w:bottom w:val="single" w:sz="2" w:space="0" w:color="000000"/>
              <w:right w:val="nil"/>
            </w:tcBorders>
            <w:shd w:val="clear" w:color="auto" w:fill="FFFFFF"/>
            <w:tcMar>
              <w:left w:w="80" w:type="dxa"/>
              <w:right w:w="80" w:type="dxa"/>
            </w:tcMar>
          </w:tcPr>
          <w:p w14:paraId="6BB68073"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-0.76</w:t>
            </w:r>
          </w:p>
        </w:tc>
        <w:tc>
          <w:tcPr>
            <w:tcW w:w="910" w:type="pct"/>
            <w:tcBorders>
              <w:top w:val="nil"/>
              <w:left w:val="single" w:sz="2" w:space="0" w:color="000000"/>
              <w:bottom w:val="single" w:sz="2" w:space="0" w:color="000000"/>
              <w:right w:val="single" w:sz="6" w:space="0" w:color="000000"/>
            </w:tcBorders>
            <w:shd w:val="clear" w:color="auto" w:fill="FFFFFF"/>
            <w:tcMar>
              <w:left w:w="80" w:type="dxa"/>
              <w:right w:w="80" w:type="dxa"/>
            </w:tcMar>
          </w:tcPr>
          <w:p w14:paraId="536AA01B"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-2.01 (-3.27, -0.76)</w:t>
            </w:r>
          </w:p>
        </w:tc>
      </w:tr>
      <w:tr w:rsidR="00DF3B48" w:rsidRPr="00DF3B48" w14:paraId="194929E1" w14:textId="77777777" w:rsidTr="00DF3B48">
        <w:trPr>
          <w:cantSplit/>
          <w:jc w:val="center"/>
        </w:trPr>
        <w:tc>
          <w:tcPr>
            <w:tcW w:w="291" w:type="pct"/>
            <w:tcBorders>
              <w:top w:val="nil"/>
              <w:left w:val="single" w:sz="6" w:space="0" w:color="000000"/>
              <w:bottom w:val="single" w:sz="2" w:space="0" w:color="000000"/>
              <w:right w:val="nil"/>
            </w:tcBorders>
            <w:shd w:val="clear" w:color="auto" w:fill="FFFFFF"/>
            <w:tcMar>
              <w:left w:w="80" w:type="dxa"/>
              <w:right w:w="80" w:type="dxa"/>
            </w:tcMar>
          </w:tcPr>
          <w:p w14:paraId="0A60747F"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0.04</w:t>
            </w:r>
          </w:p>
        </w:tc>
        <w:tc>
          <w:tcPr>
            <w:tcW w:w="340" w:type="pct"/>
            <w:tcBorders>
              <w:top w:val="nil"/>
              <w:left w:val="single" w:sz="2" w:space="0" w:color="000000"/>
              <w:bottom w:val="single" w:sz="2" w:space="0" w:color="000000"/>
              <w:right w:val="nil"/>
            </w:tcBorders>
            <w:shd w:val="clear" w:color="auto" w:fill="FFFFFF"/>
            <w:tcMar>
              <w:left w:w="80" w:type="dxa"/>
              <w:right w:w="80" w:type="dxa"/>
            </w:tcMar>
          </w:tcPr>
          <w:p w14:paraId="3161DDF7"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0.192</w:t>
            </w:r>
          </w:p>
        </w:tc>
        <w:tc>
          <w:tcPr>
            <w:tcW w:w="340" w:type="pct"/>
            <w:tcBorders>
              <w:top w:val="nil"/>
              <w:left w:val="single" w:sz="2" w:space="0" w:color="000000"/>
              <w:bottom w:val="single" w:sz="2" w:space="0" w:color="000000"/>
              <w:right w:val="nil"/>
            </w:tcBorders>
            <w:shd w:val="clear" w:color="auto" w:fill="FFFFFF"/>
            <w:tcMar>
              <w:left w:w="80" w:type="dxa"/>
              <w:right w:w="80" w:type="dxa"/>
            </w:tcMar>
          </w:tcPr>
          <w:p w14:paraId="128D1E8E"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0.133</w:t>
            </w:r>
          </w:p>
        </w:tc>
        <w:tc>
          <w:tcPr>
            <w:tcW w:w="351" w:type="pct"/>
            <w:tcBorders>
              <w:top w:val="nil"/>
              <w:left w:val="single" w:sz="2" w:space="0" w:color="000000"/>
              <w:bottom w:val="single" w:sz="2" w:space="0" w:color="000000"/>
              <w:right w:val="nil"/>
            </w:tcBorders>
            <w:shd w:val="clear" w:color="auto" w:fill="FFFFFF"/>
            <w:tcMar>
              <w:left w:w="80" w:type="dxa"/>
              <w:right w:w="80" w:type="dxa"/>
            </w:tcMar>
          </w:tcPr>
          <w:p w14:paraId="4AD9EE8C"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w:t>
            </w:r>
          </w:p>
        </w:tc>
        <w:tc>
          <w:tcPr>
            <w:tcW w:w="351" w:type="pct"/>
            <w:tcBorders>
              <w:top w:val="nil"/>
              <w:left w:val="single" w:sz="2" w:space="0" w:color="000000"/>
              <w:bottom w:val="single" w:sz="2" w:space="0" w:color="000000"/>
              <w:right w:val="nil"/>
            </w:tcBorders>
            <w:shd w:val="clear" w:color="auto" w:fill="FFFFFF"/>
            <w:tcMar>
              <w:left w:w="80" w:type="dxa"/>
              <w:right w:w="80" w:type="dxa"/>
            </w:tcMar>
          </w:tcPr>
          <w:p w14:paraId="25A15D35"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2</w:t>
            </w:r>
          </w:p>
        </w:tc>
        <w:tc>
          <w:tcPr>
            <w:tcW w:w="318" w:type="pct"/>
            <w:tcBorders>
              <w:top w:val="nil"/>
              <w:left w:val="single" w:sz="2" w:space="0" w:color="000000"/>
              <w:bottom w:val="single" w:sz="2" w:space="0" w:color="000000"/>
              <w:right w:val="nil"/>
            </w:tcBorders>
            <w:shd w:val="clear" w:color="auto" w:fill="FFFFFF"/>
            <w:tcMar>
              <w:left w:w="80" w:type="dxa"/>
              <w:right w:w="80" w:type="dxa"/>
            </w:tcMar>
          </w:tcPr>
          <w:p w14:paraId="3A8186C2"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-0.73</w:t>
            </w:r>
          </w:p>
        </w:tc>
        <w:tc>
          <w:tcPr>
            <w:tcW w:w="731" w:type="pct"/>
            <w:tcBorders>
              <w:top w:val="nil"/>
              <w:left w:val="single" w:sz="2" w:space="0" w:color="000000"/>
              <w:bottom w:val="single" w:sz="2" w:space="0" w:color="000000"/>
              <w:right w:val="nil"/>
            </w:tcBorders>
            <w:shd w:val="clear" w:color="auto" w:fill="FFFFFF"/>
            <w:tcMar>
              <w:left w:w="80" w:type="dxa"/>
              <w:right w:w="80" w:type="dxa"/>
            </w:tcMar>
          </w:tcPr>
          <w:p w14:paraId="161B856A"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-2.07</w:t>
            </w:r>
          </w:p>
        </w:tc>
        <w:tc>
          <w:tcPr>
            <w:tcW w:w="676" w:type="pct"/>
            <w:tcBorders>
              <w:top w:val="nil"/>
              <w:left w:val="single" w:sz="2" w:space="0" w:color="000000"/>
              <w:bottom w:val="single" w:sz="2" w:space="0" w:color="000000"/>
              <w:right w:val="nil"/>
            </w:tcBorders>
            <w:shd w:val="clear" w:color="auto" w:fill="FFFFFF"/>
            <w:tcMar>
              <w:left w:w="80" w:type="dxa"/>
              <w:right w:w="80" w:type="dxa"/>
            </w:tcMar>
          </w:tcPr>
          <w:p w14:paraId="38D9EB2E"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-3.33</w:t>
            </w:r>
          </w:p>
        </w:tc>
        <w:tc>
          <w:tcPr>
            <w:tcW w:w="693" w:type="pct"/>
            <w:tcBorders>
              <w:top w:val="nil"/>
              <w:left w:val="single" w:sz="2" w:space="0" w:color="000000"/>
              <w:bottom w:val="single" w:sz="2" w:space="0" w:color="000000"/>
              <w:right w:val="nil"/>
            </w:tcBorders>
            <w:shd w:val="clear" w:color="auto" w:fill="FFFFFF"/>
            <w:tcMar>
              <w:left w:w="80" w:type="dxa"/>
              <w:right w:w="80" w:type="dxa"/>
            </w:tcMar>
          </w:tcPr>
          <w:p w14:paraId="1B201BFB"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-0.82</w:t>
            </w:r>
          </w:p>
        </w:tc>
        <w:tc>
          <w:tcPr>
            <w:tcW w:w="910" w:type="pct"/>
            <w:tcBorders>
              <w:top w:val="nil"/>
              <w:left w:val="single" w:sz="2" w:space="0" w:color="000000"/>
              <w:bottom w:val="single" w:sz="2" w:space="0" w:color="000000"/>
              <w:right w:val="single" w:sz="6" w:space="0" w:color="000000"/>
            </w:tcBorders>
            <w:shd w:val="clear" w:color="auto" w:fill="FFFFFF"/>
            <w:tcMar>
              <w:left w:w="80" w:type="dxa"/>
              <w:right w:w="80" w:type="dxa"/>
            </w:tcMar>
          </w:tcPr>
          <w:p w14:paraId="39DE1E9C"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-2.07 (-3.33, -0.82)</w:t>
            </w:r>
          </w:p>
        </w:tc>
      </w:tr>
      <w:tr w:rsidR="00DF3B48" w:rsidRPr="00DF3B48" w14:paraId="77100B14" w14:textId="77777777" w:rsidTr="00DF3B48">
        <w:trPr>
          <w:cantSplit/>
          <w:jc w:val="center"/>
        </w:trPr>
        <w:tc>
          <w:tcPr>
            <w:tcW w:w="291" w:type="pct"/>
            <w:tcBorders>
              <w:top w:val="nil"/>
              <w:left w:val="single" w:sz="6" w:space="0" w:color="000000"/>
              <w:bottom w:val="single" w:sz="2" w:space="0" w:color="000000"/>
              <w:right w:val="nil"/>
            </w:tcBorders>
            <w:shd w:val="clear" w:color="auto" w:fill="FFFFFF"/>
            <w:tcMar>
              <w:left w:w="80" w:type="dxa"/>
              <w:right w:w="80" w:type="dxa"/>
            </w:tcMar>
          </w:tcPr>
          <w:p w14:paraId="26D86319"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0.02</w:t>
            </w:r>
          </w:p>
        </w:tc>
        <w:tc>
          <w:tcPr>
            <w:tcW w:w="340" w:type="pct"/>
            <w:tcBorders>
              <w:top w:val="nil"/>
              <w:left w:val="single" w:sz="2" w:space="0" w:color="000000"/>
              <w:bottom w:val="single" w:sz="2" w:space="0" w:color="000000"/>
              <w:right w:val="nil"/>
            </w:tcBorders>
            <w:shd w:val="clear" w:color="auto" w:fill="FFFFFF"/>
            <w:tcMar>
              <w:left w:w="80" w:type="dxa"/>
              <w:right w:w="80" w:type="dxa"/>
            </w:tcMar>
          </w:tcPr>
          <w:p w14:paraId="565E7F10"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0.192</w:t>
            </w:r>
          </w:p>
        </w:tc>
        <w:tc>
          <w:tcPr>
            <w:tcW w:w="340" w:type="pct"/>
            <w:tcBorders>
              <w:top w:val="nil"/>
              <w:left w:val="single" w:sz="2" w:space="0" w:color="000000"/>
              <w:bottom w:val="single" w:sz="2" w:space="0" w:color="000000"/>
              <w:right w:val="nil"/>
            </w:tcBorders>
            <w:shd w:val="clear" w:color="auto" w:fill="FFFFFF"/>
            <w:tcMar>
              <w:left w:w="80" w:type="dxa"/>
              <w:right w:w="80" w:type="dxa"/>
            </w:tcMar>
          </w:tcPr>
          <w:p w14:paraId="023D5F82"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0.133</w:t>
            </w:r>
          </w:p>
        </w:tc>
        <w:tc>
          <w:tcPr>
            <w:tcW w:w="351" w:type="pct"/>
            <w:tcBorders>
              <w:top w:val="nil"/>
              <w:left w:val="single" w:sz="2" w:space="0" w:color="000000"/>
              <w:bottom w:val="single" w:sz="2" w:space="0" w:color="000000"/>
              <w:right w:val="nil"/>
            </w:tcBorders>
            <w:shd w:val="clear" w:color="auto" w:fill="FFFFFF"/>
            <w:tcMar>
              <w:left w:w="80" w:type="dxa"/>
              <w:right w:w="80" w:type="dxa"/>
            </w:tcMar>
          </w:tcPr>
          <w:p w14:paraId="0785B7C6"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2</w:t>
            </w:r>
          </w:p>
        </w:tc>
        <w:tc>
          <w:tcPr>
            <w:tcW w:w="351" w:type="pct"/>
            <w:tcBorders>
              <w:top w:val="nil"/>
              <w:left w:val="single" w:sz="2" w:space="0" w:color="000000"/>
              <w:bottom w:val="single" w:sz="2" w:space="0" w:color="000000"/>
              <w:right w:val="nil"/>
            </w:tcBorders>
            <w:shd w:val="clear" w:color="auto" w:fill="FFFFFF"/>
            <w:tcMar>
              <w:left w:w="80" w:type="dxa"/>
              <w:right w:w="80" w:type="dxa"/>
            </w:tcMar>
          </w:tcPr>
          <w:p w14:paraId="2FE7ED97"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-2</w:t>
            </w:r>
          </w:p>
        </w:tc>
        <w:tc>
          <w:tcPr>
            <w:tcW w:w="318" w:type="pct"/>
            <w:tcBorders>
              <w:top w:val="nil"/>
              <w:left w:val="single" w:sz="2" w:space="0" w:color="000000"/>
              <w:bottom w:val="single" w:sz="2" w:space="0" w:color="000000"/>
              <w:right w:val="nil"/>
            </w:tcBorders>
            <w:shd w:val="clear" w:color="auto" w:fill="FFFFFF"/>
            <w:tcMar>
              <w:left w:w="80" w:type="dxa"/>
              <w:right w:w="80" w:type="dxa"/>
            </w:tcMar>
          </w:tcPr>
          <w:p w14:paraId="6F928F56"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1.12</w:t>
            </w:r>
          </w:p>
        </w:tc>
        <w:tc>
          <w:tcPr>
            <w:tcW w:w="731" w:type="pct"/>
            <w:tcBorders>
              <w:top w:val="nil"/>
              <w:left w:val="single" w:sz="2" w:space="0" w:color="000000"/>
              <w:bottom w:val="single" w:sz="2" w:space="0" w:color="000000"/>
              <w:right w:val="nil"/>
            </w:tcBorders>
            <w:shd w:val="clear" w:color="auto" w:fill="FFFFFF"/>
            <w:tcMar>
              <w:left w:w="80" w:type="dxa"/>
              <w:right w:w="80" w:type="dxa"/>
            </w:tcMar>
          </w:tcPr>
          <w:p w14:paraId="6491D0DC"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-0.22</w:t>
            </w:r>
          </w:p>
        </w:tc>
        <w:tc>
          <w:tcPr>
            <w:tcW w:w="676" w:type="pct"/>
            <w:tcBorders>
              <w:top w:val="nil"/>
              <w:left w:val="single" w:sz="2" w:space="0" w:color="000000"/>
              <w:bottom w:val="single" w:sz="2" w:space="0" w:color="000000"/>
              <w:right w:val="nil"/>
            </w:tcBorders>
            <w:shd w:val="clear" w:color="auto" w:fill="FFFFFF"/>
            <w:tcMar>
              <w:left w:w="80" w:type="dxa"/>
              <w:right w:w="80" w:type="dxa"/>
            </w:tcMar>
          </w:tcPr>
          <w:p w14:paraId="49067ED5"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-1.48</w:t>
            </w:r>
          </w:p>
        </w:tc>
        <w:tc>
          <w:tcPr>
            <w:tcW w:w="693" w:type="pct"/>
            <w:tcBorders>
              <w:top w:val="nil"/>
              <w:left w:val="single" w:sz="2" w:space="0" w:color="000000"/>
              <w:bottom w:val="single" w:sz="2" w:space="0" w:color="000000"/>
              <w:right w:val="nil"/>
            </w:tcBorders>
            <w:shd w:val="clear" w:color="auto" w:fill="FFFFFF"/>
            <w:tcMar>
              <w:left w:w="80" w:type="dxa"/>
              <w:right w:w="80" w:type="dxa"/>
            </w:tcMar>
          </w:tcPr>
          <w:p w14:paraId="193C9556"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1.03</w:t>
            </w:r>
          </w:p>
        </w:tc>
        <w:tc>
          <w:tcPr>
            <w:tcW w:w="910" w:type="pct"/>
            <w:tcBorders>
              <w:top w:val="nil"/>
              <w:left w:val="single" w:sz="2" w:space="0" w:color="000000"/>
              <w:bottom w:val="single" w:sz="2" w:space="0" w:color="000000"/>
              <w:right w:val="single" w:sz="6" w:space="0" w:color="000000"/>
            </w:tcBorders>
            <w:shd w:val="clear" w:color="auto" w:fill="FFFFFF"/>
            <w:tcMar>
              <w:left w:w="80" w:type="dxa"/>
              <w:right w:w="80" w:type="dxa"/>
            </w:tcMar>
          </w:tcPr>
          <w:p w14:paraId="4439C38F"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-0.22 (-1.48, 1.03)</w:t>
            </w:r>
          </w:p>
        </w:tc>
      </w:tr>
      <w:tr w:rsidR="00DF3B48" w:rsidRPr="00DF3B48" w14:paraId="0FE5E346" w14:textId="77777777" w:rsidTr="00DF3B48">
        <w:trPr>
          <w:cantSplit/>
          <w:jc w:val="center"/>
        </w:trPr>
        <w:tc>
          <w:tcPr>
            <w:tcW w:w="291" w:type="pct"/>
            <w:tcBorders>
              <w:top w:val="nil"/>
              <w:left w:val="single" w:sz="6" w:space="0" w:color="000000"/>
              <w:bottom w:val="single" w:sz="2" w:space="0" w:color="000000"/>
              <w:right w:val="nil"/>
            </w:tcBorders>
            <w:shd w:val="clear" w:color="auto" w:fill="FFFFFF"/>
            <w:tcMar>
              <w:left w:w="80" w:type="dxa"/>
              <w:right w:w="80" w:type="dxa"/>
            </w:tcMar>
          </w:tcPr>
          <w:p w14:paraId="3D85FF11"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0.04</w:t>
            </w:r>
          </w:p>
        </w:tc>
        <w:tc>
          <w:tcPr>
            <w:tcW w:w="340" w:type="pct"/>
            <w:tcBorders>
              <w:top w:val="nil"/>
              <w:left w:val="single" w:sz="2" w:space="0" w:color="000000"/>
              <w:bottom w:val="single" w:sz="2" w:space="0" w:color="000000"/>
              <w:right w:val="nil"/>
            </w:tcBorders>
            <w:shd w:val="clear" w:color="auto" w:fill="FFFFFF"/>
            <w:tcMar>
              <w:left w:w="80" w:type="dxa"/>
              <w:right w:w="80" w:type="dxa"/>
            </w:tcMar>
          </w:tcPr>
          <w:p w14:paraId="5897124E"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0.192</w:t>
            </w:r>
          </w:p>
        </w:tc>
        <w:tc>
          <w:tcPr>
            <w:tcW w:w="340" w:type="pct"/>
            <w:tcBorders>
              <w:top w:val="nil"/>
              <w:left w:val="single" w:sz="2" w:space="0" w:color="000000"/>
              <w:bottom w:val="single" w:sz="2" w:space="0" w:color="000000"/>
              <w:right w:val="nil"/>
            </w:tcBorders>
            <w:shd w:val="clear" w:color="auto" w:fill="FFFFFF"/>
            <w:tcMar>
              <w:left w:w="80" w:type="dxa"/>
              <w:right w:w="80" w:type="dxa"/>
            </w:tcMar>
          </w:tcPr>
          <w:p w14:paraId="36A62017"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0.133</w:t>
            </w:r>
          </w:p>
        </w:tc>
        <w:tc>
          <w:tcPr>
            <w:tcW w:w="351" w:type="pct"/>
            <w:tcBorders>
              <w:top w:val="nil"/>
              <w:left w:val="single" w:sz="2" w:space="0" w:color="000000"/>
              <w:bottom w:val="single" w:sz="2" w:space="0" w:color="000000"/>
              <w:right w:val="nil"/>
            </w:tcBorders>
            <w:shd w:val="clear" w:color="auto" w:fill="FFFFFF"/>
            <w:tcMar>
              <w:left w:w="80" w:type="dxa"/>
              <w:right w:w="80" w:type="dxa"/>
            </w:tcMar>
          </w:tcPr>
          <w:p w14:paraId="1E29DF76"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2</w:t>
            </w:r>
          </w:p>
        </w:tc>
        <w:tc>
          <w:tcPr>
            <w:tcW w:w="351" w:type="pct"/>
            <w:tcBorders>
              <w:top w:val="nil"/>
              <w:left w:val="single" w:sz="2" w:space="0" w:color="000000"/>
              <w:bottom w:val="single" w:sz="2" w:space="0" w:color="000000"/>
              <w:right w:val="nil"/>
            </w:tcBorders>
            <w:shd w:val="clear" w:color="auto" w:fill="FFFFFF"/>
            <w:tcMar>
              <w:left w:w="80" w:type="dxa"/>
              <w:right w:w="80" w:type="dxa"/>
            </w:tcMar>
          </w:tcPr>
          <w:p w14:paraId="476E61D2"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-2</w:t>
            </w:r>
          </w:p>
        </w:tc>
        <w:tc>
          <w:tcPr>
            <w:tcW w:w="318" w:type="pct"/>
            <w:tcBorders>
              <w:top w:val="nil"/>
              <w:left w:val="single" w:sz="2" w:space="0" w:color="000000"/>
              <w:bottom w:val="single" w:sz="2" w:space="0" w:color="000000"/>
              <w:right w:val="nil"/>
            </w:tcBorders>
            <w:shd w:val="clear" w:color="auto" w:fill="FFFFFF"/>
            <w:tcMar>
              <w:left w:w="80" w:type="dxa"/>
              <w:right w:w="80" w:type="dxa"/>
            </w:tcMar>
          </w:tcPr>
          <w:p w14:paraId="70AB98B7"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1.63</w:t>
            </w:r>
          </w:p>
        </w:tc>
        <w:tc>
          <w:tcPr>
            <w:tcW w:w="731" w:type="pct"/>
            <w:tcBorders>
              <w:top w:val="nil"/>
              <w:left w:val="single" w:sz="2" w:space="0" w:color="000000"/>
              <w:bottom w:val="single" w:sz="2" w:space="0" w:color="000000"/>
              <w:right w:val="nil"/>
            </w:tcBorders>
            <w:shd w:val="clear" w:color="auto" w:fill="FFFFFF"/>
            <w:tcMar>
              <w:left w:w="80" w:type="dxa"/>
              <w:right w:w="80" w:type="dxa"/>
            </w:tcMar>
          </w:tcPr>
          <w:p w14:paraId="020EA61C"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0.29</w:t>
            </w:r>
          </w:p>
        </w:tc>
        <w:tc>
          <w:tcPr>
            <w:tcW w:w="676" w:type="pct"/>
            <w:tcBorders>
              <w:top w:val="nil"/>
              <w:left w:val="single" w:sz="2" w:space="0" w:color="000000"/>
              <w:bottom w:val="single" w:sz="2" w:space="0" w:color="000000"/>
              <w:right w:val="nil"/>
            </w:tcBorders>
            <w:shd w:val="clear" w:color="auto" w:fill="FFFFFF"/>
            <w:tcMar>
              <w:left w:w="80" w:type="dxa"/>
              <w:right w:w="80" w:type="dxa"/>
            </w:tcMar>
          </w:tcPr>
          <w:p w14:paraId="07073CF1"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-0.97</w:t>
            </w:r>
          </w:p>
        </w:tc>
        <w:tc>
          <w:tcPr>
            <w:tcW w:w="693" w:type="pct"/>
            <w:tcBorders>
              <w:top w:val="nil"/>
              <w:left w:val="single" w:sz="2" w:space="0" w:color="000000"/>
              <w:bottom w:val="single" w:sz="2" w:space="0" w:color="000000"/>
              <w:right w:val="nil"/>
            </w:tcBorders>
            <w:shd w:val="clear" w:color="auto" w:fill="FFFFFF"/>
            <w:tcMar>
              <w:left w:w="80" w:type="dxa"/>
              <w:right w:w="80" w:type="dxa"/>
            </w:tcMar>
          </w:tcPr>
          <w:p w14:paraId="3BB9A8F1"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1.54</w:t>
            </w:r>
          </w:p>
        </w:tc>
        <w:tc>
          <w:tcPr>
            <w:tcW w:w="910" w:type="pct"/>
            <w:tcBorders>
              <w:top w:val="nil"/>
              <w:left w:val="single" w:sz="2" w:space="0" w:color="000000"/>
              <w:bottom w:val="single" w:sz="2" w:space="0" w:color="000000"/>
              <w:right w:val="single" w:sz="6" w:space="0" w:color="000000"/>
            </w:tcBorders>
            <w:shd w:val="clear" w:color="auto" w:fill="FFFFFF"/>
            <w:tcMar>
              <w:left w:w="80" w:type="dxa"/>
              <w:right w:w="80" w:type="dxa"/>
            </w:tcMar>
          </w:tcPr>
          <w:p w14:paraId="5C9309A5"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0.29 (-0.97, 1.54)</w:t>
            </w:r>
          </w:p>
        </w:tc>
      </w:tr>
      <w:tr w:rsidR="00DF3B48" w:rsidRPr="00DF3B48" w14:paraId="58E6FED5" w14:textId="77777777" w:rsidTr="00DF3B48">
        <w:trPr>
          <w:cantSplit/>
          <w:jc w:val="center"/>
        </w:trPr>
        <w:tc>
          <w:tcPr>
            <w:tcW w:w="291" w:type="pct"/>
            <w:tcBorders>
              <w:top w:val="nil"/>
              <w:left w:val="single" w:sz="6" w:space="0" w:color="000000"/>
              <w:bottom w:val="single" w:sz="2" w:space="0" w:color="000000"/>
              <w:right w:val="nil"/>
            </w:tcBorders>
            <w:shd w:val="clear" w:color="auto" w:fill="FFFFFF"/>
            <w:tcMar>
              <w:left w:w="80" w:type="dxa"/>
              <w:right w:w="80" w:type="dxa"/>
            </w:tcMar>
          </w:tcPr>
          <w:p w14:paraId="014CB03A"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0.02</w:t>
            </w:r>
          </w:p>
        </w:tc>
        <w:tc>
          <w:tcPr>
            <w:tcW w:w="340" w:type="pct"/>
            <w:tcBorders>
              <w:top w:val="nil"/>
              <w:left w:val="single" w:sz="2" w:space="0" w:color="000000"/>
              <w:bottom w:val="single" w:sz="2" w:space="0" w:color="000000"/>
              <w:right w:val="nil"/>
            </w:tcBorders>
            <w:shd w:val="clear" w:color="auto" w:fill="FFFFFF"/>
            <w:tcMar>
              <w:left w:w="80" w:type="dxa"/>
              <w:right w:w="80" w:type="dxa"/>
            </w:tcMar>
          </w:tcPr>
          <w:p w14:paraId="76115298"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0.192</w:t>
            </w:r>
          </w:p>
        </w:tc>
        <w:tc>
          <w:tcPr>
            <w:tcW w:w="340" w:type="pct"/>
            <w:tcBorders>
              <w:top w:val="nil"/>
              <w:left w:val="single" w:sz="2" w:space="0" w:color="000000"/>
              <w:bottom w:val="single" w:sz="2" w:space="0" w:color="000000"/>
              <w:right w:val="nil"/>
            </w:tcBorders>
            <w:shd w:val="clear" w:color="auto" w:fill="FFFFFF"/>
            <w:tcMar>
              <w:left w:w="80" w:type="dxa"/>
              <w:right w:w="80" w:type="dxa"/>
            </w:tcMar>
          </w:tcPr>
          <w:p w14:paraId="119A93E6"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0.133</w:t>
            </w:r>
          </w:p>
        </w:tc>
        <w:tc>
          <w:tcPr>
            <w:tcW w:w="351" w:type="pct"/>
            <w:tcBorders>
              <w:top w:val="nil"/>
              <w:left w:val="single" w:sz="2" w:space="0" w:color="000000"/>
              <w:bottom w:val="single" w:sz="2" w:space="0" w:color="000000"/>
              <w:right w:val="nil"/>
            </w:tcBorders>
            <w:shd w:val="clear" w:color="auto" w:fill="FFFFFF"/>
            <w:tcMar>
              <w:left w:w="80" w:type="dxa"/>
              <w:right w:w="80" w:type="dxa"/>
            </w:tcMar>
          </w:tcPr>
          <w:p w14:paraId="7228952D"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2</w:t>
            </w:r>
          </w:p>
        </w:tc>
        <w:tc>
          <w:tcPr>
            <w:tcW w:w="351" w:type="pct"/>
            <w:tcBorders>
              <w:top w:val="nil"/>
              <w:left w:val="single" w:sz="2" w:space="0" w:color="000000"/>
              <w:bottom w:val="single" w:sz="2" w:space="0" w:color="000000"/>
              <w:right w:val="nil"/>
            </w:tcBorders>
            <w:shd w:val="clear" w:color="auto" w:fill="FFFFFF"/>
            <w:tcMar>
              <w:left w:w="80" w:type="dxa"/>
              <w:right w:w="80" w:type="dxa"/>
            </w:tcMar>
          </w:tcPr>
          <w:p w14:paraId="19EFC926"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w:t>
            </w:r>
          </w:p>
        </w:tc>
        <w:tc>
          <w:tcPr>
            <w:tcW w:w="318" w:type="pct"/>
            <w:tcBorders>
              <w:top w:val="nil"/>
              <w:left w:val="single" w:sz="2" w:space="0" w:color="000000"/>
              <w:bottom w:val="single" w:sz="2" w:space="0" w:color="000000"/>
              <w:right w:val="nil"/>
            </w:tcBorders>
            <w:shd w:val="clear" w:color="auto" w:fill="FFFFFF"/>
            <w:tcMar>
              <w:left w:w="80" w:type="dxa"/>
              <w:right w:w="80" w:type="dxa"/>
            </w:tcMar>
          </w:tcPr>
          <w:p w14:paraId="1F047C91"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0.71</w:t>
            </w:r>
          </w:p>
        </w:tc>
        <w:tc>
          <w:tcPr>
            <w:tcW w:w="731" w:type="pct"/>
            <w:tcBorders>
              <w:top w:val="nil"/>
              <w:left w:val="single" w:sz="2" w:space="0" w:color="000000"/>
              <w:bottom w:val="single" w:sz="2" w:space="0" w:color="000000"/>
              <w:right w:val="nil"/>
            </w:tcBorders>
            <w:shd w:val="clear" w:color="auto" w:fill="FFFFFF"/>
            <w:tcMar>
              <w:left w:w="80" w:type="dxa"/>
              <w:right w:w="80" w:type="dxa"/>
            </w:tcMar>
          </w:tcPr>
          <w:p w14:paraId="0A2B7E47"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-0.63</w:t>
            </w:r>
          </w:p>
        </w:tc>
        <w:tc>
          <w:tcPr>
            <w:tcW w:w="676" w:type="pct"/>
            <w:tcBorders>
              <w:top w:val="nil"/>
              <w:left w:val="single" w:sz="2" w:space="0" w:color="000000"/>
              <w:bottom w:val="single" w:sz="2" w:space="0" w:color="000000"/>
              <w:right w:val="nil"/>
            </w:tcBorders>
            <w:shd w:val="clear" w:color="auto" w:fill="FFFFFF"/>
            <w:tcMar>
              <w:left w:w="80" w:type="dxa"/>
              <w:right w:w="80" w:type="dxa"/>
            </w:tcMar>
          </w:tcPr>
          <w:p w14:paraId="419814BA"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-1.89</w:t>
            </w:r>
          </w:p>
        </w:tc>
        <w:tc>
          <w:tcPr>
            <w:tcW w:w="693" w:type="pct"/>
            <w:tcBorders>
              <w:top w:val="nil"/>
              <w:left w:val="single" w:sz="2" w:space="0" w:color="000000"/>
              <w:bottom w:val="single" w:sz="2" w:space="0" w:color="000000"/>
              <w:right w:val="nil"/>
            </w:tcBorders>
            <w:shd w:val="clear" w:color="auto" w:fill="FFFFFF"/>
            <w:tcMar>
              <w:left w:w="80" w:type="dxa"/>
              <w:right w:w="80" w:type="dxa"/>
            </w:tcMar>
          </w:tcPr>
          <w:p w14:paraId="0260007C"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0.62</w:t>
            </w:r>
          </w:p>
        </w:tc>
        <w:tc>
          <w:tcPr>
            <w:tcW w:w="910" w:type="pct"/>
            <w:tcBorders>
              <w:top w:val="nil"/>
              <w:left w:val="single" w:sz="2" w:space="0" w:color="000000"/>
              <w:bottom w:val="single" w:sz="2" w:space="0" w:color="000000"/>
              <w:right w:val="single" w:sz="6" w:space="0" w:color="000000"/>
            </w:tcBorders>
            <w:shd w:val="clear" w:color="auto" w:fill="FFFFFF"/>
            <w:tcMar>
              <w:left w:w="80" w:type="dxa"/>
              <w:right w:w="80" w:type="dxa"/>
            </w:tcMar>
          </w:tcPr>
          <w:p w14:paraId="37FF5184"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-0.63 (-1.89, 0.62)</w:t>
            </w:r>
          </w:p>
        </w:tc>
      </w:tr>
      <w:tr w:rsidR="00DF3B48" w:rsidRPr="00DF3B48" w14:paraId="0D8B85D9" w14:textId="77777777" w:rsidTr="00DF3B48">
        <w:trPr>
          <w:cantSplit/>
          <w:jc w:val="center"/>
        </w:trPr>
        <w:tc>
          <w:tcPr>
            <w:tcW w:w="291" w:type="pct"/>
            <w:tcBorders>
              <w:top w:val="nil"/>
              <w:left w:val="single" w:sz="6" w:space="0" w:color="000000"/>
              <w:bottom w:val="single" w:sz="2" w:space="0" w:color="000000"/>
              <w:right w:val="nil"/>
            </w:tcBorders>
            <w:shd w:val="clear" w:color="auto" w:fill="FFFFFF"/>
            <w:tcMar>
              <w:left w:w="80" w:type="dxa"/>
              <w:right w:w="80" w:type="dxa"/>
            </w:tcMar>
          </w:tcPr>
          <w:p w14:paraId="30CB25F8"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0.04</w:t>
            </w:r>
          </w:p>
        </w:tc>
        <w:tc>
          <w:tcPr>
            <w:tcW w:w="340" w:type="pct"/>
            <w:tcBorders>
              <w:top w:val="nil"/>
              <w:left w:val="single" w:sz="2" w:space="0" w:color="000000"/>
              <w:bottom w:val="single" w:sz="2" w:space="0" w:color="000000"/>
              <w:right w:val="nil"/>
            </w:tcBorders>
            <w:shd w:val="clear" w:color="auto" w:fill="FFFFFF"/>
            <w:tcMar>
              <w:left w:w="80" w:type="dxa"/>
              <w:right w:w="80" w:type="dxa"/>
            </w:tcMar>
          </w:tcPr>
          <w:p w14:paraId="7C7C66D8"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0.192</w:t>
            </w:r>
          </w:p>
        </w:tc>
        <w:tc>
          <w:tcPr>
            <w:tcW w:w="340" w:type="pct"/>
            <w:tcBorders>
              <w:top w:val="nil"/>
              <w:left w:val="single" w:sz="2" w:space="0" w:color="000000"/>
              <w:bottom w:val="single" w:sz="2" w:space="0" w:color="000000"/>
              <w:right w:val="nil"/>
            </w:tcBorders>
            <w:shd w:val="clear" w:color="auto" w:fill="FFFFFF"/>
            <w:tcMar>
              <w:left w:w="80" w:type="dxa"/>
              <w:right w:w="80" w:type="dxa"/>
            </w:tcMar>
          </w:tcPr>
          <w:p w14:paraId="4B825ECF"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0.133</w:t>
            </w:r>
          </w:p>
        </w:tc>
        <w:tc>
          <w:tcPr>
            <w:tcW w:w="351" w:type="pct"/>
            <w:tcBorders>
              <w:top w:val="nil"/>
              <w:left w:val="single" w:sz="2" w:space="0" w:color="000000"/>
              <w:bottom w:val="single" w:sz="2" w:space="0" w:color="000000"/>
              <w:right w:val="nil"/>
            </w:tcBorders>
            <w:shd w:val="clear" w:color="auto" w:fill="FFFFFF"/>
            <w:tcMar>
              <w:left w:w="80" w:type="dxa"/>
              <w:right w:w="80" w:type="dxa"/>
            </w:tcMar>
          </w:tcPr>
          <w:p w14:paraId="637C0C3B"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2</w:t>
            </w:r>
          </w:p>
        </w:tc>
        <w:tc>
          <w:tcPr>
            <w:tcW w:w="351" w:type="pct"/>
            <w:tcBorders>
              <w:top w:val="nil"/>
              <w:left w:val="single" w:sz="2" w:space="0" w:color="000000"/>
              <w:bottom w:val="single" w:sz="2" w:space="0" w:color="000000"/>
              <w:right w:val="nil"/>
            </w:tcBorders>
            <w:shd w:val="clear" w:color="auto" w:fill="FFFFFF"/>
            <w:tcMar>
              <w:left w:w="80" w:type="dxa"/>
              <w:right w:w="80" w:type="dxa"/>
            </w:tcMar>
          </w:tcPr>
          <w:p w14:paraId="28EE15E4"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w:t>
            </w:r>
          </w:p>
        </w:tc>
        <w:tc>
          <w:tcPr>
            <w:tcW w:w="318" w:type="pct"/>
            <w:tcBorders>
              <w:top w:val="nil"/>
              <w:left w:val="single" w:sz="2" w:space="0" w:color="000000"/>
              <w:bottom w:val="single" w:sz="2" w:space="0" w:color="000000"/>
              <w:right w:val="nil"/>
            </w:tcBorders>
            <w:shd w:val="clear" w:color="auto" w:fill="FFFFFF"/>
            <w:tcMar>
              <w:left w:w="80" w:type="dxa"/>
              <w:right w:w="80" w:type="dxa"/>
            </w:tcMar>
          </w:tcPr>
          <w:p w14:paraId="50CA993A"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1.12</w:t>
            </w:r>
          </w:p>
        </w:tc>
        <w:tc>
          <w:tcPr>
            <w:tcW w:w="731" w:type="pct"/>
            <w:tcBorders>
              <w:top w:val="nil"/>
              <w:left w:val="single" w:sz="2" w:space="0" w:color="000000"/>
              <w:bottom w:val="single" w:sz="2" w:space="0" w:color="000000"/>
              <w:right w:val="nil"/>
            </w:tcBorders>
            <w:shd w:val="clear" w:color="auto" w:fill="FFFFFF"/>
            <w:tcMar>
              <w:left w:w="80" w:type="dxa"/>
              <w:right w:w="80" w:type="dxa"/>
            </w:tcMar>
          </w:tcPr>
          <w:p w14:paraId="07653844"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-0.22</w:t>
            </w:r>
          </w:p>
        </w:tc>
        <w:tc>
          <w:tcPr>
            <w:tcW w:w="676" w:type="pct"/>
            <w:tcBorders>
              <w:top w:val="nil"/>
              <w:left w:val="single" w:sz="2" w:space="0" w:color="000000"/>
              <w:bottom w:val="single" w:sz="2" w:space="0" w:color="000000"/>
              <w:right w:val="nil"/>
            </w:tcBorders>
            <w:shd w:val="clear" w:color="auto" w:fill="FFFFFF"/>
            <w:tcMar>
              <w:left w:w="80" w:type="dxa"/>
              <w:right w:w="80" w:type="dxa"/>
            </w:tcMar>
          </w:tcPr>
          <w:p w14:paraId="512C3549"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-1.48</w:t>
            </w:r>
          </w:p>
        </w:tc>
        <w:tc>
          <w:tcPr>
            <w:tcW w:w="693" w:type="pct"/>
            <w:tcBorders>
              <w:top w:val="nil"/>
              <w:left w:val="single" w:sz="2" w:space="0" w:color="000000"/>
              <w:bottom w:val="single" w:sz="2" w:space="0" w:color="000000"/>
              <w:right w:val="nil"/>
            </w:tcBorders>
            <w:shd w:val="clear" w:color="auto" w:fill="FFFFFF"/>
            <w:tcMar>
              <w:left w:w="80" w:type="dxa"/>
              <w:right w:w="80" w:type="dxa"/>
            </w:tcMar>
          </w:tcPr>
          <w:p w14:paraId="28050E48"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1.03</w:t>
            </w:r>
          </w:p>
        </w:tc>
        <w:tc>
          <w:tcPr>
            <w:tcW w:w="910" w:type="pct"/>
            <w:tcBorders>
              <w:top w:val="nil"/>
              <w:left w:val="single" w:sz="2" w:space="0" w:color="000000"/>
              <w:bottom w:val="single" w:sz="2" w:space="0" w:color="000000"/>
              <w:right w:val="single" w:sz="6" w:space="0" w:color="000000"/>
            </w:tcBorders>
            <w:shd w:val="clear" w:color="auto" w:fill="FFFFFF"/>
            <w:tcMar>
              <w:left w:w="80" w:type="dxa"/>
              <w:right w:w="80" w:type="dxa"/>
            </w:tcMar>
          </w:tcPr>
          <w:p w14:paraId="6501B50C"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-0.22 (-1.48, 1.03)</w:t>
            </w:r>
          </w:p>
        </w:tc>
      </w:tr>
      <w:tr w:rsidR="00DF3B48" w:rsidRPr="00DF3B48" w14:paraId="0849817D" w14:textId="77777777" w:rsidTr="00DF3B48">
        <w:trPr>
          <w:cantSplit/>
          <w:jc w:val="center"/>
        </w:trPr>
        <w:tc>
          <w:tcPr>
            <w:tcW w:w="291" w:type="pct"/>
            <w:tcBorders>
              <w:top w:val="nil"/>
              <w:left w:val="single" w:sz="6" w:space="0" w:color="000000"/>
              <w:bottom w:val="single" w:sz="2" w:space="0" w:color="000000"/>
              <w:right w:val="nil"/>
            </w:tcBorders>
            <w:shd w:val="clear" w:color="auto" w:fill="FFFFFF"/>
            <w:tcMar>
              <w:left w:w="80" w:type="dxa"/>
              <w:right w:w="80" w:type="dxa"/>
            </w:tcMar>
          </w:tcPr>
          <w:p w14:paraId="3C9A8C4E"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0.02</w:t>
            </w:r>
          </w:p>
        </w:tc>
        <w:tc>
          <w:tcPr>
            <w:tcW w:w="340" w:type="pct"/>
            <w:tcBorders>
              <w:top w:val="nil"/>
              <w:left w:val="single" w:sz="2" w:space="0" w:color="000000"/>
              <w:bottom w:val="single" w:sz="2" w:space="0" w:color="000000"/>
              <w:right w:val="nil"/>
            </w:tcBorders>
            <w:shd w:val="clear" w:color="auto" w:fill="FFFFFF"/>
            <w:tcMar>
              <w:left w:w="80" w:type="dxa"/>
              <w:right w:w="80" w:type="dxa"/>
            </w:tcMar>
          </w:tcPr>
          <w:p w14:paraId="10056834"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0.192</w:t>
            </w:r>
          </w:p>
        </w:tc>
        <w:tc>
          <w:tcPr>
            <w:tcW w:w="340" w:type="pct"/>
            <w:tcBorders>
              <w:top w:val="nil"/>
              <w:left w:val="single" w:sz="2" w:space="0" w:color="000000"/>
              <w:bottom w:val="single" w:sz="2" w:space="0" w:color="000000"/>
              <w:right w:val="nil"/>
            </w:tcBorders>
            <w:shd w:val="clear" w:color="auto" w:fill="FFFFFF"/>
            <w:tcMar>
              <w:left w:w="80" w:type="dxa"/>
              <w:right w:w="80" w:type="dxa"/>
            </w:tcMar>
          </w:tcPr>
          <w:p w14:paraId="3A7B3A87"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0.133</w:t>
            </w:r>
          </w:p>
        </w:tc>
        <w:tc>
          <w:tcPr>
            <w:tcW w:w="351" w:type="pct"/>
            <w:tcBorders>
              <w:top w:val="nil"/>
              <w:left w:val="single" w:sz="2" w:space="0" w:color="000000"/>
              <w:bottom w:val="single" w:sz="2" w:space="0" w:color="000000"/>
              <w:right w:val="nil"/>
            </w:tcBorders>
            <w:shd w:val="clear" w:color="auto" w:fill="FFFFFF"/>
            <w:tcMar>
              <w:left w:w="80" w:type="dxa"/>
              <w:right w:w="80" w:type="dxa"/>
            </w:tcMar>
          </w:tcPr>
          <w:p w14:paraId="24812A41"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2</w:t>
            </w:r>
          </w:p>
        </w:tc>
        <w:tc>
          <w:tcPr>
            <w:tcW w:w="351" w:type="pct"/>
            <w:tcBorders>
              <w:top w:val="nil"/>
              <w:left w:val="single" w:sz="2" w:space="0" w:color="000000"/>
              <w:bottom w:val="single" w:sz="2" w:space="0" w:color="000000"/>
              <w:right w:val="nil"/>
            </w:tcBorders>
            <w:shd w:val="clear" w:color="auto" w:fill="FFFFFF"/>
            <w:tcMar>
              <w:left w:w="80" w:type="dxa"/>
              <w:right w:w="80" w:type="dxa"/>
            </w:tcMar>
          </w:tcPr>
          <w:p w14:paraId="0A3ED7F5"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w:t>
            </w:r>
          </w:p>
        </w:tc>
        <w:tc>
          <w:tcPr>
            <w:tcW w:w="318" w:type="pct"/>
            <w:tcBorders>
              <w:top w:val="nil"/>
              <w:left w:val="single" w:sz="2" w:space="0" w:color="000000"/>
              <w:bottom w:val="single" w:sz="2" w:space="0" w:color="000000"/>
              <w:right w:val="nil"/>
            </w:tcBorders>
            <w:shd w:val="clear" w:color="auto" w:fill="FFFFFF"/>
            <w:tcMar>
              <w:left w:w="80" w:type="dxa"/>
              <w:right w:w="80" w:type="dxa"/>
            </w:tcMar>
          </w:tcPr>
          <w:p w14:paraId="27EF8B67"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0.30</w:t>
            </w:r>
          </w:p>
        </w:tc>
        <w:tc>
          <w:tcPr>
            <w:tcW w:w="731" w:type="pct"/>
            <w:tcBorders>
              <w:top w:val="nil"/>
              <w:left w:val="single" w:sz="2" w:space="0" w:color="000000"/>
              <w:bottom w:val="single" w:sz="2" w:space="0" w:color="000000"/>
              <w:right w:val="nil"/>
            </w:tcBorders>
            <w:shd w:val="clear" w:color="auto" w:fill="FFFFFF"/>
            <w:tcMar>
              <w:left w:w="80" w:type="dxa"/>
              <w:right w:w="80" w:type="dxa"/>
            </w:tcMar>
          </w:tcPr>
          <w:p w14:paraId="2BC3A724"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-1.04</w:t>
            </w:r>
          </w:p>
        </w:tc>
        <w:tc>
          <w:tcPr>
            <w:tcW w:w="676" w:type="pct"/>
            <w:tcBorders>
              <w:top w:val="nil"/>
              <w:left w:val="single" w:sz="2" w:space="0" w:color="000000"/>
              <w:bottom w:val="single" w:sz="2" w:space="0" w:color="000000"/>
              <w:right w:val="nil"/>
            </w:tcBorders>
            <w:shd w:val="clear" w:color="auto" w:fill="FFFFFF"/>
            <w:tcMar>
              <w:left w:w="80" w:type="dxa"/>
              <w:right w:w="80" w:type="dxa"/>
            </w:tcMar>
          </w:tcPr>
          <w:p w14:paraId="0BEFD6D0"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-2.30</w:t>
            </w:r>
          </w:p>
        </w:tc>
        <w:tc>
          <w:tcPr>
            <w:tcW w:w="693" w:type="pct"/>
            <w:tcBorders>
              <w:top w:val="nil"/>
              <w:left w:val="single" w:sz="2" w:space="0" w:color="000000"/>
              <w:bottom w:val="single" w:sz="2" w:space="0" w:color="000000"/>
              <w:right w:val="nil"/>
            </w:tcBorders>
            <w:shd w:val="clear" w:color="auto" w:fill="FFFFFF"/>
            <w:tcMar>
              <w:left w:w="80" w:type="dxa"/>
              <w:right w:w="80" w:type="dxa"/>
            </w:tcMar>
          </w:tcPr>
          <w:p w14:paraId="0B10AF06"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0.21</w:t>
            </w:r>
          </w:p>
        </w:tc>
        <w:tc>
          <w:tcPr>
            <w:tcW w:w="910" w:type="pct"/>
            <w:tcBorders>
              <w:top w:val="nil"/>
              <w:left w:val="single" w:sz="2" w:space="0" w:color="000000"/>
              <w:bottom w:val="single" w:sz="2" w:space="0" w:color="000000"/>
              <w:right w:val="single" w:sz="6" w:space="0" w:color="000000"/>
            </w:tcBorders>
            <w:shd w:val="clear" w:color="auto" w:fill="FFFFFF"/>
            <w:tcMar>
              <w:left w:w="80" w:type="dxa"/>
              <w:right w:w="80" w:type="dxa"/>
            </w:tcMar>
          </w:tcPr>
          <w:p w14:paraId="1A173B45"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-1.04 (-2.30, 0.21)</w:t>
            </w:r>
          </w:p>
        </w:tc>
      </w:tr>
      <w:tr w:rsidR="00DF3B48" w:rsidRPr="00DF3B48" w14:paraId="61FEF139" w14:textId="77777777" w:rsidTr="00DF3B48">
        <w:trPr>
          <w:cantSplit/>
          <w:jc w:val="center"/>
        </w:trPr>
        <w:tc>
          <w:tcPr>
            <w:tcW w:w="291" w:type="pct"/>
            <w:tcBorders>
              <w:top w:val="nil"/>
              <w:left w:val="single" w:sz="6" w:space="0" w:color="000000"/>
              <w:bottom w:val="single" w:sz="2" w:space="0" w:color="000000"/>
              <w:right w:val="nil"/>
            </w:tcBorders>
            <w:shd w:val="clear" w:color="auto" w:fill="FFFFFF"/>
            <w:tcMar>
              <w:left w:w="80" w:type="dxa"/>
              <w:right w:w="80" w:type="dxa"/>
            </w:tcMar>
          </w:tcPr>
          <w:p w14:paraId="06F94D77"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0.04</w:t>
            </w:r>
          </w:p>
        </w:tc>
        <w:tc>
          <w:tcPr>
            <w:tcW w:w="340" w:type="pct"/>
            <w:tcBorders>
              <w:top w:val="nil"/>
              <w:left w:val="single" w:sz="2" w:space="0" w:color="000000"/>
              <w:bottom w:val="single" w:sz="2" w:space="0" w:color="000000"/>
              <w:right w:val="nil"/>
            </w:tcBorders>
            <w:shd w:val="clear" w:color="auto" w:fill="FFFFFF"/>
            <w:tcMar>
              <w:left w:w="80" w:type="dxa"/>
              <w:right w:w="80" w:type="dxa"/>
            </w:tcMar>
          </w:tcPr>
          <w:p w14:paraId="251D726C"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0.192</w:t>
            </w:r>
          </w:p>
        </w:tc>
        <w:tc>
          <w:tcPr>
            <w:tcW w:w="340" w:type="pct"/>
            <w:tcBorders>
              <w:top w:val="nil"/>
              <w:left w:val="single" w:sz="2" w:space="0" w:color="000000"/>
              <w:bottom w:val="single" w:sz="2" w:space="0" w:color="000000"/>
              <w:right w:val="nil"/>
            </w:tcBorders>
            <w:shd w:val="clear" w:color="auto" w:fill="FFFFFF"/>
            <w:tcMar>
              <w:left w:w="80" w:type="dxa"/>
              <w:right w:w="80" w:type="dxa"/>
            </w:tcMar>
          </w:tcPr>
          <w:p w14:paraId="75BB68CE"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0.133</w:t>
            </w:r>
          </w:p>
        </w:tc>
        <w:tc>
          <w:tcPr>
            <w:tcW w:w="351" w:type="pct"/>
            <w:tcBorders>
              <w:top w:val="nil"/>
              <w:left w:val="single" w:sz="2" w:space="0" w:color="000000"/>
              <w:bottom w:val="single" w:sz="2" w:space="0" w:color="000000"/>
              <w:right w:val="nil"/>
            </w:tcBorders>
            <w:shd w:val="clear" w:color="auto" w:fill="FFFFFF"/>
            <w:tcMar>
              <w:left w:w="80" w:type="dxa"/>
              <w:right w:w="80" w:type="dxa"/>
            </w:tcMar>
          </w:tcPr>
          <w:p w14:paraId="31B0A34B"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2</w:t>
            </w:r>
          </w:p>
        </w:tc>
        <w:tc>
          <w:tcPr>
            <w:tcW w:w="351" w:type="pct"/>
            <w:tcBorders>
              <w:top w:val="nil"/>
              <w:left w:val="single" w:sz="2" w:space="0" w:color="000000"/>
              <w:bottom w:val="single" w:sz="2" w:space="0" w:color="000000"/>
              <w:right w:val="nil"/>
            </w:tcBorders>
            <w:shd w:val="clear" w:color="auto" w:fill="FFFFFF"/>
            <w:tcMar>
              <w:left w:w="80" w:type="dxa"/>
              <w:right w:w="80" w:type="dxa"/>
            </w:tcMar>
          </w:tcPr>
          <w:p w14:paraId="607542D8"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w:t>
            </w:r>
          </w:p>
        </w:tc>
        <w:tc>
          <w:tcPr>
            <w:tcW w:w="318" w:type="pct"/>
            <w:tcBorders>
              <w:top w:val="nil"/>
              <w:left w:val="single" w:sz="2" w:space="0" w:color="000000"/>
              <w:bottom w:val="single" w:sz="2" w:space="0" w:color="000000"/>
              <w:right w:val="nil"/>
            </w:tcBorders>
            <w:shd w:val="clear" w:color="auto" w:fill="FFFFFF"/>
            <w:tcMar>
              <w:left w:w="80" w:type="dxa"/>
              <w:right w:w="80" w:type="dxa"/>
            </w:tcMar>
          </w:tcPr>
          <w:p w14:paraId="0D924711"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0.60</w:t>
            </w:r>
          </w:p>
        </w:tc>
        <w:tc>
          <w:tcPr>
            <w:tcW w:w="731" w:type="pct"/>
            <w:tcBorders>
              <w:top w:val="nil"/>
              <w:left w:val="single" w:sz="2" w:space="0" w:color="000000"/>
              <w:bottom w:val="single" w:sz="2" w:space="0" w:color="000000"/>
              <w:right w:val="nil"/>
            </w:tcBorders>
            <w:shd w:val="clear" w:color="auto" w:fill="FFFFFF"/>
            <w:tcMar>
              <w:left w:w="80" w:type="dxa"/>
              <w:right w:w="80" w:type="dxa"/>
            </w:tcMar>
          </w:tcPr>
          <w:p w14:paraId="3FBD0E8C"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-0.74</w:t>
            </w:r>
          </w:p>
        </w:tc>
        <w:tc>
          <w:tcPr>
            <w:tcW w:w="676" w:type="pct"/>
            <w:tcBorders>
              <w:top w:val="nil"/>
              <w:left w:val="single" w:sz="2" w:space="0" w:color="000000"/>
              <w:bottom w:val="single" w:sz="2" w:space="0" w:color="000000"/>
              <w:right w:val="nil"/>
            </w:tcBorders>
            <w:shd w:val="clear" w:color="auto" w:fill="FFFFFF"/>
            <w:tcMar>
              <w:left w:w="80" w:type="dxa"/>
              <w:right w:w="80" w:type="dxa"/>
            </w:tcMar>
          </w:tcPr>
          <w:p w14:paraId="52E3F39D"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-2.00</w:t>
            </w:r>
          </w:p>
        </w:tc>
        <w:tc>
          <w:tcPr>
            <w:tcW w:w="693" w:type="pct"/>
            <w:tcBorders>
              <w:top w:val="nil"/>
              <w:left w:val="single" w:sz="2" w:space="0" w:color="000000"/>
              <w:bottom w:val="single" w:sz="2" w:space="0" w:color="000000"/>
              <w:right w:val="nil"/>
            </w:tcBorders>
            <w:shd w:val="clear" w:color="auto" w:fill="FFFFFF"/>
            <w:tcMar>
              <w:left w:w="80" w:type="dxa"/>
              <w:right w:w="80" w:type="dxa"/>
            </w:tcMar>
          </w:tcPr>
          <w:p w14:paraId="0E05B750"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0.51</w:t>
            </w:r>
          </w:p>
        </w:tc>
        <w:tc>
          <w:tcPr>
            <w:tcW w:w="910" w:type="pct"/>
            <w:tcBorders>
              <w:top w:val="nil"/>
              <w:left w:val="single" w:sz="2" w:space="0" w:color="000000"/>
              <w:bottom w:val="single" w:sz="2" w:space="0" w:color="000000"/>
              <w:right w:val="single" w:sz="6" w:space="0" w:color="000000"/>
            </w:tcBorders>
            <w:shd w:val="clear" w:color="auto" w:fill="FFFFFF"/>
            <w:tcMar>
              <w:left w:w="80" w:type="dxa"/>
              <w:right w:w="80" w:type="dxa"/>
            </w:tcMar>
          </w:tcPr>
          <w:p w14:paraId="0C563369"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-0.74 (-2.00, 0.51)</w:t>
            </w:r>
          </w:p>
        </w:tc>
      </w:tr>
      <w:tr w:rsidR="00DF3B48" w:rsidRPr="00DF3B48" w14:paraId="63164DDB" w14:textId="77777777" w:rsidTr="00DF3B48">
        <w:trPr>
          <w:cantSplit/>
          <w:jc w:val="center"/>
        </w:trPr>
        <w:tc>
          <w:tcPr>
            <w:tcW w:w="291" w:type="pct"/>
            <w:tcBorders>
              <w:top w:val="nil"/>
              <w:left w:val="single" w:sz="6" w:space="0" w:color="000000"/>
              <w:bottom w:val="single" w:sz="2" w:space="0" w:color="000000"/>
              <w:right w:val="nil"/>
            </w:tcBorders>
            <w:shd w:val="clear" w:color="auto" w:fill="FFFFFF"/>
            <w:tcMar>
              <w:left w:w="80" w:type="dxa"/>
              <w:right w:w="80" w:type="dxa"/>
            </w:tcMar>
          </w:tcPr>
          <w:p w14:paraId="0C790CC0"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0.02</w:t>
            </w:r>
          </w:p>
        </w:tc>
        <w:tc>
          <w:tcPr>
            <w:tcW w:w="340" w:type="pct"/>
            <w:tcBorders>
              <w:top w:val="nil"/>
              <w:left w:val="single" w:sz="2" w:space="0" w:color="000000"/>
              <w:bottom w:val="single" w:sz="2" w:space="0" w:color="000000"/>
              <w:right w:val="nil"/>
            </w:tcBorders>
            <w:shd w:val="clear" w:color="auto" w:fill="FFFFFF"/>
            <w:tcMar>
              <w:left w:w="80" w:type="dxa"/>
              <w:right w:w="80" w:type="dxa"/>
            </w:tcMar>
          </w:tcPr>
          <w:p w14:paraId="1AEACA97"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0.192</w:t>
            </w:r>
          </w:p>
        </w:tc>
        <w:tc>
          <w:tcPr>
            <w:tcW w:w="340" w:type="pct"/>
            <w:tcBorders>
              <w:top w:val="nil"/>
              <w:left w:val="single" w:sz="2" w:space="0" w:color="000000"/>
              <w:bottom w:val="single" w:sz="2" w:space="0" w:color="000000"/>
              <w:right w:val="nil"/>
            </w:tcBorders>
            <w:shd w:val="clear" w:color="auto" w:fill="FFFFFF"/>
            <w:tcMar>
              <w:left w:w="80" w:type="dxa"/>
              <w:right w:w="80" w:type="dxa"/>
            </w:tcMar>
          </w:tcPr>
          <w:p w14:paraId="3C6AB61B"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0.133</w:t>
            </w:r>
          </w:p>
        </w:tc>
        <w:tc>
          <w:tcPr>
            <w:tcW w:w="351" w:type="pct"/>
            <w:tcBorders>
              <w:top w:val="nil"/>
              <w:left w:val="single" w:sz="2" w:space="0" w:color="000000"/>
              <w:bottom w:val="single" w:sz="2" w:space="0" w:color="000000"/>
              <w:right w:val="nil"/>
            </w:tcBorders>
            <w:shd w:val="clear" w:color="auto" w:fill="FFFFFF"/>
            <w:tcMar>
              <w:left w:w="80" w:type="dxa"/>
              <w:right w:w="80" w:type="dxa"/>
            </w:tcMar>
          </w:tcPr>
          <w:p w14:paraId="64D90CF0"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2</w:t>
            </w:r>
          </w:p>
        </w:tc>
        <w:tc>
          <w:tcPr>
            <w:tcW w:w="351" w:type="pct"/>
            <w:tcBorders>
              <w:top w:val="nil"/>
              <w:left w:val="single" w:sz="2" w:space="0" w:color="000000"/>
              <w:bottom w:val="single" w:sz="2" w:space="0" w:color="000000"/>
              <w:right w:val="nil"/>
            </w:tcBorders>
            <w:shd w:val="clear" w:color="auto" w:fill="FFFFFF"/>
            <w:tcMar>
              <w:left w:w="80" w:type="dxa"/>
              <w:right w:w="80" w:type="dxa"/>
            </w:tcMar>
          </w:tcPr>
          <w:p w14:paraId="75D238F0"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w:t>
            </w:r>
          </w:p>
        </w:tc>
        <w:tc>
          <w:tcPr>
            <w:tcW w:w="318" w:type="pct"/>
            <w:tcBorders>
              <w:top w:val="nil"/>
              <w:left w:val="single" w:sz="2" w:space="0" w:color="000000"/>
              <w:bottom w:val="single" w:sz="2" w:space="0" w:color="000000"/>
              <w:right w:val="nil"/>
            </w:tcBorders>
            <w:shd w:val="clear" w:color="auto" w:fill="FFFFFF"/>
            <w:tcMar>
              <w:left w:w="80" w:type="dxa"/>
              <w:right w:w="80" w:type="dxa"/>
            </w:tcMar>
          </w:tcPr>
          <w:p w14:paraId="1CDF42A8"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-0.11</w:t>
            </w:r>
          </w:p>
        </w:tc>
        <w:tc>
          <w:tcPr>
            <w:tcW w:w="731" w:type="pct"/>
            <w:tcBorders>
              <w:top w:val="nil"/>
              <w:left w:val="single" w:sz="2" w:space="0" w:color="000000"/>
              <w:bottom w:val="single" w:sz="2" w:space="0" w:color="000000"/>
              <w:right w:val="nil"/>
            </w:tcBorders>
            <w:shd w:val="clear" w:color="auto" w:fill="FFFFFF"/>
            <w:tcMar>
              <w:left w:w="80" w:type="dxa"/>
              <w:right w:w="80" w:type="dxa"/>
            </w:tcMar>
          </w:tcPr>
          <w:p w14:paraId="3C0CD710"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-1.45</w:t>
            </w:r>
          </w:p>
        </w:tc>
        <w:tc>
          <w:tcPr>
            <w:tcW w:w="676" w:type="pct"/>
            <w:tcBorders>
              <w:top w:val="nil"/>
              <w:left w:val="single" w:sz="2" w:space="0" w:color="000000"/>
              <w:bottom w:val="single" w:sz="2" w:space="0" w:color="000000"/>
              <w:right w:val="nil"/>
            </w:tcBorders>
            <w:shd w:val="clear" w:color="auto" w:fill="FFFFFF"/>
            <w:tcMar>
              <w:left w:w="80" w:type="dxa"/>
              <w:right w:w="80" w:type="dxa"/>
            </w:tcMar>
          </w:tcPr>
          <w:p w14:paraId="53A344D9"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-2.71</w:t>
            </w:r>
          </w:p>
        </w:tc>
        <w:tc>
          <w:tcPr>
            <w:tcW w:w="693" w:type="pct"/>
            <w:tcBorders>
              <w:top w:val="nil"/>
              <w:left w:val="single" w:sz="2" w:space="0" w:color="000000"/>
              <w:bottom w:val="single" w:sz="2" w:space="0" w:color="000000"/>
              <w:right w:val="nil"/>
            </w:tcBorders>
            <w:shd w:val="clear" w:color="auto" w:fill="FFFFFF"/>
            <w:tcMar>
              <w:left w:w="80" w:type="dxa"/>
              <w:right w:w="80" w:type="dxa"/>
            </w:tcMar>
          </w:tcPr>
          <w:p w14:paraId="39950FF9"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-0.20</w:t>
            </w:r>
          </w:p>
        </w:tc>
        <w:tc>
          <w:tcPr>
            <w:tcW w:w="910" w:type="pct"/>
            <w:tcBorders>
              <w:top w:val="nil"/>
              <w:left w:val="single" w:sz="2" w:space="0" w:color="000000"/>
              <w:bottom w:val="single" w:sz="2" w:space="0" w:color="000000"/>
              <w:right w:val="single" w:sz="6" w:space="0" w:color="000000"/>
            </w:tcBorders>
            <w:shd w:val="clear" w:color="auto" w:fill="FFFFFF"/>
            <w:tcMar>
              <w:left w:w="80" w:type="dxa"/>
              <w:right w:w="80" w:type="dxa"/>
            </w:tcMar>
          </w:tcPr>
          <w:p w14:paraId="2692A6D0"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-1.45 (-2.71, -0.20)</w:t>
            </w:r>
          </w:p>
        </w:tc>
      </w:tr>
      <w:tr w:rsidR="00DF3B48" w:rsidRPr="00DF3B48" w14:paraId="5A606E9B" w14:textId="77777777" w:rsidTr="00DF3B48">
        <w:trPr>
          <w:cantSplit/>
          <w:jc w:val="center"/>
        </w:trPr>
        <w:tc>
          <w:tcPr>
            <w:tcW w:w="291" w:type="pct"/>
            <w:tcBorders>
              <w:top w:val="nil"/>
              <w:left w:val="single" w:sz="6" w:space="0" w:color="000000"/>
              <w:bottom w:val="single" w:sz="2" w:space="0" w:color="000000"/>
              <w:right w:val="nil"/>
            </w:tcBorders>
            <w:shd w:val="clear" w:color="auto" w:fill="FFFFFF"/>
            <w:tcMar>
              <w:left w:w="80" w:type="dxa"/>
              <w:right w:w="80" w:type="dxa"/>
            </w:tcMar>
          </w:tcPr>
          <w:p w14:paraId="69B5B1A8"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0.04</w:t>
            </w:r>
          </w:p>
        </w:tc>
        <w:tc>
          <w:tcPr>
            <w:tcW w:w="340" w:type="pct"/>
            <w:tcBorders>
              <w:top w:val="nil"/>
              <w:left w:val="single" w:sz="2" w:space="0" w:color="000000"/>
              <w:bottom w:val="single" w:sz="2" w:space="0" w:color="000000"/>
              <w:right w:val="nil"/>
            </w:tcBorders>
            <w:shd w:val="clear" w:color="auto" w:fill="FFFFFF"/>
            <w:tcMar>
              <w:left w:w="80" w:type="dxa"/>
              <w:right w:w="80" w:type="dxa"/>
            </w:tcMar>
          </w:tcPr>
          <w:p w14:paraId="7A6D77D5"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0.192</w:t>
            </w:r>
          </w:p>
        </w:tc>
        <w:tc>
          <w:tcPr>
            <w:tcW w:w="340" w:type="pct"/>
            <w:tcBorders>
              <w:top w:val="nil"/>
              <w:left w:val="single" w:sz="2" w:space="0" w:color="000000"/>
              <w:bottom w:val="single" w:sz="2" w:space="0" w:color="000000"/>
              <w:right w:val="nil"/>
            </w:tcBorders>
            <w:shd w:val="clear" w:color="auto" w:fill="FFFFFF"/>
            <w:tcMar>
              <w:left w:w="80" w:type="dxa"/>
              <w:right w:w="80" w:type="dxa"/>
            </w:tcMar>
          </w:tcPr>
          <w:p w14:paraId="549B259B"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0.133</w:t>
            </w:r>
          </w:p>
        </w:tc>
        <w:tc>
          <w:tcPr>
            <w:tcW w:w="351" w:type="pct"/>
            <w:tcBorders>
              <w:top w:val="nil"/>
              <w:left w:val="single" w:sz="2" w:space="0" w:color="000000"/>
              <w:bottom w:val="single" w:sz="2" w:space="0" w:color="000000"/>
              <w:right w:val="nil"/>
            </w:tcBorders>
            <w:shd w:val="clear" w:color="auto" w:fill="FFFFFF"/>
            <w:tcMar>
              <w:left w:w="80" w:type="dxa"/>
              <w:right w:w="80" w:type="dxa"/>
            </w:tcMar>
          </w:tcPr>
          <w:p w14:paraId="5EFE95A1"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2</w:t>
            </w:r>
          </w:p>
        </w:tc>
        <w:tc>
          <w:tcPr>
            <w:tcW w:w="351" w:type="pct"/>
            <w:tcBorders>
              <w:top w:val="nil"/>
              <w:left w:val="single" w:sz="2" w:space="0" w:color="000000"/>
              <w:bottom w:val="single" w:sz="2" w:space="0" w:color="000000"/>
              <w:right w:val="nil"/>
            </w:tcBorders>
            <w:shd w:val="clear" w:color="auto" w:fill="FFFFFF"/>
            <w:tcMar>
              <w:left w:w="80" w:type="dxa"/>
              <w:right w:w="80" w:type="dxa"/>
            </w:tcMar>
          </w:tcPr>
          <w:p w14:paraId="67BF3806"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w:t>
            </w:r>
          </w:p>
        </w:tc>
        <w:tc>
          <w:tcPr>
            <w:tcW w:w="318" w:type="pct"/>
            <w:tcBorders>
              <w:top w:val="nil"/>
              <w:left w:val="single" w:sz="2" w:space="0" w:color="000000"/>
              <w:bottom w:val="single" w:sz="2" w:space="0" w:color="000000"/>
              <w:right w:val="nil"/>
            </w:tcBorders>
            <w:shd w:val="clear" w:color="auto" w:fill="FFFFFF"/>
            <w:tcMar>
              <w:left w:w="80" w:type="dxa"/>
              <w:right w:w="80" w:type="dxa"/>
            </w:tcMar>
          </w:tcPr>
          <w:p w14:paraId="2DD525A8"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0.09</w:t>
            </w:r>
          </w:p>
        </w:tc>
        <w:tc>
          <w:tcPr>
            <w:tcW w:w="731" w:type="pct"/>
            <w:tcBorders>
              <w:top w:val="nil"/>
              <w:left w:val="single" w:sz="2" w:space="0" w:color="000000"/>
              <w:bottom w:val="single" w:sz="2" w:space="0" w:color="000000"/>
              <w:right w:val="nil"/>
            </w:tcBorders>
            <w:shd w:val="clear" w:color="auto" w:fill="FFFFFF"/>
            <w:tcMar>
              <w:left w:w="80" w:type="dxa"/>
              <w:right w:w="80" w:type="dxa"/>
            </w:tcMar>
          </w:tcPr>
          <w:p w14:paraId="651271F3"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-1.25</w:t>
            </w:r>
          </w:p>
        </w:tc>
        <w:tc>
          <w:tcPr>
            <w:tcW w:w="676" w:type="pct"/>
            <w:tcBorders>
              <w:top w:val="nil"/>
              <w:left w:val="single" w:sz="2" w:space="0" w:color="000000"/>
              <w:bottom w:val="single" w:sz="2" w:space="0" w:color="000000"/>
              <w:right w:val="nil"/>
            </w:tcBorders>
            <w:shd w:val="clear" w:color="auto" w:fill="FFFFFF"/>
            <w:tcMar>
              <w:left w:w="80" w:type="dxa"/>
              <w:right w:w="80" w:type="dxa"/>
            </w:tcMar>
          </w:tcPr>
          <w:p w14:paraId="0FAA61E7"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-2.51</w:t>
            </w:r>
          </w:p>
        </w:tc>
        <w:tc>
          <w:tcPr>
            <w:tcW w:w="693" w:type="pct"/>
            <w:tcBorders>
              <w:top w:val="nil"/>
              <w:left w:val="single" w:sz="2" w:space="0" w:color="000000"/>
              <w:bottom w:val="single" w:sz="2" w:space="0" w:color="000000"/>
              <w:right w:val="nil"/>
            </w:tcBorders>
            <w:shd w:val="clear" w:color="auto" w:fill="FFFFFF"/>
            <w:tcMar>
              <w:left w:w="80" w:type="dxa"/>
              <w:right w:w="80" w:type="dxa"/>
            </w:tcMar>
          </w:tcPr>
          <w:p w14:paraId="167AA09B"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-0.00</w:t>
            </w:r>
          </w:p>
        </w:tc>
        <w:tc>
          <w:tcPr>
            <w:tcW w:w="910" w:type="pct"/>
            <w:tcBorders>
              <w:top w:val="nil"/>
              <w:left w:val="single" w:sz="2" w:space="0" w:color="000000"/>
              <w:bottom w:val="single" w:sz="2" w:space="0" w:color="000000"/>
              <w:right w:val="single" w:sz="6" w:space="0" w:color="000000"/>
            </w:tcBorders>
            <w:shd w:val="clear" w:color="auto" w:fill="FFFFFF"/>
            <w:tcMar>
              <w:left w:w="80" w:type="dxa"/>
              <w:right w:w="80" w:type="dxa"/>
            </w:tcMar>
          </w:tcPr>
          <w:p w14:paraId="79700AEF"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-1.25 (-2.51, -0.00)</w:t>
            </w:r>
          </w:p>
        </w:tc>
      </w:tr>
      <w:tr w:rsidR="00DF3B48" w:rsidRPr="00DF3B48" w14:paraId="0E920AA6" w14:textId="77777777" w:rsidTr="00DF3B48">
        <w:trPr>
          <w:cantSplit/>
          <w:jc w:val="center"/>
        </w:trPr>
        <w:tc>
          <w:tcPr>
            <w:tcW w:w="291" w:type="pct"/>
            <w:tcBorders>
              <w:top w:val="nil"/>
              <w:left w:val="single" w:sz="6" w:space="0" w:color="000000"/>
              <w:bottom w:val="single" w:sz="2" w:space="0" w:color="000000"/>
              <w:right w:val="nil"/>
            </w:tcBorders>
            <w:shd w:val="clear" w:color="auto" w:fill="FFFFFF"/>
            <w:tcMar>
              <w:left w:w="80" w:type="dxa"/>
              <w:right w:w="80" w:type="dxa"/>
            </w:tcMar>
          </w:tcPr>
          <w:p w14:paraId="40800CD8"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0.02</w:t>
            </w:r>
          </w:p>
        </w:tc>
        <w:tc>
          <w:tcPr>
            <w:tcW w:w="340" w:type="pct"/>
            <w:tcBorders>
              <w:top w:val="nil"/>
              <w:left w:val="single" w:sz="2" w:space="0" w:color="000000"/>
              <w:bottom w:val="single" w:sz="2" w:space="0" w:color="000000"/>
              <w:right w:val="nil"/>
            </w:tcBorders>
            <w:shd w:val="clear" w:color="auto" w:fill="FFFFFF"/>
            <w:tcMar>
              <w:left w:w="80" w:type="dxa"/>
              <w:right w:w="80" w:type="dxa"/>
            </w:tcMar>
          </w:tcPr>
          <w:p w14:paraId="0B79A0D3"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0.192</w:t>
            </w:r>
          </w:p>
        </w:tc>
        <w:tc>
          <w:tcPr>
            <w:tcW w:w="340" w:type="pct"/>
            <w:tcBorders>
              <w:top w:val="nil"/>
              <w:left w:val="single" w:sz="2" w:space="0" w:color="000000"/>
              <w:bottom w:val="single" w:sz="2" w:space="0" w:color="000000"/>
              <w:right w:val="nil"/>
            </w:tcBorders>
            <w:shd w:val="clear" w:color="auto" w:fill="FFFFFF"/>
            <w:tcMar>
              <w:left w:w="80" w:type="dxa"/>
              <w:right w:w="80" w:type="dxa"/>
            </w:tcMar>
          </w:tcPr>
          <w:p w14:paraId="541B76C6"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0.133</w:t>
            </w:r>
          </w:p>
        </w:tc>
        <w:tc>
          <w:tcPr>
            <w:tcW w:w="351" w:type="pct"/>
            <w:tcBorders>
              <w:top w:val="nil"/>
              <w:left w:val="single" w:sz="2" w:space="0" w:color="000000"/>
              <w:bottom w:val="single" w:sz="2" w:space="0" w:color="000000"/>
              <w:right w:val="nil"/>
            </w:tcBorders>
            <w:shd w:val="clear" w:color="auto" w:fill="FFFFFF"/>
            <w:tcMar>
              <w:left w:w="80" w:type="dxa"/>
              <w:right w:w="80" w:type="dxa"/>
            </w:tcMar>
          </w:tcPr>
          <w:p w14:paraId="3CA865A4"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2</w:t>
            </w:r>
          </w:p>
        </w:tc>
        <w:tc>
          <w:tcPr>
            <w:tcW w:w="351" w:type="pct"/>
            <w:tcBorders>
              <w:top w:val="nil"/>
              <w:left w:val="single" w:sz="2" w:space="0" w:color="000000"/>
              <w:bottom w:val="single" w:sz="2" w:space="0" w:color="000000"/>
              <w:right w:val="nil"/>
            </w:tcBorders>
            <w:shd w:val="clear" w:color="auto" w:fill="FFFFFF"/>
            <w:tcMar>
              <w:left w:w="80" w:type="dxa"/>
              <w:right w:w="80" w:type="dxa"/>
            </w:tcMar>
          </w:tcPr>
          <w:p w14:paraId="23502B02"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2</w:t>
            </w:r>
          </w:p>
        </w:tc>
        <w:tc>
          <w:tcPr>
            <w:tcW w:w="318" w:type="pct"/>
            <w:tcBorders>
              <w:top w:val="nil"/>
              <w:left w:val="single" w:sz="2" w:space="0" w:color="000000"/>
              <w:bottom w:val="single" w:sz="2" w:space="0" w:color="000000"/>
              <w:right w:val="nil"/>
            </w:tcBorders>
            <w:shd w:val="clear" w:color="auto" w:fill="FFFFFF"/>
            <w:tcMar>
              <w:left w:w="80" w:type="dxa"/>
              <w:right w:w="80" w:type="dxa"/>
            </w:tcMar>
          </w:tcPr>
          <w:p w14:paraId="558EAAD1"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-0.52</w:t>
            </w:r>
          </w:p>
        </w:tc>
        <w:tc>
          <w:tcPr>
            <w:tcW w:w="731" w:type="pct"/>
            <w:tcBorders>
              <w:top w:val="nil"/>
              <w:left w:val="single" w:sz="2" w:space="0" w:color="000000"/>
              <w:bottom w:val="single" w:sz="2" w:space="0" w:color="000000"/>
              <w:right w:val="nil"/>
            </w:tcBorders>
            <w:shd w:val="clear" w:color="auto" w:fill="FFFFFF"/>
            <w:tcMar>
              <w:left w:w="80" w:type="dxa"/>
              <w:right w:w="80" w:type="dxa"/>
            </w:tcMar>
          </w:tcPr>
          <w:p w14:paraId="5D3BEB84"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-1.86</w:t>
            </w:r>
          </w:p>
        </w:tc>
        <w:tc>
          <w:tcPr>
            <w:tcW w:w="676" w:type="pct"/>
            <w:tcBorders>
              <w:top w:val="nil"/>
              <w:left w:val="single" w:sz="2" w:space="0" w:color="000000"/>
              <w:bottom w:val="single" w:sz="2" w:space="0" w:color="000000"/>
              <w:right w:val="nil"/>
            </w:tcBorders>
            <w:shd w:val="clear" w:color="auto" w:fill="FFFFFF"/>
            <w:tcMar>
              <w:left w:w="80" w:type="dxa"/>
              <w:right w:w="80" w:type="dxa"/>
            </w:tcMar>
          </w:tcPr>
          <w:p w14:paraId="5EC70DC1"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-3.12</w:t>
            </w:r>
          </w:p>
        </w:tc>
        <w:tc>
          <w:tcPr>
            <w:tcW w:w="693" w:type="pct"/>
            <w:tcBorders>
              <w:top w:val="nil"/>
              <w:left w:val="single" w:sz="2" w:space="0" w:color="000000"/>
              <w:bottom w:val="single" w:sz="2" w:space="0" w:color="000000"/>
              <w:right w:val="nil"/>
            </w:tcBorders>
            <w:shd w:val="clear" w:color="auto" w:fill="FFFFFF"/>
            <w:tcMar>
              <w:left w:w="80" w:type="dxa"/>
              <w:right w:w="80" w:type="dxa"/>
            </w:tcMar>
          </w:tcPr>
          <w:p w14:paraId="1567870C"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-0.61</w:t>
            </w:r>
          </w:p>
        </w:tc>
        <w:tc>
          <w:tcPr>
            <w:tcW w:w="910" w:type="pct"/>
            <w:tcBorders>
              <w:top w:val="nil"/>
              <w:left w:val="single" w:sz="2" w:space="0" w:color="000000"/>
              <w:bottom w:val="single" w:sz="2" w:space="0" w:color="000000"/>
              <w:right w:val="single" w:sz="6" w:space="0" w:color="000000"/>
            </w:tcBorders>
            <w:shd w:val="clear" w:color="auto" w:fill="FFFFFF"/>
            <w:tcMar>
              <w:left w:w="80" w:type="dxa"/>
              <w:right w:w="80" w:type="dxa"/>
            </w:tcMar>
          </w:tcPr>
          <w:p w14:paraId="3FB49A58"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-1.86 (-3.12, -0.61)</w:t>
            </w:r>
          </w:p>
        </w:tc>
      </w:tr>
      <w:tr w:rsidR="00DF3B48" w:rsidRPr="00DF3B48" w14:paraId="2EE8CA3E" w14:textId="77777777" w:rsidTr="00DF3B48">
        <w:trPr>
          <w:cantSplit/>
          <w:jc w:val="center"/>
        </w:trPr>
        <w:tc>
          <w:tcPr>
            <w:tcW w:w="291" w:type="pct"/>
            <w:tcBorders>
              <w:top w:val="nil"/>
              <w:left w:val="single" w:sz="6" w:space="0" w:color="000000"/>
              <w:bottom w:val="single" w:sz="6" w:space="0" w:color="000000"/>
              <w:right w:val="nil"/>
            </w:tcBorders>
            <w:shd w:val="clear" w:color="auto" w:fill="FFFFFF"/>
            <w:tcMar>
              <w:left w:w="80" w:type="dxa"/>
              <w:right w:w="80" w:type="dxa"/>
            </w:tcMar>
          </w:tcPr>
          <w:p w14:paraId="13AF2C44"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0.04</w:t>
            </w:r>
          </w:p>
        </w:tc>
        <w:tc>
          <w:tcPr>
            <w:tcW w:w="340" w:type="pct"/>
            <w:tcBorders>
              <w:top w:val="nil"/>
              <w:left w:val="single" w:sz="2" w:space="0" w:color="000000"/>
              <w:bottom w:val="single" w:sz="6" w:space="0" w:color="000000"/>
              <w:right w:val="nil"/>
            </w:tcBorders>
            <w:shd w:val="clear" w:color="auto" w:fill="FFFFFF"/>
            <w:tcMar>
              <w:left w:w="80" w:type="dxa"/>
              <w:right w:w="80" w:type="dxa"/>
            </w:tcMar>
          </w:tcPr>
          <w:p w14:paraId="4241FBC1"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0.192</w:t>
            </w:r>
          </w:p>
        </w:tc>
        <w:tc>
          <w:tcPr>
            <w:tcW w:w="340" w:type="pct"/>
            <w:tcBorders>
              <w:top w:val="nil"/>
              <w:left w:val="single" w:sz="2" w:space="0" w:color="000000"/>
              <w:bottom w:val="single" w:sz="6" w:space="0" w:color="000000"/>
              <w:right w:val="nil"/>
            </w:tcBorders>
            <w:shd w:val="clear" w:color="auto" w:fill="FFFFFF"/>
            <w:tcMar>
              <w:left w:w="80" w:type="dxa"/>
              <w:right w:w="80" w:type="dxa"/>
            </w:tcMar>
          </w:tcPr>
          <w:p w14:paraId="7863E6CA"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0.133</w:t>
            </w:r>
          </w:p>
        </w:tc>
        <w:tc>
          <w:tcPr>
            <w:tcW w:w="351" w:type="pct"/>
            <w:tcBorders>
              <w:top w:val="nil"/>
              <w:left w:val="single" w:sz="2" w:space="0" w:color="000000"/>
              <w:bottom w:val="single" w:sz="6" w:space="0" w:color="000000"/>
              <w:right w:val="nil"/>
            </w:tcBorders>
            <w:shd w:val="clear" w:color="auto" w:fill="FFFFFF"/>
            <w:tcMar>
              <w:left w:w="80" w:type="dxa"/>
              <w:right w:w="80" w:type="dxa"/>
            </w:tcMar>
          </w:tcPr>
          <w:p w14:paraId="2B99BEC2"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2</w:t>
            </w:r>
          </w:p>
        </w:tc>
        <w:tc>
          <w:tcPr>
            <w:tcW w:w="351" w:type="pct"/>
            <w:tcBorders>
              <w:top w:val="nil"/>
              <w:left w:val="single" w:sz="2" w:space="0" w:color="000000"/>
              <w:bottom w:val="single" w:sz="6" w:space="0" w:color="000000"/>
              <w:right w:val="nil"/>
            </w:tcBorders>
            <w:shd w:val="clear" w:color="auto" w:fill="FFFFFF"/>
            <w:tcMar>
              <w:left w:w="80" w:type="dxa"/>
              <w:right w:w="80" w:type="dxa"/>
            </w:tcMar>
          </w:tcPr>
          <w:p w14:paraId="4437D731"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2</w:t>
            </w:r>
          </w:p>
        </w:tc>
        <w:tc>
          <w:tcPr>
            <w:tcW w:w="318" w:type="pct"/>
            <w:tcBorders>
              <w:top w:val="nil"/>
              <w:left w:val="single" w:sz="2" w:space="0" w:color="000000"/>
              <w:bottom w:val="single" w:sz="6" w:space="0" w:color="000000"/>
              <w:right w:val="nil"/>
            </w:tcBorders>
            <w:shd w:val="clear" w:color="auto" w:fill="FFFFFF"/>
            <w:tcMar>
              <w:left w:w="80" w:type="dxa"/>
              <w:right w:w="80" w:type="dxa"/>
            </w:tcMar>
          </w:tcPr>
          <w:p w14:paraId="2D474DEA"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-0.43</w:t>
            </w:r>
          </w:p>
        </w:tc>
        <w:tc>
          <w:tcPr>
            <w:tcW w:w="731" w:type="pct"/>
            <w:tcBorders>
              <w:top w:val="nil"/>
              <w:left w:val="single" w:sz="2" w:space="0" w:color="000000"/>
              <w:bottom w:val="single" w:sz="6" w:space="0" w:color="000000"/>
              <w:right w:val="nil"/>
            </w:tcBorders>
            <w:shd w:val="clear" w:color="auto" w:fill="FFFFFF"/>
            <w:tcMar>
              <w:left w:w="80" w:type="dxa"/>
              <w:right w:w="80" w:type="dxa"/>
            </w:tcMar>
          </w:tcPr>
          <w:p w14:paraId="2384DF0E"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-1.77</w:t>
            </w:r>
          </w:p>
        </w:tc>
        <w:tc>
          <w:tcPr>
            <w:tcW w:w="676" w:type="pct"/>
            <w:tcBorders>
              <w:top w:val="nil"/>
              <w:left w:val="single" w:sz="2" w:space="0" w:color="000000"/>
              <w:bottom w:val="single" w:sz="6" w:space="0" w:color="000000"/>
              <w:right w:val="nil"/>
            </w:tcBorders>
            <w:shd w:val="clear" w:color="auto" w:fill="FFFFFF"/>
            <w:tcMar>
              <w:left w:w="80" w:type="dxa"/>
              <w:right w:w="80" w:type="dxa"/>
            </w:tcMar>
          </w:tcPr>
          <w:p w14:paraId="3B6DD5C8"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-3.03</w:t>
            </w:r>
          </w:p>
        </w:tc>
        <w:tc>
          <w:tcPr>
            <w:tcW w:w="693" w:type="pct"/>
            <w:tcBorders>
              <w:top w:val="nil"/>
              <w:left w:val="single" w:sz="2" w:space="0" w:color="000000"/>
              <w:bottom w:val="single" w:sz="6" w:space="0" w:color="000000"/>
              <w:right w:val="nil"/>
            </w:tcBorders>
            <w:shd w:val="clear" w:color="auto" w:fill="FFFFFF"/>
            <w:tcMar>
              <w:left w:w="80" w:type="dxa"/>
              <w:right w:w="80" w:type="dxa"/>
            </w:tcMar>
          </w:tcPr>
          <w:p w14:paraId="7FAF2E3F"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-0.52</w:t>
            </w:r>
          </w:p>
        </w:tc>
        <w:tc>
          <w:tcPr>
            <w:tcW w:w="910" w:type="pct"/>
            <w:tcBorders>
              <w:top w:val="nil"/>
              <w:left w:val="single" w:sz="2" w:space="0" w:color="000000"/>
              <w:bottom w:val="single" w:sz="6" w:space="0" w:color="000000"/>
              <w:right w:val="single" w:sz="6" w:space="0" w:color="000000"/>
            </w:tcBorders>
            <w:shd w:val="clear" w:color="auto" w:fill="FFFFFF"/>
            <w:tcMar>
              <w:left w:w="80" w:type="dxa"/>
              <w:right w:w="80" w:type="dxa"/>
            </w:tcMar>
          </w:tcPr>
          <w:p w14:paraId="7E8E29DC" w14:textId="77777777" w:rsidR="00F3418E" w:rsidRPr="00DF3B48" w:rsidRDefault="00F3418E" w:rsidP="00DF3B48">
            <w:pPr>
              <w:pStyle w:val="Tabletext1"/>
              <w:jc w:val="right"/>
              <w:rPr>
                <w:rFonts w:ascii="Arial Narrow" w:hAnsi="Arial Narrow"/>
                <w:szCs w:val="20"/>
              </w:rPr>
            </w:pPr>
            <w:r w:rsidRPr="00DF3B48">
              <w:rPr>
                <w:rFonts w:ascii="Arial Narrow" w:hAnsi="Arial Narrow"/>
                <w:szCs w:val="20"/>
              </w:rPr>
              <w:t>-1.77 (-3.03, -0.52)</w:t>
            </w:r>
          </w:p>
        </w:tc>
      </w:tr>
    </w:tbl>
    <w:p w14:paraId="33A386F7" w14:textId="41E2B680" w:rsidR="00DF3B48" w:rsidRDefault="003E77B4" w:rsidP="00897C5B">
      <w:pPr>
        <w:pStyle w:val="Caption"/>
      </w:pPr>
      <w:r>
        <w:t xml:space="preserve">Table </w:t>
      </w:r>
      <w:r w:rsidR="00171526">
        <w:t>AppE-9</w:t>
      </w:r>
      <w:r>
        <w:t>. Results for modelled scenarios for survivor causal effect for Weight</w:t>
      </w:r>
    </w:p>
    <w:p w14:paraId="3180316E" w14:textId="77777777" w:rsidR="00DF3B48" w:rsidRPr="00DF3B48" w:rsidRDefault="00DF3B48" w:rsidP="00DF3B48">
      <w:r w:rsidRPr="00DF3B48">
        <w:br w:type="page"/>
      </w:r>
    </w:p>
    <w:p w14:paraId="237D6E6D" w14:textId="77777777" w:rsidR="00F3418E" w:rsidRPr="00F3418E" w:rsidRDefault="00F3418E" w:rsidP="00DF3B48">
      <w:pPr>
        <w:pStyle w:val="Heading4"/>
      </w:pPr>
      <w:r w:rsidRPr="00F3418E">
        <w:lastRenderedPageBreak/>
        <w:t>MoCA</w:t>
      </w:r>
    </w:p>
    <w:tbl>
      <w:tblPr>
        <w:tblW w:w="5000" w:type="pct"/>
        <w:jc w:val="center"/>
        <w:tblCellMar>
          <w:left w:w="0" w:type="dxa"/>
          <w:right w:w="0" w:type="dxa"/>
        </w:tblCellMar>
        <w:tblLook w:val="0000" w:firstRow="0" w:lastRow="0" w:firstColumn="0" w:lastColumn="0" w:noHBand="0" w:noVBand="0"/>
        <w:tblCaption w:val="Results for modelled scenarios for survivor causal effect for MoCA"/>
        <w:tblDescription w:val="Results for modelled scenarios for survivor causal effect for MoCA"/>
      </w:tblPr>
      <w:tblGrid>
        <w:gridCol w:w="538"/>
        <w:gridCol w:w="627"/>
        <w:gridCol w:w="627"/>
        <w:gridCol w:w="647"/>
        <w:gridCol w:w="647"/>
        <w:gridCol w:w="587"/>
        <w:gridCol w:w="1249"/>
        <w:gridCol w:w="1249"/>
        <w:gridCol w:w="1278"/>
        <w:gridCol w:w="1561"/>
      </w:tblGrid>
      <w:tr w:rsidR="00DF3B48" w:rsidRPr="00DF3B48" w14:paraId="6787B28B" w14:textId="77777777" w:rsidTr="00F13A06">
        <w:trPr>
          <w:cantSplit/>
          <w:tblHeader/>
          <w:jc w:val="center"/>
        </w:trPr>
        <w:tc>
          <w:tcPr>
            <w:tcW w:w="298" w:type="pct"/>
            <w:tcBorders>
              <w:top w:val="single" w:sz="6" w:space="0" w:color="000000"/>
              <w:left w:val="single" w:sz="6" w:space="0" w:color="000000"/>
              <w:bottom w:val="single" w:sz="2" w:space="0" w:color="000000"/>
              <w:right w:val="nil"/>
            </w:tcBorders>
            <w:shd w:val="clear" w:color="auto" w:fill="000000" w:themeFill="text1"/>
            <w:tcMar>
              <w:left w:w="80" w:type="dxa"/>
              <w:right w:w="80" w:type="dxa"/>
            </w:tcMar>
            <w:vAlign w:val="bottom"/>
          </w:tcPr>
          <w:p w14:paraId="1E020405" w14:textId="77777777" w:rsidR="00F3418E" w:rsidRPr="00DF3B48" w:rsidRDefault="00F3418E" w:rsidP="00DF3B48">
            <w:pPr>
              <w:pStyle w:val="TableHeader"/>
              <w:rPr>
                <w:rFonts w:ascii="Arial Narrow" w:hAnsi="Arial Narrow"/>
                <w:sz w:val="20"/>
                <w:szCs w:val="20"/>
              </w:rPr>
            </w:pPr>
            <w:r w:rsidRPr="00DF3B48">
              <w:rPr>
                <w:rFonts w:ascii="Arial Narrow" w:hAnsi="Arial Narrow"/>
                <w:sz w:val="20"/>
                <w:szCs w:val="20"/>
              </w:rPr>
              <w:t>pi01</w:t>
            </w:r>
            <w:bookmarkStart w:id="426" w:name="ColumnTitle_26"/>
            <w:bookmarkEnd w:id="426"/>
          </w:p>
        </w:tc>
        <w:tc>
          <w:tcPr>
            <w:tcW w:w="348" w:type="pct"/>
            <w:tcBorders>
              <w:top w:val="single" w:sz="6" w:space="0" w:color="000000"/>
              <w:left w:val="single" w:sz="2" w:space="0" w:color="000000"/>
              <w:bottom w:val="single" w:sz="2" w:space="0" w:color="000000"/>
              <w:right w:val="nil"/>
            </w:tcBorders>
            <w:shd w:val="clear" w:color="auto" w:fill="000000" w:themeFill="text1"/>
            <w:tcMar>
              <w:left w:w="80" w:type="dxa"/>
              <w:right w:w="80" w:type="dxa"/>
            </w:tcMar>
            <w:vAlign w:val="bottom"/>
          </w:tcPr>
          <w:p w14:paraId="4E61050A" w14:textId="77777777" w:rsidR="00F3418E" w:rsidRPr="00DF3B48" w:rsidRDefault="00F3418E" w:rsidP="00DF3B48">
            <w:pPr>
              <w:pStyle w:val="TableHeader"/>
              <w:rPr>
                <w:rFonts w:ascii="Arial Narrow" w:hAnsi="Arial Narrow"/>
                <w:sz w:val="20"/>
                <w:szCs w:val="20"/>
              </w:rPr>
            </w:pPr>
            <w:r w:rsidRPr="00DF3B48">
              <w:rPr>
                <w:rFonts w:ascii="Arial Narrow" w:hAnsi="Arial Narrow"/>
                <w:sz w:val="20"/>
                <w:szCs w:val="20"/>
              </w:rPr>
              <w:t>p1</w:t>
            </w:r>
          </w:p>
        </w:tc>
        <w:tc>
          <w:tcPr>
            <w:tcW w:w="348" w:type="pct"/>
            <w:tcBorders>
              <w:top w:val="single" w:sz="6" w:space="0" w:color="000000"/>
              <w:left w:val="single" w:sz="2" w:space="0" w:color="000000"/>
              <w:bottom w:val="single" w:sz="2" w:space="0" w:color="000000"/>
              <w:right w:val="nil"/>
            </w:tcBorders>
            <w:shd w:val="clear" w:color="auto" w:fill="000000" w:themeFill="text1"/>
            <w:tcMar>
              <w:left w:w="80" w:type="dxa"/>
              <w:right w:w="80" w:type="dxa"/>
            </w:tcMar>
            <w:vAlign w:val="bottom"/>
          </w:tcPr>
          <w:p w14:paraId="7B0B2693" w14:textId="77777777" w:rsidR="00F3418E" w:rsidRPr="00DF3B48" w:rsidRDefault="00F3418E" w:rsidP="00DF3B48">
            <w:pPr>
              <w:pStyle w:val="TableHeader"/>
              <w:rPr>
                <w:rFonts w:ascii="Arial Narrow" w:hAnsi="Arial Narrow"/>
                <w:sz w:val="20"/>
                <w:szCs w:val="20"/>
              </w:rPr>
            </w:pPr>
            <w:r w:rsidRPr="00DF3B48">
              <w:rPr>
                <w:rFonts w:ascii="Arial Narrow" w:hAnsi="Arial Narrow"/>
                <w:sz w:val="20"/>
                <w:szCs w:val="20"/>
              </w:rPr>
              <w:t>p0</w:t>
            </w:r>
          </w:p>
        </w:tc>
        <w:tc>
          <w:tcPr>
            <w:tcW w:w="359" w:type="pct"/>
            <w:tcBorders>
              <w:top w:val="single" w:sz="6" w:space="0" w:color="000000"/>
              <w:left w:val="single" w:sz="2" w:space="0" w:color="000000"/>
              <w:bottom w:val="single" w:sz="2" w:space="0" w:color="000000"/>
              <w:right w:val="nil"/>
            </w:tcBorders>
            <w:shd w:val="clear" w:color="auto" w:fill="000000" w:themeFill="text1"/>
            <w:tcMar>
              <w:left w:w="80" w:type="dxa"/>
              <w:right w:w="80" w:type="dxa"/>
            </w:tcMar>
            <w:vAlign w:val="bottom"/>
          </w:tcPr>
          <w:p w14:paraId="75D3BC5A" w14:textId="77777777" w:rsidR="00F3418E" w:rsidRPr="00DF3B48" w:rsidRDefault="00F3418E" w:rsidP="00DF3B48">
            <w:pPr>
              <w:pStyle w:val="TableHeader"/>
              <w:rPr>
                <w:rFonts w:ascii="Arial Narrow" w:hAnsi="Arial Narrow"/>
                <w:sz w:val="20"/>
                <w:szCs w:val="20"/>
              </w:rPr>
            </w:pPr>
            <w:r w:rsidRPr="00DF3B48">
              <w:rPr>
                <w:rFonts w:ascii="Arial Narrow" w:hAnsi="Arial Narrow"/>
                <w:sz w:val="20"/>
                <w:szCs w:val="20"/>
              </w:rPr>
              <w:t>beta0</w:t>
            </w:r>
          </w:p>
        </w:tc>
        <w:tc>
          <w:tcPr>
            <w:tcW w:w="359" w:type="pct"/>
            <w:tcBorders>
              <w:top w:val="single" w:sz="6" w:space="0" w:color="000000"/>
              <w:left w:val="single" w:sz="2" w:space="0" w:color="000000"/>
              <w:bottom w:val="single" w:sz="2" w:space="0" w:color="000000"/>
              <w:right w:val="nil"/>
            </w:tcBorders>
            <w:shd w:val="clear" w:color="auto" w:fill="000000" w:themeFill="text1"/>
            <w:tcMar>
              <w:left w:w="80" w:type="dxa"/>
              <w:right w:w="80" w:type="dxa"/>
            </w:tcMar>
            <w:vAlign w:val="bottom"/>
          </w:tcPr>
          <w:p w14:paraId="56EDB8B6" w14:textId="77777777" w:rsidR="00F3418E" w:rsidRPr="00DF3B48" w:rsidRDefault="00F3418E" w:rsidP="00DF3B48">
            <w:pPr>
              <w:pStyle w:val="TableHeader"/>
              <w:rPr>
                <w:rFonts w:ascii="Arial Narrow" w:hAnsi="Arial Narrow"/>
                <w:sz w:val="20"/>
                <w:szCs w:val="20"/>
              </w:rPr>
            </w:pPr>
            <w:r w:rsidRPr="00DF3B48">
              <w:rPr>
                <w:rFonts w:ascii="Arial Narrow" w:hAnsi="Arial Narrow"/>
                <w:sz w:val="20"/>
                <w:szCs w:val="20"/>
              </w:rPr>
              <w:t>beta1</w:t>
            </w:r>
          </w:p>
        </w:tc>
        <w:tc>
          <w:tcPr>
            <w:tcW w:w="326" w:type="pct"/>
            <w:tcBorders>
              <w:top w:val="single" w:sz="6" w:space="0" w:color="000000"/>
              <w:left w:val="single" w:sz="2" w:space="0" w:color="000000"/>
              <w:bottom w:val="single" w:sz="2" w:space="0" w:color="000000"/>
              <w:right w:val="nil"/>
            </w:tcBorders>
            <w:shd w:val="clear" w:color="auto" w:fill="000000" w:themeFill="text1"/>
            <w:tcMar>
              <w:left w:w="80" w:type="dxa"/>
              <w:right w:w="80" w:type="dxa"/>
            </w:tcMar>
            <w:vAlign w:val="bottom"/>
          </w:tcPr>
          <w:p w14:paraId="78D40D3C" w14:textId="77777777" w:rsidR="00F3418E" w:rsidRPr="00DF3B48" w:rsidRDefault="00F3418E" w:rsidP="00DF3B48">
            <w:pPr>
              <w:pStyle w:val="TableHeader"/>
              <w:rPr>
                <w:rFonts w:ascii="Arial Narrow" w:hAnsi="Arial Narrow"/>
                <w:sz w:val="20"/>
                <w:szCs w:val="20"/>
              </w:rPr>
            </w:pPr>
            <w:r w:rsidRPr="00DF3B48">
              <w:rPr>
                <w:rFonts w:ascii="Arial Narrow" w:hAnsi="Arial Narrow"/>
                <w:sz w:val="20"/>
                <w:szCs w:val="20"/>
              </w:rPr>
              <w:t>bias</w:t>
            </w:r>
          </w:p>
        </w:tc>
        <w:tc>
          <w:tcPr>
            <w:tcW w:w="693" w:type="pct"/>
            <w:tcBorders>
              <w:top w:val="single" w:sz="6" w:space="0" w:color="000000"/>
              <w:left w:val="single" w:sz="2" w:space="0" w:color="000000"/>
              <w:bottom w:val="single" w:sz="2" w:space="0" w:color="000000"/>
              <w:right w:val="nil"/>
            </w:tcBorders>
            <w:shd w:val="clear" w:color="auto" w:fill="000000" w:themeFill="text1"/>
            <w:tcMar>
              <w:left w:w="80" w:type="dxa"/>
              <w:right w:w="80" w:type="dxa"/>
            </w:tcMar>
            <w:vAlign w:val="bottom"/>
          </w:tcPr>
          <w:p w14:paraId="7A0C9EF2" w14:textId="77777777" w:rsidR="00F3418E" w:rsidRPr="00DF3B48" w:rsidRDefault="00F3418E" w:rsidP="00DF3B48">
            <w:pPr>
              <w:pStyle w:val="TableHeader"/>
              <w:rPr>
                <w:rFonts w:ascii="Arial Narrow" w:hAnsi="Arial Narrow"/>
                <w:sz w:val="20"/>
                <w:szCs w:val="20"/>
              </w:rPr>
            </w:pPr>
            <w:proofErr w:type="spellStart"/>
            <w:r w:rsidRPr="00DF3B48">
              <w:rPr>
                <w:rFonts w:ascii="Arial Narrow" w:hAnsi="Arial Narrow"/>
                <w:sz w:val="20"/>
                <w:szCs w:val="20"/>
              </w:rPr>
              <w:t>SACE_moca</w:t>
            </w:r>
            <w:proofErr w:type="spellEnd"/>
          </w:p>
        </w:tc>
        <w:tc>
          <w:tcPr>
            <w:tcW w:w="693" w:type="pct"/>
            <w:tcBorders>
              <w:top w:val="single" w:sz="6" w:space="0" w:color="000000"/>
              <w:left w:val="single" w:sz="2" w:space="0" w:color="000000"/>
              <w:bottom w:val="single" w:sz="2" w:space="0" w:color="000000"/>
              <w:right w:val="nil"/>
            </w:tcBorders>
            <w:shd w:val="clear" w:color="auto" w:fill="000000" w:themeFill="text1"/>
            <w:tcMar>
              <w:left w:w="80" w:type="dxa"/>
              <w:right w:w="80" w:type="dxa"/>
            </w:tcMar>
            <w:vAlign w:val="bottom"/>
          </w:tcPr>
          <w:p w14:paraId="513A9656" w14:textId="77777777" w:rsidR="00F3418E" w:rsidRPr="00DF3B48" w:rsidRDefault="00F3418E" w:rsidP="00DF3B48">
            <w:pPr>
              <w:pStyle w:val="TableHeader"/>
              <w:rPr>
                <w:rFonts w:ascii="Arial Narrow" w:hAnsi="Arial Narrow"/>
                <w:sz w:val="20"/>
                <w:szCs w:val="20"/>
              </w:rPr>
            </w:pPr>
            <w:proofErr w:type="spellStart"/>
            <w:r w:rsidRPr="00DF3B48">
              <w:rPr>
                <w:rFonts w:ascii="Arial Narrow" w:hAnsi="Arial Narrow"/>
                <w:sz w:val="20"/>
                <w:szCs w:val="20"/>
              </w:rPr>
              <w:t>SACE_lower</w:t>
            </w:r>
            <w:proofErr w:type="spellEnd"/>
          </w:p>
        </w:tc>
        <w:tc>
          <w:tcPr>
            <w:tcW w:w="709" w:type="pct"/>
            <w:tcBorders>
              <w:top w:val="single" w:sz="6" w:space="0" w:color="000000"/>
              <w:left w:val="single" w:sz="2" w:space="0" w:color="000000"/>
              <w:bottom w:val="single" w:sz="2" w:space="0" w:color="000000"/>
              <w:right w:val="nil"/>
            </w:tcBorders>
            <w:shd w:val="clear" w:color="auto" w:fill="000000" w:themeFill="text1"/>
            <w:tcMar>
              <w:left w:w="80" w:type="dxa"/>
              <w:right w:w="80" w:type="dxa"/>
            </w:tcMar>
            <w:vAlign w:val="bottom"/>
          </w:tcPr>
          <w:p w14:paraId="4FA634C9" w14:textId="77777777" w:rsidR="00F3418E" w:rsidRPr="00DF3B48" w:rsidRDefault="00F3418E" w:rsidP="00DF3B48">
            <w:pPr>
              <w:pStyle w:val="TableHeader"/>
              <w:rPr>
                <w:rFonts w:ascii="Arial Narrow" w:hAnsi="Arial Narrow"/>
                <w:sz w:val="20"/>
                <w:szCs w:val="20"/>
              </w:rPr>
            </w:pPr>
            <w:proofErr w:type="spellStart"/>
            <w:r w:rsidRPr="00DF3B48">
              <w:rPr>
                <w:rFonts w:ascii="Arial Narrow" w:hAnsi="Arial Narrow"/>
                <w:sz w:val="20"/>
                <w:szCs w:val="20"/>
              </w:rPr>
              <w:t>SACE_upper</w:t>
            </w:r>
            <w:proofErr w:type="spellEnd"/>
          </w:p>
        </w:tc>
        <w:tc>
          <w:tcPr>
            <w:tcW w:w="866" w:type="pct"/>
            <w:tcBorders>
              <w:top w:val="single" w:sz="6" w:space="0" w:color="000000"/>
              <w:left w:val="single" w:sz="2" w:space="0" w:color="000000"/>
              <w:bottom w:val="single" w:sz="2" w:space="0" w:color="000000"/>
              <w:right w:val="single" w:sz="6" w:space="0" w:color="000000"/>
            </w:tcBorders>
            <w:shd w:val="clear" w:color="auto" w:fill="000000" w:themeFill="text1"/>
            <w:tcMar>
              <w:left w:w="80" w:type="dxa"/>
              <w:right w:w="80" w:type="dxa"/>
            </w:tcMar>
            <w:vAlign w:val="bottom"/>
          </w:tcPr>
          <w:p w14:paraId="3643F12A" w14:textId="77777777" w:rsidR="00F3418E" w:rsidRPr="00DF3B48" w:rsidRDefault="00F3418E" w:rsidP="00DF3B48">
            <w:pPr>
              <w:pStyle w:val="TableHeader"/>
              <w:rPr>
                <w:rFonts w:ascii="Arial Narrow" w:hAnsi="Arial Narrow"/>
                <w:sz w:val="20"/>
                <w:szCs w:val="20"/>
              </w:rPr>
            </w:pPr>
            <w:r w:rsidRPr="00DF3B48">
              <w:rPr>
                <w:rFonts w:ascii="Arial Narrow" w:hAnsi="Arial Narrow"/>
                <w:sz w:val="20"/>
                <w:szCs w:val="20"/>
              </w:rPr>
              <w:t>ci</w:t>
            </w:r>
          </w:p>
        </w:tc>
      </w:tr>
      <w:tr w:rsidR="00F3418E" w:rsidRPr="00DF3B48" w14:paraId="0C621B3D" w14:textId="77777777" w:rsidTr="00F13A06">
        <w:trPr>
          <w:cantSplit/>
          <w:jc w:val="center"/>
        </w:trPr>
        <w:tc>
          <w:tcPr>
            <w:tcW w:w="298" w:type="pct"/>
            <w:tcBorders>
              <w:top w:val="nil"/>
              <w:left w:val="single" w:sz="6" w:space="0" w:color="000000"/>
              <w:bottom w:val="single" w:sz="2" w:space="0" w:color="000000"/>
              <w:right w:val="nil"/>
            </w:tcBorders>
            <w:shd w:val="clear" w:color="auto" w:fill="FFFFFF"/>
            <w:tcMar>
              <w:left w:w="80" w:type="dxa"/>
              <w:right w:w="80" w:type="dxa"/>
            </w:tcMar>
          </w:tcPr>
          <w:p w14:paraId="5BD979FA"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0.02</w:t>
            </w:r>
          </w:p>
        </w:tc>
        <w:tc>
          <w:tcPr>
            <w:tcW w:w="348" w:type="pct"/>
            <w:tcBorders>
              <w:top w:val="nil"/>
              <w:left w:val="single" w:sz="2" w:space="0" w:color="000000"/>
              <w:bottom w:val="single" w:sz="2" w:space="0" w:color="000000"/>
              <w:right w:val="nil"/>
            </w:tcBorders>
            <w:shd w:val="clear" w:color="auto" w:fill="FFFFFF"/>
            <w:tcMar>
              <w:left w:w="80" w:type="dxa"/>
              <w:right w:w="80" w:type="dxa"/>
            </w:tcMar>
          </w:tcPr>
          <w:p w14:paraId="412952D9"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0.192</w:t>
            </w:r>
          </w:p>
        </w:tc>
        <w:tc>
          <w:tcPr>
            <w:tcW w:w="348" w:type="pct"/>
            <w:tcBorders>
              <w:top w:val="nil"/>
              <w:left w:val="single" w:sz="2" w:space="0" w:color="000000"/>
              <w:bottom w:val="single" w:sz="2" w:space="0" w:color="000000"/>
              <w:right w:val="nil"/>
            </w:tcBorders>
            <w:shd w:val="clear" w:color="auto" w:fill="FFFFFF"/>
            <w:tcMar>
              <w:left w:w="80" w:type="dxa"/>
              <w:right w:w="80" w:type="dxa"/>
            </w:tcMar>
          </w:tcPr>
          <w:p w14:paraId="695C1F4E"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0.133</w:t>
            </w:r>
          </w:p>
        </w:tc>
        <w:tc>
          <w:tcPr>
            <w:tcW w:w="359" w:type="pct"/>
            <w:tcBorders>
              <w:top w:val="nil"/>
              <w:left w:val="single" w:sz="2" w:space="0" w:color="000000"/>
              <w:bottom w:val="single" w:sz="2" w:space="0" w:color="000000"/>
              <w:right w:val="nil"/>
            </w:tcBorders>
            <w:shd w:val="clear" w:color="auto" w:fill="FFFFFF"/>
            <w:tcMar>
              <w:left w:w="80" w:type="dxa"/>
              <w:right w:w="80" w:type="dxa"/>
            </w:tcMar>
          </w:tcPr>
          <w:p w14:paraId="0E29D053"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-2</w:t>
            </w:r>
          </w:p>
        </w:tc>
        <w:tc>
          <w:tcPr>
            <w:tcW w:w="359" w:type="pct"/>
            <w:tcBorders>
              <w:top w:val="nil"/>
              <w:left w:val="single" w:sz="2" w:space="0" w:color="000000"/>
              <w:bottom w:val="single" w:sz="2" w:space="0" w:color="000000"/>
              <w:right w:val="nil"/>
            </w:tcBorders>
            <w:shd w:val="clear" w:color="auto" w:fill="FFFFFF"/>
            <w:tcMar>
              <w:left w:w="80" w:type="dxa"/>
              <w:right w:w="80" w:type="dxa"/>
            </w:tcMar>
          </w:tcPr>
          <w:p w14:paraId="7529C396"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-2</w:t>
            </w:r>
          </w:p>
        </w:tc>
        <w:tc>
          <w:tcPr>
            <w:tcW w:w="326" w:type="pct"/>
            <w:tcBorders>
              <w:top w:val="nil"/>
              <w:left w:val="single" w:sz="2" w:space="0" w:color="000000"/>
              <w:bottom w:val="single" w:sz="2" w:space="0" w:color="000000"/>
              <w:right w:val="nil"/>
            </w:tcBorders>
            <w:shd w:val="clear" w:color="auto" w:fill="FFFFFF"/>
            <w:tcMar>
              <w:left w:w="80" w:type="dxa"/>
              <w:right w:w="80" w:type="dxa"/>
            </w:tcMar>
          </w:tcPr>
          <w:p w14:paraId="5E413D9D"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0.52</w:t>
            </w:r>
          </w:p>
        </w:tc>
        <w:tc>
          <w:tcPr>
            <w:tcW w:w="693" w:type="pct"/>
            <w:tcBorders>
              <w:top w:val="nil"/>
              <w:left w:val="single" w:sz="2" w:space="0" w:color="000000"/>
              <w:bottom w:val="single" w:sz="2" w:space="0" w:color="000000"/>
              <w:right w:val="nil"/>
            </w:tcBorders>
            <w:shd w:val="clear" w:color="auto" w:fill="FFFFFF"/>
            <w:tcMar>
              <w:left w:w="80" w:type="dxa"/>
              <w:right w:w="80" w:type="dxa"/>
            </w:tcMar>
          </w:tcPr>
          <w:p w14:paraId="07E58E13"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1.88</w:t>
            </w:r>
          </w:p>
        </w:tc>
        <w:tc>
          <w:tcPr>
            <w:tcW w:w="693" w:type="pct"/>
            <w:tcBorders>
              <w:top w:val="nil"/>
              <w:left w:val="single" w:sz="2" w:space="0" w:color="000000"/>
              <w:bottom w:val="single" w:sz="2" w:space="0" w:color="000000"/>
              <w:right w:val="nil"/>
            </w:tcBorders>
            <w:shd w:val="clear" w:color="auto" w:fill="FFFFFF"/>
            <w:tcMar>
              <w:left w:w="80" w:type="dxa"/>
              <w:right w:w="80" w:type="dxa"/>
            </w:tcMar>
          </w:tcPr>
          <w:p w14:paraId="0C8820CF"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0.53</w:t>
            </w:r>
          </w:p>
        </w:tc>
        <w:tc>
          <w:tcPr>
            <w:tcW w:w="709" w:type="pct"/>
            <w:tcBorders>
              <w:top w:val="nil"/>
              <w:left w:val="single" w:sz="2" w:space="0" w:color="000000"/>
              <w:bottom w:val="single" w:sz="2" w:space="0" w:color="000000"/>
              <w:right w:val="nil"/>
            </w:tcBorders>
            <w:shd w:val="clear" w:color="auto" w:fill="FFFFFF"/>
            <w:tcMar>
              <w:left w:w="80" w:type="dxa"/>
              <w:right w:w="80" w:type="dxa"/>
            </w:tcMar>
          </w:tcPr>
          <w:p w14:paraId="5D5F57A0"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3.24</w:t>
            </w:r>
          </w:p>
        </w:tc>
        <w:tc>
          <w:tcPr>
            <w:tcW w:w="866" w:type="pct"/>
            <w:tcBorders>
              <w:top w:val="nil"/>
              <w:left w:val="single" w:sz="2" w:space="0" w:color="000000"/>
              <w:bottom w:val="single" w:sz="2" w:space="0" w:color="000000"/>
              <w:right w:val="single" w:sz="6" w:space="0" w:color="000000"/>
            </w:tcBorders>
            <w:shd w:val="clear" w:color="auto" w:fill="FFFFFF"/>
            <w:tcMar>
              <w:left w:w="80" w:type="dxa"/>
              <w:right w:w="80" w:type="dxa"/>
            </w:tcMar>
          </w:tcPr>
          <w:p w14:paraId="2DB17855"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1.88 (0.53, 3.24)</w:t>
            </w:r>
          </w:p>
        </w:tc>
      </w:tr>
      <w:tr w:rsidR="00F3418E" w:rsidRPr="00DF3B48" w14:paraId="7BECAB44" w14:textId="77777777" w:rsidTr="00F13A06">
        <w:trPr>
          <w:cantSplit/>
          <w:jc w:val="center"/>
        </w:trPr>
        <w:tc>
          <w:tcPr>
            <w:tcW w:w="298" w:type="pct"/>
            <w:tcBorders>
              <w:top w:val="nil"/>
              <w:left w:val="single" w:sz="6" w:space="0" w:color="000000"/>
              <w:bottom w:val="single" w:sz="2" w:space="0" w:color="000000"/>
              <w:right w:val="nil"/>
            </w:tcBorders>
            <w:shd w:val="clear" w:color="auto" w:fill="FFFFFF"/>
            <w:tcMar>
              <w:left w:w="80" w:type="dxa"/>
              <w:right w:w="80" w:type="dxa"/>
            </w:tcMar>
          </w:tcPr>
          <w:p w14:paraId="2ABBBC24"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0.04</w:t>
            </w:r>
          </w:p>
        </w:tc>
        <w:tc>
          <w:tcPr>
            <w:tcW w:w="348" w:type="pct"/>
            <w:tcBorders>
              <w:top w:val="nil"/>
              <w:left w:val="single" w:sz="2" w:space="0" w:color="000000"/>
              <w:bottom w:val="single" w:sz="2" w:space="0" w:color="000000"/>
              <w:right w:val="nil"/>
            </w:tcBorders>
            <w:shd w:val="clear" w:color="auto" w:fill="FFFFFF"/>
            <w:tcMar>
              <w:left w:w="80" w:type="dxa"/>
              <w:right w:w="80" w:type="dxa"/>
            </w:tcMar>
          </w:tcPr>
          <w:p w14:paraId="7F2D87C4"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0.192</w:t>
            </w:r>
          </w:p>
        </w:tc>
        <w:tc>
          <w:tcPr>
            <w:tcW w:w="348" w:type="pct"/>
            <w:tcBorders>
              <w:top w:val="nil"/>
              <w:left w:val="single" w:sz="2" w:space="0" w:color="000000"/>
              <w:bottom w:val="single" w:sz="2" w:space="0" w:color="000000"/>
              <w:right w:val="nil"/>
            </w:tcBorders>
            <w:shd w:val="clear" w:color="auto" w:fill="FFFFFF"/>
            <w:tcMar>
              <w:left w:w="80" w:type="dxa"/>
              <w:right w:w="80" w:type="dxa"/>
            </w:tcMar>
          </w:tcPr>
          <w:p w14:paraId="10BE707A"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0.133</w:t>
            </w:r>
          </w:p>
        </w:tc>
        <w:tc>
          <w:tcPr>
            <w:tcW w:w="359" w:type="pct"/>
            <w:tcBorders>
              <w:top w:val="nil"/>
              <w:left w:val="single" w:sz="2" w:space="0" w:color="000000"/>
              <w:bottom w:val="single" w:sz="2" w:space="0" w:color="000000"/>
              <w:right w:val="nil"/>
            </w:tcBorders>
            <w:shd w:val="clear" w:color="auto" w:fill="FFFFFF"/>
            <w:tcMar>
              <w:left w:w="80" w:type="dxa"/>
              <w:right w:w="80" w:type="dxa"/>
            </w:tcMar>
          </w:tcPr>
          <w:p w14:paraId="74EDBEFA"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-2</w:t>
            </w:r>
          </w:p>
        </w:tc>
        <w:tc>
          <w:tcPr>
            <w:tcW w:w="359" w:type="pct"/>
            <w:tcBorders>
              <w:top w:val="nil"/>
              <w:left w:val="single" w:sz="2" w:space="0" w:color="000000"/>
              <w:bottom w:val="single" w:sz="2" w:space="0" w:color="000000"/>
              <w:right w:val="nil"/>
            </w:tcBorders>
            <w:shd w:val="clear" w:color="auto" w:fill="FFFFFF"/>
            <w:tcMar>
              <w:left w:w="80" w:type="dxa"/>
              <w:right w:w="80" w:type="dxa"/>
            </w:tcMar>
          </w:tcPr>
          <w:p w14:paraId="5FC461AC"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-2</w:t>
            </w:r>
          </w:p>
        </w:tc>
        <w:tc>
          <w:tcPr>
            <w:tcW w:w="326" w:type="pct"/>
            <w:tcBorders>
              <w:top w:val="nil"/>
              <w:left w:val="single" w:sz="2" w:space="0" w:color="000000"/>
              <w:bottom w:val="single" w:sz="2" w:space="0" w:color="000000"/>
              <w:right w:val="nil"/>
            </w:tcBorders>
            <w:shd w:val="clear" w:color="auto" w:fill="FFFFFF"/>
            <w:tcMar>
              <w:left w:w="80" w:type="dxa"/>
              <w:right w:w="80" w:type="dxa"/>
            </w:tcMar>
          </w:tcPr>
          <w:p w14:paraId="0BE3F035"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0.43</w:t>
            </w:r>
          </w:p>
        </w:tc>
        <w:tc>
          <w:tcPr>
            <w:tcW w:w="693" w:type="pct"/>
            <w:tcBorders>
              <w:top w:val="nil"/>
              <w:left w:val="single" w:sz="2" w:space="0" w:color="000000"/>
              <w:bottom w:val="single" w:sz="2" w:space="0" w:color="000000"/>
              <w:right w:val="nil"/>
            </w:tcBorders>
            <w:shd w:val="clear" w:color="auto" w:fill="FFFFFF"/>
            <w:tcMar>
              <w:left w:w="80" w:type="dxa"/>
              <w:right w:w="80" w:type="dxa"/>
            </w:tcMar>
          </w:tcPr>
          <w:p w14:paraId="4282EA3C"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1.79</w:t>
            </w:r>
          </w:p>
        </w:tc>
        <w:tc>
          <w:tcPr>
            <w:tcW w:w="693" w:type="pct"/>
            <w:tcBorders>
              <w:top w:val="nil"/>
              <w:left w:val="single" w:sz="2" w:space="0" w:color="000000"/>
              <w:bottom w:val="single" w:sz="2" w:space="0" w:color="000000"/>
              <w:right w:val="nil"/>
            </w:tcBorders>
            <w:shd w:val="clear" w:color="auto" w:fill="FFFFFF"/>
            <w:tcMar>
              <w:left w:w="80" w:type="dxa"/>
              <w:right w:w="80" w:type="dxa"/>
            </w:tcMar>
          </w:tcPr>
          <w:p w14:paraId="3360D67D"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0.44</w:t>
            </w:r>
          </w:p>
        </w:tc>
        <w:tc>
          <w:tcPr>
            <w:tcW w:w="709" w:type="pct"/>
            <w:tcBorders>
              <w:top w:val="nil"/>
              <w:left w:val="single" w:sz="2" w:space="0" w:color="000000"/>
              <w:bottom w:val="single" w:sz="2" w:space="0" w:color="000000"/>
              <w:right w:val="nil"/>
            </w:tcBorders>
            <w:shd w:val="clear" w:color="auto" w:fill="FFFFFF"/>
            <w:tcMar>
              <w:left w:w="80" w:type="dxa"/>
              <w:right w:w="80" w:type="dxa"/>
            </w:tcMar>
          </w:tcPr>
          <w:p w14:paraId="25115952"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3.15</w:t>
            </w:r>
          </w:p>
        </w:tc>
        <w:tc>
          <w:tcPr>
            <w:tcW w:w="866" w:type="pct"/>
            <w:tcBorders>
              <w:top w:val="nil"/>
              <w:left w:val="single" w:sz="2" w:space="0" w:color="000000"/>
              <w:bottom w:val="single" w:sz="2" w:space="0" w:color="000000"/>
              <w:right w:val="single" w:sz="6" w:space="0" w:color="000000"/>
            </w:tcBorders>
            <w:shd w:val="clear" w:color="auto" w:fill="FFFFFF"/>
            <w:tcMar>
              <w:left w:w="80" w:type="dxa"/>
              <w:right w:w="80" w:type="dxa"/>
            </w:tcMar>
          </w:tcPr>
          <w:p w14:paraId="259C6573"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1.79 (0.44, 3.15)</w:t>
            </w:r>
          </w:p>
        </w:tc>
      </w:tr>
      <w:tr w:rsidR="00F3418E" w:rsidRPr="00DF3B48" w14:paraId="77ECCD6E" w14:textId="77777777" w:rsidTr="00F13A06">
        <w:trPr>
          <w:cantSplit/>
          <w:jc w:val="center"/>
        </w:trPr>
        <w:tc>
          <w:tcPr>
            <w:tcW w:w="298" w:type="pct"/>
            <w:tcBorders>
              <w:top w:val="nil"/>
              <w:left w:val="single" w:sz="6" w:space="0" w:color="000000"/>
              <w:bottom w:val="single" w:sz="2" w:space="0" w:color="000000"/>
              <w:right w:val="nil"/>
            </w:tcBorders>
            <w:shd w:val="clear" w:color="auto" w:fill="FFFFFF"/>
            <w:tcMar>
              <w:left w:w="80" w:type="dxa"/>
              <w:right w:w="80" w:type="dxa"/>
            </w:tcMar>
          </w:tcPr>
          <w:p w14:paraId="41733C46"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0.02</w:t>
            </w:r>
          </w:p>
        </w:tc>
        <w:tc>
          <w:tcPr>
            <w:tcW w:w="348" w:type="pct"/>
            <w:tcBorders>
              <w:top w:val="nil"/>
              <w:left w:val="single" w:sz="2" w:space="0" w:color="000000"/>
              <w:bottom w:val="single" w:sz="2" w:space="0" w:color="000000"/>
              <w:right w:val="nil"/>
            </w:tcBorders>
            <w:shd w:val="clear" w:color="auto" w:fill="FFFFFF"/>
            <w:tcMar>
              <w:left w:w="80" w:type="dxa"/>
              <w:right w:w="80" w:type="dxa"/>
            </w:tcMar>
          </w:tcPr>
          <w:p w14:paraId="7CDC2AE8"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0.192</w:t>
            </w:r>
          </w:p>
        </w:tc>
        <w:tc>
          <w:tcPr>
            <w:tcW w:w="348" w:type="pct"/>
            <w:tcBorders>
              <w:top w:val="nil"/>
              <w:left w:val="single" w:sz="2" w:space="0" w:color="000000"/>
              <w:bottom w:val="single" w:sz="2" w:space="0" w:color="000000"/>
              <w:right w:val="nil"/>
            </w:tcBorders>
            <w:shd w:val="clear" w:color="auto" w:fill="FFFFFF"/>
            <w:tcMar>
              <w:left w:w="80" w:type="dxa"/>
              <w:right w:w="80" w:type="dxa"/>
            </w:tcMar>
          </w:tcPr>
          <w:p w14:paraId="2567128D"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0.133</w:t>
            </w:r>
          </w:p>
        </w:tc>
        <w:tc>
          <w:tcPr>
            <w:tcW w:w="359" w:type="pct"/>
            <w:tcBorders>
              <w:top w:val="nil"/>
              <w:left w:val="single" w:sz="2" w:space="0" w:color="000000"/>
              <w:bottom w:val="single" w:sz="2" w:space="0" w:color="000000"/>
              <w:right w:val="nil"/>
            </w:tcBorders>
            <w:shd w:val="clear" w:color="auto" w:fill="FFFFFF"/>
            <w:tcMar>
              <w:left w:w="80" w:type="dxa"/>
              <w:right w:w="80" w:type="dxa"/>
            </w:tcMar>
          </w:tcPr>
          <w:p w14:paraId="7E3F5FE5"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-2</w:t>
            </w:r>
          </w:p>
        </w:tc>
        <w:tc>
          <w:tcPr>
            <w:tcW w:w="359" w:type="pct"/>
            <w:tcBorders>
              <w:top w:val="nil"/>
              <w:left w:val="single" w:sz="2" w:space="0" w:color="000000"/>
              <w:bottom w:val="single" w:sz="2" w:space="0" w:color="000000"/>
              <w:right w:val="nil"/>
            </w:tcBorders>
            <w:shd w:val="clear" w:color="auto" w:fill="FFFFFF"/>
            <w:tcMar>
              <w:left w:w="80" w:type="dxa"/>
              <w:right w:w="80" w:type="dxa"/>
            </w:tcMar>
          </w:tcPr>
          <w:p w14:paraId="604EC8A1"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-1</w:t>
            </w:r>
          </w:p>
        </w:tc>
        <w:tc>
          <w:tcPr>
            <w:tcW w:w="326" w:type="pct"/>
            <w:tcBorders>
              <w:top w:val="nil"/>
              <w:left w:val="single" w:sz="2" w:space="0" w:color="000000"/>
              <w:bottom w:val="single" w:sz="2" w:space="0" w:color="000000"/>
              <w:right w:val="nil"/>
            </w:tcBorders>
            <w:shd w:val="clear" w:color="auto" w:fill="FFFFFF"/>
            <w:tcMar>
              <w:left w:w="80" w:type="dxa"/>
              <w:right w:w="80" w:type="dxa"/>
            </w:tcMar>
          </w:tcPr>
          <w:p w14:paraId="4973ACD1"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0.11</w:t>
            </w:r>
          </w:p>
        </w:tc>
        <w:tc>
          <w:tcPr>
            <w:tcW w:w="693" w:type="pct"/>
            <w:tcBorders>
              <w:top w:val="nil"/>
              <w:left w:val="single" w:sz="2" w:space="0" w:color="000000"/>
              <w:bottom w:val="single" w:sz="2" w:space="0" w:color="000000"/>
              <w:right w:val="nil"/>
            </w:tcBorders>
            <w:shd w:val="clear" w:color="auto" w:fill="FFFFFF"/>
            <w:tcMar>
              <w:left w:w="80" w:type="dxa"/>
              <w:right w:w="80" w:type="dxa"/>
            </w:tcMar>
          </w:tcPr>
          <w:p w14:paraId="75B9B014"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1.47</w:t>
            </w:r>
          </w:p>
        </w:tc>
        <w:tc>
          <w:tcPr>
            <w:tcW w:w="693" w:type="pct"/>
            <w:tcBorders>
              <w:top w:val="nil"/>
              <w:left w:val="single" w:sz="2" w:space="0" w:color="000000"/>
              <w:bottom w:val="single" w:sz="2" w:space="0" w:color="000000"/>
              <w:right w:val="nil"/>
            </w:tcBorders>
            <w:shd w:val="clear" w:color="auto" w:fill="FFFFFF"/>
            <w:tcMar>
              <w:left w:w="80" w:type="dxa"/>
              <w:right w:w="80" w:type="dxa"/>
            </w:tcMar>
          </w:tcPr>
          <w:p w14:paraId="6FA4ED84"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0.12</w:t>
            </w:r>
          </w:p>
        </w:tc>
        <w:tc>
          <w:tcPr>
            <w:tcW w:w="709" w:type="pct"/>
            <w:tcBorders>
              <w:top w:val="nil"/>
              <w:left w:val="single" w:sz="2" w:space="0" w:color="000000"/>
              <w:bottom w:val="single" w:sz="2" w:space="0" w:color="000000"/>
              <w:right w:val="nil"/>
            </w:tcBorders>
            <w:shd w:val="clear" w:color="auto" w:fill="FFFFFF"/>
            <w:tcMar>
              <w:left w:w="80" w:type="dxa"/>
              <w:right w:w="80" w:type="dxa"/>
            </w:tcMar>
          </w:tcPr>
          <w:p w14:paraId="2538E3B4"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2.83</w:t>
            </w:r>
          </w:p>
        </w:tc>
        <w:tc>
          <w:tcPr>
            <w:tcW w:w="866" w:type="pct"/>
            <w:tcBorders>
              <w:top w:val="nil"/>
              <w:left w:val="single" w:sz="2" w:space="0" w:color="000000"/>
              <w:bottom w:val="single" w:sz="2" w:space="0" w:color="000000"/>
              <w:right w:val="single" w:sz="6" w:space="0" w:color="000000"/>
            </w:tcBorders>
            <w:shd w:val="clear" w:color="auto" w:fill="FFFFFF"/>
            <w:tcMar>
              <w:left w:w="80" w:type="dxa"/>
              <w:right w:w="80" w:type="dxa"/>
            </w:tcMar>
          </w:tcPr>
          <w:p w14:paraId="128448E2"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1.47 (0.12, 2.83)</w:t>
            </w:r>
          </w:p>
        </w:tc>
      </w:tr>
      <w:tr w:rsidR="00F3418E" w:rsidRPr="00DF3B48" w14:paraId="62E99AC9" w14:textId="77777777" w:rsidTr="00F13A06">
        <w:trPr>
          <w:cantSplit/>
          <w:jc w:val="center"/>
        </w:trPr>
        <w:tc>
          <w:tcPr>
            <w:tcW w:w="298" w:type="pct"/>
            <w:tcBorders>
              <w:top w:val="nil"/>
              <w:left w:val="single" w:sz="6" w:space="0" w:color="000000"/>
              <w:bottom w:val="single" w:sz="2" w:space="0" w:color="000000"/>
              <w:right w:val="nil"/>
            </w:tcBorders>
            <w:shd w:val="clear" w:color="auto" w:fill="FFFFFF"/>
            <w:tcMar>
              <w:left w:w="80" w:type="dxa"/>
              <w:right w:w="80" w:type="dxa"/>
            </w:tcMar>
          </w:tcPr>
          <w:p w14:paraId="5291F22A"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0.04</w:t>
            </w:r>
          </w:p>
        </w:tc>
        <w:tc>
          <w:tcPr>
            <w:tcW w:w="348" w:type="pct"/>
            <w:tcBorders>
              <w:top w:val="nil"/>
              <w:left w:val="single" w:sz="2" w:space="0" w:color="000000"/>
              <w:bottom w:val="single" w:sz="2" w:space="0" w:color="000000"/>
              <w:right w:val="nil"/>
            </w:tcBorders>
            <w:shd w:val="clear" w:color="auto" w:fill="FFFFFF"/>
            <w:tcMar>
              <w:left w:w="80" w:type="dxa"/>
              <w:right w:w="80" w:type="dxa"/>
            </w:tcMar>
          </w:tcPr>
          <w:p w14:paraId="4404232D"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0.192</w:t>
            </w:r>
          </w:p>
        </w:tc>
        <w:tc>
          <w:tcPr>
            <w:tcW w:w="348" w:type="pct"/>
            <w:tcBorders>
              <w:top w:val="nil"/>
              <w:left w:val="single" w:sz="2" w:space="0" w:color="000000"/>
              <w:bottom w:val="single" w:sz="2" w:space="0" w:color="000000"/>
              <w:right w:val="nil"/>
            </w:tcBorders>
            <w:shd w:val="clear" w:color="auto" w:fill="FFFFFF"/>
            <w:tcMar>
              <w:left w:w="80" w:type="dxa"/>
              <w:right w:w="80" w:type="dxa"/>
            </w:tcMar>
          </w:tcPr>
          <w:p w14:paraId="6DC66118"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0.133</w:t>
            </w:r>
          </w:p>
        </w:tc>
        <w:tc>
          <w:tcPr>
            <w:tcW w:w="359" w:type="pct"/>
            <w:tcBorders>
              <w:top w:val="nil"/>
              <w:left w:val="single" w:sz="2" w:space="0" w:color="000000"/>
              <w:bottom w:val="single" w:sz="2" w:space="0" w:color="000000"/>
              <w:right w:val="nil"/>
            </w:tcBorders>
            <w:shd w:val="clear" w:color="auto" w:fill="FFFFFF"/>
            <w:tcMar>
              <w:left w:w="80" w:type="dxa"/>
              <w:right w:w="80" w:type="dxa"/>
            </w:tcMar>
          </w:tcPr>
          <w:p w14:paraId="6E87B733"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-2</w:t>
            </w:r>
          </w:p>
        </w:tc>
        <w:tc>
          <w:tcPr>
            <w:tcW w:w="359" w:type="pct"/>
            <w:tcBorders>
              <w:top w:val="nil"/>
              <w:left w:val="single" w:sz="2" w:space="0" w:color="000000"/>
              <w:bottom w:val="single" w:sz="2" w:space="0" w:color="000000"/>
              <w:right w:val="nil"/>
            </w:tcBorders>
            <w:shd w:val="clear" w:color="auto" w:fill="FFFFFF"/>
            <w:tcMar>
              <w:left w:w="80" w:type="dxa"/>
              <w:right w:w="80" w:type="dxa"/>
            </w:tcMar>
          </w:tcPr>
          <w:p w14:paraId="678C0581"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-1</w:t>
            </w:r>
          </w:p>
        </w:tc>
        <w:tc>
          <w:tcPr>
            <w:tcW w:w="326" w:type="pct"/>
            <w:tcBorders>
              <w:top w:val="nil"/>
              <w:left w:val="single" w:sz="2" w:space="0" w:color="000000"/>
              <w:bottom w:val="single" w:sz="2" w:space="0" w:color="000000"/>
              <w:right w:val="nil"/>
            </w:tcBorders>
            <w:shd w:val="clear" w:color="auto" w:fill="FFFFFF"/>
            <w:tcMar>
              <w:left w:w="80" w:type="dxa"/>
              <w:right w:w="80" w:type="dxa"/>
            </w:tcMar>
          </w:tcPr>
          <w:p w14:paraId="01BC07F3"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-0.09</w:t>
            </w:r>
          </w:p>
        </w:tc>
        <w:tc>
          <w:tcPr>
            <w:tcW w:w="693" w:type="pct"/>
            <w:tcBorders>
              <w:top w:val="nil"/>
              <w:left w:val="single" w:sz="2" w:space="0" w:color="000000"/>
              <w:bottom w:val="single" w:sz="2" w:space="0" w:color="000000"/>
              <w:right w:val="nil"/>
            </w:tcBorders>
            <w:shd w:val="clear" w:color="auto" w:fill="FFFFFF"/>
            <w:tcMar>
              <w:left w:w="80" w:type="dxa"/>
              <w:right w:w="80" w:type="dxa"/>
            </w:tcMar>
          </w:tcPr>
          <w:p w14:paraId="25899FD7"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1.27</w:t>
            </w:r>
          </w:p>
        </w:tc>
        <w:tc>
          <w:tcPr>
            <w:tcW w:w="693" w:type="pct"/>
            <w:tcBorders>
              <w:top w:val="nil"/>
              <w:left w:val="single" w:sz="2" w:space="0" w:color="000000"/>
              <w:bottom w:val="single" w:sz="2" w:space="0" w:color="000000"/>
              <w:right w:val="nil"/>
            </w:tcBorders>
            <w:shd w:val="clear" w:color="auto" w:fill="FFFFFF"/>
            <w:tcMar>
              <w:left w:w="80" w:type="dxa"/>
              <w:right w:w="80" w:type="dxa"/>
            </w:tcMar>
          </w:tcPr>
          <w:p w14:paraId="2BC5B52E"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-0.08</w:t>
            </w:r>
          </w:p>
        </w:tc>
        <w:tc>
          <w:tcPr>
            <w:tcW w:w="709" w:type="pct"/>
            <w:tcBorders>
              <w:top w:val="nil"/>
              <w:left w:val="single" w:sz="2" w:space="0" w:color="000000"/>
              <w:bottom w:val="single" w:sz="2" w:space="0" w:color="000000"/>
              <w:right w:val="nil"/>
            </w:tcBorders>
            <w:shd w:val="clear" w:color="auto" w:fill="FFFFFF"/>
            <w:tcMar>
              <w:left w:w="80" w:type="dxa"/>
              <w:right w:w="80" w:type="dxa"/>
            </w:tcMar>
          </w:tcPr>
          <w:p w14:paraId="5AC4676C"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2.63</w:t>
            </w:r>
          </w:p>
        </w:tc>
        <w:tc>
          <w:tcPr>
            <w:tcW w:w="866" w:type="pct"/>
            <w:tcBorders>
              <w:top w:val="nil"/>
              <w:left w:val="single" w:sz="2" w:space="0" w:color="000000"/>
              <w:bottom w:val="single" w:sz="2" w:space="0" w:color="000000"/>
              <w:right w:val="single" w:sz="6" w:space="0" w:color="000000"/>
            </w:tcBorders>
            <w:shd w:val="clear" w:color="auto" w:fill="FFFFFF"/>
            <w:tcMar>
              <w:left w:w="80" w:type="dxa"/>
              <w:right w:w="80" w:type="dxa"/>
            </w:tcMar>
          </w:tcPr>
          <w:p w14:paraId="3BC07F8A"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1.27 (-0.08, 2.63)</w:t>
            </w:r>
          </w:p>
        </w:tc>
      </w:tr>
      <w:tr w:rsidR="00F3418E" w:rsidRPr="00DF3B48" w14:paraId="3A918F44" w14:textId="77777777" w:rsidTr="00F13A06">
        <w:trPr>
          <w:cantSplit/>
          <w:jc w:val="center"/>
        </w:trPr>
        <w:tc>
          <w:tcPr>
            <w:tcW w:w="298" w:type="pct"/>
            <w:tcBorders>
              <w:top w:val="nil"/>
              <w:left w:val="single" w:sz="6" w:space="0" w:color="000000"/>
              <w:bottom w:val="single" w:sz="2" w:space="0" w:color="000000"/>
              <w:right w:val="nil"/>
            </w:tcBorders>
            <w:shd w:val="clear" w:color="auto" w:fill="FFFFFF"/>
            <w:tcMar>
              <w:left w:w="80" w:type="dxa"/>
              <w:right w:w="80" w:type="dxa"/>
            </w:tcMar>
          </w:tcPr>
          <w:p w14:paraId="36E40010"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0.02</w:t>
            </w:r>
          </w:p>
        </w:tc>
        <w:tc>
          <w:tcPr>
            <w:tcW w:w="348" w:type="pct"/>
            <w:tcBorders>
              <w:top w:val="nil"/>
              <w:left w:val="single" w:sz="2" w:space="0" w:color="000000"/>
              <w:bottom w:val="single" w:sz="2" w:space="0" w:color="000000"/>
              <w:right w:val="nil"/>
            </w:tcBorders>
            <w:shd w:val="clear" w:color="auto" w:fill="FFFFFF"/>
            <w:tcMar>
              <w:left w:w="80" w:type="dxa"/>
              <w:right w:w="80" w:type="dxa"/>
            </w:tcMar>
          </w:tcPr>
          <w:p w14:paraId="63E346FE"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0.192</w:t>
            </w:r>
          </w:p>
        </w:tc>
        <w:tc>
          <w:tcPr>
            <w:tcW w:w="348" w:type="pct"/>
            <w:tcBorders>
              <w:top w:val="nil"/>
              <w:left w:val="single" w:sz="2" w:space="0" w:color="000000"/>
              <w:bottom w:val="single" w:sz="2" w:space="0" w:color="000000"/>
              <w:right w:val="nil"/>
            </w:tcBorders>
            <w:shd w:val="clear" w:color="auto" w:fill="FFFFFF"/>
            <w:tcMar>
              <w:left w:w="80" w:type="dxa"/>
              <w:right w:w="80" w:type="dxa"/>
            </w:tcMar>
          </w:tcPr>
          <w:p w14:paraId="21276EAB"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0.133</w:t>
            </w:r>
          </w:p>
        </w:tc>
        <w:tc>
          <w:tcPr>
            <w:tcW w:w="359" w:type="pct"/>
            <w:tcBorders>
              <w:top w:val="nil"/>
              <w:left w:val="single" w:sz="2" w:space="0" w:color="000000"/>
              <w:bottom w:val="single" w:sz="2" w:space="0" w:color="000000"/>
              <w:right w:val="nil"/>
            </w:tcBorders>
            <w:shd w:val="clear" w:color="auto" w:fill="FFFFFF"/>
            <w:tcMar>
              <w:left w:w="80" w:type="dxa"/>
              <w:right w:w="80" w:type="dxa"/>
            </w:tcMar>
          </w:tcPr>
          <w:p w14:paraId="00CD5B49"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-2</w:t>
            </w:r>
          </w:p>
        </w:tc>
        <w:tc>
          <w:tcPr>
            <w:tcW w:w="359" w:type="pct"/>
            <w:tcBorders>
              <w:top w:val="nil"/>
              <w:left w:val="single" w:sz="2" w:space="0" w:color="000000"/>
              <w:bottom w:val="single" w:sz="2" w:space="0" w:color="000000"/>
              <w:right w:val="nil"/>
            </w:tcBorders>
            <w:shd w:val="clear" w:color="auto" w:fill="FFFFFF"/>
            <w:tcMar>
              <w:left w:w="80" w:type="dxa"/>
              <w:right w:w="80" w:type="dxa"/>
            </w:tcMar>
          </w:tcPr>
          <w:p w14:paraId="6133A5BB"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0</w:t>
            </w:r>
          </w:p>
        </w:tc>
        <w:tc>
          <w:tcPr>
            <w:tcW w:w="326" w:type="pct"/>
            <w:tcBorders>
              <w:top w:val="nil"/>
              <w:left w:val="single" w:sz="2" w:space="0" w:color="000000"/>
              <w:bottom w:val="single" w:sz="2" w:space="0" w:color="000000"/>
              <w:right w:val="nil"/>
            </w:tcBorders>
            <w:shd w:val="clear" w:color="auto" w:fill="FFFFFF"/>
            <w:tcMar>
              <w:left w:w="80" w:type="dxa"/>
              <w:right w:w="80" w:type="dxa"/>
            </w:tcMar>
          </w:tcPr>
          <w:p w14:paraId="1569E934"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-0.30</w:t>
            </w:r>
          </w:p>
        </w:tc>
        <w:tc>
          <w:tcPr>
            <w:tcW w:w="693" w:type="pct"/>
            <w:tcBorders>
              <w:top w:val="nil"/>
              <w:left w:val="single" w:sz="2" w:space="0" w:color="000000"/>
              <w:bottom w:val="single" w:sz="2" w:space="0" w:color="000000"/>
              <w:right w:val="nil"/>
            </w:tcBorders>
            <w:shd w:val="clear" w:color="auto" w:fill="FFFFFF"/>
            <w:tcMar>
              <w:left w:w="80" w:type="dxa"/>
              <w:right w:w="80" w:type="dxa"/>
            </w:tcMar>
          </w:tcPr>
          <w:p w14:paraId="1B242EE8"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1.06</w:t>
            </w:r>
          </w:p>
        </w:tc>
        <w:tc>
          <w:tcPr>
            <w:tcW w:w="693" w:type="pct"/>
            <w:tcBorders>
              <w:top w:val="nil"/>
              <w:left w:val="single" w:sz="2" w:space="0" w:color="000000"/>
              <w:bottom w:val="single" w:sz="2" w:space="0" w:color="000000"/>
              <w:right w:val="nil"/>
            </w:tcBorders>
            <w:shd w:val="clear" w:color="auto" w:fill="FFFFFF"/>
            <w:tcMar>
              <w:left w:w="80" w:type="dxa"/>
              <w:right w:w="80" w:type="dxa"/>
            </w:tcMar>
          </w:tcPr>
          <w:p w14:paraId="56284AE7"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-0.29</w:t>
            </w:r>
          </w:p>
        </w:tc>
        <w:tc>
          <w:tcPr>
            <w:tcW w:w="709" w:type="pct"/>
            <w:tcBorders>
              <w:top w:val="nil"/>
              <w:left w:val="single" w:sz="2" w:space="0" w:color="000000"/>
              <w:bottom w:val="single" w:sz="2" w:space="0" w:color="000000"/>
              <w:right w:val="nil"/>
            </w:tcBorders>
            <w:shd w:val="clear" w:color="auto" w:fill="FFFFFF"/>
            <w:tcMar>
              <w:left w:w="80" w:type="dxa"/>
              <w:right w:w="80" w:type="dxa"/>
            </w:tcMar>
          </w:tcPr>
          <w:p w14:paraId="62CE6AD7"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2.42</w:t>
            </w:r>
          </w:p>
        </w:tc>
        <w:tc>
          <w:tcPr>
            <w:tcW w:w="866" w:type="pct"/>
            <w:tcBorders>
              <w:top w:val="nil"/>
              <w:left w:val="single" w:sz="2" w:space="0" w:color="000000"/>
              <w:bottom w:val="single" w:sz="2" w:space="0" w:color="000000"/>
              <w:right w:val="single" w:sz="6" w:space="0" w:color="000000"/>
            </w:tcBorders>
            <w:shd w:val="clear" w:color="auto" w:fill="FFFFFF"/>
            <w:tcMar>
              <w:left w:w="80" w:type="dxa"/>
              <w:right w:w="80" w:type="dxa"/>
            </w:tcMar>
          </w:tcPr>
          <w:p w14:paraId="23E59BAA"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1.06 (-0.29, 2.42)</w:t>
            </w:r>
          </w:p>
        </w:tc>
      </w:tr>
      <w:tr w:rsidR="00F3418E" w:rsidRPr="00DF3B48" w14:paraId="2205E992" w14:textId="77777777" w:rsidTr="00F13A06">
        <w:trPr>
          <w:cantSplit/>
          <w:jc w:val="center"/>
        </w:trPr>
        <w:tc>
          <w:tcPr>
            <w:tcW w:w="298" w:type="pct"/>
            <w:tcBorders>
              <w:top w:val="nil"/>
              <w:left w:val="single" w:sz="6" w:space="0" w:color="000000"/>
              <w:bottom w:val="single" w:sz="2" w:space="0" w:color="000000"/>
              <w:right w:val="nil"/>
            </w:tcBorders>
            <w:shd w:val="clear" w:color="auto" w:fill="FFFFFF"/>
            <w:tcMar>
              <w:left w:w="80" w:type="dxa"/>
              <w:right w:w="80" w:type="dxa"/>
            </w:tcMar>
          </w:tcPr>
          <w:p w14:paraId="7D31FA9E"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0.04</w:t>
            </w:r>
          </w:p>
        </w:tc>
        <w:tc>
          <w:tcPr>
            <w:tcW w:w="348" w:type="pct"/>
            <w:tcBorders>
              <w:top w:val="nil"/>
              <w:left w:val="single" w:sz="2" w:space="0" w:color="000000"/>
              <w:bottom w:val="single" w:sz="2" w:space="0" w:color="000000"/>
              <w:right w:val="nil"/>
            </w:tcBorders>
            <w:shd w:val="clear" w:color="auto" w:fill="FFFFFF"/>
            <w:tcMar>
              <w:left w:w="80" w:type="dxa"/>
              <w:right w:w="80" w:type="dxa"/>
            </w:tcMar>
          </w:tcPr>
          <w:p w14:paraId="01687437"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0.192</w:t>
            </w:r>
          </w:p>
        </w:tc>
        <w:tc>
          <w:tcPr>
            <w:tcW w:w="348" w:type="pct"/>
            <w:tcBorders>
              <w:top w:val="nil"/>
              <w:left w:val="single" w:sz="2" w:space="0" w:color="000000"/>
              <w:bottom w:val="single" w:sz="2" w:space="0" w:color="000000"/>
              <w:right w:val="nil"/>
            </w:tcBorders>
            <w:shd w:val="clear" w:color="auto" w:fill="FFFFFF"/>
            <w:tcMar>
              <w:left w:w="80" w:type="dxa"/>
              <w:right w:w="80" w:type="dxa"/>
            </w:tcMar>
          </w:tcPr>
          <w:p w14:paraId="1F3F1C5A"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0.133</w:t>
            </w:r>
          </w:p>
        </w:tc>
        <w:tc>
          <w:tcPr>
            <w:tcW w:w="359" w:type="pct"/>
            <w:tcBorders>
              <w:top w:val="nil"/>
              <w:left w:val="single" w:sz="2" w:space="0" w:color="000000"/>
              <w:bottom w:val="single" w:sz="2" w:space="0" w:color="000000"/>
              <w:right w:val="nil"/>
            </w:tcBorders>
            <w:shd w:val="clear" w:color="auto" w:fill="FFFFFF"/>
            <w:tcMar>
              <w:left w:w="80" w:type="dxa"/>
              <w:right w:w="80" w:type="dxa"/>
            </w:tcMar>
          </w:tcPr>
          <w:p w14:paraId="532F6F47"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-2</w:t>
            </w:r>
          </w:p>
        </w:tc>
        <w:tc>
          <w:tcPr>
            <w:tcW w:w="359" w:type="pct"/>
            <w:tcBorders>
              <w:top w:val="nil"/>
              <w:left w:val="single" w:sz="2" w:space="0" w:color="000000"/>
              <w:bottom w:val="single" w:sz="2" w:space="0" w:color="000000"/>
              <w:right w:val="nil"/>
            </w:tcBorders>
            <w:shd w:val="clear" w:color="auto" w:fill="FFFFFF"/>
            <w:tcMar>
              <w:left w:w="80" w:type="dxa"/>
              <w:right w:w="80" w:type="dxa"/>
            </w:tcMar>
          </w:tcPr>
          <w:p w14:paraId="5DCCE02E"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0</w:t>
            </w:r>
          </w:p>
        </w:tc>
        <w:tc>
          <w:tcPr>
            <w:tcW w:w="326" w:type="pct"/>
            <w:tcBorders>
              <w:top w:val="nil"/>
              <w:left w:val="single" w:sz="2" w:space="0" w:color="000000"/>
              <w:bottom w:val="single" w:sz="2" w:space="0" w:color="000000"/>
              <w:right w:val="nil"/>
            </w:tcBorders>
            <w:shd w:val="clear" w:color="auto" w:fill="FFFFFF"/>
            <w:tcMar>
              <w:left w:w="80" w:type="dxa"/>
              <w:right w:w="80" w:type="dxa"/>
            </w:tcMar>
          </w:tcPr>
          <w:p w14:paraId="17C11DBB"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-0.60</w:t>
            </w:r>
          </w:p>
        </w:tc>
        <w:tc>
          <w:tcPr>
            <w:tcW w:w="693" w:type="pct"/>
            <w:tcBorders>
              <w:top w:val="nil"/>
              <w:left w:val="single" w:sz="2" w:space="0" w:color="000000"/>
              <w:bottom w:val="single" w:sz="2" w:space="0" w:color="000000"/>
              <w:right w:val="nil"/>
            </w:tcBorders>
            <w:shd w:val="clear" w:color="auto" w:fill="FFFFFF"/>
            <w:tcMar>
              <w:left w:w="80" w:type="dxa"/>
              <w:right w:w="80" w:type="dxa"/>
            </w:tcMar>
          </w:tcPr>
          <w:p w14:paraId="669E3A51"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0.76</w:t>
            </w:r>
          </w:p>
        </w:tc>
        <w:tc>
          <w:tcPr>
            <w:tcW w:w="693" w:type="pct"/>
            <w:tcBorders>
              <w:top w:val="nil"/>
              <w:left w:val="single" w:sz="2" w:space="0" w:color="000000"/>
              <w:bottom w:val="single" w:sz="2" w:space="0" w:color="000000"/>
              <w:right w:val="nil"/>
            </w:tcBorders>
            <w:shd w:val="clear" w:color="auto" w:fill="FFFFFF"/>
            <w:tcMar>
              <w:left w:w="80" w:type="dxa"/>
              <w:right w:w="80" w:type="dxa"/>
            </w:tcMar>
          </w:tcPr>
          <w:p w14:paraId="5F3015C8"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-0.59</w:t>
            </w:r>
          </w:p>
        </w:tc>
        <w:tc>
          <w:tcPr>
            <w:tcW w:w="709" w:type="pct"/>
            <w:tcBorders>
              <w:top w:val="nil"/>
              <w:left w:val="single" w:sz="2" w:space="0" w:color="000000"/>
              <w:bottom w:val="single" w:sz="2" w:space="0" w:color="000000"/>
              <w:right w:val="nil"/>
            </w:tcBorders>
            <w:shd w:val="clear" w:color="auto" w:fill="FFFFFF"/>
            <w:tcMar>
              <w:left w:w="80" w:type="dxa"/>
              <w:right w:w="80" w:type="dxa"/>
            </w:tcMar>
          </w:tcPr>
          <w:p w14:paraId="52C08A1F"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2.12</w:t>
            </w:r>
          </w:p>
        </w:tc>
        <w:tc>
          <w:tcPr>
            <w:tcW w:w="866" w:type="pct"/>
            <w:tcBorders>
              <w:top w:val="nil"/>
              <w:left w:val="single" w:sz="2" w:space="0" w:color="000000"/>
              <w:bottom w:val="single" w:sz="2" w:space="0" w:color="000000"/>
              <w:right w:val="single" w:sz="6" w:space="0" w:color="000000"/>
            </w:tcBorders>
            <w:shd w:val="clear" w:color="auto" w:fill="FFFFFF"/>
            <w:tcMar>
              <w:left w:w="80" w:type="dxa"/>
              <w:right w:w="80" w:type="dxa"/>
            </w:tcMar>
          </w:tcPr>
          <w:p w14:paraId="3F7FB9C1"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0.76 (-0.59, 2.12)</w:t>
            </w:r>
          </w:p>
        </w:tc>
      </w:tr>
      <w:tr w:rsidR="00F3418E" w:rsidRPr="00DF3B48" w14:paraId="043A032B" w14:textId="77777777" w:rsidTr="00F13A06">
        <w:trPr>
          <w:cantSplit/>
          <w:jc w:val="center"/>
        </w:trPr>
        <w:tc>
          <w:tcPr>
            <w:tcW w:w="298" w:type="pct"/>
            <w:tcBorders>
              <w:top w:val="nil"/>
              <w:left w:val="single" w:sz="6" w:space="0" w:color="000000"/>
              <w:bottom w:val="single" w:sz="2" w:space="0" w:color="000000"/>
              <w:right w:val="nil"/>
            </w:tcBorders>
            <w:shd w:val="clear" w:color="auto" w:fill="FFFFFF"/>
            <w:tcMar>
              <w:left w:w="80" w:type="dxa"/>
              <w:right w:w="80" w:type="dxa"/>
            </w:tcMar>
          </w:tcPr>
          <w:p w14:paraId="57DE5251"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0.02</w:t>
            </w:r>
          </w:p>
        </w:tc>
        <w:tc>
          <w:tcPr>
            <w:tcW w:w="348" w:type="pct"/>
            <w:tcBorders>
              <w:top w:val="nil"/>
              <w:left w:val="single" w:sz="2" w:space="0" w:color="000000"/>
              <w:bottom w:val="single" w:sz="2" w:space="0" w:color="000000"/>
              <w:right w:val="nil"/>
            </w:tcBorders>
            <w:shd w:val="clear" w:color="auto" w:fill="FFFFFF"/>
            <w:tcMar>
              <w:left w:w="80" w:type="dxa"/>
              <w:right w:w="80" w:type="dxa"/>
            </w:tcMar>
          </w:tcPr>
          <w:p w14:paraId="0708C3D2"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0.192</w:t>
            </w:r>
          </w:p>
        </w:tc>
        <w:tc>
          <w:tcPr>
            <w:tcW w:w="348" w:type="pct"/>
            <w:tcBorders>
              <w:top w:val="nil"/>
              <w:left w:val="single" w:sz="2" w:space="0" w:color="000000"/>
              <w:bottom w:val="single" w:sz="2" w:space="0" w:color="000000"/>
              <w:right w:val="nil"/>
            </w:tcBorders>
            <w:shd w:val="clear" w:color="auto" w:fill="FFFFFF"/>
            <w:tcMar>
              <w:left w:w="80" w:type="dxa"/>
              <w:right w:w="80" w:type="dxa"/>
            </w:tcMar>
          </w:tcPr>
          <w:p w14:paraId="764D1352"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0.133</w:t>
            </w:r>
          </w:p>
        </w:tc>
        <w:tc>
          <w:tcPr>
            <w:tcW w:w="359" w:type="pct"/>
            <w:tcBorders>
              <w:top w:val="nil"/>
              <w:left w:val="single" w:sz="2" w:space="0" w:color="000000"/>
              <w:bottom w:val="single" w:sz="2" w:space="0" w:color="000000"/>
              <w:right w:val="nil"/>
            </w:tcBorders>
            <w:shd w:val="clear" w:color="auto" w:fill="FFFFFF"/>
            <w:tcMar>
              <w:left w:w="80" w:type="dxa"/>
              <w:right w:w="80" w:type="dxa"/>
            </w:tcMar>
          </w:tcPr>
          <w:p w14:paraId="05EB2E4C"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-1</w:t>
            </w:r>
          </w:p>
        </w:tc>
        <w:tc>
          <w:tcPr>
            <w:tcW w:w="359" w:type="pct"/>
            <w:tcBorders>
              <w:top w:val="nil"/>
              <w:left w:val="single" w:sz="2" w:space="0" w:color="000000"/>
              <w:bottom w:val="single" w:sz="2" w:space="0" w:color="000000"/>
              <w:right w:val="nil"/>
            </w:tcBorders>
            <w:shd w:val="clear" w:color="auto" w:fill="FFFFFF"/>
            <w:tcMar>
              <w:left w:w="80" w:type="dxa"/>
              <w:right w:w="80" w:type="dxa"/>
            </w:tcMar>
          </w:tcPr>
          <w:p w14:paraId="2A5BD6AD"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-2</w:t>
            </w:r>
          </w:p>
        </w:tc>
        <w:tc>
          <w:tcPr>
            <w:tcW w:w="326" w:type="pct"/>
            <w:tcBorders>
              <w:top w:val="nil"/>
              <w:left w:val="single" w:sz="2" w:space="0" w:color="000000"/>
              <w:bottom w:val="single" w:sz="2" w:space="0" w:color="000000"/>
              <w:right w:val="nil"/>
            </w:tcBorders>
            <w:shd w:val="clear" w:color="auto" w:fill="FFFFFF"/>
            <w:tcMar>
              <w:left w:w="80" w:type="dxa"/>
              <w:right w:w="80" w:type="dxa"/>
            </w:tcMar>
          </w:tcPr>
          <w:p w14:paraId="2047861D"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0.67</w:t>
            </w:r>
          </w:p>
        </w:tc>
        <w:tc>
          <w:tcPr>
            <w:tcW w:w="693" w:type="pct"/>
            <w:tcBorders>
              <w:top w:val="nil"/>
              <w:left w:val="single" w:sz="2" w:space="0" w:color="000000"/>
              <w:bottom w:val="single" w:sz="2" w:space="0" w:color="000000"/>
              <w:right w:val="nil"/>
            </w:tcBorders>
            <w:shd w:val="clear" w:color="auto" w:fill="FFFFFF"/>
            <w:tcMar>
              <w:left w:w="80" w:type="dxa"/>
              <w:right w:w="80" w:type="dxa"/>
            </w:tcMar>
          </w:tcPr>
          <w:p w14:paraId="72F0C326"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2.03</w:t>
            </w:r>
          </w:p>
        </w:tc>
        <w:tc>
          <w:tcPr>
            <w:tcW w:w="693" w:type="pct"/>
            <w:tcBorders>
              <w:top w:val="nil"/>
              <w:left w:val="single" w:sz="2" w:space="0" w:color="000000"/>
              <w:bottom w:val="single" w:sz="2" w:space="0" w:color="000000"/>
              <w:right w:val="nil"/>
            </w:tcBorders>
            <w:shd w:val="clear" w:color="auto" w:fill="FFFFFF"/>
            <w:tcMar>
              <w:left w:w="80" w:type="dxa"/>
              <w:right w:w="80" w:type="dxa"/>
            </w:tcMar>
          </w:tcPr>
          <w:p w14:paraId="197B86FD"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0.68</w:t>
            </w:r>
          </w:p>
        </w:tc>
        <w:tc>
          <w:tcPr>
            <w:tcW w:w="709" w:type="pct"/>
            <w:tcBorders>
              <w:top w:val="nil"/>
              <w:left w:val="single" w:sz="2" w:space="0" w:color="000000"/>
              <w:bottom w:val="single" w:sz="2" w:space="0" w:color="000000"/>
              <w:right w:val="nil"/>
            </w:tcBorders>
            <w:shd w:val="clear" w:color="auto" w:fill="FFFFFF"/>
            <w:tcMar>
              <w:left w:w="80" w:type="dxa"/>
              <w:right w:w="80" w:type="dxa"/>
            </w:tcMar>
          </w:tcPr>
          <w:p w14:paraId="32F646E4"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3.39</w:t>
            </w:r>
          </w:p>
        </w:tc>
        <w:tc>
          <w:tcPr>
            <w:tcW w:w="866" w:type="pct"/>
            <w:tcBorders>
              <w:top w:val="nil"/>
              <w:left w:val="single" w:sz="2" w:space="0" w:color="000000"/>
              <w:bottom w:val="single" w:sz="2" w:space="0" w:color="000000"/>
              <w:right w:val="single" w:sz="6" w:space="0" w:color="000000"/>
            </w:tcBorders>
            <w:shd w:val="clear" w:color="auto" w:fill="FFFFFF"/>
            <w:tcMar>
              <w:left w:w="80" w:type="dxa"/>
              <w:right w:w="80" w:type="dxa"/>
            </w:tcMar>
          </w:tcPr>
          <w:p w14:paraId="2D0A6E66"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2.03 (0.68, 3.39)</w:t>
            </w:r>
          </w:p>
        </w:tc>
      </w:tr>
      <w:tr w:rsidR="00F3418E" w:rsidRPr="00DF3B48" w14:paraId="2B0754D0" w14:textId="77777777" w:rsidTr="00F13A06">
        <w:trPr>
          <w:cantSplit/>
          <w:jc w:val="center"/>
        </w:trPr>
        <w:tc>
          <w:tcPr>
            <w:tcW w:w="298" w:type="pct"/>
            <w:tcBorders>
              <w:top w:val="nil"/>
              <w:left w:val="single" w:sz="6" w:space="0" w:color="000000"/>
              <w:bottom w:val="single" w:sz="2" w:space="0" w:color="000000"/>
              <w:right w:val="nil"/>
            </w:tcBorders>
            <w:shd w:val="clear" w:color="auto" w:fill="FFFFFF"/>
            <w:tcMar>
              <w:left w:w="80" w:type="dxa"/>
              <w:right w:w="80" w:type="dxa"/>
            </w:tcMar>
          </w:tcPr>
          <w:p w14:paraId="4098405E"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0.04</w:t>
            </w:r>
          </w:p>
        </w:tc>
        <w:tc>
          <w:tcPr>
            <w:tcW w:w="348" w:type="pct"/>
            <w:tcBorders>
              <w:top w:val="nil"/>
              <w:left w:val="single" w:sz="2" w:space="0" w:color="000000"/>
              <w:bottom w:val="single" w:sz="2" w:space="0" w:color="000000"/>
              <w:right w:val="nil"/>
            </w:tcBorders>
            <w:shd w:val="clear" w:color="auto" w:fill="FFFFFF"/>
            <w:tcMar>
              <w:left w:w="80" w:type="dxa"/>
              <w:right w:w="80" w:type="dxa"/>
            </w:tcMar>
          </w:tcPr>
          <w:p w14:paraId="2BEA3562"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0.192</w:t>
            </w:r>
          </w:p>
        </w:tc>
        <w:tc>
          <w:tcPr>
            <w:tcW w:w="348" w:type="pct"/>
            <w:tcBorders>
              <w:top w:val="nil"/>
              <w:left w:val="single" w:sz="2" w:space="0" w:color="000000"/>
              <w:bottom w:val="single" w:sz="2" w:space="0" w:color="000000"/>
              <w:right w:val="nil"/>
            </w:tcBorders>
            <w:shd w:val="clear" w:color="auto" w:fill="FFFFFF"/>
            <w:tcMar>
              <w:left w:w="80" w:type="dxa"/>
              <w:right w:w="80" w:type="dxa"/>
            </w:tcMar>
          </w:tcPr>
          <w:p w14:paraId="530EC545"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0.133</w:t>
            </w:r>
          </w:p>
        </w:tc>
        <w:tc>
          <w:tcPr>
            <w:tcW w:w="359" w:type="pct"/>
            <w:tcBorders>
              <w:top w:val="nil"/>
              <w:left w:val="single" w:sz="2" w:space="0" w:color="000000"/>
              <w:bottom w:val="single" w:sz="2" w:space="0" w:color="000000"/>
              <w:right w:val="nil"/>
            </w:tcBorders>
            <w:shd w:val="clear" w:color="auto" w:fill="FFFFFF"/>
            <w:tcMar>
              <w:left w:w="80" w:type="dxa"/>
              <w:right w:w="80" w:type="dxa"/>
            </w:tcMar>
          </w:tcPr>
          <w:p w14:paraId="78B2CBA5"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-1</w:t>
            </w:r>
          </w:p>
        </w:tc>
        <w:tc>
          <w:tcPr>
            <w:tcW w:w="359" w:type="pct"/>
            <w:tcBorders>
              <w:top w:val="nil"/>
              <w:left w:val="single" w:sz="2" w:space="0" w:color="000000"/>
              <w:bottom w:val="single" w:sz="2" w:space="0" w:color="000000"/>
              <w:right w:val="nil"/>
            </w:tcBorders>
            <w:shd w:val="clear" w:color="auto" w:fill="FFFFFF"/>
            <w:tcMar>
              <w:left w:w="80" w:type="dxa"/>
              <w:right w:w="80" w:type="dxa"/>
            </w:tcMar>
          </w:tcPr>
          <w:p w14:paraId="7E3B6223"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-2</w:t>
            </w:r>
          </w:p>
        </w:tc>
        <w:tc>
          <w:tcPr>
            <w:tcW w:w="326" w:type="pct"/>
            <w:tcBorders>
              <w:top w:val="nil"/>
              <w:left w:val="single" w:sz="2" w:space="0" w:color="000000"/>
              <w:bottom w:val="single" w:sz="2" w:space="0" w:color="000000"/>
              <w:right w:val="nil"/>
            </w:tcBorders>
            <w:shd w:val="clear" w:color="auto" w:fill="FFFFFF"/>
            <w:tcMar>
              <w:left w:w="80" w:type="dxa"/>
              <w:right w:w="80" w:type="dxa"/>
            </w:tcMar>
          </w:tcPr>
          <w:p w14:paraId="4730D9D1"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0.73</w:t>
            </w:r>
          </w:p>
        </w:tc>
        <w:tc>
          <w:tcPr>
            <w:tcW w:w="693" w:type="pct"/>
            <w:tcBorders>
              <w:top w:val="nil"/>
              <w:left w:val="single" w:sz="2" w:space="0" w:color="000000"/>
              <w:bottom w:val="single" w:sz="2" w:space="0" w:color="000000"/>
              <w:right w:val="nil"/>
            </w:tcBorders>
            <w:shd w:val="clear" w:color="auto" w:fill="FFFFFF"/>
            <w:tcMar>
              <w:left w:w="80" w:type="dxa"/>
              <w:right w:w="80" w:type="dxa"/>
            </w:tcMar>
          </w:tcPr>
          <w:p w14:paraId="3820FF91"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2.09</w:t>
            </w:r>
          </w:p>
        </w:tc>
        <w:tc>
          <w:tcPr>
            <w:tcW w:w="693" w:type="pct"/>
            <w:tcBorders>
              <w:top w:val="nil"/>
              <w:left w:val="single" w:sz="2" w:space="0" w:color="000000"/>
              <w:bottom w:val="single" w:sz="2" w:space="0" w:color="000000"/>
              <w:right w:val="nil"/>
            </w:tcBorders>
            <w:shd w:val="clear" w:color="auto" w:fill="FFFFFF"/>
            <w:tcMar>
              <w:left w:w="80" w:type="dxa"/>
              <w:right w:w="80" w:type="dxa"/>
            </w:tcMar>
          </w:tcPr>
          <w:p w14:paraId="64F932F1"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0.74</w:t>
            </w:r>
          </w:p>
        </w:tc>
        <w:tc>
          <w:tcPr>
            <w:tcW w:w="709" w:type="pct"/>
            <w:tcBorders>
              <w:top w:val="nil"/>
              <w:left w:val="single" w:sz="2" w:space="0" w:color="000000"/>
              <w:bottom w:val="single" w:sz="2" w:space="0" w:color="000000"/>
              <w:right w:val="nil"/>
            </w:tcBorders>
            <w:shd w:val="clear" w:color="auto" w:fill="FFFFFF"/>
            <w:tcMar>
              <w:left w:w="80" w:type="dxa"/>
              <w:right w:w="80" w:type="dxa"/>
            </w:tcMar>
          </w:tcPr>
          <w:p w14:paraId="47243C84"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3.45</w:t>
            </w:r>
          </w:p>
        </w:tc>
        <w:tc>
          <w:tcPr>
            <w:tcW w:w="866" w:type="pct"/>
            <w:tcBorders>
              <w:top w:val="nil"/>
              <w:left w:val="single" w:sz="2" w:space="0" w:color="000000"/>
              <w:bottom w:val="single" w:sz="2" w:space="0" w:color="000000"/>
              <w:right w:val="single" w:sz="6" w:space="0" w:color="000000"/>
            </w:tcBorders>
            <w:shd w:val="clear" w:color="auto" w:fill="FFFFFF"/>
            <w:tcMar>
              <w:left w:w="80" w:type="dxa"/>
              <w:right w:w="80" w:type="dxa"/>
            </w:tcMar>
          </w:tcPr>
          <w:p w14:paraId="54325C2F"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2.09 (0.74, 3.45)</w:t>
            </w:r>
          </w:p>
        </w:tc>
      </w:tr>
      <w:tr w:rsidR="00F3418E" w:rsidRPr="00DF3B48" w14:paraId="2931C7AC" w14:textId="77777777" w:rsidTr="00F13A06">
        <w:trPr>
          <w:cantSplit/>
          <w:jc w:val="center"/>
        </w:trPr>
        <w:tc>
          <w:tcPr>
            <w:tcW w:w="298" w:type="pct"/>
            <w:tcBorders>
              <w:top w:val="nil"/>
              <w:left w:val="single" w:sz="6" w:space="0" w:color="000000"/>
              <w:bottom w:val="single" w:sz="2" w:space="0" w:color="000000"/>
              <w:right w:val="nil"/>
            </w:tcBorders>
            <w:shd w:val="clear" w:color="auto" w:fill="FFFFFF"/>
            <w:tcMar>
              <w:left w:w="80" w:type="dxa"/>
              <w:right w:w="80" w:type="dxa"/>
            </w:tcMar>
          </w:tcPr>
          <w:p w14:paraId="534D6BF4"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0.02</w:t>
            </w:r>
          </w:p>
        </w:tc>
        <w:tc>
          <w:tcPr>
            <w:tcW w:w="348" w:type="pct"/>
            <w:tcBorders>
              <w:top w:val="nil"/>
              <w:left w:val="single" w:sz="2" w:space="0" w:color="000000"/>
              <w:bottom w:val="single" w:sz="2" w:space="0" w:color="000000"/>
              <w:right w:val="nil"/>
            </w:tcBorders>
            <w:shd w:val="clear" w:color="auto" w:fill="FFFFFF"/>
            <w:tcMar>
              <w:left w:w="80" w:type="dxa"/>
              <w:right w:w="80" w:type="dxa"/>
            </w:tcMar>
          </w:tcPr>
          <w:p w14:paraId="5C3358EA"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0.192</w:t>
            </w:r>
          </w:p>
        </w:tc>
        <w:tc>
          <w:tcPr>
            <w:tcW w:w="348" w:type="pct"/>
            <w:tcBorders>
              <w:top w:val="nil"/>
              <w:left w:val="single" w:sz="2" w:space="0" w:color="000000"/>
              <w:bottom w:val="single" w:sz="2" w:space="0" w:color="000000"/>
              <w:right w:val="nil"/>
            </w:tcBorders>
            <w:shd w:val="clear" w:color="auto" w:fill="FFFFFF"/>
            <w:tcMar>
              <w:left w:w="80" w:type="dxa"/>
              <w:right w:w="80" w:type="dxa"/>
            </w:tcMar>
          </w:tcPr>
          <w:p w14:paraId="38E6EAB7"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0.133</w:t>
            </w:r>
          </w:p>
        </w:tc>
        <w:tc>
          <w:tcPr>
            <w:tcW w:w="359" w:type="pct"/>
            <w:tcBorders>
              <w:top w:val="nil"/>
              <w:left w:val="single" w:sz="2" w:space="0" w:color="000000"/>
              <w:bottom w:val="single" w:sz="2" w:space="0" w:color="000000"/>
              <w:right w:val="nil"/>
            </w:tcBorders>
            <w:shd w:val="clear" w:color="auto" w:fill="FFFFFF"/>
            <w:tcMar>
              <w:left w:w="80" w:type="dxa"/>
              <w:right w:w="80" w:type="dxa"/>
            </w:tcMar>
          </w:tcPr>
          <w:p w14:paraId="0DC742EE"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-1</w:t>
            </w:r>
          </w:p>
        </w:tc>
        <w:tc>
          <w:tcPr>
            <w:tcW w:w="359" w:type="pct"/>
            <w:tcBorders>
              <w:top w:val="nil"/>
              <w:left w:val="single" w:sz="2" w:space="0" w:color="000000"/>
              <w:bottom w:val="single" w:sz="2" w:space="0" w:color="000000"/>
              <w:right w:val="nil"/>
            </w:tcBorders>
            <w:shd w:val="clear" w:color="auto" w:fill="FFFFFF"/>
            <w:tcMar>
              <w:left w:w="80" w:type="dxa"/>
              <w:right w:w="80" w:type="dxa"/>
            </w:tcMar>
          </w:tcPr>
          <w:p w14:paraId="305F4CC6"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-1</w:t>
            </w:r>
          </w:p>
        </w:tc>
        <w:tc>
          <w:tcPr>
            <w:tcW w:w="326" w:type="pct"/>
            <w:tcBorders>
              <w:top w:val="nil"/>
              <w:left w:val="single" w:sz="2" w:space="0" w:color="000000"/>
              <w:bottom w:val="single" w:sz="2" w:space="0" w:color="000000"/>
              <w:right w:val="nil"/>
            </w:tcBorders>
            <w:shd w:val="clear" w:color="auto" w:fill="FFFFFF"/>
            <w:tcMar>
              <w:left w:w="80" w:type="dxa"/>
              <w:right w:w="80" w:type="dxa"/>
            </w:tcMar>
          </w:tcPr>
          <w:p w14:paraId="53111721"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0.26</w:t>
            </w:r>
          </w:p>
        </w:tc>
        <w:tc>
          <w:tcPr>
            <w:tcW w:w="693" w:type="pct"/>
            <w:tcBorders>
              <w:top w:val="nil"/>
              <w:left w:val="single" w:sz="2" w:space="0" w:color="000000"/>
              <w:bottom w:val="single" w:sz="2" w:space="0" w:color="000000"/>
              <w:right w:val="nil"/>
            </w:tcBorders>
            <w:shd w:val="clear" w:color="auto" w:fill="FFFFFF"/>
            <w:tcMar>
              <w:left w:w="80" w:type="dxa"/>
              <w:right w:w="80" w:type="dxa"/>
            </w:tcMar>
          </w:tcPr>
          <w:p w14:paraId="51B1269A"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1.62</w:t>
            </w:r>
          </w:p>
        </w:tc>
        <w:tc>
          <w:tcPr>
            <w:tcW w:w="693" w:type="pct"/>
            <w:tcBorders>
              <w:top w:val="nil"/>
              <w:left w:val="single" w:sz="2" w:space="0" w:color="000000"/>
              <w:bottom w:val="single" w:sz="2" w:space="0" w:color="000000"/>
              <w:right w:val="nil"/>
            </w:tcBorders>
            <w:shd w:val="clear" w:color="auto" w:fill="FFFFFF"/>
            <w:tcMar>
              <w:left w:w="80" w:type="dxa"/>
              <w:right w:w="80" w:type="dxa"/>
            </w:tcMar>
          </w:tcPr>
          <w:p w14:paraId="1422C514"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0.27</w:t>
            </w:r>
          </w:p>
        </w:tc>
        <w:tc>
          <w:tcPr>
            <w:tcW w:w="709" w:type="pct"/>
            <w:tcBorders>
              <w:top w:val="nil"/>
              <w:left w:val="single" w:sz="2" w:space="0" w:color="000000"/>
              <w:bottom w:val="single" w:sz="2" w:space="0" w:color="000000"/>
              <w:right w:val="nil"/>
            </w:tcBorders>
            <w:shd w:val="clear" w:color="auto" w:fill="FFFFFF"/>
            <w:tcMar>
              <w:left w:w="80" w:type="dxa"/>
              <w:right w:w="80" w:type="dxa"/>
            </w:tcMar>
          </w:tcPr>
          <w:p w14:paraId="14EF4FA8"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2.98</w:t>
            </w:r>
          </w:p>
        </w:tc>
        <w:tc>
          <w:tcPr>
            <w:tcW w:w="866" w:type="pct"/>
            <w:tcBorders>
              <w:top w:val="nil"/>
              <w:left w:val="single" w:sz="2" w:space="0" w:color="000000"/>
              <w:bottom w:val="single" w:sz="2" w:space="0" w:color="000000"/>
              <w:right w:val="single" w:sz="6" w:space="0" w:color="000000"/>
            </w:tcBorders>
            <w:shd w:val="clear" w:color="auto" w:fill="FFFFFF"/>
            <w:tcMar>
              <w:left w:w="80" w:type="dxa"/>
              <w:right w:w="80" w:type="dxa"/>
            </w:tcMar>
          </w:tcPr>
          <w:p w14:paraId="3BCFAD22"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1.62 (0.27, 2.98)</w:t>
            </w:r>
          </w:p>
        </w:tc>
      </w:tr>
      <w:tr w:rsidR="00F3418E" w:rsidRPr="00DF3B48" w14:paraId="7B2CE21D" w14:textId="77777777" w:rsidTr="00F13A06">
        <w:trPr>
          <w:cantSplit/>
          <w:jc w:val="center"/>
        </w:trPr>
        <w:tc>
          <w:tcPr>
            <w:tcW w:w="298" w:type="pct"/>
            <w:tcBorders>
              <w:top w:val="nil"/>
              <w:left w:val="single" w:sz="6" w:space="0" w:color="000000"/>
              <w:bottom w:val="single" w:sz="2" w:space="0" w:color="000000"/>
              <w:right w:val="nil"/>
            </w:tcBorders>
            <w:shd w:val="clear" w:color="auto" w:fill="FFFFFF"/>
            <w:tcMar>
              <w:left w:w="80" w:type="dxa"/>
              <w:right w:w="80" w:type="dxa"/>
            </w:tcMar>
          </w:tcPr>
          <w:p w14:paraId="75C5CE8C"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0.04</w:t>
            </w:r>
          </w:p>
        </w:tc>
        <w:tc>
          <w:tcPr>
            <w:tcW w:w="348" w:type="pct"/>
            <w:tcBorders>
              <w:top w:val="nil"/>
              <w:left w:val="single" w:sz="2" w:space="0" w:color="000000"/>
              <w:bottom w:val="single" w:sz="2" w:space="0" w:color="000000"/>
              <w:right w:val="nil"/>
            </w:tcBorders>
            <w:shd w:val="clear" w:color="auto" w:fill="FFFFFF"/>
            <w:tcMar>
              <w:left w:w="80" w:type="dxa"/>
              <w:right w:w="80" w:type="dxa"/>
            </w:tcMar>
          </w:tcPr>
          <w:p w14:paraId="4091D27C"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0.192</w:t>
            </w:r>
          </w:p>
        </w:tc>
        <w:tc>
          <w:tcPr>
            <w:tcW w:w="348" w:type="pct"/>
            <w:tcBorders>
              <w:top w:val="nil"/>
              <w:left w:val="single" w:sz="2" w:space="0" w:color="000000"/>
              <w:bottom w:val="single" w:sz="2" w:space="0" w:color="000000"/>
              <w:right w:val="nil"/>
            </w:tcBorders>
            <w:shd w:val="clear" w:color="auto" w:fill="FFFFFF"/>
            <w:tcMar>
              <w:left w:w="80" w:type="dxa"/>
              <w:right w:w="80" w:type="dxa"/>
            </w:tcMar>
          </w:tcPr>
          <w:p w14:paraId="3544C22E"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0.133</w:t>
            </w:r>
          </w:p>
        </w:tc>
        <w:tc>
          <w:tcPr>
            <w:tcW w:w="359" w:type="pct"/>
            <w:tcBorders>
              <w:top w:val="nil"/>
              <w:left w:val="single" w:sz="2" w:space="0" w:color="000000"/>
              <w:bottom w:val="single" w:sz="2" w:space="0" w:color="000000"/>
              <w:right w:val="nil"/>
            </w:tcBorders>
            <w:shd w:val="clear" w:color="auto" w:fill="FFFFFF"/>
            <w:tcMar>
              <w:left w:w="80" w:type="dxa"/>
              <w:right w:w="80" w:type="dxa"/>
            </w:tcMar>
          </w:tcPr>
          <w:p w14:paraId="29DA1E1A"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-1</w:t>
            </w:r>
          </w:p>
        </w:tc>
        <w:tc>
          <w:tcPr>
            <w:tcW w:w="359" w:type="pct"/>
            <w:tcBorders>
              <w:top w:val="nil"/>
              <w:left w:val="single" w:sz="2" w:space="0" w:color="000000"/>
              <w:bottom w:val="single" w:sz="2" w:space="0" w:color="000000"/>
              <w:right w:val="nil"/>
            </w:tcBorders>
            <w:shd w:val="clear" w:color="auto" w:fill="FFFFFF"/>
            <w:tcMar>
              <w:left w:w="80" w:type="dxa"/>
              <w:right w:w="80" w:type="dxa"/>
            </w:tcMar>
          </w:tcPr>
          <w:p w14:paraId="2FC1988C"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-1</w:t>
            </w:r>
          </w:p>
        </w:tc>
        <w:tc>
          <w:tcPr>
            <w:tcW w:w="326" w:type="pct"/>
            <w:tcBorders>
              <w:top w:val="nil"/>
              <w:left w:val="single" w:sz="2" w:space="0" w:color="000000"/>
              <w:bottom w:val="single" w:sz="2" w:space="0" w:color="000000"/>
              <w:right w:val="nil"/>
            </w:tcBorders>
            <w:shd w:val="clear" w:color="auto" w:fill="FFFFFF"/>
            <w:tcMar>
              <w:left w:w="80" w:type="dxa"/>
              <w:right w:w="80" w:type="dxa"/>
            </w:tcMar>
          </w:tcPr>
          <w:p w14:paraId="3106092E"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0.21</w:t>
            </w:r>
          </w:p>
        </w:tc>
        <w:tc>
          <w:tcPr>
            <w:tcW w:w="693" w:type="pct"/>
            <w:tcBorders>
              <w:top w:val="nil"/>
              <w:left w:val="single" w:sz="2" w:space="0" w:color="000000"/>
              <w:bottom w:val="single" w:sz="2" w:space="0" w:color="000000"/>
              <w:right w:val="nil"/>
            </w:tcBorders>
            <w:shd w:val="clear" w:color="auto" w:fill="FFFFFF"/>
            <w:tcMar>
              <w:left w:w="80" w:type="dxa"/>
              <w:right w:w="80" w:type="dxa"/>
            </w:tcMar>
          </w:tcPr>
          <w:p w14:paraId="4F9AE6C7"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1.57</w:t>
            </w:r>
          </w:p>
        </w:tc>
        <w:tc>
          <w:tcPr>
            <w:tcW w:w="693" w:type="pct"/>
            <w:tcBorders>
              <w:top w:val="nil"/>
              <w:left w:val="single" w:sz="2" w:space="0" w:color="000000"/>
              <w:bottom w:val="single" w:sz="2" w:space="0" w:color="000000"/>
              <w:right w:val="nil"/>
            </w:tcBorders>
            <w:shd w:val="clear" w:color="auto" w:fill="FFFFFF"/>
            <w:tcMar>
              <w:left w:w="80" w:type="dxa"/>
              <w:right w:w="80" w:type="dxa"/>
            </w:tcMar>
          </w:tcPr>
          <w:p w14:paraId="04943B8F"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0.22</w:t>
            </w:r>
          </w:p>
        </w:tc>
        <w:tc>
          <w:tcPr>
            <w:tcW w:w="709" w:type="pct"/>
            <w:tcBorders>
              <w:top w:val="nil"/>
              <w:left w:val="single" w:sz="2" w:space="0" w:color="000000"/>
              <w:bottom w:val="single" w:sz="2" w:space="0" w:color="000000"/>
              <w:right w:val="nil"/>
            </w:tcBorders>
            <w:shd w:val="clear" w:color="auto" w:fill="FFFFFF"/>
            <w:tcMar>
              <w:left w:w="80" w:type="dxa"/>
              <w:right w:w="80" w:type="dxa"/>
            </w:tcMar>
          </w:tcPr>
          <w:p w14:paraId="45BD9991"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2.93</w:t>
            </w:r>
          </w:p>
        </w:tc>
        <w:tc>
          <w:tcPr>
            <w:tcW w:w="866" w:type="pct"/>
            <w:tcBorders>
              <w:top w:val="nil"/>
              <w:left w:val="single" w:sz="2" w:space="0" w:color="000000"/>
              <w:bottom w:val="single" w:sz="2" w:space="0" w:color="000000"/>
              <w:right w:val="single" w:sz="6" w:space="0" w:color="000000"/>
            </w:tcBorders>
            <w:shd w:val="clear" w:color="auto" w:fill="FFFFFF"/>
            <w:tcMar>
              <w:left w:w="80" w:type="dxa"/>
              <w:right w:w="80" w:type="dxa"/>
            </w:tcMar>
          </w:tcPr>
          <w:p w14:paraId="15B9277F"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1.57 (0.22, 2.93)</w:t>
            </w:r>
          </w:p>
        </w:tc>
      </w:tr>
      <w:tr w:rsidR="00F3418E" w:rsidRPr="00DF3B48" w14:paraId="4FD3A2F5" w14:textId="77777777" w:rsidTr="00F13A06">
        <w:trPr>
          <w:cantSplit/>
          <w:jc w:val="center"/>
        </w:trPr>
        <w:tc>
          <w:tcPr>
            <w:tcW w:w="298" w:type="pct"/>
            <w:tcBorders>
              <w:top w:val="nil"/>
              <w:left w:val="single" w:sz="6" w:space="0" w:color="000000"/>
              <w:bottom w:val="single" w:sz="2" w:space="0" w:color="000000"/>
              <w:right w:val="nil"/>
            </w:tcBorders>
            <w:shd w:val="clear" w:color="auto" w:fill="FFFFFF"/>
            <w:tcMar>
              <w:left w:w="80" w:type="dxa"/>
              <w:right w:w="80" w:type="dxa"/>
            </w:tcMar>
          </w:tcPr>
          <w:p w14:paraId="03EB6E78"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0.02</w:t>
            </w:r>
          </w:p>
        </w:tc>
        <w:tc>
          <w:tcPr>
            <w:tcW w:w="348" w:type="pct"/>
            <w:tcBorders>
              <w:top w:val="nil"/>
              <w:left w:val="single" w:sz="2" w:space="0" w:color="000000"/>
              <w:bottom w:val="single" w:sz="2" w:space="0" w:color="000000"/>
              <w:right w:val="nil"/>
            </w:tcBorders>
            <w:shd w:val="clear" w:color="auto" w:fill="FFFFFF"/>
            <w:tcMar>
              <w:left w:w="80" w:type="dxa"/>
              <w:right w:w="80" w:type="dxa"/>
            </w:tcMar>
          </w:tcPr>
          <w:p w14:paraId="79F9B5DA"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0.192</w:t>
            </w:r>
          </w:p>
        </w:tc>
        <w:tc>
          <w:tcPr>
            <w:tcW w:w="348" w:type="pct"/>
            <w:tcBorders>
              <w:top w:val="nil"/>
              <w:left w:val="single" w:sz="2" w:space="0" w:color="000000"/>
              <w:bottom w:val="single" w:sz="2" w:space="0" w:color="000000"/>
              <w:right w:val="nil"/>
            </w:tcBorders>
            <w:shd w:val="clear" w:color="auto" w:fill="FFFFFF"/>
            <w:tcMar>
              <w:left w:w="80" w:type="dxa"/>
              <w:right w:w="80" w:type="dxa"/>
            </w:tcMar>
          </w:tcPr>
          <w:p w14:paraId="7BC2583D"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0.133</w:t>
            </w:r>
          </w:p>
        </w:tc>
        <w:tc>
          <w:tcPr>
            <w:tcW w:w="359" w:type="pct"/>
            <w:tcBorders>
              <w:top w:val="nil"/>
              <w:left w:val="single" w:sz="2" w:space="0" w:color="000000"/>
              <w:bottom w:val="single" w:sz="2" w:space="0" w:color="000000"/>
              <w:right w:val="nil"/>
            </w:tcBorders>
            <w:shd w:val="clear" w:color="auto" w:fill="FFFFFF"/>
            <w:tcMar>
              <w:left w:w="80" w:type="dxa"/>
              <w:right w:w="80" w:type="dxa"/>
            </w:tcMar>
          </w:tcPr>
          <w:p w14:paraId="69C019AA"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-1</w:t>
            </w:r>
          </w:p>
        </w:tc>
        <w:tc>
          <w:tcPr>
            <w:tcW w:w="359" w:type="pct"/>
            <w:tcBorders>
              <w:top w:val="nil"/>
              <w:left w:val="single" w:sz="2" w:space="0" w:color="000000"/>
              <w:bottom w:val="single" w:sz="2" w:space="0" w:color="000000"/>
              <w:right w:val="nil"/>
            </w:tcBorders>
            <w:shd w:val="clear" w:color="auto" w:fill="FFFFFF"/>
            <w:tcMar>
              <w:left w:w="80" w:type="dxa"/>
              <w:right w:w="80" w:type="dxa"/>
            </w:tcMar>
          </w:tcPr>
          <w:p w14:paraId="09A57231"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0</w:t>
            </w:r>
          </w:p>
        </w:tc>
        <w:tc>
          <w:tcPr>
            <w:tcW w:w="326" w:type="pct"/>
            <w:tcBorders>
              <w:top w:val="nil"/>
              <w:left w:val="single" w:sz="2" w:space="0" w:color="000000"/>
              <w:bottom w:val="single" w:sz="2" w:space="0" w:color="000000"/>
              <w:right w:val="nil"/>
            </w:tcBorders>
            <w:shd w:val="clear" w:color="auto" w:fill="FFFFFF"/>
            <w:tcMar>
              <w:left w:w="80" w:type="dxa"/>
              <w:right w:w="80" w:type="dxa"/>
            </w:tcMar>
          </w:tcPr>
          <w:p w14:paraId="2B1A76B4"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-0.15</w:t>
            </w:r>
          </w:p>
        </w:tc>
        <w:tc>
          <w:tcPr>
            <w:tcW w:w="693" w:type="pct"/>
            <w:tcBorders>
              <w:top w:val="nil"/>
              <w:left w:val="single" w:sz="2" w:space="0" w:color="000000"/>
              <w:bottom w:val="single" w:sz="2" w:space="0" w:color="000000"/>
              <w:right w:val="nil"/>
            </w:tcBorders>
            <w:shd w:val="clear" w:color="auto" w:fill="FFFFFF"/>
            <w:tcMar>
              <w:left w:w="80" w:type="dxa"/>
              <w:right w:w="80" w:type="dxa"/>
            </w:tcMar>
          </w:tcPr>
          <w:p w14:paraId="31489402"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1.21</w:t>
            </w:r>
          </w:p>
        </w:tc>
        <w:tc>
          <w:tcPr>
            <w:tcW w:w="693" w:type="pct"/>
            <w:tcBorders>
              <w:top w:val="nil"/>
              <w:left w:val="single" w:sz="2" w:space="0" w:color="000000"/>
              <w:bottom w:val="single" w:sz="2" w:space="0" w:color="000000"/>
              <w:right w:val="nil"/>
            </w:tcBorders>
            <w:shd w:val="clear" w:color="auto" w:fill="FFFFFF"/>
            <w:tcMar>
              <w:left w:w="80" w:type="dxa"/>
              <w:right w:w="80" w:type="dxa"/>
            </w:tcMar>
          </w:tcPr>
          <w:p w14:paraId="4862E88B"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-0.14</w:t>
            </w:r>
          </w:p>
        </w:tc>
        <w:tc>
          <w:tcPr>
            <w:tcW w:w="709" w:type="pct"/>
            <w:tcBorders>
              <w:top w:val="nil"/>
              <w:left w:val="single" w:sz="2" w:space="0" w:color="000000"/>
              <w:bottom w:val="single" w:sz="2" w:space="0" w:color="000000"/>
              <w:right w:val="nil"/>
            </w:tcBorders>
            <w:shd w:val="clear" w:color="auto" w:fill="FFFFFF"/>
            <w:tcMar>
              <w:left w:w="80" w:type="dxa"/>
              <w:right w:w="80" w:type="dxa"/>
            </w:tcMar>
          </w:tcPr>
          <w:p w14:paraId="157FF1D8"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2.57</w:t>
            </w:r>
          </w:p>
        </w:tc>
        <w:tc>
          <w:tcPr>
            <w:tcW w:w="866" w:type="pct"/>
            <w:tcBorders>
              <w:top w:val="nil"/>
              <w:left w:val="single" w:sz="2" w:space="0" w:color="000000"/>
              <w:bottom w:val="single" w:sz="2" w:space="0" w:color="000000"/>
              <w:right w:val="single" w:sz="6" w:space="0" w:color="000000"/>
            </w:tcBorders>
            <w:shd w:val="clear" w:color="auto" w:fill="FFFFFF"/>
            <w:tcMar>
              <w:left w:w="80" w:type="dxa"/>
              <w:right w:w="80" w:type="dxa"/>
            </w:tcMar>
          </w:tcPr>
          <w:p w14:paraId="686D9AAC"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1.21 (-0.14, 2.57)</w:t>
            </w:r>
          </w:p>
        </w:tc>
      </w:tr>
      <w:tr w:rsidR="00F3418E" w:rsidRPr="00DF3B48" w14:paraId="6240CE26" w14:textId="77777777" w:rsidTr="00F13A06">
        <w:trPr>
          <w:cantSplit/>
          <w:jc w:val="center"/>
        </w:trPr>
        <w:tc>
          <w:tcPr>
            <w:tcW w:w="298" w:type="pct"/>
            <w:tcBorders>
              <w:top w:val="nil"/>
              <w:left w:val="single" w:sz="6" w:space="0" w:color="000000"/>
              <w:bottom w:val="single" w:sz="2" w:space="0" w:color="000000"/>
              <w:right w:val="nil"/>
            </w:tcBorders>
            <w:shd w:val="clear" w:color="auto" w:fill="FFFFFF"/>
            <w:tcMar>
              <w:left w:w="80" w:type="dxa"/>
              <w:right w:w="80" w:type="dxa"/>
            </w:tcMar>
          </w:tcPr>
          <w:p w14:paraId="051F6F1E"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0.04</w:t>
            </w:r>
          </w:p>
        </w:tc>
        <w:tc>
          <w:tcPr>
            <w:tcW w:w="348" w:type="pct"/>
            <w:tcBorders>
              <w:top w:val="nil"/>
              <w:left w:val="single" w:sz="2" w:space="0" w:color="000000"/>
              <w:bottom w:val="single" w:sz="2" w:space="0" w:color="000000"/>
              <w:right w:val="nil"/>
            </w:tcBorders>
            <w:shd w:val="clear" w:color="auto" w:fill="FFFFFF"/>
            <w:tcMar>
              <w:left w:w="80" w:type="dxa"/>
              <w:right w:w="80" w:type="dxa"/>
            </w:tcMar>
          </w:tcPr>
          <w:p w14:paraId="21F68AC5"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0.192</w:t>
            </w:r>
          </w:p>
        </w:tc>
        <w:tc>
          <w:tcPr>
            <w:tcW w:w="348" w:type="pct"/>
            <w:tcBorders>
              <w:top w:val="nil"/>
              <w:left w:val="single" w:sz="2" w:space="0" w:color="000000"/>
              <w:bottom w:val="single" w:sz="2" w:space="0" w:color="000000"/>
              <w:right w:val="nil"/>
            </w:tcBorders>
            <w:shd w:val="clear" w:color="auto" w:fill="FFFFFF"/>
            <w:tcMar>
              <w:left w:w="80" w:type="dxa"/>
              <w:right w:w="80" w:type="dxa"/>
            </w:tcMar>
          </w:tcPr>
          <w:p w14:paraId="0A367C3D"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0.133</w:t>
            </w:r>
          </w:p>
        </w:tc>
        <w:tc>
          <w:tcPr>
            <w:tcW w:w="359" w:type="pct"/>
            <w:tcBorders>
              <w:top w:val="nil"/>
              <w:left w:val="single" w:sz="2" w:space="0" w:color="000000"/>
              <w:bottom w:val="single" w:sz="2" w:space="0" w:color="000000"/>
              <w:right w:val="nil"/>
            </w:tcBorders>
            <w:shd w:val="clear" w:color="auto" w:fill="FFFFFF"/>
            <w:tcMar>
              <w:left w:w="80" w:type="dxa"/>
              <w:right w:w="80" w:type="dxa"/>
            </w:tcMar>
          </w:tcPr>
          <w:p w14:paraId="6748ED60"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-1</w:t>
            </w:r>
          </w:p>
        </w:tc>
        <w:tc>
          <w:tcPr>
            <w:tcW w:w="359" w:type="pct"/>
            <w:tcBorders>
              <w:top w:val="nil"/>
              <w:left w:val="single" w:sz="2" w:space="0" w:color="000000"/>
              <w:bottom w:val="single" w:sz="2" w:space="0" w:color="000000"/>
              <w:right w:val="nil"/>
            </w:tcBorders>
            <w:shd w:val="clear" w:color="auto" w:fill="FFFFFF"/>
            <w:tcMar>
              <w:left w:w="80" w:type="dxa"/>
              <w:right w:w="80" w:type="dxa"/>
            </w:tcMar>
          </w:tcPr>
          <w:p w14:paraId="73C76512"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0</w:t>
            </w:r>
          </w:p>
        </w:tc>
        <w:tc>
          <w:tcPr>
            <w:tcW w:w="326" w:type="pct"/>
            <w:tcBorders>
              <w:top w:val="nil"/>
              <w:left w:val="single" w:sz="2" w:space="0" w:color="000000"/>
              <w:bottom w:val="single" w:sz="2" w:space="0" w:color="000000"/>
              <w:right w:val="nil"/>
            </w:tcBorders>
            <w:shd w:val="clear" w:color="auto" w:fill="FFFFFF"/>
            <w:tcMar>
              <w:left w:w="80" w:type="dxa"/>
              <w:right w:w="80" w:type="dxa"/>
            </w:tcMar>
          </w:tcPr>
          <w:p w14:paraId="437D64A4"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-0.30</w:t>
            </w:r>
          </w:p>
        </w:tc>
        <w:tc>
          <w:tcPr>
            <w:tcW w:w="693" w:type="pct"/>
            <w:tcBorders>
              <w:top w:val="nil"/>
              <w:left w:val="single" w:sz="2" w:space="0" w:color="000000"/>
              <w:bottom w:val="single" w:sz="2" w:space="0" w:color="000000"/>
              <w:right w:val="nil"/>
            </w:tcBorders>
            <w:shd w:val="clear" w:color="auto" w:fill="FFFFFF"/>
            <w:tcMar>
              <w:left w:w="80" w:type="dxa"/>
              <w:right w:w="80" w:type="dxa"/>
            </w:tcMar>
          </w:tcPr>
          <w:p w14:paraId="3C8AC038"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1.06</w:t>
            </w:r>
          </w:p>
        </w:tc>
        <w:tc>
          <w:tcPr>
            <w:tcW w:w="693" w:type="pct"/>
            <w:tcBorders>
              <w:top w:val="nil"/>
              <w:left w:val="single" w:sz="2" w:space="0" w:color="000000"/>
              <w:bottom w:val="single" w:sz="2" w:space="0" w:color="000000"/>
              <w:right w:val="nil"/>
            </w:tcBorders>
            <w:shd w:val="clear" w:color="auto" w:fill="FFFFFF"/>
            <w:tcMar>
              <w:left w:w="80" w:type="dxa"/>
              <w:right w:w="80" w:type="dxa"/>
            </w:tcMar>
          </w:tcPr>
          <w:p w14:paraId="31FCF99D"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-0.29</w:t>
            </w:r>
          </w:p>
        </w:tc>
        <w:tc>
          <w:tcPr>
            <w:tcW w:w="709" w:type="pct"/>
            <w:tcBorders>
              <w:top w:val="nil"/>
              <w:left w:val="single" w:sz="2" w:space="0" w:color="000000"/>
              <w:bottom w:val="single" w:sz="2" w:space="0" w:color="000000"/>
              <w:right w:val="nil"/>
            </w:tcBorders>
            <w:shd w:val="clear" w:color="auto" w:fill="FFFFFF"/>
            <w:tcMar>
              <w:left w:w="80" w:type="dxa"/>
              <w:right w:w="80" w:type="dxa"/>
            </w:tcMar>
          </w:tcPr>
          <w:p w14:paraId="5100CAA2"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2.42</w:t>
            </w:r>
          </w:p>
        </w:tc>
        <w:tc>
          <w:tcPr>
            <w:tcW w:w="866" w:type="pct"/>
            <w:tcBorders>
              <w:top w:val="nil"/>
              <w:left w:val="single" w:sz="2" w:space="0" w:color="000000"/>
              <w:bottom w:val="single" w:sz="2" w:space="0" w:color="000000"/>
              <w:right w:val="single" w:sz="6" w:space="0" w:color="000000"/>
            </w:tcBorders>
            <w:shd w:val="clear" w:color="auto" w:fill="FFFFFF"/>
            <w:tcMar>
              <w:left w:w="80" w:type="dxa"/>
              <w:right w:w="80" w:type="dxa"/>
            </w:tcMar>
          </w:tcPr>
          <w:p w14:paraId="266A9773"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1.06 (-0.29, 2.42)</w:t>
            </w:r>
          </w:p>
        </w:tc>
      </w:tr>
      <w:tr w:rsidR="00F3418E" w:rsidRPr="00DF3B48" w14:paraId="71C73C0A" w14:textId="77777777" w:rsidTr="00F13A06">
        <w:trPr>
          <w:cantSplit/>
          <w:jc w:val="center"/>
        </w:trPr>
        <w:tc>
          <w:tcPr>
            <w:tcW w:w="298" w:type="pct"/>
            <w:tcBorders>
              <w:top w:val="nil"/>
              <w:left w:val="single" w:sz="6" w:space="0" w:color="000000"/>
              <w:bottom w:val="single" w:sz="2" w:space="0" w:color="000000"/>
              <w:right w:val="nil"/>
            </w:tcBorders>
            <w:shd w:val="clear" w:color="auto" w:fill="FFFFFF"/>
            <w:tcMar>
              <w:left w:w="80" w:type="dxa"/>
              <w:right w:w="80" w:type="dxa"/>
            </w:tcMar>
          </w:tcPr>
          <w:p w14:paraId="6B316A8F"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0.02</w:t>
            </w:r>
          </w:p>
        </w:tc>
        <w:tc>
          <w:tcPr>
            <w:tcW w:w="348" w:type="pct"/>
            <w:tcBorders>
              <w:top w:val="nil"/>
              <w:left w:val="single" w:sz="2" w:space="0" w:color="000000"/>
              <w:bottom w:val="single" w:sz="2" w:space="0" w:color="000000"/>
              <w:right w:val="nil"/>
            </w:tcBorders>
            <w:shd w:val="clear" w:color="auto" w:fill="FFFFFF"/>
            <w:tcMar>
              <w:left w:w="80" w:type="dxa"/>
              <w:right w:w="80" w:type="dxa"/>
            </w:tcMar>
          </w:tcPr>
          <w:p w14:paraId="61D1D939"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0.192</w:t>
            </w:r>
          </w:p>
        </w:tc>
        <w:tc>
          <w:tcPr>
            <w:tcW w:w="348" w:type="pct"/>
            <w:tcBorders>
              <w:top w:val="nil"/>
              <w:left w:val="single" w:sz="2" w:space="0" w:color="000000"/>
              <w:bottom w:val="single" w:sz="2" w:space="0" w:color="000000"/>
              <w:right w:val="nil"/>
            </w:tcBorders>
            <w:shd w:val="clear" w:color="auto" w:fill="FFFFFF"/>
            <w:tcMar>
              <w:left w:w="80" w:type="dxa"/>
              <w:right w:w="80" w:type="dxa"/>
            </w:tcMar>
          </w:tcPr>
          <w:p w14:paraId="4A87417D"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0.133</w:t>
            </w:r>
          </w:p>
        </w:tc>
        <w:tc>
          <w:tcPr>
            <w:tcW w:w="359" w:type="pct"/>
            <w:tcBorders>
              <w:top w:val="nil"/>
              <w:left w:val="single" w:sz="2" w:space="0" w:color="000000"/>
              <w:bottom w:val="single" w:sz="2" w:space="0" w:color="000000"/>
              <w:right w:val="nil"/>
            </w:tcBorders>
            <w:shd w:val="clear" w:color="auto" w:fill="FFFFFF"/>
            <w:tcMar>
              <w:left w:w="80" w:type="dxa"/>
              <w:right w:w="80" w:type="dxa"/>
            </w:tcMar>
          </w:tcPr>
          <w:p w14:paraId="41E833D3"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0</w:t>
            </w:r>
          </w:p>
        </w:tc>
        <w:tc>
          <w:tcPr>
            <w:tcW w:w="359" w:type="pct"/>
            <w:tcBorders>
              <w:top w:val="nil"/>
              <w:left w:val="single" w:sz="2" w:space="0" w:color="000000"/>
              <w:bottom w:val="single" w:sz="2" w:space="0" w:color="000000"/>
              <w:right w:val="nil"/>
            </w:tcBorders>
            <w:shd w:val="clear" w:color="auto" w:fill="FFFFFF"/>
            <w:tcMar>
              <w:left w:w="80" w:type="dxa"/>
              <w:right w:w="80" w:type="dxa"/>
            </w:tcMar>
          </w:tcPr>
          <w:p w14:paraId="0418F036"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-2</w:t>
            </w:r>
          </w:p>
        </w:tc>
        <w:tc>
          <w:tcPr>
            <w:tcW w:w="326" w:type="pct"/>
            <w:tcBorders>
              <w:top w:val="nil"/>
              <w:left w:val="single" w:sz="2" w:space="0" w:color="000000"/>
              <w:bottom w:val="single" w:sz="2" w:space="0" w:color="000000"/>
              <w:right w:val="nil"/>
            </w:tcBorders>
            <w:shd w:val="clear" w:color="auto" w:fill="FFFFFF"/>
            <w:tcMar>
              <w:left w:w="80" w:type="dxa"/>
              <w:right w:w="80" w:type="dxa"/>
            </w:tcMar>
          </w:tcPr>
          <w:p w14:paraId="4BC3F0D4"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0.82</w:t>
            </w:r>
          </w:p>
        </w:tc>
        <w:tc>
          <w:tcPr>
            <w:tcW w:w="693" w:type="pct"/>
            <w:tcBorders>
              <w:top w:val="nil"/>
              <w:left w:val="single" w:sz="2" w:space="0" w:color="000000"/>
              <w:bottom w:val="single" w:sz="2" w:space="0" w:color="000000"/>
              <w:right w:val="nil"/>
            </w:tcBorders>
            <w:shd w:val="clear" w:color="auto" w:fill="FFFFFF"/>
            <w:tcMar>
              <w:left w:w="80" w:type="dxa"/>
              <w:right w:w="80" w:type="dxa"/>
            </w:tcMar>
          </w:tcPr>
          <w:p w14:paraId="36FACB1C"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2.18</w:t>
            </w:r>
          </w:p>
        </w:tc>
        <w:tc>
          <w:tcPr>
            <w:tcW w:w="693" w:type="pct"/>
            <w:tcBorders>
              <w:top w:val="nil"/>
              <w:left w:val="single" w:sz="2" w:space="0" w:color="000000"/>
              <w:bottom w:val="single" w:sz="2" w:space="0" w:color="000000"/>
              <w:right w:val="nil"/>
            </w:tcBorders>
            <w:shd w:val="clear" w:color="auto" w:fill="FFFFFF"/>
            <w:tcMar>
              <w:left w:w="80" w:type="dxa"/>
              <w:right w:w="80" w:type="dxa"/>
            </w:tcMar>
          </w:tcPr>
          <w:p w14:paraId="4E4EBFB2"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0.83</w:t>
            </w:r>
          </w:p>
        </w:tc>
        <w:tc>
          <w:tcPr>
            <w:tcW w:w="709" w:type="pct"/>
            <w:tcBorders>
              <w:top w:val="nil"/>
              <w:left w:val="single" w:sz="2" w:space="0" w:color="000000"/>
              <w:bottom w:val="single" w:sz="2" w:space="0" w:color="000000"/>
              <w:right w:val="nil"/>
            </w:tcBorders>
            <w:shd w:val="clear" w:color="auto" w:fill="FFFFFF"/>
            <w:tcMar>
              <w:left w:w="80" w:type="dxa"/>
              <w:right w:w="80" w:type="dxa"/>
            </w:tcMar>
          </w:tcPr>
          <w:p w14:paraId="3E1CF74A"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3.54</w:t>
            </w:r>
          </w:p>
        </w:tc>
        <w:tc>
          <w:tcPr>
            <w:tcW w:w="866" w:type="pct"/>
            <w:tcBorders>
              <w:top w:val="nil"/>
              <w:left w:val="single" w:sz="2" w:space="0" w:color="000000"/>
              <w:bottom w:val="single" w:sz="2" w:space="0" w:color="000000"/>
              <w:right w:val="single" w:sz="6" w:space="0" w:color="000000"/>
            </w:tcBorders>
            <w:shd w:val="clear" w:color="auto" w:fill="FFFFFF"/>
            <w:tcMar>
              <w:left w:w="80" w:type="dxa"/>
              <w:right w:w="80" w:type="dxa"/>
            </w:tcMar>
          </w:tcPr>
          <w:p w14:paraId="7847B3BC"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2.18 (0.83, 3.54)</w:t>
            </w:r>
          </w:p>
        </w:tc>
      </w:tr>
      <w:tr w:rsidR="00F3418E" w:rsidRPr="00DF3B48" w14:paraId="7A0A9CEE" w14:textId="77777777" w:rsidTr="00F13A06">
        <w:trPr>
          <w:cantSplit/>
          <w:jc w:val="center"/>
        </w:trPr>
        <w:tc>
          <w:tcPr>
            <w:tcW w:w="298" w:type="pct"/>
            <w:tcBorders>
              <w:top w:val="nil"/>
              <w:left w:val="single" w:sz="6" w:space="0" w:color="000000"/>
              <w:bottom w:val="single" w:sz="2" w:space="0" w:color="000000"/>
              <w:right w:val="nil"/>
            </w:tcBorders>
            <w:shd w:val="clear" w:color="auto" w:fill="FFFFFF"/>
            <w:tcMar>
              <w:left w:w="80" w:type="dxa"/>
              <w:right w:w="80" w:type="dxa"/>
            </w:tcMar>
          </w:tcPr>
          <w:p w14:paraId="03573882"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0.04</w:t>
            </w:r>
          </w:p>
        </w:tc>
        <w:tc>
          <w:tcPr>
            <w:tcW w:w="348" w:type="pct"/>
            <w:tcBorders>
              <w:top w:val="nil"/>
              <w:left w:val="single" w:sz="2" w:space="0" w:color="000000"/>
              <w:bottom w:val="single" w:sz="2" w:space="0" w:color="000000"/>
              <w:right w:val="nil"/>
            </w:tcBorders>
            <w:shd w:val="clear" w:color="auto" w:fill="FFFFFF"/>
            <w:tcMar>
              <w:left w:w="80" w:type="dxa"/>
              <w:right w:w="80" w:type="dxa"/>
            </w:tcMar>
          </w:tcPr>
          <w:p w14:paraId="441F83DB"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0.192</w:t>
            </w:r>
          </w:p>
        </w:tc>
        <w:tc>
          <w:tcPr>
            <w:tcW w:w="348" w:type="pct"/>
            <w:tcBorders>
              <w:top w:val="nil"/>
              <w:left w:val="single" w:sz="2" w:space="0" w:color="000000"/>
              <w:bottom w:val="single" w:sz="2" w:space="0" w:color="000000"/>
              <w:right w:val="nil"/>
            </w:tcBorders>
            <w:shd w:val="clear" w:color="auto" w:fill="FFFFFF"/>
            <w:tcMar>
              <w:left w:w="80" w:type="dxa"/>
              <w:right w:w="80" w:type="dxa"/>
            </w:tcMar>
          </w:tcPr>
          <w:p w14:paraId="08123DFB"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0.133</w:t>
            </w:r>
          </w:p>
        </w:tc>
        <w:tc>
          <w:tcPr>
            <w:tcW w:w="359" w:type="pct"/>
            <w:tcBorders>
              <w:top w:val="nil"/>
              <w:left w:val="single" w:sz="2" w:space="0" w:color="000000"/>
              <w:bottom w:val="single" w:sz="2" w:space="0" w:color="000000"/>
              <w:right w:val="nil"/>
            </w:tcBorders>
            <w:shd w:val="clear" w:color="auto" w:fill="FFFFFF"/>
            <w:tcMar>
              <w:left w:w="80" w:type="dxa"/>
              <w:right w:w="80" w:type="dxa"/>
            </w:tcMar>
          </w:tcPr>
          <w:p w14:paraId="3EE07C5B"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0</w:t>
            </w:r>
          </w:p>
        </w:tc>
        <w:tc>
          <w:tcPr>
            <w:tcW w:w="359" w:type="pct"/>
            <w:tcBorders>
              <w:top w:val="nil"/>
              <w:left w:val="single" w:sz="2" w:space="0" w:color="000000"/>
              <w:bottom w:val="single" w:sz="2" w:space="0" w:color="000000"/>
              <w:right w:val="nil"/>
            </w:tcBorders>
            <w:shd w:val="clear" w:color="auto" w:fill="FFFFFF"/>
            <w:tcMar>
              <w:left w:w="80" w:type="dxa"/>
              <w:right w:w="80" w:type="dxa"/>
            </w:tcMar>
          </w:tcPr>
          <w:p w14:paraId="450F9569"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-2</w:t>
            </w:r>
          </w:p>
        </w:tc>
        <w:tc>
          <w:tcPr>
            <w:tcW w:w="326" w:type="pct"/>
            <w:tcBorders>
              <w:top w:val="nil"/>
              <w:left w:val="single" w:sz="2" w:space="0" w:color="000000"/>
              <w:bottom w:val="single" w:sz="2" w:space="0" w:color="000000"/>
              <w:right w:val="nil"/>
            </w:tcBorders>
            <w:shd w:val="clear" w:color="auto" w:fill="FFFFFF"/>
            <w:tcMar>
              <w:left w:w="80" w:type="dxa"/>
              <w:right w:w="80" w:type="dxa"/>
            </w:tcMar>
          </w:tcPr>
          <w:p w14:paraId="01E3BBA2"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1.03</w:t>
            </w:r>
          </w:p>
        </w:tc>
        <w:tc>
          <w:tcPr>
            <w:tcW w:w="693" w:type="pct"/>
            <w:tcBorders>
              <w:top w:val="nil"/>
              <w:left w:val="single" w:sz="2" w:space="0" w:color="000000"/>
              <w:bottom w:val="single" w:sz="2" w:space="0" w:color="000000"/>
              <w:right w:val="nil"/>
            </w:tcBorders>
            <w:shd w:val="clear" w:color="auto" w:fill="FFFFFF"/>
            <w:tcMar>
              <w:left w:w="80" w:type="dxa"/>
              <w:right w:w="80" w:type="dxa"/>
            </w:tcMar>
          </w:tcPr>
          <w:p w14:paraId="18A1EB34"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2.39</w:t>
            </w:r>
          </w:p>
        </w:tc>
        <w:tc>
          <w:tcPr>
            <w:tcW w:w="693" w:type="pct"/>
            <w:tcBorders>
              <w:top w:val="nil"/>
              <w:left w:val="single" w:sz="2" w:space="0" w:color="000000"/>
              <w:bottom w:val="single" w:sz="2" w:space="0" w:color="000000"/>
              <w:right w:val="nil"/>
            </w:tcBorders>
            <w:shd w:val="clear" w:color="auto" w:fill="FFFFFF"/>
            <w:tcMar>
              <w:left w:w="80" w:type="dxa"/>
              <w:right w:w="80" w:type="dxa"/>
            </w:tcMar>
          </w:tcPr>
          <w:p w14:paraId="16C8E9F6"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1.04</w:t>
            </w:r>
          </w:p>
        </w:tc>
        <w:tc>
          <w:tcPr>
            <w:tcW w:w="709" w:type="pct"/>
            <w:tcBorders>
              <w:top w:val="nil"/>
              <w:left w:val="single" w:sz="2" w:space="0" w:color="000000"/>
              <w:bottom w:val="single" w:sz="2" w:space="0" w:color="000000"/>
              <w:right w:val="nil"/>
            </w:tcBorders>
            <w:shd w:val="clear" w:color="auto" w:fill="FFFFFF"/>
            <w:tcMar>
              <w:left w:w="80" w:type="dxa"/>
              <w:right w:w="80" w:type="dxa"/>
            </w:tcMar>
          </w:tcPr>
          <w:p w14:paraId="34C43219"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3.75</w:t>
            </w:r>
          </w:p>
        </w:tc>
        <w:tc>
          <w:tcPr>
            <w:tcW w:w="866" w:type="pct"/>
            <w:tcBorders>
              <w:top w:val="nil"/>
              <w:left w:val="single" w:sz="2" w:space="0" w:color="000000"/>
              <w:bottom w:val="single" w:sz="2" w:space="0" w:color="000000"/>
              <w:right w:val="single" w:sz="6" w:space="0" w:color="000000"/>
            </w:tcBorders>
            <w:shd w:val="clear" w:color="auto" w:fill="FFFFFF"/>
            <w:tcMar>
              <w:left w:w="80" w:type="dxa"/>
              <w:right w:w="80" w:type="dxa"/>
            </w:tcMar>
          </w:tcPr>
          <w:p w14:paraId="65C2B79B"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2.39 (1.04, 3.75)</w:t>
            </w:r>
          </w:p>
        </w:tc>
      </w:tr>
      <w:tr w:rsidR="00F3418E" w:rsidRPr="00DF3B48" w14:paraId="7613012B" w14:textId="77777777" w:rsidTr="00F13A06">
        <w:trPr>
          <w:cantSplit/>
          <w:jc w:val="center"/>
        </w:trPr>
        <w:tc>
          <w:tcPr>
            <w:tcW w:w="298" w:type="pct"/>
            <w:tcBorders>
              <w:top w:val="nil"/>
              <w:left w:val="single" w:sz="6" w:space="0" w:color="000000"/>
              <w:bottom w:val="single" w:sz="2" w:space="0" w:color="000000"/>
              <w:right w:val="nil"/>
            </w:tcBorders>
            <w:shd w:val="clear" w:color="auto" w:fill="FFFFFF"/>
            <w:tcMar>
              <w:left w:w="80" w:type="dxa"/>
              <w:right w:w="80" w:type="dxa"/>
            </w:tcMar>
          </w:tcPr>
          <w:p w14:paraId="04335EAF"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0.02</w:t>
            </w:r>
          </w:p>
        </w:tc>
        <w:tc>
          <w:tcPr>
            <w:tcW w:w="348" w:type="pct"/>
            <w:tcBorders>
              <w:top w:val="nil"/>
              <w:left w:val="single" w:sz="2" w:space="0" w:color="000000"/>
              <w:bottom w:val="single" w:sz="2" w:space="0" w:color="000000"/>
              <w:right w:val="nil"/>
            </w:tcBorders>
            <w:shd w:val="clear" w:color="auto" w:fill="FFFFFF"/>
            <w:tcMar>
              <w:left w:w="80" w:type="dxa"/>
              <w:right w:w="80" w:type="dxa"/>
            </w:tcMar>
          </w:tcPr>
          <w:p w14:paraId="41C41BBE"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0.192</w:t>
            </w:r>
          </w:p>
        </w:tc>
        <w:tc>
          <w:tcPr>
            <w:tcW w:w="348" w:type="pct"/>
            <w:tcBorders>
              <w:top w:val="nil"/>
              <w:left w:val="single" w:sz="2" w:space="0" w:color="000000"/>
              <w:bottom w:val="single" w:sz="2" w:space="0" w:color="000000"/>
              <w:right w:val="nil"/>
            </w:tcBorders>
            <w:shd w:val="clear" w:color="auto" w:fill="FFFFFF"/>
            <w:tcMar>
              <w:left w:w="80" w:type="dxa"/>
              <w:right w:w="80" w:type="dxa"/>
            </w:tcMar>
          </w:tcPr>
          <w:p w14:paraId="1B691C65"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0.133</w:t>
            </w:r>
          </w:p>
        </w:tc>
        <w:tc>
          <w:tcPr>
            <w:tcW w:w="359" w:type="pct"/>
            <w:tcBorders>
              <w:top w:val="nil"/>
              <w:left w:val="single" w:sz="2" w:space="0" w:color="000000"/>
              <w:bottom w:val="single" w:sz="2" w:space="0" w:color="000000"/>
              <w:right w:val="nil"/>
            </w:tcBorders>
            <w:shd w:val="clear" w:color="auto" w:fill="FFFFFF"/>
            <w:tcMar>
              <w:left w:w="80" w:type="dxa"/>
              <w:right w:w="80" w:type="dxa"/>
            </w:tcMar>
          </w:tcPr>
          <w:p w14:paraId="2A731666"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0</w:t>
            </w:r>
          </w:p>
        </w:tc>
        <w:tc>
          <w:tcPr>
            <w:tcW w:w="359" w:type="pct"/>
            <w:tcBorders>
              <w:top w:val="nil"/>
              <w:left w:val="single" w:sz="2" w:space="0" w:color="000000"/>
              <w:bottom w:val="single" w:sz="2" w:space="0" w:color="000000"/>
              <w:right w:val="nil"/>
            </w:tcBorders>
            <w:shd w:val="clear" w:color="auto" w:fill="FFFFFF"/>
            <w:tcMar>
              <w:left w:w="80" w:type="dxa"/>
              <w:right w:w="80" w:type="dxa"/>
            </w:tcMar>
          </w:tcPr>
          <w:p w14:paraId="1C2F1A61"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-1</w:t>
            </w:r>
          </w:p>
        </w:tc>
        <w:tc>
          <w:tcPr>
            <w:tcW w:w="326" w:type="pct"/>
            <w:tcBorders>
              <w:top w:val="nil"/>
              <w:left w:val="single" w:sz="2" w:space="0" w:color="000000"/>
              <w:bottom w:val="single" w:sz="2" w:space="0" w:color="000000"/>
              <w:right w:val="nil"/>
            </w:tcBorders>
            <w:shd w:val="clear" w:color="auto" w:fill="FFFFFF"/>
            <w:tcMar>
              <w:left w:w="80" w:type="dxa"/>
              <w:right w:w="80" w:type="dxa"/>
            </w:tcMar>
          </w:tcPr>
          <w:p w14:paraId="5613AE1D"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0.41</w:t>
            </w:r>
          </w:p>
        </w:tc>
        <w:tc>
          <w:tcPr>
            <w:tcW w:w="693" w:type="pct"/>
            <w:tcBorders>
              <w:top w:val="nil"/>
              <w:left w:val="single" w:sz="2" w:space="0" w:color="000000"/>
              <w:bottom w:val="single" w:sz="2" w:space="0" w:color="000000"/>
              <w:right w:val="nil"/>
            </w:tcBorders>
            <w:shd w:val="clear" w:color="auto" w:fill="FFFFFF"/>
            <w:tcMar>
              <w:left w:w="80" w:type="dxa"/>
              <w:right w:w="80" w:type="dxa"/>
            </w:tcMar>
          </w:tcPr>
          <w:p w14:paraId="4C0B7530"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1.77</w:t>
            </w:r>
          </w:p>
        </w:tc>
        <w:tc>
          <w:tcPr>
            <w:tcW w:w="693" w:type="pct"/>
            <w:tcBorders>
              <w:top w:val="nil"/>
              <w:left w:val="single" w:sz="2" w:space="0" w:color="000000"/>
              <w:bottom w:val="single" w:sz="2" w:space="0" w:color="000000"/>
              <w:right w:val="nil"/>
            </w:tcBorders>
            <w:shd w:val="clear" w:color="auto" w:fill="FFFFFF"/>
            <w:tcMar>
              <w:left w:w="80" w:type="dxa"/>
              <w:right w:w="80" w:type="dxa"/>
            </w:tcMar>
          </w:tcPr>
          <w:p w14:paraId="6E9B866E"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0.42</w:t>
            </w:r>
          </w:p>
        </w:tc>
        <w:tc>
          <w:tcPr>
            <w:tcW w:w="709" w:type="pct"/>
            <w:tcBorders>
              <w:top w:val="nil"/>
              <w:left w:val="single" w:sz="2" w:space="0" w:color="000000"/>
              <w:bottom w:val="single" w:sz="2" w:space="0" w:color="000000"/>
              <w:right w:val="nil"/>
            </w:tcBorders>
            <w:shd w:val="clear" w:color="auto" w:fill="FFFFFF"/>
            <w:tcMar>
              <w:left w:w="80" w:type="dxa"/>
              <w:right w:w="80" w:type="dxa"/>
            </w:tcMar>
          </w:tcPr>
          <w:p w14:paraId="5F811B8D"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3.13</w:t>
            </w:r>
          </w:p>
        </w:tc>
        <w:tc>
          <w:tcPr>
            <w:tcW w:w="866" w:type="pct"/>
            <w:tcBorders>
              <w:top w:val="nil"/>
              <w:left w:val="single" w:sz="2" w:space="0" w:color="000000"/>
              <w:bottom w:val="single" w:sz="2" w:space="0" w:color="000000"/>
              <w:right w:val="single" w:sz="6" w:space="0" w:color="000000"/>
            </w:tcBorders>
            <w:shd w:val="clear" w:color="auto" w:fill="FFFFFF"/>
            <w:tcMar>
              <w:left w:w="80" w:type="dxa"/>
              <w:right w:w="80" w:type="dxa"/>
            </w:tcMar>
          </w:tcPr>
          <w:p w14:paraId="770AD825"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1.77 (0.42, 3.13)</w:t>
            </w:r>
          </w:p>
        </w:tc>
      </w:tr>
      <w:tr w:rsidR="00F3418E" w:rsidRPr="00DF3B48" w14:paraId="09B20C38" w14:textId="77777777" w:rsidTr="00F13A06">
        <w:trPr>
          <w:cantSplit/>
          <w:jc w:val="center"/>
        </w:trPr>
        <w:tc>
          <w:tcPr>
            <w:tcW w:w="298" w:type="pct"/>
            <w:tcBorders>
              <w:top w:val="nil"/>
              <w:left w:val="single" w:sz="6" w:space="0" w:color="000000"/>
              <w:bottom w:val="single" w:sz="2" w:space="0" w:color="000000"/>
              <w:right w:val="nil"/>
            </w:tcBorders>
            <w:shd w:val="clear" w:color="auto" w:fill="FFFFFF"/>
            <w:tcMar>
              <w:left w:w="80" w:type="dxa"/>
              <w:right w:w="80" w:type="dxa"/>
            </w:tcMar>
          </w:tcPr>
          <w:p w14:paraId="5220C708"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0.04</w:t>
            </w:r>
          </w:p>
        </w:tc>
        <w:tc>
          <w:tcPr>
            <w:tcW w:w="348" w:type="pct"/>
            <w:tcBorders>
              <w:top w:val="nil"/>
              <w:left w:val="single" w:sz="2" w:space="0" w:color="000000"/>
              <w:bottom w:val="single" w:sz="2" w:space="0" w:color="000000"/>
              <w:right w:val="nil"/>
            </w:tcBorders>
            <w:shd w:val="clear" w:color="auto" w:fill="FFFFFF"/>
            <w:tcMar>
              <w:left w:w="80" w:type="dxa"/>
              <w:right w:w="80" w:type="dxa"/>
            </w:tcMar>
          </w:tcPr>
          <w:p w14:paraId="4E8053D9"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0.192</w:t>
            </w:r>
          </w:p>
        </w:tc>
        <w:tc>
          <w:tcPr>
            <w:tcW w:w="348" w:type="pct"/>
            <w:tcBorders>
              <w:top w:val="nil"/>
              <w:left w:val="single" w:sz="2" w:space="0" w:color="000000"/>
              <w:bottom w:val="single" w:sz="2" w:space="0" w:color="000000"/>
              <w:right w:val="nil"/>
            </w:tcBorders>
            <w:shd w:val="clear" w:color="auto" w:fill="FFFFFF"/>
            <w:tcMar>
              <w:left w:w="80" w:type="dxa"/>
              <w:right w:w="80" w:type="dxa"/>
            </w:tcMar>
          </w:tcPr>
          <w:p w14:paraId="2C1D92C9"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0.133</w:t>
            </w:r>
          </w:p>
        </w:tc>
        <w:tc>
          <w:tcPr>
            <w:tcW w:w="359" w:type="pct"/>
            <w:tcBorders>
              <w:top w:val="nil"/>
              <w:left w:val="single" w:sz="2" w:space="0" w:color="000000"/>
              <w:bottom w:val="single" w:sz="2" w:space="0" w:color="000000"/>
              <w:right w:val="nil"/>
            </w:tcBorders>
            <w:shd w:val="clear" w:color="auto" w:fill="FFFFFF"/>
            <w:tcMar>
              <w:left w:w="80" w:type="dxa"/>
              <w:right w:w="80" w:type="dxa"/>
            </w:tcMar>
          </w:tcPr>
          <w:p w14:paraId="0594F287"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0</w:t>
            </w:r>
          </w:p>
        </w:tc>
        <w:tc>
          <w:tcPr>
            <w:tcW w:w="359" w:type="pct"/>
            <w:tcBorders>
              <w:top w:val="nil"/>
              <w:left w:val="single" w:sz="2" w:space="0" w:color="000000"/>
              <w:bottom w:val="single" w:sz="2" w:space="0" w:color="000000"/>
              <w:right w:val="nil"/>
            </w:tcBorders>
            <w:shd w:val="clear" w:color="auto" w:fill="FFFFFF"/>
            <w:tcMar>
              <w:left w:w="80" w:type="dxa"/>
              <w:right w:w="80" w:type="dxa"/>
            </w:tcMar>
          </w:tcPr>
          <w:p w14:paraId="3E28DFCA"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-1</w:t>
            </w:r>
          </w:p>
        </w:tc>
        <w:tc>
          <w:tcPr>
            <w:tcW w:w="326" w:type="pct"/>
            <w:tcBorders>
              <w:top w:val="nil"/>
              <w:left w:val="single" w:sz="2" w:space="0" w:color="000000"/>
              <w:bottom w:val="single" w:sz="2" w:space="0" w:color="000000"/>
              <w:right w:val="nil"/>
            </w:tcBorders>
            <w:shd w:val="clear" w:color="auto" w:fill="FFFFFF"/>
            <w:tcMar>
              <w:left w:w="80" w:type="dxa"/>
              <w:right w:w="80" w:type="dxa"/>
            </w:tcMar>
          </w:tcPr>
          <w:p w14:paraId="411E0B72"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0.52</w:t>
            </w:r>
          </w:p>
        </w:tc>
        <w:tc>
          <w:tcPr>
            <w:tcW w:w="693" w:type="pct"/>
            <w:tcBorders>
              <w:top w:val="nil"/>
              <w:left w:val="single" w:sz="2" w:space="0" w:color="000000"/>
              <w:bottom w:val="single" w:sz="2" w:space="0" w:color="000000"/>
              <w:right w:val="nil"/>
            </w:tcBorders>
            <w:shd w:val="clear" w:color="auto" w:fill="FFFFFF"/>
            <w:tcMar>
              <w:left w:w="80" w:type="dxa"/>
              <w:right w:w="80" w:type="dxa"/>
            </w:tcMar>
          </w:tcPr>
          <w:p w14:paraId="38A9DDB2"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1.88</w:t>
            </w:r>
          </w:p>
        </w:tc>
        <w:tc>
          <w:tcPr>
            <w:tcW w:w="693" w:type="pct"/>
            <w:tcBorders>
              <w:top w:val="nil"/>
              <w:left w:val="single" w:sz="2" w:space="0" w:color="000000"/>
              <w:bottom w:val="single" w:sz="2" w:space="0" w:color="000000"/>
              <w:right w:val="nil"/>
            </w:tcBorders>
            <w:shd w:val="clear" w:color="auto" w:fill="FFFFFF"/>
            <w:tcMar>
              <w:left w:w="80" w:type="dxa"/>
              <w:right w:w="80" w:type="dxa"/>
            </w:tcMar>
          </w:tcPr>
          <w:p w14:paraId="67AAC1DD"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0.53</w:t>
            </w:r>
          </w:p>
        </w:tc>
        <w:tc>
          <w:tcPr>
            <w:tcW w:w="709" w:type="pct"/>
            <w:tcBorders>
              <w:top w:val="nil"/>
              <w:left w:val="single" w:sz="2" w:space="0" w:color="000000"/>
              <w:bottom w:val="single" w:sz="2" w:space="0" w:color="000000"/>
              <w:right w:val="nil"/>
            </w:tcBorders>
            <w:shd w:val="clear" w:color="auto" w:fill="FFFFFF"/>
            <w:tcMar>
              <w:left w:w="80" w:type="dxa"/>
              <w:right w:w="80" w:type="dxa"/>
            </w:tcMar>
          </w:tcPr>
          <w:p w14:paraId="1CDC3113"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3.24</w:t>
            </w:r>
          </w:p>
        </w:tc>
        <w:tc>
          <w:tcPr>
            <w:tcW w:w="866" w:type="pct"/>
            <w:tcBorders>
              <w:top w:val="nil"/>
              <w:left w:val="single" w:sz="2" w:space="0" w:color="000000"/>
              <w:bottom w:val="single" w:sz="2" w:space="0" w:color="000000"/>
              <w:right w:val="single" w:sz="6" w:space="0" w:color="000000"/>
            </w:tcBorders>
            <w:shd w:val="clear" w:color="auto" w:fill="FFFFFF"/>
            <w:tcMar>
              <w:left w:w="80" w:type="dxa"/>
              <w:right w:w="80" w:type="dxa"/>
            </w:tcMar>
          </w:tcPr>
          <w:p w14:paraId="46536E0F"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1.88 (0.53, 3.24)</w:t>
            </w:r>
          </w:p>
        </w:tc>
      </w:tr>
      <w:tr w:rsidR="00F3418E" w:rsidRPr="00DF3B48" w14:paraId="3DA8F151" w14:textId="77777777" w:rsidTr="00F13A06">
        <w:trPr>
          <w:cantSplit/>
          <w:jc w:val="center"/>
        </w:trPr>
        <w:tc>
          <w:tcPr>
            <w:tcW w:w="298" w:type="pct"/>
            <w:tcBorders>
              <w:top w:val="nil"/>
              <w:left w:val="single" w:sz="6" w:space="0" w:color="000000"/>
              <w:bottom w:val="single" w:sz="2" w:space="0" w:color="000000"/>
              <w:right w:val="nil"/>
            </w:tcBorders>
            <w:shd w:val="clear" w:color="auto" w:fill="FFFFFF"/>
            <w:tcMar>
              <w:left w:w="80" w:type="dxa"/>
              <w:right w:w="80" w:type="dxa"/>
            </w:tcMar>
          </w:tcPr>
          <w:p w14:paraId="0E8B80DC"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0.02</w:t>
            </w:r>
          </w:p>
        </w:tc>
        <w:tc>
          <w:tcPr>
            <w:tcW w:w="348" w:type="pct"/>
            <w:tcBorders>
              <w:top w:val="nil"/>
              <w:left w:val="single" w:sz="2" w:space="0" w:color="000000"/>
              <w:bottom w:val="single" w:sz="2" w:space="0" w:color="000000"/>
              <w:right w:val="nil"/>
            </w:tcBorders>
            <w:shd w:val="clear" w:color="auto" w:fill="FFFFFF"/>
            <w:tcMar>
              <w:left w:w="80" w:type="dxa"/>
              <w:right w:w="80" w:type="dxa"/>
            </w:tcMar>
          </w:tcPr>
          <w:p w14:paraId="18DB3A76"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0.192</w:t>
            </w:r>
          </w:p>
        </w:tc>
        <w:tc>
          <w:tcPr>
            <w:tcW w:w="348" w:type="pct"/>
            <w:tcBorders>
              <w:top w:val="nil"/>
              <w:left w:val="single" w:sz="2" w:space="0" w:color="000000"/>
              <w:bottom w:val="single" w:sz="2" w:space="0" w:color="000000"/>
              <w:right w:val="nil"/>
            </w:tcBorders>
            <w:shd w:val="clear" w:color="auto" w:fill="FFFFFF"/>
            <w:tcMar>
              <w:left w:w="80" w:type="dxa"/>
              <w:right w:w="80" w:type="dxa"/>
            </w:tcMar>
          </w:tcPr>
          <w:p w14:paraId="2D5E7FBC"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0.133</w:t>
            </w:r>
          </w:p>
        </w:tc>
        <w:tc>
          <w:tcPr>
            <w:tcW w:w="359" w:type="pct"/>
            <w:tcBorders>
              <w:top w:val="nil"/>
              <w:left w:val="single" w:sz="2" w:space="0" w:color="000000"/>
              <w:bottom w:val="single" w:sz="2" w:space="0" w:color="000000"/>
              <w:right w:val="nil"/>
            </w:tcBorders>
            <w:shd w:val="clear" w:color="auto" w:fill="FFFFFF"/>
            <w:tcMar>
              <w:left w:w="80" w:type="dxa"/>
              <w:right w:w="80" w:type="dxa"/>
            </w:tcMar>
          </w:tcPr>
          <w:p w14:paraId="1D5711FC"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0</w:t>
            </w:r>
          </w:p>
        </w:tc>
        <w:tc>
          <w:tcPr>
            <w:tcW w:w="359" w:type="pct"/>
            <w:tcBorders>
              <w:top w:val="nil"/>
              <w:left w:val="single" w:sz="2" w:space="0" w:color="000000"/>
              <w:bottom w:val="single" w:sz="2" w:space="0" w:color="000000"/>
              <w:right w:val="nil"/>
            </w:tcBorders>
            <w:shd w:val="clear" w:color="auto" w:fill="FFFFFF"/>
            <w:tcMar>
              <w:left w:w="80" w:type="dxa"/>
              <w:right w:w="80" w:type="dxa"/>
            </w:tcMar>
          </w:tcPr>
          <w:p w14:paraId="3059BD5A"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0</w:t>
            </w:r>
          </w:p>
        </w:tc>
        <w:tc>
          <w:tcPr>
            <w:tcW w:w="326" w:type="pct"/>
            <w:tcBorders>
              <w:top w:val="nil"/>
              <w:left w:val="single" w:sz="2" w:space="0" w:color="000000"/>
              <w:bottom w:val="single" w:sz="2" w:space="0" w:color="000000"/>
              <w:right w:val="nil"/>
            </w:tcBorders>
            <w:shd w:val="clear" w:color="auto" w:fill="FFFFFF"/>
            <w:tcMar>
              <w:left w:w="80" w:type="dxa"/>
              <w:right w:w="80" w:type="dxa"/>
            </w:tcMar>
          </w:tcPr>
          <w:p w14:paraId="7DC1E023"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0.00</w:t>
            </w:r>
          </w:p>
        </w:tc>
        <w:tc>
          <w:tcPr>
            <w:tcW w:w="693" w:type="pct"/>
            <w:tcBorders>
              <w:top w:val="nil"/>
              <w:left w:val="single" w:sz="2" w:space="0" w:color="000000"/>
              <w:bottom w:val="single" w:sz="2" w:space="0" w:color="000000"/>
              <w:right w:val="nil"/>
            </w:tcBorders>
            <w:shd w:val="clear" w:color="auto" w:fill="FFFFFF"/>
            <w:tcMar>
              <w:left w:w="80" w:type="dxa"/>
              <w:right w:w="80" w:type="dxa"/>
            </w:tcMar>
          </w:tcPr>
          <w:p w14:paraId="11C092A2"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1.36</w:t>
            </w:r>
          </w:p>
        </w:tc>
        <w:tc>
          <w:tcPr>
            <w:tcW w:w="693" w:type="pct"/>
            <w:tcBorders>
              <w:top w:val="nil"/>
              <w:left w:val="single" w:sz="2" w:space="0" w:color="000000"/>
              <w:bottom w:val="single" w:sz="2" w:space="0" w:color="000000"/>
              <w:right w:val="nil"/>
            </w:tcBorders>
            <w:shd w:val="clear" w:color="auto" w:fill="FFFFFF"/>
            <w:tcMar>
              <w:left w:w="80" w:type="dxa"/>
              <w:right w:w="80" w:type="dxa"/>
            </w:tcMar>
          </w:tcPr>
          <w:p w14:paraId="23C60454"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0.01</w:t>
            </w:r>
          </w:p>
        </w:tc>
        <w:tc>
          <w:tcPr>
            <w:tcW w:w="709" w:type="pct"/>
            <w:tcBorders>
              <w:top w:val="nil"/>
              <w:left w:val="single" w:sz="2" w:space="0" w:color="000000"/>
              <w:bottom w:val="single" w:sz="2" w:space="0" w:color="000000"/>
              <w:right w:val="nil"/>
            </w:tcBorders>
            <w:shd w:val="clear" w:color="auto" w:fill="FFFFFF"/>
            <w:tcMar>
              <w:left w:w="80" w:type="dxa"/>
              <w:right w:w="80" w:type="dxa"/>
            </w:tcMar>
          </w:tcPr>
          <w:p w14:paraId="7EA0DC2F"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2.72</w:t>
            </w:r>
          </w:p>
        </w:tc>
        <w:tc>
          <w:tcPr>
            <w:tcW w:w="866" w:type="pct"/>
            <w:tcBorders>
              <w:top w:val="nil"/>
              <w:left w:val="single" w:sz="2" w:space="0" w:color="000000"/>
              <w:bottom w:val="single" w:sz="2" w:space="0" w:color="000000"/>
              <w:right w:val="single" w:sz="6" w:space="0" w:color="000000"/>
            </w:tcBorders>
            <w:shd w:val="clear" w:color="auto" w:fill="FFFFFF"/>
            <w:tcMar>
              <w:left w:w="80" w:type="dxa"/>
              <w:right w:w="80" w:type="dxa"/>
            </w:tcMar>
          </w:tcPr>
          <w:p w14:paraId="7C2BF6D3"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1.36 (0.01, 2.72)</w:t>
            </w:r>
          </w:p>
        </w:tc>
      </w:tr>
      <w:tr w:rsidR="00F3418E" w:rsidRPr="00DF3B48" w14:paraId="400DDE26" w14:textId="77777777" w:rsidTr="00F13A06">
        <w:trPr>
          <w:cantSplit/>
          <w:jc w:val="center"/>
        </w:trPr>
        <w:tc>
          <w:tcPr>
            <w:tcW w:w="298" w:type="pct"/>
            <w:tcBorders>
              <w:top w:val="nil"/>
              <w:left w:val="single" w:sz="6" w:space="0" w:color="000000"/>
              <w:bottom w:val="single" w:sz="6" w:space="0" w:color="000000"/>
              <w:right w:val="nil"/>
            </w:tcBorders>
            <w:shd w:val="clear" w:color="auto" w:fill="FFFFFF"/>
            <w:tcMar>
              <w:left w:w="80" w:type="dxa"/>
              <w:right w:w="80" w:type="dxa"/>
            </w:tcMar>
          </w:tcPr>
          <w:p w14:paraId="153E8339"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0.04</w:t>
            </w:r>
          </w:p>
        </w:tc>
        <w:tc>
          <w:tcPr>
            <w:tcW w:w="348" w:type="pct"/>
            <w:tcBorders>
              <w:top w:val="nil"/>
              <w:left w:val="single" w:sz="2" w:space="0" w:color="000000"/>
              <w:bottom w:val="single" w:sz="6" w:space="0" w:color="000000"/>
              <w:right w:val="nil"/>
            </w:tcBorders>
            <w:shd w:val="clear" w:color="auto" w:fill="FFFFFF"/>
            <w:tcMar>
              <w:left w:w="80" w:type="dxa"/>
              <w:right w:w="80" w:type="dxa"/>
            </w:tcMar>
          </w:tcPr>
          <w:p w14:paraId="1A3CF089"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0.192</w:t>
            </w:r>
          </w:p>
        </w:tc>
        <w:tc>
          <w:tcPr>
            <w:tcW w:w="348" w:type="pct"/>
            <w:tcBorders>
              <w:top w:val="nil"/>
              <w:left w:val="single" w:sz="2" w:space="0" w:color="000000"/>
              <w:bottom w:val="single" w:sz="6" w:space="0" w:color="000000"/>
              <w:right w:val="nil"/>
            </w:tcBorders>
            <w:shd w:val="clear" w:color="auto" w:fill="FFFFFF"/>
            <w:tcMar>
              <w:left w:w="80" w:type="dxa"/>
              <w:right w:w="80" w:type="dxa"/>
            </w:tcMar>
          </w:tcPr>
          <w:p w14:paraId="2EE46E8B"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0.133</w:t>
            </w:r>
          </w:p>
        </w:tc>
        <w:tc>
          <w:tcPr>
            <w:tcW w:w="359" w:type="pct"/>
            <w:tcBorders>
              <w:top w:val="nil"/>
              <w:left w:val="single" w:sz="2" w:space="0" w:color="000000"/>
              <w:bottom w:val="single" w:sz="6" w:space="0" w:color="000000"/>
              <w:right w:val="nil"/>
            </w:tcBorders>
            <w:shd w:val="clear" w:color="auto" w:fill="FFFFFF"/>
            <w:tcMar>
              <w:left w:w="80" w:type="dxa"/>
              <w:right w:w="80" w:type="dxa"/>
            </w:tcMar>
          </w:tcPr>
          <w:p w14:paraId="0C719BDF"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0</w:t>
            </w:r>
          </w:p>
        </w:tc>
        <w:tc>
          <w:tcPr>
            <w:tcW w:w="359" w:type="pct"/>
            <w:tcBorders>
              <w:top w:val="nil"/>
              <w:left w:val="single" w:sz="2" w:space="0" w:color="000000"/>
              <w:bottom w:val="single" w:sz="6" w:space="0" w:color="000000"/>
              <w:right w:val="nil"/>
            </w:tcBorders>
            <w:shd w:val="clear" w:color="auto" w:fill="FFFFFF"/>
            <w:tcMar>
              <w:left w:w="80" w:type="dxa"/>
              <w:right w:w="80" w:type="dxa"/>
            </w:tcMar>
          </w:tcPr>
          <w:p w14:paraId="7D757786"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0</w:t>
            </w:r>
          </w:p>
        </w:tc>
        <w:tc>
          <w:tcPr>
            <w:tcW w:w="326" w:type="pct"/>
            <w:tcBorders>
              <w:top w:val="nil"/>
              <w:left w:val="single" w:sz="2" w:space="0" w:color="000000"/>
              <w:bottom w:val="single" w:sz="6" w:space="0" w:color="000000"/>
              <w:right w:val="nil"/>
            </w:tcBorders>
            <w:shd w:val="clear" w:color="auto" w:fill="FFFFFF"/>
            <w:tcMar>
              <w:left w:w="80" w:type="dxa"/>
              <w:right w:w="80" w:type="dxa"/>
            </w:tcMar>
          </w:tcPr>
          <w:p w14:paraId="1E7754C1"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0.00</w:t>
            </w:r>
          </w:p>
        </w:tc>
        <w:tc>
          <w:tcPr>
            <w:tcW w:w="693" w:type="pct"/>
            <w:tcBorders>
              <w:top w:val="nil"/>
              <w:left w:val="single" w:sz="2" w:space="0" w:color="000000"/>
              <w:bottom w:val="single" w:sz="6" w:space="0" w:color="000000"/>
              <w:right w:val="nil"/>
            </w:tcBorders>
            <w:shd w:val="clear" w:color="auto" w:fill="FFFFFF"/>
            <w:tcMar>
              <w:left w:w="80" w:type="dxa"/>
              <w:right w:w="80" w:type="dxa"/>
            </w:tcMar>
          </w:tcPr>
          <w:p w14:paraId="62FB3A5E"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1.36</w:t>
            </w:r>
          </w:p>
        </w:tc>
        <w:tc>
          <w:tcPr>
            <w:tcW w:w="693" w:type="pct"/>
            <w:tcBorders>
              <w:top w:val="nil"/>
              <w:left w:val="single" w:sz="2" w:space="0" w:color="000000"/>
              <w:bottom w:val="single" w:sz="6" w:space="0" w:color="000000"/>
              <w:right w:val="nil"/>
            </w:tcBorders>
            <w:shd w:val="clear" w:color="auto" w:fill="FFFFFF"/>
            <w:tcMar>
              <w:left w:w="80" w:type="dxa"/>
              <w:right w:w="80" w:type="dxa"/>
            </w:tcMar>
          </w:tcPr>
          <w:p w14:paraId="5AFB0236"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0.01</w:t>
            </w:r>
          </w:p>
        </w:tc>
        <w:tc>
          <w:tcPr>
            <w:tcW w:w="709" w:type="pct"/>
            <w:tcBorders>
              <w:top w:val="nil"/>
              <w:left w:val="single" w:sz="2" w:space="0" w:color="000000"/>
              <w:bottom w:val="single" w:sz="6" w:space="0" w:color="000000"/>
              <w:right w:val="nil"/>
            </w:tcBorders>
            <w:shd w:val="clear" w:color="auto" w:fill="FFFFFF"/>
            <w:tcMar>
              <w:left w:w="80" w:type="dxa"/>
              <w:right w:w="80" w:type="dxa"/>
            </w:tcMar>
          </w:tcPr>
          <w:p w14:paraId="6A90B831"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2.72</w:t>
            </w:r>
          </w:p>
        </w:tc>
        <w:tc>
          <w:tcPr>
            <w:tcW w:w="866" w:type="pct"/>
            <w:tcBorders>
              <w:top w:val="nil"/>
              <w:left w:val="single" w:sz="2" w:space="0" w:color="000000"/>
              <w:bottom w:val="single" w:sz="6" w:space="0" w:color="000000"/>
              <w:right w:val="single" w:sz="6" w:space="0" w:color="000000"/>
            </w:tcBorders>
            <w:shd w:val="clear" w:color="auto" w:fill="FFFFFF"/>
            <w:tcMar>
              <w:left w:w="80" w:type="dxa"/>
              <w:right w:w="80" w:type="dxa"/>
            </w:tcMar>
          </w:tcPr>
          <w:p w14:paraId="4CF72331" w14:textId="77777777" w:rsidR="00F3418E" w:rsidRPr="00DF3B48" w:rsidRDefault="00F3418E" w:rsidP="00F13A06">
            <w:pPr>
              <w:pStyle w:val="Tabletext1"/>
              <w:jc w:val="right"/>
              <w:rPr>
                <w:rFonts w:ascii="Arial Narrow" w:hAnsi="Arial Narrow"/>
                <w:szCs w:val="20"/>
              </w:rPr>
            </w:pPr>
            <w:r w:rsidRPr="00DF3B48">
              <w:rPr>
                <w:rFonts w:ascii="Arial Narrow" w:hAnsi="Arial Narrow"/>
                <w:szCs w:val="20"/>
              </w:rPr>
              <w:t>1.36 (0.01, 2.72)</w:t>
            </w:r>
          </w:p>
        </w:tc>
      </w:tr>
    </w:tbl>
    <w:p w14:paraId="32B3D92C" w14:textId="05121400" w:rsidR="003E77B4" w:rsidRPr="00AE28D8" w:rsidRDefault="003E77B4" w:rsidP="00897C5B">
      <w:pPr>
        <w:pStyle w:val="Caption"/>
      </w:pPr>
      <w:r>
        <w:t xml:space="preserve">Table </w:t>
      </w:r>
      <w:r w:rsidR="00171526">
        <w:t>AppE</w:t>
      </w:r>
      <w:r>
        <w:t>10. Results for modelled scenarios for survivor causal effect for MoCA</w:t>
      </w:r>
    </w:p>
    <w:p w14:paraId="57A8279A" w14:textId="27162DE8" w:rsidR="00AE28D8" w:rsidRPr="003E4A82" w:rsidRDefault="00A174DE" w:rsidP="007501B9">
      <w:r>
        <w:br w:type="page"/>
      </w:r>
    </w:p>
    <w:p w14:paraId="46B5FA50" w14:textId="7EADC465" w:rsidR="004039DB" w:rsidRDefault="000A5006" w:rsidP="00897C5B">
      <w:pPr>
        <w:pStyle w:val="Heading2"/>
      </w:pPr>
      <w:bookmarkStart w:id="427" w:name="_Toc117758351"/>
      <w:r>
        <w:lastRenderedPageBreak/>
        <w:t>E.2</w:t>
      </w:r>
      <w:r w:rsidR="00C06ACB">
        <w:tab/>
      </w:r>
      <w:r w:rsidR="004039DB">
        <w:t xml:space="preserve">Imputation of </w:t>
      </w:r>
      <w:proofErr w:type="gramStart"/>
      <w:r w:rsidR="004039DB">
        <w:t>12 month</w:t>
      </w:r>
      <w:proofErr w:type="gramEnd"/>
      <w:r w:rsidR="004039DB">
        <w:t xml:space="preserve"> frailty index measurements after </w:t>
      </w:r>
      <w:r w:rsidR="006B0804">
        <w:t>COVID</w:t>
      </w:r>
      <w:r w:rsidR="004039DB">
        <w:t>-19 access restrictions</w:t>
      </w:r>
      <w:bookmarkEnd w:id="427"/>
    </w:p>
    <w:p w14:paraId="47D7532D" w14:textId="2EE3EE76" w:rsidR="00E3009C" w:rsidRDefault="00E3009C" w:rsidP="007501B9">
      <w:r>
        <w:t xml:space="preserve">From March 20, 2020, access to residential aged care facilities were restricted due to </w:t>
      </w:r>
      <w:r w:rsidR="006B0804">
        <w:t>COVID</w:t>
      </w:r>
      <w:r>
        <w:t>-19 and pharmacists were unable to implement the intervention</w:t>
      </w:r>
      <w:r w:rsidR="007501B9">
        <w:t xml:space="preserve">. </w:t>
      </w:r>
      <w:r>
        <w:t xml:space="preserve">These restrictions may have affected the difference in frailty trajectories between the two groups at the </w:t>
      </w:r>
      <w:proofErr w:type="gramStart"/>
      <w:r>
        <w:t>12 month</w:t>
      </w:r>
      <w:proofErr w:type="gramEnd"/>
      <w:r>
        <w:t xml:space="preserve"> time point</w:t>
      </w:r>
      <w:r w:rsidR="007501B9">
        <w:t xml:space="preserve">. </w:t>
      </w:r>
      <w:r>
        <w:t xml:space="preserve">To estimate the effect of the intervention on the primary outcome if </w:t>
      </w:r>
      <w:r w:rsidR="006B0804">
        <w:t>COVID</w:t>
      </w:r>
      <w:r>
        <w:t xml:space="preserve">-19 restrictions had not occurred, a sensitivity analysis was conducted, imputing frailty index measurements taken after </w:t>
      </w:r>
      <w:r w:rsidR="006B0804">
        <w:t>COVID</w:t>
      </w:r>
      <w:r>
        <w:t>-19 restrictions.</w:t>
      </w:r>
    </w:p>
    <w:p w14:paraId="2A9EC33C" w14:textId="26A83C9A" w:rsidR="00E3009C" w:rsidRDefault="00E3009C" w:rsidP="007501B9">
      <w:r>
        <w:t xml:space="preserve">Measurements of frailty index taken after March 20, </w:t>
      </w:r>
      <w:proofErr w:type="gramStart"/>
      <w:r>
        <w:t>2020</w:t>
      </w:r>
      <w:proofErr w:type="gramEnd"/>
      <w:r>
        <w:t xml:space="preserve"> were excluded from the statistical model used for the primary outcome</w:t>
      </w:r>
      <w:r w:rsidR="007501B9">
        <w:t xml:space="preserve">. </w:t>
      </w:r>
      <w:r>
        <w:t>Imputation of the primary outcome used the following steps:</w:t>
      </w:r>
    </w:p>
    <w:p w14:paraId="27B49F21" w14:textId="5763F45C" w:rsidR="00E3009C" w:rsidRDefault="00E3009C" w:rsidP="00F13A06">
      <w:pPr>
        <w:pStyle w:val="ListBullet"/>
      </w:pPr>
      <w:r>
        <w:t xml:space="preserve">The statistical model was run on all patients, excluding those whose frailty index was measured after March </w:t>
      </w:r>
      <w:r w:rsidR="00976D25">
        <w:t>20</w:t>
      </w:r>
      <w:r>
        <w:t xml:space="preserve">, </w:t>
      </w:r>
      <w:proofErr w:type="gramStart"/>
      <w:r>
        <w:t>2020</w:t>
      </w:r>
      <w:r w:rsidR="003E77B4">
        <w:t>;</w:t>
      </w:r>
      <w:proofErr w:type="gramEnd"/>
    </w:p>
    <w:p w14:paraId="57496FA8" w14:textId="0866A8E6" w:rsidR="00E3009C" w:rsidRDefault="00E3009C" w:rsidP="00F13A06">
      <w:pPr>
        <w:pStyle w:val="ListBullet"/>
      </w:pPr>
      <w:r>
        <w:t xml:space="preserve">The model was used to predict the frailty index for the excluded </w:t>
      </w:r>
      <w:proofErr w:type="gramStart"/>
      <w:r>
        <w:t>patients</w:t>
      </w:r>
      <w:r w:rsidR="003E77B4">
        <w:t>;</w:t>
      </w:r>
      <w:proofErr w:type="gramEnd"/>
    </w:p>
    <w:p w14:paraId="374D627D" w14:textId="1C3598ED" w:rsidR="00E3009C" w:rsidRDefault="00E3009C" w:rsidP="00F13A06">
      <w:pPr>
        <w:pStyle w:val="ListBullet"/>
      </w:pPr>
      <w:r>
        <w:t xml:space="preserve">Each imputed dataset added a random error term to the predicted values, assuming a normal distribution with mean 0 and the standard deviation of the model </w:t>
      </w:r>
      <w:proofErr w:type="gramStart"/>
      <w:r>
        <w:t>residuals</w:t>
      </w:r>
      <w:r w:rsidR="003E77B4">
        <w:t>;</w:t>
      </w:r>
      <w:proofErr w:type="gramEnd"/>
    </w:p>
    <w:p w14:paraId="4EEC5164" w14:textId="3D5CABC1" w:rsidR="00E3009C" w:rsidRPr="00976D25" w:rsidRDefault="00E3009C" w:rsidP="00F13A06">
      <w:pPr>
        <w:pStyle w:val="ListBullet"/>
      </w:pPr>
      <w:r>
        <w:t>100 imputed datasets were generated and combined using Rubin’s rules</w:t>
      </w:r>
      <w:r w:rsidR="003E77B4">
        <w:t>.</w:t>
      </w:r>
    </w:p>
    <w:p w14:paraId="1A9350DD" w14:textId="1A15C994" w:rsidR="00E3009C" w:rsidRDefault="00E3009C" w:rsidP="007501B9">
      <w:r>
        <w:t xml:space="preserve">The point estimates for the primary outcome at 6 and 12 months were larger after excluding or imputing post </w:t>
      </w:r>
      <w:r w:rsidR="006B0804">
        <w:t>COVID</w:t>
      </w:r>
      <w:r>
        <w:t>-19 measurements</w:t>
      </w:r>
      <w:r w:rsidR="001044BF">
        <w:t xml:space="preserve"> (Table </w:t>
      </w:r>
      <w:r w:rsidR="00BD3662">
        <w:t>AppE</w:t>
      </w:r>
      <w:r w:rsidR="001044BF">
        <w:t>-11)</w:t>
      </w:r>
      <w:r w:rsidR="007501B9">
        <w:t xml:space="preserve">. </w:t>
      </w:r>
      <w:r>
        <w:t>95% confidence intervals were narrower after imputation, but still contained zero</w:t>
      </w:r>
      <w:r w:rsidR="007501B9">
        <w:t xml:space="preserve">. </w:t>
      </w:r>
      <w:r>
        <w:t xml:space="preserve">However, the point estimate at 12 months after accounting for </w:t>
      </w:r>
      <w:r w:rsidR="006B0804">
        <w:t>COVID</w:t>
      </w:r>
      <w:r>
        <w:t>-19 restrictions (-0.012) is close to the effect size of -0.015 used in the sample size calculation</w:t>
      </w:r>
      <w:r w:rsidR="007501B9">
        <w:t xml:space="preserve">. </w:t>
      </w:r>
      <w:r>
        <w:t xml:space="preserve">These results suggest that the treatment effect would have been closer to that expected at the start of the trial if </w:t>
      </w:r>
      <w:r w:rsidR="006B0804">
        <w:t>COVID</w:t>
      </w:r>
      <w:r>
        <w:t>-19 restrictions had not been implemented.</w:t>
      </w:r>
    </w:p>
    <w:tbl>
      <w:tblPr>
        <w:tblpPr w:leftFromText="180" w:rightFromText="180" w:horzAnchor="margin" w:tblpY="263"/>
        <w:tblW w:w="0" w:type="auto"/>
        <w:tblCellMar>
          <w:left w:w="0" w:type="dxa"/>
          <w:right w:w="0" w:type="dxa"/>
        </w:tblCellMar>
        <w:tblLook w:val="0000" w:firstRow="0" w:lastRow="0" w:firstColumn="0" w:lastColumn="0" w:noHBand="0" w:noVBand="0"/>
        <w:tblCaption w:val="Imputation of 12 month frailty index measurements after Covid-19 access restrictions"/>
        <w:tblDescription w:val="Imputation of 12 month frailty index measurements after Covid-19 access restrictions"/>
      </w:tblPr>
      <w:tblGrid>
        <w:gridCol w:w="1001"/>
        <w:gridCol w:w="698"/>
        <w:gridCol w:w="1146"/>
        <w:gridCol w:w="992"/>
        <w:gridCol w:w="992"/>
        <w:gridCol w:w="918"/>
        <w:gridCol w:w="764"/>
        <w:gridCol w:w="764"/>
        <w:gridCol w:w="1155"/>
        <w:gridCol w:w="580"/>
      </w:tblGrid>
      <w:tr w:rsidR="00F13A06" w:rsidRPr="00F13A06" w14:paraId="625AA876" w14:textId="77777777" w:rsidTr="00333670">
        <w:trPr>
          <w:cantSplit/>
          <w:tblHeader/>
        </w:trPr>
        <w:tc>
          <w:tcPr>
            <w:tcW w:w="0" w:type="auto"/>
            <w:tcBorders>
              <w:top w:val="single" w:sz="6" w:space="0" w:color="000000"/>
              <w:left w:val="single" w:sz="6" w:space="0" w:color="000000"/>
              <w:bottom w:val="single" w:sz="2" w:space="0" w:color="000000"/>
              <w:right w:val="nil"/>
            </w:tcBorders>
            <w:shd w:val="clear" w:color="auto" w:fill="000000" w:themeFill="text1"/>
            <w:tcMar>
              <w:left w:w="80" w:type="dxa"/>
              <w:right w:w="80" w:type="dxa"/>
            </w:tcMar>
          </w:tcPr>
          <w:p w14:paraId="2CDE1C3B" w14:textId="77777777" w:rsidR="00F13A06" w:rsidRPr="00F13A06" w:rsidRDefault="00F13A06" w:rsidP="00333670">
            <w:pPr>
              <w:pStyle w:val="TableHeader"/>
              <w:rPr>
                <w:rFonts w:ascii="Arial Narrow" w:hAnsi="Arial Narrow"/>
                <w:sz w:val="20"/>
                <w:szCs w:val="20"/>
              </w:rPr>
            </w:pPr>
            <w:r w:rsidRPr="00F13A06">
              <w:rPr>
                <w:rFonts w:ascii="Arial Narrow" w:hAnsi="Arial Narrow"/>
                <w:sz w:val="20"/>
                <w:szCs w:val="20"/>
              </w:rPr>
              <w:lastRenderedPageBreak/>
              <w:t>Outcome*</w:t>
            </w:r>
            <w:bookmarkStart w:id="428" w:name="ColumnTitle_27"/>
            <w:bookmarkEnd w:id="428"/>
          </w:p>
        </w:tc>
        <w:tc>
          <w:tcPr>
            <w:tcW w:w="0" w:type="auto"/>
            <w:tcBorders>
              <w:top w:val="single" w:sz="6" w:space="0" w:color="000000"/>
              <w:left w:val="single" w:sz="2" w:space="0" w:color="000000"/>
              <w:bottom w:val="single" w:sz="2" w:space="0" w:color="000000"/>
              <w:right w:val="nil"/>
            </w:tcBorders>
            <w:shd w:val="clear" w:color="auto" w:fill="000000" w:themeFill="text1"/>
            <w:tcMar>
              <w:left w:w="80" w:type="dxa"/>
              <w:right w:w="80" w:type="dxa"/>
            </w:tcMar>
          </w:tcPr>
          <w:p w14:paraId="5FEDC5BE" w14:textId="77777777" w:rsidR="00F13A06" w:rsidRPr="00F13A06" w:rsidRDefault="00F13A06" w:rsidP="00333670">
            <w:pPr>
              <w:pStyle w:val="TableHeader"/>
              <w:rPr>
                <w:rFonts w:ascii="Arial Narrow" w:hAnsi="Arial Narrow"/>
                <w:sz w:val="20"/>
                <w:szCs w:val="20"/>
              </w:rPr>
            </w:pPr>
            <w:r w:rsidRPr="00F13A06">
              <w:rPr>
                <w:rFonts w:ascii="Arial Narrow" w:hAnsi="Arial Narrow"/>
                <w:sz w:val="20"/>
                <w:szCs w:val="20"/>
              </w:rPr>
              <w:t>Trial Stage</w:t>
            </w:r>
          </w:p>
        </w:tc>
        <w:tc>
          <w:tcPr>
            <w:tcW w:w="0" w:type="auto"/>
            <w:tcBorders>
              <w:top w:val="single" w:sz="6" w:space="0" w:color="000000"/>
              <w:left w:val="single" w:sz="2" w:space="0" w:color="000000"/>
              <w:bottom w:val="single" w:sz="2" w:space="0" w:color="000000"/>
              <w:right w:val="nil"/>
            </w:tcBorders>
            <w:shd w:val="clear" w:color="auto" w:fill="000000" w:themeFill="text1"/>
            <w:tcMar>
              <w:left w:w="80" w:type="dxa"/>
              <w:right w:w="80" w:type="dxa"/>
            </w:tcMar>
          </w:tcPr>
          <w:p w14:paraId="3FC800B6" w14:textId="77777777" w:rsidR="00F13A06" w:rsidRPr="00F13A06" w:rsidRDefault="00F13A06" w:rsidP="00333670">
            <w:pPr>
              <w:pStyle w:val="TableHeader"/>
              <w:rPr>
                <w:rFonts w:ascii="Arial Narrow" w:hAnsi="Arial Narrow"/>
                <w:sz w:val="20"/>
                <w:szCs w:val="20"/>
              </w:rPr>
            </w:pPr>
            <w:r w:rsidRPr="00F13A06">
              <w:rPr>
                <w:rFonts w:ascii="Arial Narrow" w:hAnsi="Arial Narrow"/>
                <w:sz w:val="20"/>
                <w:szCs w:val="20"/>
              </w:rPr>
              <w:t xml:space="preserve">Intervention, </w:t>
            </w:r>
            <w:proofErr w:type="gramStart"/>
            <w:r w:rsidRPr="00F13A06">
              <w:rPr>
                <w:rFonts w:ascii="Arial Narrow" w:hAnsi="Arial Narrow"/>
                <w:sz w:val="20"/>
                <w:szCs w:val="20"/>
              </w:rPr>
              <w:t>Observed</w:t>
            </w:r>
            <w:proofErr w:type="gramEnd"/>
            <w:r w:rsidRPr="00F13A06">
              <w:rPr>
                <w:rFonts w:ascii="Arial Narrow" w:hAnsi="Arial Narrow"/>
                <w:sz w:val="20"/>
                <w:szCs w:val="20"/>
              </w:rPr>
              <w:t xml:space="preserve"> mean</w:t>
            </w:r>
          </w:p>
        </w:tc>
        <w:tc>
          <w:tcPr>
            <w:tcW w:w="0" w:type="auto"/>
            <w:tcBorders>
              <w:top w:val="single" w:sz="6" w:space="0" w:color="000000"/>
              <w:left w:val="single" w:sz="2" w:space="0" w:color="000000"/>
              <w:bottom w:val="single" w:sz="2" w:space="0" w:color="000000"/>
              <w:right w:val="single" w:sz="2" w:space="0" w:color="000000"/>
            </w:tcBorders>
            <w:shd w:val="clear" w:color="auto" w:fill="000000" w:themeFill="text1"/>
          </w:tcPr>
          <w:p w14:paraId="76D0152A" w14:textId="77777777" w:rsidR="00F13A06" w:rsidRPr="00F13A06" w:rsidRDefault="00F13A06" w:rsidP="00333670">
            <w:pPr>
              <w:pStyle w:val="TableHeader"/>
              <w:rPr>
                <w:rFonts w:ascii="Arial Narrow" w:hAnsi="Arial Narrow"/>
                <w:sz w:val="20"/>
                <w:szCs w:val="20"/>
              </w:rPr>
            </w:pPr>
            <w:r w:rsidRPr="00F13A06">
              <w:rPr>
                <w:rFonts w:ascii="Arial Narrow" w:hAnsi="Arial Narrow"/>
                <w:sz w:val="20"/>
                <w:szCs w:val="20"/>
              </w:rPr>
              <w:t xml:space="preserve">Intervention, Observed variation (SD) </w:t>
            </w:r>
          </w:p>
        </w:tc>
        <w:tc>
          <w:tcPr>
            <w:tcW w:w="0" w:type="auto"/>
            <w:tcBorders>
              <w:top w:val="single" w:sz="6" w:space="0" w:color="000000"/>
              <w:left w:val="single" w:sz="2" w:space="0" w:color="000000"/>
              <w:bottom w:val="single" w:sz="2" w:space="0" w:color="000000"/>
              <w:right w:val="single" w:sz="2" w:space="0" w:color="000000"/>
            </w:tcBorders>
            <w:shd w:val="clear" w:color="auto" w:fill="000000" w:themeFill="text1"/>
          </w:tcPr>
          <w:p w14:paraId="27C8DE4D" w14:textId="77777777" w:rsidR="00F13A06" w:rsidRPr="00F13A06" w:rsidRDefault="00F13A06" w:rsidP="00333670">
            <w:pPr>
              <w:pStyle w:val="TableHeader"/>
              <w:rPr>
                <w:rFonts w:ascii="Arial Narrow" w:hAnsi="Arial Narrow"/>
                <w:sz w:val="20"/>
                <w:szCs w:val="20"/>
              </w:rPr>
            </w:pPr>
            <w:r w:rsidRPr="00F13A06">
              <w:rPr>
                <w:rFonts w:ascii="Arial Narrow" w:hAnsi="Arial Narrow"/>
                <w:sz w:val="20"/>
                <w:szCs w:val="20"/>
              </w:rPr>
              <w:t>Intervention, Observed number (N)</w:t>
            </w:r>
          </w:p>
        </w:tc>
        <w:tc>
          <w:tcPr>
            <w:tcW w:w="0" w:type="auto"/>
            <w:tcBorders>
              <w:top w:val="single" w:sz="6" w:space="0" w:color="000000"/>
              <w:left w:val="single" w:sz="2" w:space="0" w:color="000000"/>
              <w:bottom w:val="single" w:sz="2" w:space="0" w:color="000000"/>
              <w:right w:val="nil"/>
            </w:tcBorders>
            <w:shd w:val="clear" w:color="auto" w:fill="000000" w:themeFill="text1"/>
            <w:tcMar>
              <w:left w:w="80" w:type="dxa"/>
              <w:right w:w="80" w:type="dxa"/>
            </w:tcMar>
          </w:tcPr>
          <w:p w14:paraId="6004F521" w14:textId="77777777" w:rsidR="00F13A06" w:rsidRPr="00F13A06" w:rsidRDefault="00F13A06" w:rsidP="00333670">
            <w:pPr>
              <w:pStyle w:val="TableHeader"/>
              <w:rPr>
                <w:rFonts w:ascii="Arial Narrow" w:hAnsi="Arial Narrow"/>
                <w:sz w:val="20"/>
                <w:szCs w:val="20"/>
              </w:rPr>
            </w:pPr>
            <w:r w:rsidRPr="00F13A06">
              <w:rPr>
                <w:rFonts w:ascii="Arial Narrow" w:hAnsi="Arial Narrow"/>
                <w:sz w:val="20"/>
                <w:szCs w:val="20"/>
              </w:rPr>
              <w:t xml:space="preserve">Control, </w:t>
            </w:r>
            <w:proofErr w:type="gramStart"/>
            <w:r w:rsidRPr="00F13A06">
              <w:rPr>
                <w:rFonts w:ascii="Arial Narrow" w:hAnsi="Arial Narrow"/>
                <w:sz w:val="20"/>
                <w:szCs w:val="20"/>
              </w:rPr>
              <w:t>Observed</w:t>
            </w:r>
            <w:proofErr w:type="gramEnd"/>
            <w:r w:rsidRPr="00F13A06">
              <w:rPr>
                <w:rFonts w:ascii="Arial Narrow" w:hAnsi="Arial Narrow"/>
                <w:sz w:val="20"/>
                <w:szCs w:val="20"/>
              </w:rPr>
              <w:t xml:space="preserve"> mean </w:t>
            </w:r>
          </w:p>
        </w:tc>
        <w:tc>
          <w:tcPr>
            <w:tcW w:w="0" w:type="auto"/>
            <w:tcBorders>
              <w:top w:val="single" w:sz="6" w:space="0" w:color="000000"/>
              <w:left w:val="single" w:sz="2" w:space="0" w:color="000000"/>
              <w:bottom w:val="single" w:sz="2" w:space="0" w:color="000000"/>
              <w:right w:val="single" w:sz="2" w:space="0" w:color="000000"/>
            </w:tcBorders>
            <w:shd w:val="clear" w:color="auto" w:fill="000000" w:themeFill="text1"/>
          </w:tcPr>
          <w:p w14:paraId="393CE5EE" w14:textId="77777777" w:rsidR="00F13A06" w:rsidRPr="00F13A06" w:rsidRDefault="00F13A06" w:rsidP="00333670">
            <w:pPr>
              <w:pStyle w:val="TableHeader"/>
              <w:rPr>
                <w:rFonts w:ascii="Arial Narrow" w:hAnsi="Arial Narrow"/>
                <w:sz w:val="20"/>
                <w:szCs w:val="20"/>
              </w:rPr>
            </w:pPr>
            <w:r w:rsidRPr="00F13A06">
              <w:rPr>
                <w:rFonts w:ascii="Arial Narrow" w:hAnsi="Arial Narrow"/>
                <w:sz w:val="20"/>
                <w:szCs w:val="20"/>
              </w:rPr>
              <w:t xml:space="preserve">Control, Observed variation (SD) </w:t>
            </w:r>
          </w:p>
        </w:tc>
        <w:tc>
          <w:tcPr>
            <w:tcW w:w="0" w:type="auto"/>
            <w:tcBorders>
              <w:top w:val="single" w:sz="6" w:space="0" w:color="000000"/>
              <w:left w:val="single" w:sz="2" w:space="0" w:color="000000"/>
              <w:bottom w:val="single" w:sz="2" w:space="0" w:color="000000"/>
              <w:right w:val="single" w:sz="2" w:space="0" w:color="000000"/>
            </w:tcBorders>
            <w:shd w:val="clear" w:color="auto" w:fill="000000" w:themeFill="text1"/>
          </w:tcPr>
          <w:p w14:paraId="704DA75C" w14:textId="77777777" w:rsidR="00F13A06" w:rsidRPr="00F13A06" w:rsidRDefault="00F13A06" w:rsidP="00333670">
            <w:pPr>
              <w:pStyle w:val="TableHeader"/>
              <w:rPr>
                <w:rFonts w:ascii="Arial Narrow" w:hAnsi="Arial Narrow"/>
                <w:sz w:val="20"/>
                <w:szCs w:val="20"/>
              </w:rPr>
            </w:pPr>
            <w:r w:rsidRPr="00F13A06">
              <w:rPr>
                <w:rFonts w:ascii="Arial Narrow" w:hAnsi="Arial Narrow"/>
                <w:sz w:val="20"/>
                <w:szCs w:val="20"/>
              </w:rPr>
              <w:t>Control, Observed number (N)</w:t>
            </w:r>
          </w:p>
        </w:tc>
        <w:tc>
          <w:tcPr>
            <w:tcW w:w="0" w:type="auto"/>
            <w:tcBorders>
              <w:top w:val="single" w:sz="6" w:space="0" w:color="000000"/>
              <w:left w:val="single" w:sz="2" w:space="0" w:color="000000"/>
              <w:bottom w:val="single" w:sz="2" w:space="0" w:color="000000"/>
              <w:right w:val="nil"/>
            </w:tcBorders>
            <w:shd w:val="clear" w:color="auto" w:fill="000000" w:themeFill="text1"/>
            <w:tcMar>
              <w:left w:w="80" w:type="dxa"/>
              <w:right w:w="80" w:type="dxa"/>
            </w:tcMar>
          </w:tcPr>
          <w:p w14:paraId="6E1A74B2" w14:textId="77777777" w:rsidR="00F13A06" w:rsidRPr="00F13A06" w:rsidRDefault="00F13A06" w:rsidP="00333670">
            <w:pPr>
              <w:pStyle w:val="TableHeader"/>
              <w:rPr>
                <w:rFonts w:ascii="Arial Narrow" w:hAnsi="Arial Narrow"/>
                <w:sz w:val="20"/>
                <w:szCs w:val="20"/>
              </w:rPr>
            </w:pPr>
            <w:r w:rsidRPr="00F13A06">
              <w:rPr>
                <w:rFonts w:ascii="Arial Narrow" w:hAnsi="Arial Narrow"/>
                <w:sz w:val="20"/>
                <w:szCs w:val="20"/>
              </w:rPr>
              <w:t>Intervention-Control (95% CI)</w:t>
            </w:r>
          </w:p>
        </w:tc>
        <w:tc>
          <w:tcPr>
            <w:tcW w:w="0" w:type="auto"/>
            <w:tcBorders>
              <w:top w:val="single" w:sz="6" w:space="0" w:color="000000"/>
              <w:left w:val="single" w:sz="2" w:space="0" w:color="000000"/>
              <w:bottom w:val="single" w:sz="2" w:space="0" w:color="000000"/>
              <w:right w:val="single" w:sz="6" w:space="0" w:color="000000"/>
            </w:tcBorders>
            <w:shd w:val="clear" w:color="auto" w:fill="000000" w:themeFill="text1"/>
            <w:tcMar>
              <w:left w:w="80" w:type="dxa"/>
              <w:right w:w="80" w:type="dxa"/>
            </w:tcMar>
          </w:tcPr>
          <w:p w14:paraId="07FBCFAC" w14:textId="77777777" w:rsidR="00F13A06" w:rsidRPr="00F13A06" w:rsidRDefault="00F13A06" w:rsidP="00333670">
            <w:pPr>
              <w:pStyle w:val="TableHeader"/>
              <w:rPr>
                <w:rFonts w:ascii="Arial Narrow" w:hAnsi="Arial Narrow"/>
                <w:sz w:val="20"/>
                <w:szCs w:val="20"/>
              </w:rPr>
            </w:pPr>
            <w:r w:rsidRPr="00F13A06">
              <w:rPr>
                <w:rFonts w:ascii="Arial Narrow" w:hAnsi="Arial Narrow"/>
                <w:sz w:val="20"/>
                <w:szCs w:val="20"/>
              </w:rPr>
              <w:t>P-value</w:t>
            </w:r>
          </w:p>
        </w:tc>
      </w:tr>
      <w:tr w:rsidR="00F13A06" w:rsidRPr="00F13A06" w14:paraId="06752C88" w14:textId="77777777" w:rsidTr="00333670">
        <w:trPr>
          <w:cantSplit/>
        </w:trPr>
        <w:tc>
          <w:tcPr>
            <w:tcW w:w="0" w:type="auto"/>
            <w:vMerge w:val="restart"/>
            <w:tcBorders>
              <w:top w:val="nil"/>
              <w:left w:val="single" w:sz="6" w:space="0" w:color="000000"/>
              <w:right w:val="nil"/>
            </w:tcBorders>
            <w:shd w:val="clear" w:color="auto" w:fill="FFFFFF"/>
            <w:tcMar>
              <w:left w:w="80" w:type="dxa"/>
              <w:right w:w="80" w:type="dxa"/>
            </w:tcMar>
          </w:tcPr>
          <w:p w14:paraId="4AFDB2CC" w14:textId="77777777" w:rsidR="00F13A06" w:rsidRPr="00F13A06" w:rsidRDefault="00F13A06" w:rsidP="00333670">
            <w:pPr>
              <w:pStyle w:val="Tabletext1"/>
              <w:rPr>
                <w:rFonts w:ascii="Arial Narrow" w:hAnsi="Arial Narrow"/>
                <w:szCs w:val="20"/>
              </w:rPr>
            </w:pPr>
            <w:r w:rsidRPr="00F13A06">
              <w:rPr>
                <w:rFonts w:ascii="Arial Narrow" w:hAnsi="Arial Narrow"/>
                <w:szCs w:val="20"/>
              </w:rPr>
              <w:t>Frailty Index, all participants</w:t>
            </w:r>
          </w:p>
        </w:tc>
        <w:tc>
          <w:tcPr>
            <w:tcW w:w="0" w:type="auto"/>
            <w:tcBorders>
              <w:top w:val="nil"/>
              <w:left w:val="single" w:sz="2" w:space="0" w:color="000000"/>
              <w:bottom w:val="single" w:sz="2" w:space="0" w:color="000000"/>
              <w:right w:val="nil"/>
            </w:tcBorders>
            <w:shd w:val="clear" w:color="auto" w:fill="FFFFFF"/>
            <w:tcMar>
              <w:left w:w="80" w:type="dxa"/>
              <w:right w:w="80" w:type="dxa"/>
            </w:tcMar>
          </w:tcPr>
          <w:p w14:paraId="01C12696" w14:textId="77777777" w:rsidR="00F13A06" w:rsidRPr="00F13A06" w:rsidRDefault="00F13A06" w:rsidP="00333670">
            <w:pPr>
              <w:pStyle w:val="Tabletext1"/>
              <w:rPr>
                <w:rFonts w:ascii="Arial Narrow" w:hAnsi="Arial Narrow"/>
                <w:szCs w:val="20"/>
              </w:rPr>
            </w:pPr>
            <w:r w:rsidRPr="00F13A06">
              <w:rPr>
                <w:rFonts w:ascii="Arial Narrow" w:hAnsi="Arial Narrow"/>
                <w:szCs w:val="20"/>
              </w:rPr>
              <w:t>6 Months</w:t>
            </w:r>
          </w:p>
        </w:tc>
        <w:tc>
          <w:tcPr>
            <w:tcW w:w="0" w:type="auto"/>
            <w:tcBorders>
              <w:top w:val="nil"/>
              <w:left w:val="single" w:sz="2" w:space="0" w:color="000000"/>
              <w:bottom w:val="single" w:sz="2" w:space="0" w:color="000000"/>
              <w:right w:val="nil"/>
            </w:tcBorders>
            <w:shd w:val="clear" w:color="auto" w:fill="FFFFFF"/>
            <w:tcMar>
              <w:left w:w="80" w:type="dxa"/>
              <w:right w:w="80" w:type="dxa"/>
            </w:tcMar>
          </w:tcPr>
          <w:p w14:paraId="69F2003D" w14:textId="3DD443D7" w:rsidR="00F13A06" w:rsidRPr="00F13A06" w:rsidRDefault="00F13A06" w:rsidP="00333670">
            <w:pPr>
              <w:pStyle w:val="Tabletext1"/>
              <w:jc w:val="right"/>
              <w:rPr>
                <w:rFonts w:ascii="Arial Narrow" w:hAnsi="Arial Narrow"/>
                <w:szCs w:val="20"/>
              </w:rPr>
            </w:pPr>
            <w:r w:rsidRPr="00F13A06">
              <w:rPr>
                <w:rFonts w:ascii="Arial Narrow" w:hAnsi="Arial Narrow"/>
                <w:szCs w:val="20"/>
              </w:rPr>
              <w:t>0.040</w:t>
            </w:r>
          </w:p>
        </w:tc>
        <w:tc>
          <w:tcPr>
            <w:tcW w:w="0" w:type="auto"/>
            <w:tcBorders>
              <w:top w:val="nil"/>
              <w:left w:val="single" w:sz="2" w:space="0" w:color="000000"/>
              <w:bottom w:val="single" w:sz="2" w:space="0" w:color="000000"/>
              <w:right w:val="single" w:sz="2" w:space="0" w:color="000000"/>
            </w:tcBorders>
            <w:shd w:val="clear" w:color="auto" w:fill="FFFFFF"/>
          </w:tcPr>
          <w:p w14:paraId="04000366" w14:textId="77777777" w:rsidR="00F13A06" w:rsidRPr="00F13A06" w:rsidRDefault="00F13A06" w:rsidP="00333670">
            <w:pPr>
              <w:pStyle w:val="Tabletext1"/>
              <w:jc w:val="right"/>
              <w:rPr>
                <w:rFonts w:ascii="Arial Narrow" w:hAnsi="Arial Narrow"/>
                <w:szCs w:val="20"/>
              </w:rPr>
            </w:pPr>
            <w:r w:rsidRPr="00F13A06">
              <w:rPr>
                <w:rFonts w:ascii="Arial Narrow" w:hAnsi="Arial Narrow"/>
                <w:szCs w:val="20"/>
              </w:rPr>
              <w:t>(0.064)</w:t>
            </w:r>
          </w:p>
        </w:tc>
        <w:tc>
          <w:tcPr>
            <w:tcW w:w="0" w:type="auto"/>
            <w:tcBorders>
              <w:top w:val="nil"/>
              <w:left w:val="single" w:sz="2" w:space="0" w:color="000000"/>
              <w:bottom w:val="single" w:sz="2" w:space="0" w:color="000000"/>
              <w:right w:val="single" w:sz="2" w:space="0" w:color="000000"/>
            </w:tcBorders>
            <w:shd w:val="clear" w:color="auto" w:fill="FFFFFF"/>
          </w:tcPr>
          <w:p w14:paraId="0F8F255E" w14:textId="77777777" w:rsidR="00F13A06" w:rsidRPr="00F13A06" w:rsidRDefault="00F13A06" w:rsidP="00333670">
            <w:pPr>
              <w:pStyle w:val="Tabletext1"/>
              <w:jc w:val="right"/>
              <w:rPr>
                <w:rFonts w:ascii="Arial Narrow" w:hAnsi="Arial Narrow"/>
                <w:szCs w:val="20"/>
              </w:rPr>
            </w:pPr>
            <w:r w:rsidRPr="00F13A06">
              <w:rPr>
                <w:rFonts w:ascii="Arial Narrow" w:hAnsi="Arial Narrow"/>
                <w:szCs w:val="20"/>
              </w:rPr>
              <w:t>(105)</w:t>
            </w:r>
          </w:p>
        </w:tc>
        <w:tc>
          <w:tcPr>
            <w:tcW w:w="0" w:type="auto"/>
            <w:tcBorders>
              <w:top w:val="nil"/>
              <w:left w:val="single" w:sz="2" w:space="0" w:color="000000"/>
              <w:bottom w:val="single" w:sz="2" w:space="0" w:color="000000"/>
              <w:right w:val="nil"/>
            </w:tcBorders>
            <w:shd w:val="clear" w:color="auto" w:fill="FFFFFF"/>
            <w:tcMar>
              <w:left w:w="80" w:type="dxa"/>
              <w:right w:w="80" w:type="dxa"/>
            </w:tcMar>
          </w:tcPr>
          <w:p w14:paraId="01993B4D" w14:textId="7CAC89AB" w:rsidR="00F13A06" w:rsidRPr="00F13A06" w:rsidRDefault="00F13A06" w:rsidP="00333670">
            <w:pPr>
              <w:pStyle w:val="Tabletext1"/>
              <w:jc w:val="right"/>
              <w:rPr>
                <w:rFonts w:ascii="Arial Narrow" w:hAnsi="Arial Narrow"/>
                <w:szCs w:val="20"/>
              </w:rPr>
            </w:pPr>
            <w:r w:rsidRPr="00F13A06">
              <w:rPr>
                <w:rFonts w:ascii="Arial Narrow" w:hAnsi="Arial Narrow"/>
                <w:szCs w:val="20"/>
              </w:rPr>
              <w:t>0.044</w:t>
            </w:r>
          </w:p>
        </w:tc>
        <w:tc>
          <w:tcPr>
            <w:tcW w:w="0" w:type="auto"/>
            <w:tcBorders>
              <w:top w:val="nil"/>
              <w:left w:val="single" w:sz="2" w:space="0" w:color="000000"/>
              <w:bottom w:val="single" w:sz="2" w:space="0" w:color="000000"/>
              <w:right w:val="single" w:sz="2" w:space="0" w:color="000000"/>
            </w:tcBorders>
            <w:shd w:val="clear" w:color="auto" w:fill="FFFFFF"/>
          </w:tcPr>
          <w:p w14:paraId="6E84BCA1" w14:textId="77777777" w:rsidR="00F13A06" w:rsidRPr="00F13A06" w:rsidRDefault="00F13A06" w:rsidP="00333670">
            <w:pPr>
              <w:pStyle w:val="Tabletext1"/>
              <w:jc w:val="right"/>
              <w:rPr>
                <w:rFonts w:ascii="Arial Narrow" w:hAnsi="Arial Narrow"/>
                <w:szCs w:val="20"/>
              </w:rPr>
            </w:pPr>
            <w:r w:rsidRPr="00F13A06">
              <w:rPr>
                <w:rFonts w:ascii="Arial Narrow" w:hAnsi="Arial Narrow"/>
                <w:szCs w:val="20"/>
              </w:rPr>
              <w:t>(0.062)</w:t>
            </w:r>
          </w:p>
        </w:tc>
        <w:tc>
          <w:tcPr>
            <w:tcW w:w="0" w:type="auto"/>
            <w:tcBorders>
              <w:top w:val="nil"/>
              <w:left w:val="single" w:sz="2" w:space="0" w:color="000000"/>
              <w:bottom w:val="single" w:sz="2" w:space="0" w:color="000000"/>
              <w:right w:val="single" w:sz="2" w:space="0" w:color="000000"/>
            </w:tcBorders>
            <w:shd w:val="clear" w:color="auto" w:fill="FFFFFF"/>
          </w:tcPr>
          <w:p w14:paraId="75456D83" w14:textId="77777777" w:rsidR="00F13A06" w:rsidRPr="00F13A06" w:rsidRDefault="00F13A06" w:rsidP="00333670">
            <w:pPr>
              <w:pStyle w:val="Tabletext1"/>
              <w:jc w:val="right"/>
              <w:rPr>
                <w:rFonts w:ascii="Arial Narrow" w:hAnsi="Arial Narrow"/>
                <w:szCs w:val="20"/>
              </w:rPr>
            </w:pPr>
            <w:r w:rsidRPr="00F13A06">
              <w:rPr>
                <w:rFonts w:ascii="Arial Narrow" w:hAnsi="Arial Narrow"/>
                <w:szCs w:val="20"/>
              </w:rPr>
              <w:t>(119)</w:t>
            </w:r>
          </w:p>
        </w:tc>
        <w:tc>
          <w:tcPr>
            <w:tcW w:w="0" w:type="auto"/>
            <w:tcBorders>
              <w:top w:val="nil"/>
              <w:left w:val="single" w:sz="2" w:space="0" w:color="000000"/>
              <w:bottom w:val="single" w:sz="2" w:space="0" w:color="000000"/>
              <w:right w:val="nil"/>
            </w:tcBorders>
            <w:shd w:val="clear" w:color="auto" w:fill="FFFFFF"/>
            <w:tcMar>
              <w:left w:w="80" w:type="dxa"/>
              <w:right w:w="80" w:type="dxa"/>
            </w:tcMar>
          </w:tcPr>
          <w:p w14:paraId="03873E18" w14:textId="77777777" w:rsidR="00F13A06" w:rsidRPr="00F13A06" w:rsidRDefault="00F13A06" w:rsidP="00333670">
            <w:pPr>
              <w:pStyle w:val="Tabletext1"/>
              <w:jc w:val="right"/>
              <w:rPr>
                <w:rFonts w:ascii="Arial Narrow" w:hAnsi="Arial Narrow"/>
                <w:szCs w:val="20"/>
              </w:rPr>
            </w:pPr>
            <w:r w:rsidRPr="00F13A06">
              <w:rPr>
                <w:rFonts w:ascii="Arial Narrow" w:hAnsi="Arial Narrow"/>
                <w:szCs w:val="20"/>
              </w:rPr>
              <w:t xml:space="preserve">-0.005 </w:t>
            </w:r>
          </w:p>
          <w:p w14:paraId="7665C9CD" w14:textId="77777777" w:rsidR="00F13A06" w:rsidRPr="00F13A06" w:rsidRDefault="00F13A06" w:rsidP="00333670">
            <w:pPr>
              <w:pStyle w:val="Tabletext1"/>
              <w:jc w:val="right"/>
              <w:rPr>
                <w:rFonts w:ascii="Arial Narrow" w:hAnsi="Arial Narrow"/>
                <w:szCs w:val="20"/>
              </w:rPr>
            </w:pPr>
            <w:r w:rsidRPr="00F13A06">
              <w:rPr>
                <w:rFonts w:ascii="Arial Narrow" w:hAnsi="Arial Narrow"/>
                <w:szCs w:val="20"/>
              </w:rPr>
              <w:t>(-0.023, 0.013)</w:t>
            </w:r>
          </w:p>
        </w:tc>
        <w:tc>
          <w:tcPr>
            <w:tcW w:w="0" w:type="auto"/>
            <w:tcBorders>
              <w:top w:val="nil"/>
              <w:left w:val="single" w:sz="2" w:space="0" w:color="000000"/>
              <w:bottom w:val="single" w:sz="2" w:space="0" w:color="000000"/>
              <w:right w:val="single" w:sz="6" w:space="0" w:color="000000"/>
            </w:tcBorders>
            <w:shd w:val="clear" w:color="auto" w:fill="FFFFFF"/>
            <w:tcMar>
              <w:left w:w="80" w:type="dxa"/>
              <w:right w:w="80" w:type="dxa"/>
            </w:tcMar>
          </w:tcPr>
          <w:p w14:paraId="39FBA852" w14:textId="77777777" w:rsidR="00F13A06" w:rsidRPr="00F13A06" w:rsidRDefault="00F13A06" w:rsidP="00333670">
            <w:pPr>
              <w:pStyle w:val="Tabletext1"/>
              <w:jc w:val="right"/>
              <w:rPr>
                <w:rFonts w:ascii="Arial Narrow" w:hAnsi="Arial Narrow"/>
                <w:szCs w:val="20"/>
              </w:rPr>
            </w:pPr>
            <w:r w:rsidRPr="00F13A06">
              <w:rPr>
                <w:rFonts w:ascii="Arial Narrow" w:hAnsi="Arial Narrow"/>
                <w:szCs w:val="20"/>
              </w:rPr>
              <w:t>0.606</w:t>
            </w:r>
          </w:p>
        </w:tc>
      </w:tr>
      <w:tr w:rsidR="00F13A06" w:rsidRPr="00F13A06" w14:paraId="0C7F43A0" w14:textId="77777777" w:rsidTr="00333670">
        <w:trPr>
          <w:cantSplit/>
        </w:trPr>
        <w:tc>
          <w:tcPr>
            <w:tcW w:w="0" w:type="auto"/>
            <w:vMerge/>
            <w:tcBorders>
              <w:left w:val="single" w:sz="6" w:space="0" w:color="000000"/>
              <w:bottom w:val="single" w:sz="2" w:space="0" w:color="000000"/>
              <w:right w:val="nil"/>
            </w:tcBorders>
            <w:shd w:val="clear" w:color="auto" w:fill="FFFFFF"/>
            <w:tcMar>
              <w:left w:w="80" w:type="dxa"/>
              <w:right w:w="80" w:type="dxa"/>
            </w:tcMar>
          </w:tcPr>
          <w:p w14:paraId="583A0F9B" w14:textId="77777777" w:rsidR="00F13A06" w:rsidRPr="00F13A06" w:rsidRDefault="00F13A06" w:rsidP="00333670">
            <w:pPr>
              <w:pStyle w:val="Tabletext1"/>
              <w:rPr>
                <w:rFonts w:ascii="Arial Narrow" w:hAnsi="Arial Narrow" w:cs="Thorndale AMT"/>
                <w:color w:val="000000"/>
                <w:szCs w:val="20"/>
              </w:rPr>
            </w:pPr>
          </w:p>
        </w:tc>
        <w:tc>
          <w:tcPr>
            <w:tcW w:w="0" w:type="auto"/>
            <w:tcBorders>
              <w:top w:val="nil"/>
              <w:left w:val="single" w:sz="2" w:space="0" w:color="000000"/>
              <w:bottom w:val="single" w:sz="2" w:space="0" w:color="000000"/>
              <w:right w:val="nil"/>
            </w:tcBorders>
            <w:shd w:val="clear" w:color="auto" w:fill="FFFFFF"/>
            <w:tcMar>
              <w:left w:w="80" w:type="dxa"/>
              <w:right w:w="80" w:type="dxa"/>
            </w:tcMar>
          </w:tcPr>
          <w:p w14:paraId="4675A1F9" w14:textId="77777777" w:rsidR="00F13A06" w:rsidRPr="00F13A06" w:rsidRDefault="00F13A06" w:rsidP="00333670">
            <w:pPr>
              <w:pStyle w:val="Tabletext1"/>
              <w:rPr>
                <w:rFonts w:ascii="Arial Narrow" w:hAnsi="Arial Narrow"/>
                <w:szCs w:val="20"/>
              </w:rPr>
            </w:pPr>
            <w:r w:rsidRPr="00F13A06">
              <w:rPr>
                <w:rFonts w:ascii="Arial Narrow" w:hAnsi="Arial Narrow"/>
                <w:szCs w:val="20"/>
              </w:rPr>
              <w:t>12 Months</w:t>
            </w:r>
          </w:p>
        </w:tc>
        <w:tc>
          <w:tcPr>
            <w:tcW w:w="0" w:type="auto"/>
            <w:tcBorders>
              <w:top w:val="nil"/>
              <w:left w:val="single" w:sz="2" w:space="0" w:color="000000"/>
              <w:bottom w:val="single" w:sz="2" w:space="0" w:color="000000"/>
              <w:right w:val="nil"/>
            </w:tcBorders>
            <w:shd w:val="clear" w:color="auto" w:fill="FFFFFF"/>
            <w:tcMar>
              <w:left w:w="80" w:type="dxa"/>
              <w:right w:w="80" w:type="dxa"/>
            </w:tcMar>
          </w:tcPr>
          <w:p w14:paraId="29D3A02E" w14:textId="133B51CB" w:rsidR="00F13A06" w:rsidRPr="00F13A06" w:rsidRDefault="00F13A06" w:rsidP="00333670">
            <w:pPr>
              <w:pStyle w:val="Tabletext1"/>
              <w:jc w:val="right"/>
              <w:rPr>
                <w:rFonts w:ascii="Arial Narrow" w:hAnsi="Arial Narrow"/>
                <w:szCs w:val="20"/>
              </w:rPr>
            </w:pPr>
            <w:r w:rsidRPr="00F13A06">
              <w:rPr>
                <w:rFonts w:ascii="Arial Narrow" w:hAnsi="Arial Narrow"/>
                <w:szCs w:val="20"/>
              </w:rPr>
              <w:t>0.080</w:t>
            </w:r>
          </w:p>
        </w:tc>
        <w:tc>
          <w:tcPr>
            <w:tcW w:w="0" w:type="auto"/>
            <w:tcBorders>
              <w:top w:val="nil"/>
              <w:left w:val="single" w:sz="2" w:space="0" w:color="000000"/>
              <w:bottom w:val="single" w:sz="2" w:space="0" w:color="000000"/>
              <w:right w:val="single" w:sz="2" w:space="0" w:color="000000"/>
            </w:tcBorders>
            <w:shd w:val="clear" w:color="auto" w:fill="FFFFFF"/>
          </w:tcPr>
          <w:p w14:paraId="36B4CC91" w14:textId="77777777" w:rsidR="00F13A06" w:rsidRPr="00F13A06" w:rsidRDefault="00F13A06" w:rsidP="00333670">
            <w:pPr>
              <w:pStyle w:val="Tabletext1"/>
              <w:jc w:val="right"/>
              <w:rPr>
                <w:rFonts w:ascii="Arial Narrow" w:hAnsi="Arial Narrow"/>
                <w:szCs w:val="20"/>
              </w:rPr>
            </w:pPr>
            <w:r w:rsidRPr="00F13A06">
              <w:rPr>
                <w:rFonts w:ascii="Arial Narrow" w:hAnsi="Arial Narrow"/>
                <w:szCs w:val="20"/>
              </w:rPr>
              <w:t>(0.076)</w:t>
            </w:r>
          </w:p>
        </w:tc>
        <w:tc>
          <w:tcPr>
            <w:tcW w:w="0" w:type="auto"/>
            <w:tcBorders>
              <w:top w:val="nil"/>
              <w:left w:val="single" w:sz="2" w:space="0" w:color="000000"/>
              <w:bottom w:val="single" w:sz="2" w:space="0" w:color="000000"/>
              <w:right w:val="single" w:sz="2" w:space="0" w:color="000000"/>
            </w:tcBorders>
            <w:shd w:val="clear" w:color="auto" w:fill="FFFFFF"/>
          </w:tcPr>
          <w:p w14:paraId="5118B7EF" w14:textId="77777777" w:rsidR="00F13A06" w:rsidRPr="00F13A06" w:rsidRDefault="00F13A06" w:rsidP="00333670">
            <w:pPr>
              <w:pStyle w:val="Tabletext1"/>
              <w:jc w:val="right"/>
              <w:rPr>
                <w:rFonts w:ascii="Arial Narrow" w:hAnsi="Arial Narrow"/>
                <w:szCs w:val="20"/>
              </w:rPr>
            </w:pPr>
            <w:r w:rsidRPr="00F13A06">
              <w:rPr>
                <w:rFonts w:ascii="Arial Narrow" w:hAnsi="Arial Narrow"/>
                <w:szCs w:val="20"/>
              </w:rPr>
              <w:t>(97)</w:t>
            </w:r>
          </w:p>
        </w:tc>
        <w:tc>
          <w:tcPr>
            <w:tcW w:w="0" w:type="auto"/>
            <w:tcBorders>
              <w:top w:val="nil"/>
              <w:left w:val="single" w:sz="2" w:space="0" w:color="000000"/>
              <w:bottom w:val="single" w:sz="2" w:space="0" w:color="000000"/>
              <w:right w:val="nil"/>
            </w:tcBorders>
            <w:shd w:val="clear" w:color="auto" w:fill="FFFFFF"/>
            <w:tcMar>
              <w:left w:w="80" w:type="dxa"/>
              <w:right w:w="80" w:type="dxa"/>
            </w:tcMar>
          </w:tcPr>
          <w:p w14:paraId="3C551CD2" w14:textId="022A6541" w:rsidR="00F13A06" w:rsidRPr="00F13A06" w:rsidRDefault="00F13A06" w:rsidP="00333670">
            <w:pPr>
              <w:pStyle w:val="Tabletext1"/>
              <w:jc w:val="right"/>
              <w:rPr>
                <w:rFonts w:ascii="Arial Narrow" w:hAnsi="Arial Narrow"/>
                <w:szCs w:val="20"/>
              </w:rPr>
            </w:pPr>
            <w:r w:rsidRPr="00F13A06">
              <w:rPr>
                <w:rFonts w:ascii="Arial Narrow" w:hAnsi="Arial Narrow"/>
                <w:szCs w:val="20"/>
              </w:rPr>
              <w:t>0.089</w:t>
            </w:r>
          </w:p>
        </w:tc>
        <w:tc>
          <w:tcPr>
            <w:tcW w:w="0" w:type="auto"/>
            <w:tcBorders>
              <w:top w:val="nil"/>
              <w:left w:val="single" w:sz="2" w:space="0" w:color="000000"/>
              <w:bottom w:val="single" w:sz="2" w:space="0" w:color="000000"/>
              <w:right w:val="single" w:sz="2" w:space="0" w:color="000000"/>
            </w:tcBorders>
            <w:shd w:val="clear" w:color="auto" w:fill="FFFFFF"/>
          </w:tcPr>
          <w:p w14:paraId="283F8BB1" w14:textId="77777777" w:rsidR="00F13A06" w:rsidRPr="00F13A06" w:rsidRDefault="00F13A06" w:rsidP="00333670">
            <w:pPr>
              <w:pStyle w:val="Tabletext1"/>
              <w:jc w:val="right"/>
              <w:rPr>
                <w:rFonts w:ascii="Arial Narrow" w:hAnsi="Arial Narrow"/>
                <w:szCs w:val="20"/>
              </w:rPr>
            </w:pPr>
            <w:r w:rsidRPr="00F13A06">
              <w:rPr>
                <w:rFonts w:ascii="Arial Narrow" w:hAnsi="Arial Narrow"/>
                <w:szCs w:val="20"/>
              </w:rPr>
              <w:t>(0.082)</w:t>
            </w:r>
          </w:p>
        </w:tc>
        <w:tc>
          <w:tcPr>
            <w:tcW w:w="0" w:type="auto"/>
            <w:tcBorders>
              <w:top w:val="nil"/>
              <w:left w:val="single" w:sz="2" w:space="0" w:color="000000"/>
              <w:bottom w:val="single" w:sz="2" w:space="0" w:color="000000"/>
              <w:right w:val="single" w:sz="2" w:space="0" w:color="000000"/>
            </w:tcBorders>
            <w:shd w:val="clear" w:color="auto" w:fill="FFFFFF"/>
          </w:tcPr>
          <w:p w14:paraId="28DED241" w14:textId="77777777" w:rsidR="00F13A06" w:rsidRPr="00F13A06" w:rsidRDefault="00F13A06" w:rsidP="00333670">
            <w:pPr>
              <w:pStyle w:val="Tabletext1"/>
              <w:jc w:val="right"/>
              <w:rPr>
                <w:rFonts w:ascii="Arial Narrow" w:hAnsi="Arial Narrow"/>
                <w:szCs w:val="20"/>
              </w:rPr>
            </w:pPr>
            <w:r w:rsidRPr="00F13A06">
              <w:rPr>
                <w:rFonts w:ascii="Arial Narrow" w:hAnsi="Arial Narrow"/>
                <w:szCs w:val="20"/>
              </w:rPr>
              <w:t>(111)</w:t>
            </w:r>
          </w:p>
        </w:tc>
        <w:tc>
          <w:tcPr>
            <w:tcW w:w="0" w:type="auto"/>
            <w:tcBorders>
              <w:top w:val="nil"/>
              <w:left w:val="single" w:sz="2" w:space="0" w:color="000000"/>
              <w:bottom w:val="single" w:sz="2" w:space="0" w:color="000000"/>
              <w:right w:val="nil"/>
            </w:tcBorders>
            <w:shd w:val="clear" w:color="auto" w:fill="FFFFFF"/>
            <w:tcMar>
              <w:left w:w="80" w:type="dxa"/>
              <w:right w:w="80" w:type="dxa"/>
            </w:tcMar>
          </w:tcPr>
          <w:p w14:paraId="0734CFFF" w14:textId="77777777" w:rsidR="00F13A06" w:rsidRPr="00F13A06" w:rsidRDefault="00F13A06" w:rsidP="00333670">
            <w:pPr>
              <w:pStyle w:val="Tabletext1"/>
              <w:jc w:val="right"/>
              <w:rPr>
                <w:rFonts w:ascii="Arial Narrow" w:hAnsi="Arial Narrow"/>
                <w:szCs w:val="20"/>
              </w:rPr>
            </w:pPr>
            <w:r w:rsidRPr="00F13A06">
              <w:rPr>
                <w:rFonts w:ascii="Arial Narrow" w:hAnsi="Arial Narrow"/>
                <w:szCs w:val="20"/>
              </w:rPr>
              <w:t xml:space="preserve">-0.009 </w:t>
            </w:r>
          </w:p>
          <w:p w14:paraId="101C2EF3" w14:textId="77777777" w:rsidR="00F13A06" w:rsidRPr="00F13A06" w:rsidRDefault="00F13A06" w:rsidP="00333670">
            <w:pPr>
              <w:pStyle w:val="Tabletext1"/>
              <w:jc w:val="right"/>
              <w:rPr>
                <w:rFonts w:ascii="Arial Narrow" w:hAnsi="Arial Narrow"/>
                <w:szCs w:val="20"/>
              </w:rPr>
            </w:pPr>
            <w:r w:rsidRPr="00F13A06">
              <w:rPr>
                <w:rFonts w:ascii="Arial Narrow" w:hAnsi="Arial Narrow"/>
                <w:szCs w:val="20"/>
              </w:rPr>
              <w:t>(-0.028, 0.009)</w:t>
            </w:r>
          </w:p>
        </w:tc>
        <w:tc>
          <w:tcPr>
            <w:tcW w:w="0" w:type="auto"/>
            <w:tcBorders>
              <w:top w:val="nil"/>
              <w:left w:val="single" w:sz="2" w:space="0" w:color="000000"/>
              <w:bottom w:val="single" w:sz="2" w:space="0" w:color="000000"/>
              <w:right w:val="single" w:sz="6" w:space="0" w:color="000000"/>
            </w:tcBorders>
            <w:shd w:val="clear" w:color="auto" w:fill="FFFFFF"/>
            <w:tcMar>
              <w:left w:w="80" w:type="dxa"/>
              <w:right w:w="80" w:type="dxa"/>
            </w:tcMar>
          </w:tcPr>
          <w:p w14:paraId="2441D46E" w14:textId="77777777" w:rsidR="00F13A06" w:rsidRPr="00F13A06" w:rsidRDefault="00F13A06" w:rsidP="00333670">
            <w:pPr>
              <w:pStyle w:val="Tabletext1"/>
              <w:jc w:val="right"/>
              <w:rPr>
                <w:rFonts w:ascii="Arial Narrow" w:hAnsi="Arial Narrow"/>
                <w:szCs w:val="20"/>
              </w:rPr>
            </w:pPr>
            <w:r w:rsidRPr="00F13A06">
              <w:rPr>
                <w:rFonts w:ascii="Arial Narrow" w:hAnsi="Arial Narrow"/>
                <w:szCs w:val="20"/>
              </w:rPr>
              <w:t>0.320</w:t>
            </w:r>
          </w:p>
        </w:tc>
      </w:tr>
      <w:tr w:rsidR="00F13A06" w:rsidRPr="00F13A06" w14:paraId="5AFC8A19" w14:textId="77777777" w:rsidTr="00333670">
        <w:trPr>
          <w:cantSplit/>
        </w:trPr>
        <w:tc>
          <w:tcPr>
            <w:tcW w:w="0" w:type="auto"/>
            <w:vMerge w:val="restart"/>
            <w:tcBorders>
              <w:top w:val="single" w:sz="4" w:space="0" w:color="auto"/>
              <w:left w:val="single" w:sz="6" w:space="0" w:color="000000"/>
              <w:right w:val="nil"/>
            </w:tcBorders>
            <w:shd w:val="clear" w:color="auto" w:fill="FFFFFF"/>
            <w:tcMar>
              <w:left w:w="80" w:type="dxa"/>
              <w:right w:w="80" w:type="dxa"/>
            </w:tcMar>
          </w:tcPr>
          <w:p w14:paraId="0952056E" w14:textId="77777777" w:rsidR="00F13A06" w:rsidRPr="00F13A06" w:rsidRDefault="00F13A06" w:rsidP="00333670">
            <w:pPr>
              <w:pStyle w:val="Tabletext1"/>
              <w:rPr>
                <w:rFonts w:ascii="Arial Narrow" w:hAnsi="Arial Narrow"/>
                <w:szCs w:val="20"/>
              </w:rPr>
            </w:pPr>
            <w:r w:rsidRPr="00F13A06">
              <w:rPr>
                <w:rFonts w:ascii="Arial Narrow" w:hAnsi="Arial Narrow"/>
                <w:szCs w:val="20"/>
              </w:rPr>
              <w:t>Frailty Index, excluding post COVID</w:t>
            </w:r>
          </w:p>
        </w:tc>
        <w:tc>
          <w:tcPr>
            <w:tcW w:w="0" w:type="auto"/>
            <w:tcBorders>
              <w:top w:val="single" w:sz="4" w:space="0" w:color="auto"/>
              <w:left w:val="single" w:sz="2" w:space="0" w:color="000000"/>
              <w:bottom w:val="single" w:sz="2" w:space="0" w:color="000000"/>
              <w:right w:val="nil"/>
            </w:tcBorders>
            <w:shd w:val="clear" w:color="auto" w:fill="FFFFFF"/>
            <w:tcMar>
              <w:left w:w="80" w:type="dxa"/>
              <w:right w:w="80" w:type="dxa"/>
            </w:tcMar>
          </w:tcPr>
          <w:p w14:paraId="2AA6F832" w14:textId="77777777" w:rsidR="00F13A06" w:rsidRPr="00F13A06" w:rsidRDefault="00F13A06" w:rsidP="00333670">
            <w:pPr>
              <w:pStyle w:val="Tabletext1"/>
              <w:rPr>
                <w:rFonts w:ascii="Arial Narrow" w:hAnsi="Arial Narrow"/>
                <w:szCs w:val="20"/>
              </w:rPr>
            </w:pPr>
            <w:r w:rsidRPr="00F13A06">
              <w:rPr>
                <w:rFonts w:ascii="Arial Narrow" w:hAnsi="Arial Narrow"/>
                <w:szCs w:val="20"/>
              </w:rPr>
              <w:t>6 Months</w:t>
            </w:r>
          </w:p>
        </w:tc>
        <w:tc>
          <w:tcPr>
            <w:tcW w:w="0" w:type="auto"/>
            <w:tcBorders>
              <w:top w:val="single" w:sz="4" w:space="0" w:color="auto"/>
              <w:left w:val="single" w:sz="2" w:space="0" w:color="000000"/>
              <w:bottom w:val="single" w:sz="2" w:space="0" w:color="000000"/>
              <w:right w:val="nil"/>
            </w:tcBorders>
            <w:shd w:val="clear" w:color="auto" w:fill="FFFFFF"/>
            <w:tcMar>
              <w:left w:w="80" w:type="dxa"/>
              <w:right w:w="80" w:type="dxa"/>
            </w:tcMar>
          </w:tcPr>
          <w:p w14:paraId="628C6895" w14:textId="65BDA58C" w:rsidR="00F13A06" w:rsidRPr="00F13A06" w:rsidRDefault="00F13A06" w:rsidP="00333670">
            <w:pPr>
              <w:pStyle w:val="Tabletext1"/>
              <w:jc w:val="right"/>
              <w:rPr>
                <w:rFonts w:ascii="Arial Narrow" w:hAnsi="Arial Narrow"/>
                <w:szCs w:val="20"/>
              </w:rPr>
            </w:pPr>
            <w:r w:rsidRPr="00F13A06">
              <w:rPr>
                <w:rFonts w:ascii="Arial Narrow" w:hAnsi="Arial Narrow"/>
                <w:szCs w:val="20"/>
              </w:rPr>
              <w:t>0.040</w:t>
            </w:r>
          </w:p>
        </w:tc>
        <w:tc>
          <w:tcPr>
            <w:tcW w:w="0" w:type="auto"/>
            <w:tcBorders>
              <w:top w:val="single" w:sz="4" w:space="0" w:color="auto"/>
              <w:left w:val="single" w:sz="2" w:space="0" w:color="000000"/>
              <w:bottom w:val="single" w:sz="2" w:space="0" w:color="000000"/>
              <w:right w:val="single" w:sz="2" w:space="0" w:color="000000"/>
            </w:tcBorders>
            <w:shd w:val="clear" w:color="auto" w:fill="FFFFFF"/>
          </w:tcPr>
          <w:p w14:paraId="3F9514D7" w14:textId="77777777" w:rsidR="00F13A06" w:rsidRPr="00F13A06" w:rsidRDefault="00F13A06" w:rsidP="00333670">
            <w:pPr>
              <w:pStyle w:val="Tabletext1"/>
              <w:jc w:val="right"/>
              <w:rPr>
                <w:rFonts w:ascii="Arial Narrow" w:hAnsi="Arial Narrow"/>
                <w:szCs w:val="20"/>
              </w:rPr>
            </w:pPr>
            <w:r w:rsidRPr="00F13A06">
              <w:rPr>
                <w:rFonts w:ascii="Arial Narrow" w:hAnsi="Arial Narrow"/>
                <w:szCs w:val="20"/>
              </w:rPr>
              <w:t>(0.064)</w:t>
            </w:r>
          </w:p>
        </w:tc>
        <w:tc>
          <w:tcPr>
            <w:tcW w:w="0" w:type="auto"/>
            <w:tcBorders>
              <w:top w:val="single" w:sz="4" w:space="0" w:color="auto"/>
              <w:left w:val="single" w:sz="2" w:space="0" w:color="000000"/>
              <w:bottom w:val="single" w:sz="2" w:space="0" w:color="000000"/>
              <w:right w:val="single" w:sz="2" w:space="0" w:color="000000"/>
            </w:tcBorders>
            <w:shd w:val="clear" w:color="auto" w:fill="FFFFFF"/>
          </w:tcPr>
          <w:p w14:paraId="554D477B" w14:textId="77777777" w:rsidR="00F13A06" w:rsidRPr="00F13A06" w:rsidRDefault="00F13A06" w:rsidP="00333670">
            <w:pPr>
              <w:pStyle w:val="Tabletext1"/>
              <w:jc w:val="right"/>
              <w:rPr>
                <w:rFonts w:ascii="Arial Narrow" w:hAnsi="Arial Narrow"/>
                <w:szCs w:val="20"/>
              </w:rPr>
            </w:pPr>
            <w:r w:rsidRPr="00F13A06">
              <w:rPr>
                <w:rFonts w:ascii="Arial Narrow" w:hAnsi="Arial Narrow"/>
                <w:szCs w:val="20"/>
              </w:rPr>
              <w:t>(105)</w:t>
            </w:r>
          </w:p>
        </w:tc>
        <w:tc>
          <w:tcPr>
            <w:tcW w:w="0" w:type="auto"/>
            <w:tcBorders>
              <w:top w:val="single" w:sz="4" w:space="0" w:color="auto"/>
              <w:left w:val="single" w:sz="2" w:space="0" w:color="000000"/>
              <w:bottom w:val="single" w:sz="2" w:space="0" w:color="000000"/>
              <w:right w:val="nil"/>
            </w:tcBorders>
            <w:shd w:val="clear" w:color="auto" w:fill="FFFFFF"/>
            <w:tcMar>
              <w:left w:w="80" w:type="dxa"/>
              <w:right w:w="80" w:type="dxa"/>
            </w:tcMar>
          </w:tcPr>
          <w:p w14:paraId="10BC2F8D" w14:textId="2F7B131B" w:rsidR="00F13A06" w:rsidRPr="00F13A06" w:rsidRDefault="00F13A06" w:rsidP="00333670">
            <w:pPr>
              <w:pStyle w:val="Tabletext1"/>
              <w:jc w:val="right"/>
              <w:rPr>
                <w:rFonts w:ascii="Arial Narrow" w:hAnsi="Arial Narrow"/>
                <w:szCs w:val="20"/>
              </w:rPr>
            </w:pPr>
            <w:r w:rsidRPr="00F13A06">
              <w:rPr>
                <w:rFonts w:ascii="Arial Narrow" w:hAnsi="Arial Narrow"/>
                <w:szCs w:val="20"/>
              </w:rPr>
              <w:t>0.044</w:t>
            </w:r>
          </w:p>
        </w:tc>
        <w:tc>
          <w:tcPr>
            <w:tcW w:w="0" w:type="auto"/>
            <w:tcBorders>
              <w:top w:val="single" w:sz="4" w:space="0" w:color="auto"/>
              <w:left w:val="single" w:sz="2" w:space="0" w:color="000000"/>
              <w:bottom w:val="single" w:sz="2" w:space="0" w:color="000000"/>
              <w:right w:val="single" w:sz="2" w:space="0" w:color="000000"/>
            </w:tcBorders>
            <w:shd w:val="clear" w:color="auto" w:fill="FFFFFF"/>
          </w:tcPr>
          <w:p w14:paraId="1E78DCFC" w14:textId="77777777" w:rsidR="00F13A06" w:rsidRPr="00F13A06" w:rsidRDefault="00F13A06" w:rsidP="00333670">
            <w:pPr>
              <w:pStyle w:val="Tabletext1"/>
              <w:jc w:val="right"/>
              <w:rPr>
                <w:rFonts w:ascii="Arial Narrow" w:hAnsi="Arial Narrow"/>
                <w:szCs w:val="20"/>
              </w:rPr>
            </w:pPr>
            <w:r w:rsidRPr="00F13A06">
              <w:rPr>
                <w:rFonts w:ascii="Arial Narrow" w:hAnsi="Arial Narrow"/>
                <w:szCs w:val="20"/>
              </w:rPr>
              <w:t>(0.062)</w:t>
            </w:r>
          </w:p>
        </w:tc>
        <w:tc>
          <w:tcPr>
            <w:tcW w:w="0" w:type="auto"/>
            <w:tcBorders>
              <w:top w:val="single" w:sz="4" w:space="0" w:color="auto"/>
              <w:left w:val="single" w:sz="2" w:space="0" w:color="000000"/>
              <w:bottom w:val="single" w:sz="2" w:space="0" w:color="000000"/>
              <w:right w:val="single" w:sz="2" w:space="0" w:color="000000"/>
            </w:tcBorders>
            <w:shd w:val="clear" w:color="auto" w:fill="FFFFFF"/>
          </w:tcPr>
          <w:p w14:paraId="1DC28232" w14:textId="77777777" w:rsidR="00F13A06" w:rsidRPr="00F13A06" w:rsidRDefault="00F13A06" w:rsidP="00333670">
            <w:pPr>
              <w:pStyle w:val="Tabletext1"/>
              <w:jc w:val="right"/>
              <w:rPr>
                <w:rFonts w:ascii="Arial Narrow" w:hAnsi="Arial Narrow"/>
                <w:szCs w:val="20"/>
              </w:rPr>
            </w:pPr>
            <w:r w:rsidRPr="00F13A06">
              <w:rPr>
                <w:rFonts w:ascii="Arial Narrow" w:hAnsi="Arial Narrow"/>
                <w:szCs w:val="20"/>
              </w:rPr>
              <w:t>(119)</w:t>
            </w:r>
          </w:p>
        </w:tc>
        <w:tc>
          <w:tcPr>
            <w:tcW w:w="0" w:type="auto"/>
            <w:tcBorders>
              <w:top w:val="single" w:sz="4" w:space="0" w:color="auto"/>
              <w:left w:val="single" w:sz="2" w:space="0" w:color="000000"/>
              <w:bottom w:val="single" w:sz="2" w:space="0" w:color="000000"/>
              <w:right w:val="nil"/>
            </w:tcBorders>
            <w:shd w:val="clear" w:color="auto" w:fill="FFFFFF"/>
            <w:tcMar>
              <w:left w:w="80" w:type="dxa"/>
              <w:right w:w="80" w:type="dxa"/>
            </w:tcMar>
          </w:tcPr>
          <w:p w14:paraId="4A09790D" w14:textId="77777777" w:rsidR="00F13A06" w:rsidRPr="00F13A06" w:rsidRDefault="00F13A06" w:rsidP="00333670">
            <w:pPr>
              <w:pStyle w:val="Tabletext1"/>
              <w:jc w:val="right"/>
              <w:rPr>
                <w:rFonts w:ascii="Arial Narrow" w:hAnsi="Arial Narrow"/>
                <w:szCs w:val="20"/>
              </w:rPr>
            </w:pPr>
            <w:r w:rsidRPr="00F13A06">
              <w:rPr>
                <w:rFonts w:ascii="Arial Narrow" w:hAnsi="Arial Narrow"/>
                <w:szCs w:val="20"/>
              </w:rPr>
              <w:t xml:space="preserve">-0.006 </w:t>
            </w:r>
          </w:p>
          <w:p w14:paraId="6875CD19" w14:textId="77777777" w:rsidR="00F13A06" w:rsidRPr="00F13A06" w:rsidRDefault="00F13A06" w:rsidP="00333670">
            <w:pPr>
              <w:pStyle w:val="Tabletext1"/>
              <w:jc w:val="right"/>
              <w:rPr>
                <w:rFonts w:ascii="Arial Narrow" w:hAnsi="Arial Narrow"/>
                <w:szCs w:val="20"/>
              </w:rPr>
            </w:pPr>
            <w:r w:rsidRPr="00F13A06">
              <w:rPr>
                <w:rFonts w:ascii="Arial Narrow" w:hAnsi="Arial Narrow"/>
                <w:szCs w:val="20"/>
              </w:rPr>
              <w:t>(-0.023, 0.011)</w:t>
            </w:r>
          </w:p>
        </w:tc>
        <w:tc>
          <w:tcPr>
            <w:tcW w:w="0" w:type="auto"/>
            <w:tcBorders>
              <w:top w:val="single" w:sz="4" w:space="0" w:color="auto"/>
              <w:left w:val="single" w:sz="2" w:space="0" w:color="000000"/>
              <w:bottom w:val="single" w:sz="2" w:space="0" w:color="000000"/>
              <w:right w:val="single" w:sz="6" w:space="0" w:color="000000"/>
            </w:tcBorders>
            <w:shd w:val="clear" w:color="auto" w:fill="FFFFFF"/>
            <w:tcMar>
              <w:left w:w="80" w:type="dxa"/>
              <w:right w:w="80" w:type="dxa"/>
            </w:tcMar>
          </w:tcPr>
          <w:p w14:paraId="0A4A2F12" w14:textId="77777777" w:rsidR="00F13A06" w:rsidRPr="00F13A06" w:rsidRDefault="00F13A06" w:rsidP="00333670">
            <w:pPr>
              <w:pStyle w:val="Tabletext1"/>
              <w:jc w:val="right"/>
              <w:rPr>
                <w:rFonts w:ascii="Arial Narrow" w:hAnsi="Arial Narrow"/>
                <w:szCs w:val="20"/>
              </w:rPr>
            </w:pPr>
            <w:r w:rsidRPr="00F13A06">
              <w:rPr>
                <w:rFonts w:ascii="Arial Narrow" w:hAnsi="Arial Narrow"/>
                <w:szCs w:val="20"/>
              </w:rPr>
              <w:t>0.510</w:t>
            </w:r>
          </w:p>
        </w:tc>
      </w:tr>
      <w:tr w:rsidR="00F13A06" w:rsidRPr="00F13A06" w14:paraId="7D42E711" w14:textId="77777777" w:rsidTr="00333670">
        <w:trPr>
          <w:cantSplit/>
        </w:trPr>
        <w:tc>
          <w:tcPr>
            <w:tcW w:w="0" w:type="auto"/>
            <w:vMerge/>
            <w:tcBorders>
              <w:left w:val="single" w:sz="6" w:space="0" w:color="000000"/>
              <w:bottom w:val="single" w:sz="4" w:space="0" w:color="auto"/>
              <w:right w:val="nil"/>
            </w:tcBorders>
            <w:shd w:val="clear" w:color="auto" w:fill="FFFFFF"/>
            <w:tcMar>
              <w:left w:w="80" w:type="dxa"/>
              <w:right w:w="80" w:type="dxa"/>
            </w:tcMar>
          </w:tcPr>
          <w:p w14:paraId="254AC2A4" w14:textId="77777777" w:rsidR="00F13A06" w:rsidRPr="00F13A06" w:rsidRDefault="00F13A06" w:rsidP="00333670">
            <w:pPr>
              <w:pStyle w:val="Tabletext1"/>
              <w:rPr>
                <w:rFonts w:ascii="Arial Narrow" w:hAnsi="Arial Narrow" w:cs="Thorndale AMT"/>
                <w:color w:val="000000"/>
                <w:szCs w:val="20"/>
              </w:rPr>
            </w:pPr>
          </w:p>
        </w:tc>
        <w:tc>
          <w:tcPr>
            <w:tcW w:w="0" w:type="auto"/>
            <w:tcBorders>
              <w:top w:val="single" w:sz="2" w:space="0" w:color="000000"/>
              <w:left w:val="single" w:sz="2" w:space="0" w:color="000000"/>
              <w:bottom w:val="single" w:sz="4" w:space="0" w:color="auto"/>
              <w:right w:val="nil"/>
            </w:tcBorders>
            <w:shd w:val="clear" w:color="auto" w:fill="FFFFFF"/>
            <w:tcMar>
              <w:left w:w="80" w:type="dxa"/>
              <w:right w:w="80" w:type="dxa"/>
            </w:tcMar>
          </w:tcPr>
          <w:p w14:paraId="4019D416" w14:textId="77777777" w:rsidR="00F13A06" w:rsidRPr="00F13A06" w:rsidRDefault="00F13A06" w:rsidP="00333670">
            <w:pPr>
              <w:pStyle w:val="Tabletext1"/>
              <w:rPr>
                <w:rFonts w:ascii="Arial Narrow" w:hAnsi="Arial Narrow"/>
                <w:szCs w:val="20"/>
              </w:rPr>
            </w:pPr>
            <w:r w:rsidRPr="00F13A06">
              <w:rPr>
                <w:rFonts w:ascii="Arial Narrow" w:hAnsi="Arial Narrow"/>
                <w:szCs w:val="20"/>
              </w:rPr>
              <w:t>12 Months</w:t>
            </w:r>
          </w:p>
        </w:tc>
        <w:tc>
          <w:tcPr>
            <w:tcW w:w="0" w:type="auto"/>
            <w:tcBorders>
              <w:top w:val="single" w:sz="2" w:space="0" w:color="000000"/>
              <w:left w:val="single" w:sz="2" w:space="0" w:color="000000"/>
              <w:bottom w:val="single" w:sz="4" w:space="0" w:color="auto"/>
              <w:right w:val="nil"/>
            </w:tcBorders>
            <w:shd w:val="clear" w:color="auto" w:fill="FFFFFF"/>
            <w:tcMar>
              <w:left w:w="80" w:type="dxa"/>
              <w:right w:w="80" w:type="dxa"/>
            </w:tcMar>
          </w:tcPr>
          <w:p w14:paraId="39EA26E9" w14:textId="3784CCAB" w:rsidR="00F13A06" w:rsidRPr="00F13A06" w:rsidRDefault="00F13A06" w:rsidP="00333670">
            <w:pPr>
              <w:pStyle w:val="Tabletext1"/>
              <w:jc w:val="right"/>
              <w:rPr>
                <w:rFonts w:ascii="Arial Narrow" w:hAnsi="Arial Narrow"/>
                <w:szCs w:val="20"/>
              </w:rPr>
            </w:pPr>
            <w:r w:rsidRPr="00F13A06">
              <w:rPr>
                <w:rFonts w:ascii="Arial Narrow" w:hAnsi="Arial Narrow"/>
                <w:szCs w:val="20"/>
              </w:rPr>
              <w:t>0.045</w:t>
            </w:r>
          </w:p>
        </w:tc>
        <w:tc>
          <w:tcPr>
            <w:tcW w:w="0" w:type="auto"/>
            <w:tcBorders>
              <w:top w:val="single" w:sz="2" w:space="0" w:color="000000"/>
              <w:left w:val="single" w:sz="2" w:space="0" w:color="000000"/>
              <w:bottom w:val="single" w:sz="4" w:space="0" w:color="auto"/>
              <w:right w:val="single" w:sz="2" w:space="0" w:color="000000"/>
            </w:tcBorders>
            <w:shd w:val="clear" w:color="auto" w:fill="FFFFFF"/>
          </w:tcPr>
          <w:p w14:paraId="66E38718" w14:textId="77777777" w:rsidR="00F13A06" w:rsidRPr="00F13A06" w:rsidRDefault="00F13A06" w:rsidP="00333670">
            <w:pPr>
              <w:pStyle w:val="Tabletext1"/>
              <w:jc w:val="right"/>
              <w:rPr>
                <w:rFonts w:ascii="Arial Narrow" w:hAnsi="Arial Narrow"/>
                <w:szCs w:val="20"/>
              </w:rPr>
            </w:pPr>
            <w:r w:rsidRPr="00F13A06">
              <w:rPr>
                <w:rFonts w:ascii="Arial Narrow" w:hAnsi="Arial Narrow"/>
                <w:szCs w:val="20"/>
              </w:rPr>
              <w:t>(0.065)</w:t>
            </w:r>
          </w:p>
        </w:tc>
        <w:tc>
          <w:tcPr>
            <w:tcW w:w="0" w:type="auto"/>
            <w:tcBorders>
              <w:top w:val="single" w:sz="2" w:space="0" w:color="000000"/>
              <w:left w:val="single" w:sz="2" w:space="0" w:color="000000"/>
              <w:bottom w:val="single" w:sz="4" w:space="0" w:color="auto"/>
              <w:right w:val="single" w:sz="2" w:space="0" w:color="000000"/>
            </w:tcBorders>
            <w:shd w:val="clear" w:color="auto" w:fill="FFFFFF"/>
          </w:tcPr>
          <w:p w14:paraId="41C28460" w14:textId="77777777" w:rsidR="00F13A06" w:rsidRPr="00F13A06" w:rsidRDefault="00F13A06" w:rsidP="00333670">
            <w:pPr>
              <w:pStyle w:val="Tabletext1"/>
              <w:jc w:val="right"/>
              <w:rPr>
                <w:rFonts w:ascii="Arial Narrow" w:hAnsi="Arial Narrow"/>
                <w:szCs w:val="20"/>
              </w:rPr>
            </w:pPr>
            <w:r w:rsidRPr="00F13A06">
              <w:rPr>
                <w:rFonts w:ascii="Arial Narrow" w:hAnsi="Arial Narrow"/>
                <w:szCs w:val="20"/>
              </w:rPr>
              <w:t>(30)</w:t>
            </w:r>
          </w:p>
        </w:tc>
        <w:tc>
          <w:tcPr>
            <w:tcW w:w="0" w:type="auto"/>
            <w:tcBorders>
              <w:top w:val="single" w:sz="2" w:space="0" w:color="000000"/>
              <w:left w:val="single" w:sz="2" w:space="0" w:color="000000"/>
              <w:bottom w:val="single" w:sz="4" w:space="0" w:color="auto"/>
              <w:right w:val="nil"/>
            </w:tcBorders>
            <w:shd w:val="clear" w:color="auto" w:fill="FFFFFF"/>
            <w:tcMar>
              <w:left w:w="80" w:type="dxa"/>
              <w:right w:w="80" w:type="dxa"/>
            </w:tcMar>
          </w:tcPr>
          <w:p w14:paraId="5E5D3CDA" w14:textId="1F98B7E6" w:rsidR="00F13A06" w:rsidRPr="00F13A06" w:rsidRDefault="00F13A06" w:rsidP="00333670">
            <w:pPr>
              <w:pStyle w:val="Tabletext1"/>
              <w:jc w:val="right"/>
              <w:rPr>
                <w:rFonts w:ascii="Arial Narrow" w:hAnsi="Arial Narrow"/>
                <w:szCs w:val="20"/>
              </w:rPr>
            </w:pPr>
            <w:r w:rsidRPr="00F13A06">
              <w:rPr>
                <w:rFonts w:ascii="Arial Narrow" w:hAnsi="Arial Narrow"/>
                <w:szCs w:val="20"/>
              </w:rPr>
              <w:t>0.062</w:t>
            </w:r>
          </w:p>
        </w:tc>
        <w:tc>
          <w:tcPr>
            <w:tcW w:w="0" w:type="auto"/>
            <w:tcBorders>
              <w:top w:val="single" w:sz="2" w:space="0" w:color="000000"/>
              <w:left w:val="single" w:sz="2" w:space="0" w:color="000000"/>
              <w:bottom w:val="single" w:sz="4" w:space="0" w:color="auto"/>
              <w:right w:val="single" w:sz="2" w:space="0" w:color="000000"/>
            </w:tcBorders>
            <w:shd w:val="clear" w:color="auto" w:fill="FFFFFF"/>
          </w:tcPr>
          <w:p w14:paraId="39F45934" w14:textId="77777777" w:rsidR="00F13A06" w:rsidRPr="00F13A06" w:rsidRDefault="00F13A06" w:rsidP="00333670">
            <w:pPr>
              <w:pStyle w:val="Tabletext1"/>
              <w:jc w:val="right"/>
              <w:rPr>
                <w:rFonts w:ascii="Arial Narrow" w:hAnsi="Arial Narrow"/>
                <w:szCs w:val="20"/>
              </w:rPr>
            </w:pPr>
            <w:r w:rsidRPr="00F13A06">
              <w:rPr>
                <w:rFonts w:ascii="Arial Narrow" w:hAnsi="Arial Narrow"/>
                <w:szCs w:val="20"/>
              </w:rPr>
              <w:t>(0.077)</w:t>
            </w:r>
          </w:p>
        </w:tc>
        <w:tc>
          <w:tcPr>
            <w:tcW w:w="0" w:type="auto"/>
            <w:tcBorders>
              <w:top w:val="single" w:sz="2" w:space="0" w:color="000000"/>
              <w:left w:val="single" w:sz="2" w:space="0" w:color="000000"/>
              <w:bottom w:val="single" w:sz="4" w:space="0" w:color="auto"/>
              <w:right w:val="single" w:sz="2" w:space="0" w:color="000000"/>
            </w:tcBorders>
            <w:shd w:val="clear" w:color="auto" w:fill="FFFFFF"/>
          </w:tcPr>
          <w:p w14:paraId="6E0EE9D8" w14:textId="77777777" w:rsidR="00F13A06" w:rsidRPr="00F13A06" w:rsidRDefault="00F13A06" w:rsidP="00333670">
            <w:pPr>
              <w:pStyle w:val="Tabletext1"/>
              <w:jc w:val="right"/>
              <w:rPr>
                <w:rFonts w:ascii="Arial Narrow" w:hAnsi="Arial Narrow"/>
                <w:szCs w:val="20"/>
              </w:rPr>
            </w:pPr>
            <w:r w:rsidRPr="00F13A06">
              <w:rPr>
                <w:rFonts w:ascii="Arial Narrow" w:hAnsi="Arial Narrow"/>
                <w:szCs w:val="20"/>
              </w:rPr>
              <w:t>(32)</w:t>
            </w:r>
          </w:p>
        </w:tc>
        <w:tc>
          <w:tcPr>
            <w:tcW w:w="0" w:type="auto"/>
            <w:tcBorders>
              <w:top w:val="single" w:sz="2" w:space="0" w:color="000000"/>
              <w:left w:val="single" w:sz="2" w:space="0" w:color="000000"/>
              <w:bottom w:val="single" w:sz="4" w:space="0" w:color="auto"/>
              <w:right w:val="nil"/>
            </w:tcBorders>
            <w:shd w:val="clear" w:color="auto" w:fill="FFFFFF"/>
            <w:tcMar>
              <w:left w:w="80" w:type="dxa"/>
              <w:right w:w="80" w:type="dxa"/>
            </w:tcMar>
          </w:tcPr>
          <w:p w14:paraId="4D2DE806" w14:textId="77777777" w:rsidR="00F13A06" w:rsidRPr="00F13A06" w:rsidRDefault="00F13A06" w:rsidP="00333670">
            <w:pPr>
              <w:pStyle w:val="Tabletext1"/>
              <w:jc w:val="right"/>
              <w:rPr>
                <w:rFonts w:ascii="Arial Narrow" w:hAnsi="Arial Narrow"/>
                <w:szCs w:val="20"/>
              </w:rPr>
            </w:pPr>
            <w:r w:rsidRPr="00F13A06">
              <w:rPr>
                <w:rFonts w:ascii="Arial Narrow" w:hAnsi="Arial Narrow"/>
                <w:szCs w:val="20"/>
              </w:rPr>
              <w:t>-0.012</w:t>
            </w:r>
          </w:p>
          <w:p w14:paraId="752AFF06" w14:textId="77777777" w:rsidR="00F13A06" w:rsidRPr="00F13A06" w:rsidRDefault="00F13A06" w:rsidP="00333670">
            <w:pPr>
              <w:pStyle w:val="Tabletext1"/>
              <w:jc w:val="right"/>
              <w:rPr>
                <w:rFonts w:ascii="Arial Narrow" w:hAnsi="Arial Narrow"/>
                <w:szCs w:val="20"/>
              </w:rPr>
            </w:pPr>
            <w:r w:rsidRPr="00F13A06">
              <w:rPr>
                <w:rFonts w:ascii="Arial Narrow" w:hAnsi="Arial Narrow"/>
                <w:szCs w:val="20"/>
              </w:rPr>
              <w:t xml:space="preserve"> (-0.039, 0.016)</w:t>
            </w:r>
          </w:p>
        </w:tc>
        <w:tc>
          <w:tcPr>
            <w:tcW w:w="0" w:type="auto"/>
            <w:tcBorders>
              <w:top w:val="single" w:sz="2" w:space="0" w:color="000000"/>
              <w:left w:val="single" w:sz="2" w:space="0" w:color="000000"/>
              <w:bottom w:val="single" w:sz="4" w:space="0" w:color="auto"/>
              <w:right w:val="single" w:sz="6" w:space="0" w:color="000000"/>
            </w:tcBorders>
            <w:shd w:val="clear" w:color="auto" w:fill="FFFFFF"/>
            <w:tcMar>
              <w:left w:w="80" w:type="dxa"/>
              <w:right w:w="80" w:type="dxa"/>
            </w:tcMar>
          </w:tcPr>
          <w:p w14:paraId="0D868903" w14:textId="77777777" w:rsidR="00F13A06" w:rsidRPr="00F13A06" w:rsidRDefault="00F13A06" w:rsidP="00333670">
            <w:pPr>
              <w:pStyle w:val="Tabletext1"/>
              <w:jc w:val="right"/>
              <w:rPr>
                <w:rFonts w:ascii="Arial Narrow" w:hAnsi="Arial Narrow"/>
                <w:szCs w:val="20"/>
              </w:rPr>
            </w:pPr>
            <w:r w:rsidRPr="00F13A06">
              <w:rPr>
                <w:rFonts w:ascii="Arial Narrow" w:hAnsi="Arial Narrow"/>
                <w:szCs w:val="20"/>
              </w:rPr>
              <w:t>0.410</w:t>
            </w:r>
          </w:p>
        </w:tc>
      </w:tr>
      <w:tr w:rsidR="00F13A06" w:rsidRPr="00F13A06" w14:paraId="10FED135" w14:textId="77777777" w:rsidTr="00333670">
        <w:trPr>
          <w:cantSplit/>
        </w:trPr>
        <w:tc>
          <w:tcPr>
            <w:tcW w:w="0" w:type="auto"/>
            <w:vMerge w:val="restart"/>
            <w:tcBorders>
              <w:top w:val="single" w:sz="4" w:space="0" w:color="auto"/>
              <w:left w:val="single" w:sz="6" w:space="0" w:color="000000"/>
              <w:right w:val="nil"/>
            </w:tcBorders>
            <w:shd w:val="clear" w:color="auto" w:fill="FFFFFF"/>
            <w:tcMar>
              <w:left w:w="80" w:type="dxa"/>
              <w:right w:w="80" w:type="dxa"/>
            </w:tcMar>
          </w:tcPr>
          <w:p w14:paraId="0AA7731C" w14:textId="77777777" w:rsidR="00F13A06" w:rsidRPr="00F13A06" w:rsidRDefault="00F13A06" w:rsidP="00333670">
            <w:pPr>
              <w:pStyle w:val="Tabletext1"/>
              <w:rPr>
                <w:rFonts w:ascii="Arial Narrow" w:hAnsi="Arial Narrow"/>
                <w:szCs w:val="20"/>
              </w:rPr>
            </w:pPr>
            <w:r w:rsidRPr="00F13A06">
              <w:rPr>
                <w:rFonts w:ascii="Arial Narrow" w:hAnsi="Arial Narrow"/>
                <w:szCs w:val="20"/>
              </w:rPr>
              <w:t>Frailty Index, post COVID imputed</w:t>
            </w:r>
          </w:p>
        </w:tc>
        <w:tc>
          <w:tcPr>
            <w:tcW w:w="0" w:type="auto"/>
            <w:tcBorders>
              <w:top w:val="single" w:sz="4" w:space="0" w:color="auto"/>
              <w:left w:val="single" w:sz="2" w:space="0" w:color="000000"/>
              <w:bottom w:val="single" w:sz="4" w:space="0" w:color="auto"/>
              <w:right w:val="nil"/>
            </w:tcBorders>
            <w:shd w:val="clear" w:color="auto" w:fill="FFFFFF"/>
            <w:tcMar>
              <w:left w:w="80" w:type="dxa"/>
              <w:right w:w="80" w:type="dxa"/>
            </w:tcMar>
          </w:tcPr>
          <w:p w14:paraId="54F7BD6E" w14:textId="77777777" w:rsidR="00F13A06" w:rsidRPr="00F13A06" w:rsidRDefault="00F13A06" w:rsidP="00333670">
            <w:pPr>
              <w:pStyle w:val="Tabletext1"/>
              <w:rPr>
                <w:rFonts w:ascii="Arial Narrow" w:hAnsi="Arial Narrow"/>
                <w:szCs w:val="20"/>
              </w:rPr>
            </w:pPr>
            <w:r w:rsidRPr="00F13A06">
              <w:rPr>
                <w:rFonts w:ascii="Arial Narrow" w:hAnsi="Arial Narrow"/>
                <w:szCs w:val="20"/>
              </w:rPr>
              <w:t>6 Months</w:t>
            </w:r>
          </w:p>
        </w:tc>
        <w:tc>
          <w:tcPr>
            <w:tcW w:w="0" w:type="auto"/>
            <w:tcBorders>
              <w:top w:val="single" w:sz="4" w:space="0" w:color="auto"/>
              <w:left w:val="single" w:sz="2" w:space="0" w:color="000000"/>
              <w:bottom w:val="single" w:sz="4" w:space="0" w:color="auto"/>
              <w:right w:val="nil"/>
            </w:tcBorders>
            <w:shd w:val="clear" w:color="auto" w:fill="FFFFFF"/>
            <w:tcMar>
              <w:left w:w="80" w:type="dxa"/>
              <w:right w:w="80" w:type="dxa"/>
            </w:tcMar>
          </w:tcPr>
          <w:p w14:paraId="3F2B1102" w14:textId="77777777" w:rsidR="00F13A06" w:rsidRPr="00F13A06" w:rsidRDefault="00F13A06" w:rsidP="00333670">
            <w:pPr>
              <w:pStyle w:val="Tabletext1"/>
              <w:jc w:val="right"/>
              <w:rPr>
                <w:rFonts w:ascii="Arial Narrow" w:hAnsi="Arial Narrow"/>
                <w:szCs w:val="20"/>
              </w:rPr>
            </w:pPr>
            <w:r w:rsidRPr="00F13A06">
              <w:rPr>
                <w:rFonts w:ascii="Arial Narrow" w:hAnsi="Arial Narrow"/>
                <w:szCs w:val="20"/>
              </w:rPr>
              <w:t>-</w:t>
            </w:r>
          </w:p>
        </w:tc>
        <w:tc>
          <w:tcPr>
            <w:tcW w:w="0" w:type="auto"/>
            <w:tcBorders>
              <w:top w:val="single" w:sz="4" w:space="0" w:color="auto"/>
              <w:left w:val="single" w:sz="2" w:space="0" w:color="000000"/>
              <w:bottom w:val="single" w:sz="4" w:space="0" w:color="auto"/>
              <w:right w:val="single" w:sz="2" w:space="0" w:color="000000"/>
            </w:tcBorders>
            <w:shd w:val="clear" w:color="auto" w:fill="FFFFFF"/>
          </w:tcPr>
          <w:p w14:paraId="723850B7" w14:textId="77777777" w:rsidR="00F13A06" w:rsidRPr="00F13A06" w:rsidRDefault="00F13A06" w:rsidP="00333670">
            <w:pPr>
              <w:pStyle w:val="Tabletext1"/>
              <w:jc w:val="right"/>
              <w:rPr>
                <w:rFonts w:ascii="Arial Narrow" w:hAnsi="Arial Narrow" w:cs="Thorndale AMT"/>
                <w:color w:val="000000"/>
                <w:szCs w:val="20"/>
              </w:rPr>
            </w:pPr>
          </w:p>
        </w:tc>
        <w:tc>
          <w:tcPr>
            <w:tcW w:w="0" w:type="auto"/>
            <w:tcBorders>
              <w:top w:val="single" w:sz="4" w:space="0" w:color="auto"/>
              <w:left w:val="single" w:sz="2" w:space="0" w:color="000000"/>
              <w:bottom w:val="single" w:sz="4" w:space="0" w:color="auto"/>
              <w:right w:val="single" w:sz="2" w:space="0" w:color="000000"/>
            </w:tcBorders>
            <w:shd w:val="clear" w:color="auto" w:fill="FFFFFF"/>
          </w:tcPr>
          <w:p w14:paraId="757D7842" w14:textId="77777777" w:rsidR="00F13A06" w:rsidRPr="00F13A06" w:rsidRDefault="00F13A06" w:rsidP="00333670">
            <w:pPr>
              <w:pStyle w:val="Tabletext1"/>
              <w:jc w:val="right"/>
              <w:rPr>
                <w:rFonts w:ascii="Arial Narrow" w:hAnsi="Arial Narrow" w:cs="Thorndale AMT"/>
                <w:color w:val="000000"/>
                <w:szCs w:val="20"/>
              </w:rPr>
            </w:pPr>
          </w:p>
        </w:tc>
        <w:tc>
          <w:tcPr>
            <w:tcW w:w="0" w:type="auto"/>
            <w:tcBorders>
              <w:top w:val="single" w:sz="4" w:space="0" w:color="auto"/>
              <w:left w:val="single" w:sz="2" w:space="0" w:color="000000"/>
              <w:bottom w:val="single" w:sz="4" w:space="0" w:color="auto"/>
              <w:right w:val="nil"/>
            </w:tcBorders>
            <w:shd w:val="clear" w:color="auto" w:fill="FFFFFF"/>
            <w:tcMar>
              <w:left w:w="80" w:type="dxa"/>
              <w:right w:w="80" w:type="dxa"/>
            </w:tcMar>
          </w:tcPr>
          <w:p w14:paraId="697B7EE0" w14:textId="77777777" w:rsidR="00F13A06" w:rsidRPr="00F13A06" w:rsidRDefault="00F13A06" w:rsidP="00333670">
            <w:pPr>
              <w:pStyle w:val="Tabletext1"/>
              <w:jc w:val="right"/>
              <w:rPr>
                <w:rFonts w:ascii="Arial Narrow" w:hAnsi="Arial Narrow"/>
                <w:szCs w:val="20"/>
              </w:rPr>
            </w:pPr>
            <w:r w:rsidRPr="00F13A06">
              <w:rPr>
                <w:rFonts w:ascii="Arial Narrow" w:hAnsi="Arial Narrow"/>
                <w:szCs w:val="20"/>
              </w:rPr>
              <w:t>-</w:t>
            </w:r>
          </w:p>
        </w:tc>
        <w:tc>
          <w:tcPr>
            <w:tcW w:w="0" w:type="auto"/>
            <w:tcBorders>
              <w:top w:val="single" w:sz="4" w:space="0" w:color="auto"/>
              <w:left w:val="single" w:sz="2" w:space="0" w:color="000000"/>
              <w:bottom w:val="single" w:sz="4" w:space="0" w:color="auto"/>
              <w:right w:val="single" w:sz="2" w:space="0" w:color="000000"/>
            </w:tcBorders>
            <w:shd w:val="clear" w:color="auto" w:fill="FFFFFF"/>
          </w:tcPr>
          <w:p w14:paraId="41BF3DCD" w14:textId="77777777" w:rsidR="00F13A06" w:rsidRPr="00F13A06" w:rsidRDefault="00F13A06" w:rsidP="00333670">
            <w:pPr>
              <w:pStyle w:val="Tabletext1"/>
              <w:jc w:val="right"/>
              <w:rPr>
                <w:rFonts w:ascii="Arial Narrow" w:hAnsi="Arial Narrow" w:cs="Thorndale AMT"/>
                <w:color w:val="000000"/>
                <w:szCs w:val="20"/>
              </w:rPr>
            </w:pPr>
          </w:p>
        </w:tc>
        <w:tc>
          <w:tcPr>
            <w:tcW w:w="0" w:type="auto"/>
            <w:tcBorders>
              <w:top w:val="single" w:sz="4" w:space="0" w:color="auto"/>
              <w:left w:val="single" w:sz="2" w:space="0" w:color="000000"/>
              <w:bottom w:val="single" w:sz="4" w:space="0" w:color="auto"/>
              <w:right w:val="single" w:sz="2" w:space="0" w:color="000000"/>
            </w:tcBorders>
            <w:shd w:val="clear" w:color="auto" w:fill="FFFFFF"/>
          </w:tcPr>
          <w:p w14:paraId="60B2C6ED" w14:textId="77777777" w:rsidR="00F13A06" w:rsidRPr="00F13A06" w:rsidRDefault="00F13A06" w:rsidP="00333670">
            <w:pPr>
              <w:pStyle w:val="Tabletext1"/>
              <w:jc w:val="right"/>
              <w:rPr>
                <w:rFonts w:ascii="Arial Narrow" w:hAnsi="Arial Narrow" w:cs="Thorndale AMT"/>
                <w:color w:val="000000"/>
                <w:szCs w:val="20"/>
              </w:rPr>
            </w:pPr>
          </w:p>
        </w:tc>
        <w:tc>
          <w:tcPr>
            <w:tcW w:w="0" w:type="auto"/>
            <w:tcBorders>
              <w:top w:val="single" w:sz="4" w:space="0" w:color="auto"/>
              <w:left w:val="single" w:sz="2" w:space="0" w:color="000000"/>
              <w:bottom w:val="single" w:sz="4" w:space="0" w:color="auto"/>
              <w:right w:val="nil"/>
            </w:tcBorders>
            <w:shd w:val="clear" w:color="auto" w:fill="FFFFFF"/>
            <w:tcMar>
              <w:left w:w="80" w:type="dxa"/>
              <w:right w:w="80" w:type="dxa"/>
            </w:tcMar>
          </w:tcPr>
          <w:p w14:paraId="458649B0" w14:textId="77777777" w:rsidR="00F13A06" w:rsidRPr="00F13A06" w:rsidRDefault="00F13A06" w:rsidP="00333670">
            <w:pPr>
              <w:pStyle w:val="Tabletext1"/>
              <w:jc w:val="right"/>
              <w:rPr>
                <w:rFonts w:ascii="Arial Narrow" w:hAnsi="Arial Narrow"/>
                <w:szCs w:val="20"/>
              </w:rPr>
            </w:pPr>
            <w:r w:rsidRPr="00F13A06">
              <w:rPr>
                <w:rFonts w:ascii="Arial Narrow" w:hAnsi="Arial Narrow"/>
                <w:szCs w:val="20"/>
              </w:rPr>
              <w:t xml:space="preserve">-0.006 </w:t>
            </w:r>
          </w:p>
          <w:p w14:paraId="4BC5CBBD" w14:textId="77777777" w:rsidR="00F13A06" w:rsidRPr="00F13A06" w:rsidRDefault="00F13A06" w:rsidP="00333670">
            <w:pPr>
              <w:pStyle w:val="Tabletext1"/>
              <w:jc w:val="right"/>
              <w:rPr>
                <w:rFonts w:ascii="Arial Narrow" w:hAnsi="Arial Narrow"/>
                <w:szCs w:val="20"/>
              </w:rPr>
            </w:pPr>
            <w:r w:rsidRPr="00F13A06">
              <w:rPr>
                <w:rFonts w:ascii="Arial Narrow" w:hAnsi="Arial Narrow"/>
                <w:szCs w:val="20"/>
              </w:rPr>
              <w:t>(-0.023, 0.011)</w:t>
            </w:r>
          </w:p>
        </w:tc>
        <w:tc>
          <w:tcPr>
            <w:tcW w:w="0" w:type="auto"/>
            <w:tcBorders>
              <w:top w:val="single" w:sz="4" w:space="0" w:color="auto"/>
              <w:left w:val="single" w:sz="2" w:space="0" w:color="000000"/>
              <w:bottom w:val="single" w:sz="4" w:space="0" w:color="auto"/>
              <w:right w:val="single" w:sz="6" w:space="0" w:color="000000"/>
            </w:tcBorders>
            <w:shd w:val="clear" w:color="auto" w:fill="FFFFFF"/>
            <w:tcMar>
              <w:left w:w="80" w:type="dxa"/>
              <w:right w:w="80" w:type="dxa"/>
            </w:tcMar>
          </w:tcPr>
          <w:p w14:paraId="7E25F397" w14:textId="77777777" w:rsidR="00F13A06" w:rsidRPr="00F13A06" w:rsidRDefault="00F13A06" w:rsidP="00333670">
            <w:pPr>
              <w:pStyle w:val="Tabletext1"/>
              <w:jc w:val="right"/>
              <w:rPr>
                <w:rFonts w:ascii="Arial Narrow" w:hAnsi="Arial Narrow"/>
                <w:szCs w:val="20"/>
              </w:rPr>
            </w:pPr>
            <w:r w:rsidRPr="00F13A06">
              <w:rPr>
                <w:rFonts w:ascii="Arial Narrow" w:hAnsi="Arial Narrow"/>
                <w:szCs w:val="20"/>
              </w:rPr>
              <w:t>0.514</w:t>
            </w:r>
          </w:p>
        </w:tc>
      </w:tr>
      <w:tr w:rsidR="00F13A06" w:rsidRPr="00F13A06" w14:paraId="5BA06180" w14:textId="77777777" w:rsidTr="00333670">
        <w:trPr>
          <w:cantSplit/>
        </w:trPr>
        <w:tc>
          <w:tcPr>
            <w:tcW w:w="0" w:type="auto"/>
            <w:vMerge/>
            <w:tcBorders>
              <w:left w:val="single" w:sz="6" w:space="0" w:color="000000"/>
              <w:bottom w:val="single" w:sz="6" w:space="0" w:color="000000"/>
              <w:right w:val="nil"/>
            </w:tcBorders>
            <w:shd w:val="clear" w:color="auto" w:fill="FFFFFF"/>
            <w:tcMar>
              <w:left w:w="80" w:type="dxa"/>
              <w:right w:w="80" w:type="dxa"/>
            </w:tcMar>
          </w:tcPr>
          <w:p w14:paraId="1AACA0B8" w14:textId="77777777" w:rsidR="00F13A06" w:rsidRPr="00F13A06" w:rsidRDefault="00F13A06" w:rsidP="00333670">
            <w:pPr>
              <w:pStyle w:val="Tabletext1"/>
              <w:rPr>
                <w:rFonts w:ascii="Arial Narrow" w:hAnsi="Arial Narrow" w:cs="Thorndale AMT"/>
                <w:color w:val="000000"/>
                <w:szCs w:val="20"/>
              </w:rPr>
            </w:pPr>
          </w:p>
        </w:tc>
        <w:tc>
          <w:tcPr>
            <w:tcW w:w="0" w:type="auto"/>
            <w:tcBorders>
              <w:top w:val="single" w:sz="4" w:space="0" w:color="auto"/>
              <w:left w:val="single" w:sz="2" w:space="0" w:color="000000"/>
              <w:bottom w:val="single" w:sz="6" w:space="0" w:color="000000"/>
              <w:right w:val="nil"/>
            </w:tcBorders>
            <w:shd w:val="clear" w:color="auto" w:fill="FFFFFF"/>
            <w:tcMar>
              <w:left w:w="80" w:type="dxa"/>
              <w:right w:w="80" w:type="dxa"/>
            </w:tcMar>
          </w:tcPr>
          <w:p w14:paraId="6B9E6ABD" w14:textId="77777777" w:rsidR="00F13A06" w:rsidRPr="00F13A06" w:rsidRDefault="00F13A06" w:rsidP="00333670">
            <w:pPr>
              <w:pStyle w:val="Tabletext1"/>
              <w:rPr>
                <w:rFonts w:ascii="Arial Narrow" w:hAnsi="Arial Narrow"/>
                <w:szCs w:val="20"/>
              </w:rPr>
            </w:pPr>
            <w:r w:rsidRPr="00F13A06">
              <w:rPr>
                <w:rFonts w:ascii="Arial Narrow" w:hAnsi="Arial Narrow"/>
                <w:szCs w:val="20"/>
              </w:rPr>
              <w:t>12 Months</w:t>
            </w:r>
          </w:p>
        </w:tc>
        <w:tc>
          <w:tcPr>
            <w:tcW w:w="0" w:type="auto"/>
            <w:tcBorders>
              <w:top w:val="single" w:sz="4" w:space="0" w:color="auto"/>
              <w:left w:val="single" w:sz="2" w:space="0" w:color="000000"/>
              <w:bottom w:val="single" w:sz="6" w:space="0" w:color="000000"/>
              <w:right w:val="nil"/>
            </w:tcBorders>
            <w:shd w:val="clear" w:color="auto" w:fill="FFFFFF"/>
            <w:tcMar>
              <w:left w:w="80" w:type="dxa"/>
              <w:right w:w="80" w:type="dxa"/>
            </w:tcMar>
          </w:tcPr>
          <w:p w14:paraId="3771C1D5" w14:textId="77777777" w:rsidR="00F13A06" w:rsidRPr="00F13A06" w:rsidRDefault="00F13A06" w:rsidP="00333670">
            <w:pPr>
              <w:pStyle w:val="Tabletext1"/>
              <w:jc w:val="right"/>
              <w:rPr>
                <w:rFonts w:ascii="Arial Narrow" w:hAnsi="Arial Narrow"/>
                <w:szCs w:val="20"/>
              </w:rPr>
            </w:pPr>
            <w:r w:rsidRPr="00F13A06">
              <w:rPr>
                <w:rFonts w:ascii="Arial Narrow" w:hAnsi="Arial Narrow"/>
                <w:szCs w:val="20"/>
              </w:rPr>
              <w:t>-</w:t>
            </w:r>
          </w:p>
        </w:tc>
        <w:tc>
          <w:tcPr>
            <w:tcW w:w="0" w:type="auto"/>
            <w:tcBorders>
              <w:top w:val="single" w:sz="4" w:space="0" w:color="auto"/>
              <w:left w:val="single" w:sz="2" w:space="0" w:color="000000"/>
              <w:bottom w:val="single" w:sz="6" w:space="0" w:color="000000"/>
              <w:right w:val="single" w:sz="2" w:space="0" w:color="000000"/>
            </w:tcBorders>
            <w:shd w:val="clear" w:color="auto" w:fill="FFFFFF"/>
          </w:tcPr>
          <w:p w14:paraId="2225D4E2" w14:textId="77777777" w:rsidR="00F13A06" w:rsidRPr="00F13A06" w:rsidRDefault="00F13A06" w:rsidP="00333670">
            <w:pPr>
              <w:pStyle w:val="Tabletext1"/>
              <w:jc w:val="right"/>
              <w:rPr>
                <w:rFonts w:ascii="Arial Narrow" w:hAnsi="Arial Narrow" w:cs="Thorndale AMT"/>
                <w:color w:val="000000"/>
                <w:szCs w:val="20"/>
              </w:rPr>
            </w:pPr>
          </w:p>
        </w:tc>
        <w:tc>
          <w:tcPr>
            <w:tcW w:w="0" w:type="auto"/>
            <w:tcBorders>
              <w:top w:val="single" w:sz="4" w:space="0" w:color="auto"/>
              <w:left w:val="single" w:sz="2" w:space="0" w:color="000000"/>
              <w:bottom w:val="single" w:sz="6" w:space="0" w:color="000000"/>
              <w:right w:val="single" w:sz="2" w:space="0" w:color="000000"/>
            </w:tcBorders>
            <w:shd w:val="clear" w:color="auto" w:fill="FFFFFF"/>
          </w:tcPr>
          <w:p w14:paraId="2064A70A" w14:textId="77777777" w:rsidR="00F13A06" w:rsidRPr="00F13A06" w:rsidRDefault="00F13A06" w:rsidP="00333670">
            <w:pPr>
              <w:pStyle w:val="Tabletext1"/>
              <w:jc w:val="right"/>
              <w:rPr>
                <w:rFonts w:ascii="Arial Narrow" w:hAnsi="Arial Narrow" w:cs="Thorndale AMT"/>
                <w:color w:val="000000"/>
                <w:szCs w:val="20"/>
              </w:rPr>
            </w:pPr>
          </w:p>
        </w:tc>
        <w:tc>
          <w:tcPr>
            <w:tcW w:w="0" w:type="auto"/>
            <w:tcBorders>
              <w:top w:val="single" w:sz="4" w:space="0" w:color="auto"/>
              <w:left w:val="single" w:sz="2" w:space="0" w:color="000000"/>
              <w:bottom w:val="single" w:sz="6" w:space="0" w:color="000000"/>
              <w:right w:val="nil"/>
            </w:tcBorders>
            <w:shd w:val="clear" w:color="auto" w:fill="FFFFFF"/>
            <w:tcMar>
              <w:left w:w="80" w:type="dxa"/>
              <w:right w:w="80" w:type="dxa"/>
            </w:tcMar>
          </w:tcPr>
          <w:p w14:paraId="5068E24E" w14:textId="77777777" w:rsidR="00F13A06" w:rsidRPr="00F13A06" w:rsidRDefault="00F13A06" w:rsidP="00333670">
            <w:pPr>
              <w:pStyle w:val="Tabletext1"/>
              <w:jc w:val="right"/>
              <w:rPr>
                <w:rFonts w:ascii="Arial Narrow" w:hAnsi="Arial Narrow"/>
                <w:szCs w:val="20"/>
              </w:rPr>
            </w:pPr>
            <w:r w:rsidRPr="00F13A06">
              <w:rPr>
                <w:rFonts w:ascii="Arial Narrow" w:hAnsi="Arial Narrow"/>
                <w:szCs w:val="20"/>
              </w:rPr>
              <w:t>-</w:t>
            </w:r>
          </w:p>
        </w:tc>
        <w:tc>
          <w:tcPr>
            <w:tcW w:w="0" w:type="auto"/>
            <w:tcBorders>
              <w:top w:val="single" w:sz="4" w:space="0" w:color="auto"/>
              <w:left w:val="single" w:sz="2" w:space="0" w:color="000000"/>
              <w:bottom w:val="single" w:sz="6" w:space="0" w:color="000000"/>
              <w:right w:val="single" w:sz="2" w:space="0" w:color="000000"/>
            </w:tcBorders>
            <w:shd w:val="clear" w:color="auto" w:fill="FFFFFF"/>
          </w:tcPr>
          <w:p w14:paraId="62BEA29A" w14:textId="77777777" w:rsidR="00F13A06" w:rsidRPr="00F13A06" w:rsidRDefault="00F13A06" w:rsidP="00333670">
            <w:pPr>
              <w:pStyle w:val="Tabletext1"/>
              <w:jc w:val="right"/>
              <w:rPr>
                <w:rFonts w:ascii="Arial Narrow" w:hAnsi="Arial Narrow" w:cs="Thorndale AMT"/>
                <w:color w:val="000000"/>
                <w:szCs w:val="20"/>
              </w:rPr>
            </w:pPr>
          </w:p>
        </w:tc>
        <w:tc>
          <w:tcPr>
            <w:tcW w:w="0" w:type="auto"/>
            <w:tcBorders>
              <w:top w:val="single" w:sz="4" w:space="0" w:color="auto"/>
              <w:left w:val="single" w:sz="2" w:space="0" w:color="000000"/>
              <w:bottom w:val="single" w:sz="6" w:space="0" w:color="000000"/>
              <w:right w:val="single" w:sz="2" w:space="0" w:color="000000"/>
            </w:tcBorders>
            <w:shd w:val="clear" w:color="auto" w:fill="FFFFFF"/>
          </w:tcPr>
          <w:p w14:paraId="4670C6BC" w14:textId="77777777" w:rsidR="00F13A06" w:rsidRPr="00F13A06" w:rsidRDefault="00F13A06" w:rsidP="00333670">
            <w:pPr>
              <w:pStyle w:val="Tabletext1"/>
              <w:jc w:val="right"/>
              <w:rPr>
                <w:rFonts w:ascii="Arial Narrow" w:hAnsi="Arial Narrow" w:cs="Thorndale AMT"/>
                <w:color w:val="000000"/>
                <w:szCs w:val="20"/>
              </w:rPr>
            </w:pPr>
          </w:p>
        </w:tc>
        <w:tc>
          <w:tcPr>
            <w:tcW w:w="0" w:type="auto"/>
            <w:tcBorders>
              <w:top w:val="single" w:sz="4" w:space="0" w:color="auto"/>
              <w:left w:val="single" w:sz="2" w:space="0" w:color="000000"/>
              <w:bottom w:val="single" w:sz="6" w:space="0" w:color="000000"/>
              <w:right w:val="nil"/>
            </w:tcBorders>
            <w:shd w:val="clear" w:color="auto" w:fill="FFFFFF"/>
            <w:tcMar>
              <w:left w:w="80" w:type="dxa"/>
              <w:right w:w="80" w:type="dxa"/>
            </w:tcMar>
          </w:tcPr>
          <w:p w14:paraId="6F84FD80" w14:textId="77777777" w:rsidR="00F13A06" w:rsidRPr="00F13A06" w:rsidRDefault="00F13A06" w:rsidP="00333670">
            <w:pPr>
              <w:pStyle w:val="Tabletext1"/>
              <w:jc w:val="right"/>
              <w:rPr>
                <w:rFonts w:ascii="Arial Narrow" w:hAnsi="Arial Narrow"/>
                <w:szCs w:val="20"/>
              </w:rPr>
            </w:pPr>
            <w:r w:rsidRPr="00F13A06">
              <w:rPr>
                <w:rFonts w:ascii="Arial Narrow" w:hAnsi="Arial Narrow"/>
                <w:szCs w:val="20"/>
              </w:rPr>
              <w:t xml:space="preserve">-0.012 </w:t>
            </w:r>
          </w:p>
          <w:p w14:paraId="5BFE0438" w14:textId="77777777" w:rsidR="00F13A06" w:rsidRPr="00F13A06" w:rsidRDefault="00F13A06" w:rsidP="00333670">
            <w:pPr>
              <w:pStyle w:val="Tabletext1"/>
              <w:jc w:val="right"/>
              <w:rPr>
                <w:rFonts w:ascii="Arial Narrow" w:hAnsi="Arial Narrow"/>
                <w:szCs w:val="20"/>
              </w:rPr>
            </w:pPr>
            <w:r w:rsidRPr="00F13A06">
              <w:rPr>
                <w:rFonts w:ascii="Arial Narrow" w:hAnsi="Arial Narrow"/>
                <w:szCs w:val="20"/>
              </w:rPr>
              <w:t>(-0.033, 0.009)</w:t>
            </w:r>
          </w:p>
        </w:tc>
        <w:tc>
          <w:tcPr>
            <w:tcW w:w="0" w:type="auto"/>
            <w:tcBorders>
              <w:top w:val="single" w:sz="4" w:space="0" w:color="auto"/>
              <w:left w:val="single" w:sz="2" w:space="0" w:color="000000"/>
              <w:bottom w:val="single" w:sz="6" w:space="0" w:color="000000"/>
              <w:right w:val="single" w:sz="6" w:space="0" w:color="000000"/>
            </w:tcBorders>
            <w:shd w:val="clear" w:color="auto" w:fill="FFFFFF"/>
            <w:tcMar>
              <w:left w:w="80" w:type="dxa"/>
              <w:right w:w="80" w:type="dxa"/>
            </w:tcMar>
          </w:tcPr>
          <w:p w14:paraId="3AF4C7C3" w14:textId="77777777" w:rsidR="00F13A06" w:rsidRPr="00F13A06" w:rsidRDefault="00F13A06" w:rsidP="00333670">
            <w:pPr>
              <w:pStyle w:val="Tabletext1"/>
              <w:jc w:val="right"/>
              <w:rPr>
                <w:rFonts w:ascii="Arial Narrow" w:hAnsi="Arial Narrow"/>
                <w:szCs w:val="20"/>
              </w:rPr>
            </w:pPr>
            <w:r w:rsidRPr="00F13A06">
              <w:rPr>
                <w:rFonts w:ascii="Arial Narrow" w:hAnsi="Arial Narrow"/>
                <w:szCs w:val="20"/>
              </w:rPr>
              <w:t>0.270</w:t>
            </w:r>
          </w:p>
        </w:tc>
      </w:tr>
    </w:tbl>
    <w:p w14:paraId="50E2EE55" w14:textId="77777777" w:rsidR="00F13A06" w:rsidRDefault="00F13A06" w:rsidP="007501B9"/>
    <w:p w14:paraId="487B6596" w14:textId="77777777" w:rsidR="00F13A06" w:rsidRDefault="00F13A06" w:rsidP="00F13A06">
      <w:pPr>
        <w:pStyle w:val="Caption"/>
      </w:pPr>
      <w:r>
        <w:t xml:space="preserve">Table App-E-11: Imputation of </w:t>
      </w:r>
      <w:proofErr w:type="gramStart"/>
      <w:r>
        <w:t>12 month</w:t>
      </w:r>
      <w:proofErr w:type="gramEnd"/>
      <w:r>
        <w:t xml:space="preserve"> frailty index measurements after COVID-19 access restrictions</w:t>
      </w:r>
    </w:p>
    <w:p w14:paraId="2531B7C0" w14:textId="40F504CF" w:rsidR="00F13A06" w:rsidRDefault="00F13A06" w:rsidP="00F13A06">
      <w:pPr>
        <w:pStyle w:val="CommentText"/>
      </w:pPr>
      <w:r>
        <w:t>*Change from baseline, adjusted for baseline, gender and facility.</w:t>
      </w:r>
    </w:p>
    <w:p w14:paraId="7187CBE6" w14:textId="574FA31F" w:rsidR="00F13A06" w:rsidRDefault="00F13A06">
      <w:pPr>
        <w:spacing w:before="0" w:after="0" w:line="240" w:lineRule="auto"/>
      </w:pPr>
      <w:r>
        <w:br w:type="page"/>
      </w:r>
    </w:p>
    <w:p w14:paraId="7F95C2CD" w14:textId="4A4FC6BB" w:rsidR="00F8616C" w:rsidRPr="00171526" w:rsidRDefault="00F8616C" w:rsidP="00171526">
      <w:pPr>
        <w:pStyle w:val="Heading1"/>
      </w:pPr>
      <w:bookmarkStart w:id="429" w:name="_Toc117758352"/>
      <w:r w:rsidRPr="00270A3F">
        <w:lastRenderedPageBreak/>
        <w:t xml:space="preserve">Appendix </w:t>
      </w:r>
      <w:r w:rsidR="004D5EDA">
        <w:t>F</w:t>
      </w:r>
      <w:r w:rsidR="00A33D93">
        <w:t xml:space="preserve">: </w:t>
      </w:r>
      <w:r>
        <w:t>Economic analysis Supplementary information</w:t>
      </w:r>
      <w:bookmarkEnd w:id="429"/>
    </w:p>
    <w:tbl>
      <w:tblPr>
        <w:tblStyle w:val="ListTable3"/>
        <w:tblW w:w="9016" w:type="dxa"/>
        <w:tblLook w:val="04A0" w:firstRow="1" w:lastRow="0" w:firstColumn="1" w:lastColumn="0" w:noHBand="0" w:noVBand="1"/>
      </w:tblPr>
      <w:tblGrid>
        <w:gridCol w:w="2475"/>
        <w:gridCol w:w="830"/>
        <w:gridCol w:w="1507"/>
        <w:gridCol w:w="1704"/>
        <w:gridCol w:w="1475"/>
        <w:gridCol w:w="1025"/>
      </w:tblGrid>
      <w:tr w:rsidR="00370F33" w:rsidRPr="00BB2095" w14:paraId="061CA99D" w14:textId="77777777" w:rsidTr="00BB2095">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2475" w:type="dxa"/>
            <w:noWrap/>
            <w:hideMark/>
          </w:tcPr>
          <w:p w14:paraId="764FAF86" w14:textId="77777777" w:rsidR="00370F33" w:rsidRPr="00BB2095" w:rsidRDefault="00370F33" w:rsidP="00BB2095">
            <w:pPr>
              <w:pStyle w:val="TableHeader"/>
              <w:rPr>
                <w:b/>
                <w:bCs w:val="0"/>
              </w:rPr>
            </w:pPr>
            <w:r w:rsidRPr="00BB2095">
              <w:rPr>
                <w:b/>
                <w:bCs w:val="0"/>
              </w:rPr>
              <w:t>OPD Clinic description</w:t>
            </w:r>
          </w:p>
        </w:tc>
        <w:tc>
          <w:tcPr>
            <w:tcW w:w="830" w:type="dxa"/>
            <w:noWrap/>
            <w:hideMark/>
          </w:tcPr>
          <w:p w14:paraId="6A0D9526" w14:textId="77777777" w:rsidR="00370F33" w:rsidRPr="00BB2095" w:rsidRDefault="00370F33" w:rsidP="00BB2095">
            <w:pPr>
              <w:pStyle w:val="TableHeader"/>
              <w:cnfStyle w:val="100000000000" w:firstRow="1" w:lastRow="0" w:firstColumn="0" w:lastColumn="0" w:oddVBand="0" w:evenVBand="0" w:oddHBand="0" w:evenHBand="0" w:firstRowFirstColumn="0" w:firstRowLastColumn="0" w:lastRowFirstColumn="0" w:lastRowLastColumn="0"/>
              <w:rPr>
                <w:b/>
                <w:bCs w:val="0"/>
              </w:rPr>
            </w:pPr>
            <w:r w:rsidRPr="00BB2095">
              <w:rPr>
                <w:b/>
                <w:bCs w:val="0"/>
              </w:rPr>
              <w:t>Clinic code</w:t>
            </w:r>
          </w:p>
        </w:tc>
        <w:tc>
          <w:tcPr>
            <w:tcW w:w="1507" w:type="dxa"/>
            <w:noWrap/>
            <w:hideMark/>
          </w:tcPr>
          <w:p w14:paraId="261FBB2F" w14:textId="77777777" w:rsidR="00370F33" w:rsidRPr="00BB2095" w:rsidRDefault="00370F33" w:rsidP="00BB2095">
            <w:pPr>
              <w:pStyle w:val="TableHeader"/>
              <w:cnfStyle w:val="100000000000" w:firstRow="1" w:lastRow="0" w:firstColumn="0" w:lastColumn="0" w:oddVBand="0" w:evenVBand="0" w:oddHBand="0" w:evenHBand="0" w:firstRowFirstColumn="0" w:firstRowLastColumn="0" w:lastRowFirstColumn="0" w:lastRowLastColumn="0"/>
              <w:rPr>
                <w:b/>
                <w:bCs w:val="0"/>
              </w:rPr>
            </w:pPr>
            <w:r w:rsidRPr="00BB2095">
              <w:rPr>
                <w:b/>
                <w:bCs w:val="0"/>
              </w:rPr>
              <w:t xml:space="preserve">Calculated activity </w:t>
            </w:r>
            <w:proofErr w:type="spellStart"/>
            <w:r w:rsidRPr="00BB2095">
              <w:rPr>
                <w:b/>
                <w:bCs w:val="0"/>
              </w:rPr>
              <w:t>weight</w:t>
            </w:r>
            <w:r w:rsidRPr="00BB2095">
              <w:rPr>
                <w:b/>
                <w:bCs w:val="0"/>
                <w:vertAlign w:val="superscript"/>
              </w:rPr>
              <w:t>a</w:t>
            </w:r>
            <w:proofErr w:type="spellEnd"/>
          </w:p>
        </w:tc>
        <w:tc>
          <w:tcPr>
            <w:tcW w:w="1704" w:type="dxa"/>
            <w:noWrap/>
            <w:hideMark/>
          </w:tcPr>
          <w:p w14:paraId="2A5CAE87" w14:textId="77777777" w:rsidR="00370F33" w:rsidRPr="00BB2095" w:rsidRDefault="00370F33" w:rsidP="00BB2095">
            <w:pPr>
              <w:pStyle w:val="TableHeader"/>
              <w:cnfStyle w:val="100000000000" w:firstRow="1" w:lastRow="0" w:firstColumn="0" w:lastColumn="0" w:oddVBand="0" w:evenVBand="0" w:oddHBand="0" w:evenHBand="0" w:firstRowFirstColumn="0" w:firstRowLastColumn="0" w:lastRowFirstColumn="0" w:lastRowLastColumn="0"/>
              <w:rPr>
                <w:b/>
                <w:bCs w:val="0"/>
              </w:rPr>
            </w:pPr>
            <w:r w:rsidRPr="00BB2095">
              <w:rPr>
                <w:b/>
                <w:bCs w:val="0"/>
              </w:rPr>
              <w:t xml:space="preserve">Clinic cost used in </w:t>
            </w:r>
            <w:proofErr w:type="spellStart"/>
            <w:r w:rsidRPr="00BB2095">
              <w:rPr>
                <w:b/>
                <w:bCs w:val="0"/>
              </w:rPr>
              <w:t>analysis</w:t>
            </w:r>
            <w:r w:rsidRPr="00BB2095">
              <w:rPr>
                <w:b/>
                <w:bCs w:val="0"/>
                <w:vertAlign w:val="superscript"/>
              </w:rPr>
              <w:t>b</w:t>
            </w:r>
            <w:proofErr w:type="spellEnd"/>
          </w:p>
        </w:tc>
        <w:tc>
          <w:tcPr>
            <w:tcW w:w="1366" w:type="dxa"/>
          </w:tcPr>
          <w:p w14:paraId="40A02A37" w14:textId="77777777" w:rsidR="00370F33" w:rsidRPr="00BB2095" w:rsidRDefault="00370F33" w:rsidP="00BB2095">
            <w:pPr>
              <w:pStyle w:val="TableHeader"/>
              <w:cnfStyle w:val="100000000000" w:firstRow="1" w:lastRow="0" w:firstColumn="0" w:lastColumn="0" w:oddVBand="0" w:evenVBand="0" w:oddHBand="0" w:evenHBand="0" w:firstRowFirstColumn="0" w:firstRowLastColumn="0" w:lastRowFirstColumn="0" w:lastRowLastColumn="0"/>
              <w:rPr>
                <w:b/>
                <w:bCs w:val="0"/>
              </w:rPr>
            </w:pPr>
            <w:r w:rsidRPr="00BB2095">
              <w:rPr>
                <w:b/>
                <w:bCs w:val="0"/>
              </w:rPr>
              <w:t>Intervention Arm</w:t>
            </w:r>
          </w:p>
        </w:tc>
        <w:tc>
          <w:tcPr>
            <w:tcW w:w="1134" w:type="dxa"/>
          </w:tcPr>
          <w:p w14:paraId="5B804A28" w14:textId="77777777" w:rsidR="00370F33" w:rsidRPr="00BB2095" w:rsidRDefault="00370F33" w:rsidP="00BB2095">
            <w:pPr>
              <w:pStyle w:val="TableHeader"/>
              <w:cnfStyle w:val="100000000000" w:firstRow="1" w:lastRow="0" w:firstColumn="0" w:lastColumn="0" w:oddVBand="0" w:evenVBand="0" w:oddHBand="0" w:evenHBand="0" w:firstRowFirstColumn="0" w:firstRowLastColumn="0" w:lastRowFirstColumn="0" w:lastRowLastColumn="0"/>
              <w:rPr>
                <w:b/>
                <w:bCs w:val="0"/>
              </w:rPr>
            </w:pPr>
            <w:r w:rsidRPr="00BB2095">
              <w:rPr>
                <w:b/>
                <w:bCs w:val="0"/>
              </w:rPr>
              <w:t>Control</w:t>
            </w:r>
          </w:p>
          <w:p w14:paraId="63A9D9FD" w14:textId="77777777" w:rsidR="00370F33" w:rsidRPr="00BB2095" w:rsidRDefault="00370F33" w:rsidP="00BB2095">
            <w:pPr>
              <w:pStyle w:val="TableHeader"/>
              <w:cnfStyle w:val="100000000000" w:firstRow="1" w:lastRow="0" w:firstColumn="0" w:lastColumn="0" w:oddVBand="0" w:evenVBand="0" w:oddHBand="0" w:evenHBand="0" w:firstRowFirstColumn="0" w:firstRowLastColumn="0" w:lastRowFirstColumn="0" w:lastRowLastColumn="0"/>
              <w:rPr>
                <w:b/>
                <w:bCs w:val="0"/>
              </w:rPr>
            </w:pPr>
            <w:r w:rsidRPr="00BB2095">
              <w:rPr>
                <w:b/>
                <w:bCs w:val="0"/>
              </w:rPr>
              <w:t>Arm</w:t>
            </w:r>
          </w:p>
        </w:tc>
      </w:tr>
      <w:tr w:rsidR="00370F33" w:rsidRPr="00370F33" w14:paraId="4632F0DB" w14:textId="77777777" w:rsidTr="00BB20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75" w:type="dxa"/>
            <w:noWrap/>
            <w:hideMark/>
          </w:tcPr>
          <w:p w14:paraId="14A39254" w14:textId="77777777" w:rsidR="00370F33" w:rsidRPr="00BB2095" w:rsidRDefault="00370F33" w:rsidP="00BB2095">
            <w:pPr>
              <w:pStyle w:val="Tabletext1"/>
              <w:rPr>
                <w:b w:val="0"/>
                <w:bCs w:val="0"/>
              </w:rPr>
            </w:pPr>
            <w:r w:rsidRPr="00BB2095">
              <w:rPr>
                <w:b w:val="0"/>
                <w:bCs w:val="0"/>
              </w:rPr>
              <w:t>Aged Care</w:t>
            </w:r>
          </w:p>
        </w:tc>
        <w:tc>
          <w:tcPr>
            <w:tcW w:w="830" w:type="dxa"/>
            <w:noWrap/>
            <w:hideMark/>
          </w:tcPr>
          <w:p w14:paraId="62314D05" w14:textId="77777777" w:rsidR="00370F33" w:rsidRPr="00370F33" w:rsidRDefault="00370F33" w:rsidP="00BB2095">
            <w:pPr>
              <w:pStyle w:val="Tabletext1"/>
              <w:jc w:val="right"/>
              <w:cnfStyle w:val="000000100000" w:firstRow="0" w:lastRow="0" w:firstColumn="0" w:lastColumn="0" w:oddVBand="0" w:evenVBand="0" w:oddHBand="1" w:evenHBand="0" w:firstRowFirstColumn="0" w:firstRowLastColumn="0" w:lastRowFirstColumn="0" w:lastRowLastColumn="0"/>
            </w:pPr>
            <w:r w:rsidRPr="00370F33">
              <w:t>20.09</w:t>
            </w:r>
          </w:p>
        </w:tc>
        <w:tc>
          <w:tcPr>
            <w:tcW w:w="1507" w:type="dxa"/>
            <w:noWrap/>
            <w:hideMark/>
          </w:tcPr>
          <w:p w14:paraId="1864B4FA" w14:textId="77777777" w:rsidR="00370F33" w:rsidRPr="00370F33" w:rsidRDefault="00370F33" w:rsidP="00BB2095">
            <w:pPr>
              <w:pStyle w:val="Tabletext1"/>
              <w:jc w:val="right"/>
              <w:cnfStyle w:val="000000100000" w:firstRow="0" w:lastRow="0" w:firstColumn="0" w:lastColumn="0" w:oddVBand="0" w:evenVBand="0" w:oddHBand="1" w:evenHBand="0" w:firstRowFirstColumn="0" w:firstRowLastColumn="0" w:lastRowFirstColumn="0" w:lastRowLastColumn="0"/>
            </w:pPr>
            <w:r w:rsidRPr="00370F33">
              <w:t>0.0661</w:t>
            </w:r>
          </w:p>
        </w:tc>
        <w:tc>
          <w:tcPr>
            <w:tcW w:w="1704" w:type="dxa"/>
            <w:noWrap/>
            <w:hideMark/>
          </w:tcPr>
          <w:p w14:paraId="6A7F8D78" w14:textId="382BC071" w:rsidR="00370F33" w:rsidRPr="00370F33" w:rsidRDefault="00370F33" w:rsidP="00BB2095">
            <w:pPr>
              <w:pStyle w:val="Tabletext1"/>
              <w:jc w:val="right"/>
              <w:cnfStyle w:val="000000100000" w:firstRow="0" w:lastRow="0" w:firstColumn="0" w:lastColumn="0" w:oddVBand="0" w:evenVBand="0" w:oddHBand="1" w:evenHBand="0" w:firstRowFirstColumn="0" w:firstRowLastColumn="0" w:lastRowFirstColumn="0" w:lastRowLastColumn="0"/>
            </w:pPr>
            <w:r w:rsidRPr="00370F33">
              <w:t xml:space="preserve"> </w:t>
            </w:r>
            <w:proofErr w:type="gramStart"/>
            <w:r w:rsidRPr="00370F33">
              <w:t>$  339</w:t>
            </w:r>
            <w:proofErr w:type="gramEnd"/>
            <w:r w:rsidRPr="00370F33">
              <w:t>.36</w:t>
            </w:r>
          </w:p>
        </w:tc>
        <w:tc>
          <w:tcPr>
            <w:tcW w:w="1366" w:type="dxa"/>
          </w:tcPr>
          <w:p w14:paraId="3A632CB4" w14:textId="77777777" w:rsidR="00370F33" w:rsidRPr="00370F33" w:rsidRDefault="00370F33" w:rsidP="00BB2095">
            <w:pPr>
              <w:pStyle w:val="Tabletext1"/>
              <w:jc w:val="right"/>
              <w:cnfStyle w:val="000000100000" w:firstRow="0" w:lastRow="0" w:firstColumn="0" w:lastColumn="0" w:oddVBand="0" w:evenVBand="0" w:oddHBand="1" w:evenHBand="0" w:firstRowFirstColumn="0" w:firstRowLastColumn="0" w:lastRowFirstColumn="0" w:lastRowLastColumn="0"/>
            </w:pPr>
            <w:r w:rsidRPr="00370F33">
              <w:t>6</w:t>
            </w:r>
          </w:p>
        </w:tc>
        <w:tc>
          <w:tcPr>
            <w:tcW w:w="1134" w:type="dxa"/>
          </w:tcPr>
          <w:p w14:paraId="09B6D5C1" w14:textId="77777777" w:rsidR="00370F33" w:rsidRPr="00370F33" w:rsidRDefault="00370F33" w:rsidP="00BB2095">
            <w:pPr>
              <w:pStyle w:val="Tabletext1"/>
              <w:jc w:val="right"/>
              <w:cnfStyle w:val="000000100000" w:firstRow="0" w:lastRow="0" w:firstColumn="0" w:lastColumn="0" w:oddVBand="0" w:evenVBand="0" w:oddHBand="1" w:evenHBand="0" w:firstRowFirstColumn="0" w:firstRowLastColumn="0" w:lastRowFirstColumn="0" w:lastRowLastColumn="0"/>
            </w:pPr>
            <w:r w:rsidRPr="00370F33">
              <w:t>1</w:t>
            </w:r>
          </w:p>
        </w:tc>
      </w:tr>
      <w:tr w:rsidR="00370F33" w:rsidRPr="00370F33" w14:paraId="40F1F8F1" w14:textId="77777777" w:rsidTr="00BB2095">
        <w:trPr>
          <w:trHeight w:val="300"/>
        </w:trPr>
        <w:tc>
          <w:tcPr>
            <w:cnfStyle w:val="001000000000" w:firstRow="0" w:lastRow="0" w:firstColumn="1" w:lastColumn="0" w:oddVBand="0" w:evenVBand="0" w:oddHBand="0" w:evenHBand="0" w:firstRowFirstColumn="0" w:firstRowLastColumn="0" w:lastRowFirstColumn="0" w:lastRowLastColumn="0"/>
            <w:tcW w:w="2475" w:type="dxa"/>
            <w:noWrap/>
            <w:hideMark/>
          </w:tcPr>
          <w:p w14:paraId="2B4ECDB0" w14:textId="77777777" w:rsidR="00370F33" w:rsidRPr="00BB2095" w:rsidRDefault="00370F33" w:rsidP="00BB2095">
            <w:pPr>
              <w:pStyle w:val="Tabletext1"/>
              <w:rPr>
                <w:b w:val="0"/>
                <w:bCs w:val="0"/>
              </w:rPr>
            </w:pPr>
            <w:r w:rsidRPr="00BB2095">
              <w:rPr>
                <w:b w:val="0"/>
                <w:bCs w:val="0"/>
              </w:rPr>
              <w:t>Allied Health</w:t>
            </w:r>
          </w:p>
        </w:tc>
        <w:tc>
          <w:tcPr>
            <w:tcW w:w="830" w:type="dxa"/>
            <w:noWrap/>
            <w:hideMark/>
          </w:tcPr>
          <w:p w14:paraId="0935A166" w14:textId="77777777" w:rsidR="00370F33" w:rsidRPr="00370F33" w:rsidRDefault="00370F33" w:rsidP="00BB2095">
            <w:pPr>
              <w:pStyle w:val="Tabletext1"/>
              <w:jc w:val="right"/>
              <w:cnfStyle w:val="000000000000" w:firstRow="0" w:lastRow="0" w:firstColumn="0" w:lastColumn="0" w:oddVBand="0" w:evenVBand="0" w:oddHBand="0" w:evenHBand="0" w:firstRowFirstColumn="0" w:firstRowLastColumn="0" w:lastRowFirstColumn="0" w:lastRowLastColumn="0"/>
            </w:pPr>
            <w:r w:rsidRPr="00370F33">
              <w:t>40.06</w:t>
            </w:r>
          </w:p>
        </w:tc>
        <w:tc>
          <w:tcPr>
            <w:tcW w:w="1507" w:type="dxa"/>
            <w:noWrap/>
            <w:hideMark/>
          </w:tcPr>
          <w:p w14:paraId="697D6BF7" w14:textId="77777777" w:rsidR="00370F33" w:rsidRPr="00370F33" w:rsidRDefault="00370F33" w:rsidP="00BB2095">
            <w:pPr>
              <w:pStyle w:val="Tabletext1"/>
              <w:jc w:val="right"/>
              <w:cnfStyle w:val="000000000000" w:firstRow="0" w:lastRow="0" w:firstColumn="0" w:lastColumn="0" w:oddVBand="0" w:evenVBand="0" w:oddHBand="0" w:evenHBand="0" w:firstRowFirstColumn="0" w:firstRowLastColumn="0" w:lastRowFirstColumn="0" w:lastRowLastColumn="0"/>
            </w:pPr>
            <w:r w:rsidRPr="00370F33">
              <w:t>0.0349</w:t>
            </w:r>
          </w:p>
        </w:tc>
        <w:tc>
          <w:tcPr>
            <w:tcW w:w="1704" w:type="dxa"/>
            <w:noWrap/>
            <w:hideMark/>
          </w:tcPr>
          <w:p w14:paraId="0BA3DF7D" w14:textId="01829389" w:rsidR="00370F33" w:rsidRPr="00370F33" w:rsidRDefault="00370F33" w:rsidP="00BB2095">
            <w:pPr>
              <w:pStyle w:val="Tabletext1"/>
              <w:jc w:val="right"/>
              <w:cnfStyle w:val="000000000000" w:firstRow="0" w:lastRow="0" w:firstColumn="0" w:lastColumn="0" w:oddVBand="0" w:evenVBand="0" w:oddHBand="0" w:evenHBand="0" w:firstRowFirstColumn="0" w:firstRowLastColumn="0" w:lastRowFirstColumn="0" w:lastRowLastColumn="0"/>
            </w:pPr>
            <w:r w:rsidRPr="00370F33">
              <w:t xml:space="preserve"> </w:t>
            </w:r>
            <w:proofErr w:type="gramStart"/>
            <w:r w:rsidRPr="00370F33">
              <w:t>$  179</w:t>
            </w:r>
            <w:proofErr w:type="gramEnd"/>
            <w:r w:rsidRPr="00370F33">
              <w:t>.18</w:t>
            </w:r>
          </w:p>
        </w:tc>
        <w:tc>
          <w:tcPr>
            <w:tcW w:w="1366" w:type="dxa"/>
          </w:tcPr>
          <w:p w14:paraId="28C18272" w14:textId="77777777" w:rsidR="00370F33" w:rsidRPr="00370F33" w:rsidRDefault="00370F33" w:rsidP="00BB2095">
            <w:pPr>
              <w:pStyle w:val="Tabletext1"/>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rPr>
            </w:pPr>
          </w:p>
        </w:tc>
        <w:tc>
          <w:tcPr>
            <w:tcW w:w="1134" w:type="dxa"/>
          </w:tcPr>
          <w:p w14:paraId="22B6268F" w14:textId="77777777" w:rsidR="00370F33" w:rsidRPr="00370F33" w:rsidRDefault="00370F33" w:rsidP="00BB2095">
            <w:pPr>
              <w:pStyle w:val="Tabletext1"/>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rPr>
            </w:pPr>
          </w:p>
        </w:tc>
      </w:tr>
      <w:tr w:rsidR="00370F33" w:rsidRPr="00370F33" w14:paraId="3EF23D95" w14:textId="77777777" w:rsidTr="00BB20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75" w:type="dxa"/>
            <w:noWrap/>
            <w:hideMark/>
          </w:tcPr>
          <w:p w14:paraId="1DE809D9" w14:textId="77777777" w:rsidR="00370F33" w:rsidRPr="00BB2095" w:rsidRDefault="00370F33" w:rsidP="00BB2095">
            <w:pPr>
              <w:pStyle w:val="Tabletext1"/>
              <w:rPr>
                <w:b w:val="0"/>
                <w:bCs w:val="0"/>
              </w:rPr>
            </w:pPr>
            <w:r w:rsidRPr="00BB2095">
              <w:rPr>
                <w:b w:val="0"/>
                <w:bCs w:val="0"/>
              </w:rPr>
              <w:t>Cardiac technician</w:t>
            </w:r>
          </w:p>
        </w:tc>
        <w:tc>
          <w:tcPr>
            <w:tcW w:w="830" w:type="dxa"/>
            <w:noWrap/>
            <w:hideMark/>
          </w:tcPr>
          <w:p w14:paraId="69CE8A91" w14:textId="77777777" w:rsidR="00370F33" w:rsidRPr="00370F33" w:rsidRDefault="00370F33" w:rsidP="00BB2095">
            <w:pPr>
              <w:pStyle w:val="Tabletext1"/>
              <w:jc w:val="right"/>
              <w:cnfStyle w:val="000000100000" w:firstRow="0" w:lastRow="0" w:firstColumn="0" w:lastColumn="0" w:oddVBand="0" w:evenVBand="0" w:oddHBand="1" w:evenHBand="0" w:firstRowFirstColumn="0" w:firstRowLastColumn="0" w:lastRowFirstColumn="0" w:lastRowLastColumn="0"/>
            </w:pPr>
            <w:r w:rsidRPr="00370F33">
              <w:t>40.42</w:t>
            </w:r>
          </w:p>
        </w:tc>
        <w:tc>
          <w:tcPr>
            <w:tcW w:w="1507" w:type="dxa"/>
            <w:noWrap/>
            <w:hideMark/>
          </w:tcPr>
          <w:p w14:paraId="33A6DA7B" w14:textId="77777777" w:rsidR="00370F33" w:rsidRPr="00370F33" w:rsidRDefault="00370F33" w:rsidP="00BB2095">
            <w:pPr>
              <w:pStyle w:val="Tabletext1"/>
              <w:jc w:val="right"/>
              <w:cnfStyle w:val="000000100000" w:firstRow="0" w:lastRow="0" w:firstColumn="0" w:lastColumn="0" w:oddVBand="0" w:evenVBand="0" w:oddHBand="1" w:evenHBand="0" w:firstRowFirstColumn="0" w:firstRowLastColumn="0" w:lastRowFirstColumn="0" w:lastRowLastColumn="0"/>
            </w:pPr>
            <w:r w:rsidRPr="00370F33">
              <w:t>0.0498</w:t>
            </w:r>
          </w:p>
        </w:tc>
        <w:tc>
          <w:tcPr>
            <w:tcW w:w="1704" w:type="dxa"/>
            <w:noWrap/>
            <w:hideMark/>
          </w:tcPr>
          <w:p w14:paraId="2318798D" w14:textId="09629224" w:rsidR="00370F33" w:rsidRPr="00370F33" w:rsidRDefault="00370F33" w:rsidP="00BB2095">
            <w:pPr>
              <w:pStyle w:val="Tabletext1"/>
              <w:jc w:val="right"/>
              <w:cnfStyle w:val="000000100000" w:firstRow="0" w:lastRow="0" w:firstColumn="0" w:lastColumn="0" w:oddVBand="0" w:evenVBand="0" w:oddHBand="1" w:evenHBand="0" w:firstRowFirstColumn="0" w:firstRowLastColumn="0" w:lastRowFirstColumn="0" w:lastRowLastColumn="0"/>
            </w:pPr>
            <w:r w:rsidRPr="00370F33">
              <w:t xml:space="preserve"> </w:t>
            </w:r>
            <w:proofErr w:type="gramStart"/>
            <w:r w:rsidRPr="00370F33">
              <w:t>$  255</w:t>
            </w:r>
            <w:proofErr w:type="gramEnd"/>
            <w:r w:rsidRPr="00370F33">
              <w:t>.67</w:t>
            </w:r>
          </w:p>
        </w:tc>
        <w:tc>
          <w:tcPr>
            <w:tcW w:w="1366" w:type="dxa"/>
          </w:tcPr>
          <w:p w14:paraId="7CFBDA08" w14:textId="77777777" w:rsidR="00370F33" w:rsidRPr="00370F33" w:rsidRDefault="00370F33" w:rsidP="00BB2095">
            <w:pPr>
              <w:pStyle w:val="Tabletext1"/>
              <w:jc w:val="right"/>
              <w:cnfStyle w:val="000000100000" w:firstRow="0" w:lastRow="0" w:firstColumn="0" w:lastColumn="0" w:oddVBand="0" w:evenVBand="0" w:oddHBand="1" w:evenHBand="0" w:firstRowFirstColumn="0" w:firstRowLastColumn="0" w:lastRowFirstColumn="0" w:lastRowLastColumn="0"/>
            </w:pPr>
            <w:r w:rsidRPr="00370F33">
              <w:t>1</w:t>
            </w:r>
          </w:p>
        </w:tc>
        <w:tc>
          <w:tcPr>
            <w:tcW w:w="1134" w:type="dxa"/>
          </w:tcPr>
          <w:p w14:paraId="64E84D81" w14:textId="77777777" w:rsidR="00370F33" w:rsidRPr="00370F33" w:rsidRDefault="00370F33" w:rsidP="00BB2095">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rPr>
            </w:pPr>
          </w:p>
        </w:tc>
      </w:tr>
      <w:tr w:rsidR="00370F33" w:rsidRPr="00370F33" w14:paraId="13DC604B" w14:textId="77777777" w:rsidTr="00BB2095">
        <w:trPr>
          <w:trHeight w:val="300"/>
        </w:trPr>
        <w:tc>
          <w:tcPr>
            <w:cnfStyle w:val="001000000000" w:firstRow="0" w:lastRow="0" w:firstColumn="1" w:lastColumn="0" w:oddVBand="0" w:evenVBand="0" w:oddHBand="0" w:evenHBand="0" w:firstRowFirstColumn="0" w:firstRowLastColumn="0" w:lastRowFirstColumn="0" w:lastRowLastColumn="0"/>
            <w:tcW w:w="2475" w:type="dxa"/>
            <w:noWrap/>
            <w:hideMark/>
          </w:tcPr>
          <w:p w14:paraId="6E31504C" w14:textId="77777777" w:rsidR="00370F33" w:rsidRPr="00BB2095" w:rsidRDefault="00370F33" w:rsidP="00BB2095">
            <w:pPr>
              <w:pStyle w:val="Tabletext1"/>
              <w:rPr>
                <w:b w:val="0"/>
                <w:bCs w:val="0"/>
              </w:rPr>
            </w:pPr>
            <w:r w:rsidRPr="00BB2095">
              <w:rPr>
                <w:b w:val="0"/>
                <w:bCs w:val="0"/>
              </w:rPr>
              <w:t>Cardiology</w:t>
            </w:r>
          </w:p>
        </w:tc>
        <w:tc>
          <w:tcPr>
            <w:tcW w:w="830" w:type="dxa"/>
            <w:noWrap/>
            <w:hideMark/>
          </w:tcPr>
          <w:p w14:paraId="74E26546" w14:textId="77777777" w:rsidR="00370F33" w:rsidRPr="00370F33" w:rsidRDefault="00370F33" w:rsidP="00BB2095">
            <w:pPr>
              <w:pStyle w:val="Tabletext1"/>
              <w:jc w:val="right"/>
              <w:cnfStyle w:val="000000000000" w:firstRow="0" w:lastRow="0" w:firstColumn="0" w:lastColumn="0" w:oddVBand="0" w:evenVBand="0" w:oddHBand="0" w:evenHBand="0" w:firstRowFirstColumn="0" w:firstRowLastColumn="0" w:lastRowFirstColumn="0" w:lastRowLastColumn="0"/>
            </w:pPr>
            <w:r w:rsidRPr="00370F33">
              <w:t>20.22</w:t>
            </w:r>
          </w:p>
        </w:tc>
        <w:tc>
          <w:tcPr>
            <w:tcW w:w="1507" w:type="dxa"/>
            <w:noWrap/>
            <w:hideMark/>
          </w:tcPr>
          <w:p w14:paraId="2C541D66" w14:textId="77777777" w:rsidR="00370F33" w:rsidRPr="00370F33" w:rsidRDefault="00370F33" w:rsidP="00BB2095">
            <w:pPr>
              <w:pStyle w:val="Tabletext1"/>
              <w:jc w:val="right"/>
              <w:cnfStyle w:val="000000000000" w:firstRow="0" w:lastRow="0" w:firstColumn="0" w:lastColumn="0" w:oddVBand="0" w:evenVBand="0" w:oddHBand="0" w:evenHBand="0" w:firstRowFirstColumn="0" w:firstRowLastColumn="0" w:lastRowFirstColumn="0" w:lastRowLastColumn="0"/>
            </w:pPr>
            <w:r w:rsidRPr="00370F33">
              <w:t>0.0555</w:t>
            </w:r>
          </w:p>
        </w:tc>
        <w:tc>
          <w:tcPr>
            <w:tcW w:w="1704" w:type="dxa"/>
            <w:noWrap/>
            <w:hideMark/>
          </w:tcPr>
          <w:p w14:paraId="31F8AC58" w14:textId="258D185E" w:rsidR="00370F33" w:rsidRPr="00370F33" w:rsidRDefault="00370F33" w:rsidP="00BB2095">
            <w:pPr>
              <w:pStyle w:val="Tabletext1"/>
              <w:jc w:val="right"/>
              <w:cnfStyle w:val="000000000000" w:firstRow="0" w:lastRow="0" w:firstColumn="0" w:lastColumn="0" w:oddVBand="0" w:evenVBand="0" w:oddHBand="0" w:evenHBand="0" w:firstRowFirstColumn="0" w:firstRowLastColumn="0" w:lastRowFirstColumn="0" w:lastRowLastColumn="0"/>
            </w:pPr>
            <w:r w:rsidRPr="00370F33">
              <w:t xml:space="preserve"> </w:t>
            </w:r>
            <w:proofErr w:type="gramStart"/>
            <w:r w:rsidRPr="00370F33">
              <w:t>$  284</w:t>
            </w:r>
            <w:proofErr w:type="gramEnd"/>
            <w:r w:rsidRPr="00370F33">
              <w:t>.94</w:t>
            </w:r>
          </w:p>
        </w:tc>
        <w:tc>
          <w:tcPr>
            <w:tcW w:w="1366" w:type="dxa"/>
          </w:tcPr>
          <w:p w14:paraId="2BF88117" w14:textId="77777777" w:rsidR="00370F33" w:rsidRPr="00370F33" w:rsidRDefault="00370F33" w:rsidP="00BB2095">
            <w:pPr>
              <w:pStyle w:val="Tabletext1"/>
              <w:jc w:val="right"/>
              <w:cnfStyle w:val="000000000000" w:firstRow="0" w:lastRow="0" w:firstColumn="0" w:lastColumn="0" w:oddVBand="0" w:evenVBand="0" w:oddHBand="0" w:evenHBand="0" w:firstRowFirstColumn="0" w:firstRowLastColumn="0" w:lastRowFirstColumn="0" w:lastRowLastColumn="0"/>
            </w:pPr>
            <w:r w:rsidRPr="00370F33">
              <w:t>1</w:t>
            </w:r>
          </w:p>
        </w:tc>
        <w:tc>
          <w:tcPr>
            <w:tcW w:w="1134" w:type="dxa"/>
          </w:tcPr>
          <w:p w14:paraId="777D1004" w14:textId="77777777" w:rsidR="00370F33" w:rsidRPr="00370F33" w:rsidRDefault="00370F33" w:rsidP="00BB2095">
            <w:pPr>
              <w:pStyle w:val="Tabletext1"/>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rPr>
            </w:pPr>
          </w:p>
        </w:tc>
      </w:tr>
      <w:tr w:rsidR="00370F33" w:rsidRPr="00370F33" w14:paraId="0E6E1150" w14:textId="77777777" w:rsidTr="00BB20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75" w:type="dxa"/>
            <w:noWrap/>
            <w:hideMark/>
          </w:tcPr>
          <w:p w14:paraId="0866D406" w14:textId="77777777" w:rsidR="00370F33" w:rsidRPr="00BB2095" w:rsidRDefault="00370F33" w:rsidP="00BB2095">
            <w:pPr>
              <w:pStyle w:val="Tabletext1"/>
              <w:rPr>
                <w:b w:val="0"/>
                <w:bCs w:val="0"/>
              </w:rPr>
            </w:pPr>
            <w:r w:rsidRPr="00BB2095">
              <w:rPr>
                <w:b w:val="0"/>
                <w:bCs w:val="0"/>
              </w:rPr>
              <w:t>Dietician</w:t>
            </w:r>
          </w:p>
        </w:tc>
        <w:tc>
          <w:tcPr>
            <w:tcW w:w="830" w:type="dxa"/>
            <w:noWrap/>
            <w:hideMark/>
          </w:tcPr>
          <w:p w14:paraId="6BE09530" w14:textId="77777777" w:rsidR="00370F33" w:rsidRPr="00370F33" w:rsidRDefault="00370F33" w:rsidP="00BB2095">
            <w:pPr>
              <w:pStyle w:val="Tabletext1"/>
              <w:jc w:val="right"/>
              <w:cnfStyle w:val="000000100000" w:firstRow="0" w:lastRow="0" w:firstColumn="0" w:lastColumn="0" w:oddVBand="0" w:evenVBand="0" w:oddHBand="1" w:evenHBand="0" w:firstRowFirstColumn="0" w:firstRowLastColumn="0" w:lastRowFirstColumn="0" w:lastRowLastColumn="0"/>
            </w:pPr>
            <w:r w:rsidRPr="00370F33">
              <w:t>40.23</w:t>
            </w:r>
          </w:p>
        </w:tc>
        <w:tc>
          <w:tcPr>
            <w:tcW w:w="1507" w:type="dxa"/>
            <w:noWrap/>
            <w:hideMark/>
          </w:tcPr>
          <w:p w14:paraId="21C83652" w14:textId="77777777" w:rsidR="00370F33" w:rsidRPr="00370F33" w:rsidRDefault="00370F33" w:rsidP="00BB2095">
            <w:pPr>
              <w:pStyle w:val="Tabletext1"/>
              <w:jc w:val="right"/>
              <w:cnfStyle w:val="000000100000" w:firstRow="0" w:lastRow="0" w:firstColumn="0" w:lastColumn="0" w:oddVBand="0" w:evenVBand="0" w:oddHBand="1" w:evenHBand="0" w:firstRowFirstColumn="0" w:firstRowLastColumn="0" w:lastRowFirstColumn="0" w:lastRowLastColumn="0"/>
            </w:pPr>
            <w:r w:rsidRPr="00370F33">
              <w:t>0.0336</w:t>
            </w:r>
          </w:p>
        </w:tc>
        <w:tc>
          <w:tcPr>
            <w:tcW w:w="1704" w:type="dxa"/>
            <w:noWrap/>
            <w:hideMark/>
          </w:tcPr>
          <w:p w14:paraId="18D8A036" w14:textId="30EC9059" w:rsidR="00370F33" w:rsidRPr="00370F33" w:rsidRDefault="00370F33" w:rsidP="00BB2095">
            <w:pPr>
              <w:pStyle w:val="Tabletext1"/>
              <w:jc w:val="right"/>
              <w:cnfStyle w:val="000000100000" w:firstRow="0" w:lastRow="0" w:firstColumn="0" w:lastColumn="0" w:oddVBand="0" w:evenVBand="0" w:oddHBand="1" w:evenHBand="0" w:firstRowFirstColumn="0" w:firstRowLastColumn="0" w:lastRowFirstColumn="0" w:lastRowLastColumn="0"/>
            </w:pPr>
            <w:r w:rsidRPr="00370F33">
              <w:t xml:space="preserve"> </w:t>
            </w:r>
            <w:proofErr w:type="gramStart"/>
            <w:r w:rsidRPr="00370F33">
              <w:t>$  172</w:t>
            </w:r>
            <w:proofErr w:type="gramEnd"/>
            <w:r w:rsidRPr="00370F33">
              <w:t>.50</w:t>
            </w:r>
          </w:p>
        </w:tc>
        <w:tc>
          <w:tcPr>
            <w:tcW w:w="1366" w:type="dxa"/>
          </w:tcPr>
          <w:p w14:paraId="498708D7" w14:textId="77777777" w:rsidR="00370F33" w:rsidRPr="00370F33" w:rsidRDefault="00370F33" w:rsidP="00BB2095">
            <w:pPr>
              <w:pStyle w:val="Tabletext1"/>
              <w:jc w:val="right"/>
              <w:cnfStyle w:val="000000100000" w:firstRow="0" w:lastRow="0" w:firstColumn="0" w:lastColumn="0" w:oddVBand="0" w:evenVBand="0" w:oddHBand="1" w:evenHBand="0" w:firstRowFirstColumn="0" w:firstRowLastColumn="0" w:lastRowFirstColumn="0" w:lastRowLastColumn="0"/>
            </w:pPr>
            <w:r w:rsidRPr="00370F33">
              <w:t>6</w:t>
            </w:r>
          </w:p>
        </w:tc>
        <w:tc>
          <w:tcPr>
            <w:tcW w:w="1134" w:type="dxa"/>
          </w:tcPr>
          <w:p w14:paraId="5C6AF60C" w14:textId="77777777" w:rsidR="00370F33" w:rsidRPr="00370F33" w:rsidRDefault="00370F33" w:rsidP="00BB2095">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rPr>
            </w:pPr>
          </w:p>
        </w:tc>
      </w:tr>
      <w:tr w:rsidR="00370F33" w:rsidRPr="00370F33" w14:paraId="10797823" w14:textId="77777777" w:rsidTr="00BB2095">
        <w:trPr>
          <w:trHeight w:val="300"/>
        </w:trPr>
        <w:tc>
          <w:tcPr>
            <w:cnfStyle w:val="001000000000" w:firstRow="0" w:lastRow="0" w:firstColumn="1" w:lastColumn="0" w:oddVBand="0" w:evenVBand="0" w:oddHBand="0" w:evenHBand="0" w:firstRowFirstColumn="0" w:firstRowLastColumn="0" w:lastRowFirstColumn="0" w:lastRowLastColumn="0"/>
            <w:tcW w:w="2475" w:type="dxa"/>
            <w:noWrap/>
            <w:hideMark/>
          </w:tcPr>
          <w:p w14:paraId="2F9AF392" w14:textId="77777777" w:rsidR="00370F33" w:rsidRPr="00BB2095" w:rsidRDefault="00370F33" w:rsidP="00BB2095">
            <w:pPr>
              <w:pStyle w:val="Tabletext1"/>
              <w:rPr>
                <w:b w:val="0"/>
                <w:bCs w:val="0"/>
              </w:rPr>
            </w:pPr>
            <w:r w:rsidRPr="00BB2095">
              <w:rPr>
                <w:b w:val="0"/>
                <w:bCs w:val="0"/>
              </w:rPr>
              <w:t>General Surgery</w:t>
            </w:r>
          </w:p>
        </w:tc>
        <w:tc>
          <w:tcPr>
            <w:tcW w:w="830" w:type="dxa"/>
            <w:noWrap/>
            <w:hideMark/>
          </w:tcPr>
          <w:p w14:paraId="667EE2C8" w14:textId="77777777" w:rsidR="00370F33" w:rsidRPr="00370F33" w:rsidRDefault="00370F33" w:rsidP="00BB2095">
            <w:pPr>
              <w:pStyle w:val="Tabletext1"/>
              <w:jc w:val="right"/>
              <w:cnfStyle w:val="000000000000" w:firstRow="0" w:lastRow="0" w:firstColumn="0" w:lastColumn="0" w:oddVBand="0" w:evenVBand="0" w:oddHBand="0" w:evenHBand="0" w:firstRowFirstColumn="0" w:firstRowLastColumn="0" w:lastRowFirstColumn="0" w:lastRowLastColumn="0"/>
            </w:pPr>
            <w:r w:rsidRPr="00370F33">
              <w:t>20.07</w:t>
            </w:r>
          </w:p>
        </w:tc>
        <w:tc>
          <w:tcPr>
            <w:tcW w:w="1507" w:type="dxa"/>
            <w:noWrap/>
            <w:hideMark/>
          </w:tcPr>
          <w:p w14:paraId="2CCEFC15" w14:textId="77777777" w:rsidR="00370F33" w:rsidRPr="00370F33" w:rsidRDefault="00370F33" w:rsidP="00BB2095">
            <w:pPr>
              <w:pStyle w:val="Tabletext1"/>
              <w:jc w:val="right"/>
              <w:cnfStyle w:val="000000000000" w:firstRow="0" w:lastRow="0" w:firstColumn="0" w:lastColumn="0" w:oddVBand="0" w:evenVBand="0" w:oddHBand="0" w:evenHBand="0" w:firstRowFirstColumn="0" w:firstRowLastColumn="0" w:lastRowFirstColumn="0" w:lastRowLastColumn="0"/>
            </w:pPr>
            <w:r w:rsidRPr="00370F33">
              <w:t>0.0482</w:t>
            </w:r>
          </w:p>
        </w:tc>
        <w:tc>
          <w:tcPr>
            <w:tcW w:w="1704" w:type="dxa"/>
            <w:noWrap/>
            <w:hideMark/>
          </w:tcPr>
          <w:p w14:paraId="1BA97AE9" w14:textId="7E6A7F61" w:rsidR="00370F33" w:rsidRPr="00370F33" w:rsidRDefault="00370F33" w:rsidP="00BB2095">
            <w:pPr>
              <w:pStyle w:val="Tabletext1"/>
              <w:jc w:val="right"/>
              <w:cnfStyle w:val="000000000000" w:firstRow="0" w:lastRow="0" w:firstColumn="0" w:lastColumn="0" w:oddVBand="0" w:evenVBand="0" w:oddHBand="0" w:evenHBand="0" w:firstRowFirstColumn="0" w:firstRowLastColumn="0" w:lastRowFirstColumn="0" w:lastRowLastColumn="0"/>
            </w:pPr>
            <w:r w:rsidRPr="00370F33">
              <w:t xml:space="preserve"> </w:t>
            </w:r>
            <w:proofErr w:type="gramStart"/>
            <w:r w:rsidRPr="00370F33">
              <w:t>$  247</w:t>
            </w:r>
            <w:proofErr w:type="gramEnd"/>
            <w:r w:rsidRPr="00370F33">
              <w:t>.46</w:t>
            </w:r>
          </w:p>
        </w:tc>
        <w:tc>
          <w:tcPr>
            <w:tcW w:w="1366" w:type="dxa"/>
          </w:tcPr>
          <w:p w14:paraId="4FDD08D9" w14:textId="77777777" w:rsidR="00370F33" w:rsidRPr="00370F33" w:rsidRDefault="00370F33" w:rsidP="00BB2095">
            <w:pPr>
              <w:pStyle w:val="Tabletext1"/>
              <w:jc w:val="right"/>
              <w:cnfStyle w:val="000000000000" w:firstRow="0" w:lastRow="0" w:firstColumn="0" w:lastColumn="0" w:oddVBand="0" w:evenVBand="0" w:oddHBand="0" w:evenHBand="0" w:firstRowFirstColumn="0" w:firstRowLastColumn="0" w:lastRowFirstColumn="0" w:lastRowLastColumn="0"/>
            </w:pPr>
            <w:r w:rsidRPr="00370F33">
              <w:t>6</w:t>
            </w:r>
          </w:p>
        </w:tc>
        <w:tc>
          <w:tcPr>
            <w:tcW w:w="1134" w:type="dxa"/>
          </w:tcPr>
          <w:p w14:paraId="6DA93C41" w14:textId="77777777" w:rsidR="00370F33" w:rsidRPr="00370F33" w:rsidRDefault="00370F33" w:rsidP="00BB2095">
            <w:pPr>
              <w:pStyle w:val="Tabletext1"/>
              <w:jc w:val="right"/>
              <w:cnfStyle w:val="000000000000" w:firstRow="0" w:lastRow="0" w:firstColumn="0" w:lastColumn="0" w:oddVBand="0" w:evenVBand="0" w:oddHBand="0" w:evenHBand="0" w:firstRowFirstColumn="0" w:firstRowLastColumn="0" w:lastRowFirstColumn="0" w:lastRowLastColumn="0"/>
            </w:pPr>
            <w:r w:rsidRPr="00370F33">
              <w:t>1</w:t>
            </w:r>
          </w:p>
        </w:tc>
      </w:tr>
      <w:tr w:rsidR="00370F33" w:rsidRPr="00370F33" w14:paraId="5F9150DA" w14:textId="77777777" w:rsidTr="00BB20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75" w:type="dxa"/>
            <w:noWrap/>
            <w:hideMark/>
          </w:tcPr>
          <w:p w14:paraId="1F028732" w14:textId="77777777" w:rsidR="00370F33" w:rsidRPr="00BB2095" w:rsidRDefault="00370F33" w:rsidP="00BB2095">
            <w:pPr>
              <w:pStyle w:val="Tabletext1"/>
              <w:rPr>
                <w:b w:val="0"/>
                <w:bCs w:val="0"/>
              </w:rPr>
            </w:pPr>
            <w:r w:rsidRPr="00BB2095">
              <w:rPr>
                <w:b w:val="0"/>
                <w:bCs w:val="0"/>
              </w:rPr>
              <w:t>Gynaecology</w:t>
            </w:r>
          </w:p>
        </w:tc>
        <w:tc>
          <w:tcPr>
            <w:tcW w:w="830" w:type="dxa"/>
            <w:noWrap/>
            <w:hideMark/>
          </w:tcPr>
          <w:p w14:paraId="3F0950A5" w14:textId="77777777" w:rsidR="00370F33" w:rsidRPr="00370F33" w:rsidRDefault="00370F33" w:rsidP="00BB2095">
            <w:pPr>
              <w:pStyle w:val="Tabletext1"/>
              <w:jc w:val="right"/>
              <w:cnfStyle w:val="000000100000" w:firstRow="0" w:lastRow="0" w:firstColumn="0" w:lastColumn="0" w:oddVBand="0" w:evenVBand="0" w:oddHBand="1" w:evenHBand="0" w:firstRowFirstColumn="0" w:firstRowLastColumn="0" w:lastRowFirstColumn="0" w:lastRowLastColumn="0"/>
            </w:pPr>
            <w:r w:rsidRPr="00370F33">
              <w:t>20.38</w:t>
            </w:r>
          </w:p>
        </w:tc>
        <w:tc>
          <w:tcPr>
            <w:tcW w:w="1507" w:type="dxa"/>
            <w:noWrap/>
            <w:hideMark/>
          </w:tcPr>
          <w:p w14:paraId="6367AEB8" w14:textId="77777777" w:rsidR="00370F33" w:rsidRPr="00370F33" w:rsidRDefault="00370F33" w:rsidP="00BB2095">
            <w:pPr>
              <w:pStyle w:val="Tabletext1"/>
              <w:jc w:val="right"/>
              <w:cnfStyle w:val="000000100000" w:firstRow="0" w:lastRow="0" w:firstColumn="0" w:lastColumn="0" w:oddVBand="0" w:evenVBand="0" w:oddHBand="1" w:evenHBand="0" w:firstRowFirstColumn="0" w:firstRowLastColumn="0" w:lastRowFirstColumn="0" w:lastRowLastColumn="0"/>
            </w:pPr>
            <w:r w:rsidRPr="00370F33">
              <w:t>0.0534</w:t>
            </w:r>
          </w:p>
        </w:tc>
        <w:tc>
          <w:tcPr>
            <w:tcW w:w="1704" w:type="dxa"/>
            <w:noWrap/>
            <w:hideMark/>
          </w:tcPr>
          <w:p w14:paraId="1BA6AE73" w14:textId="56A5BB03" w:rsidR="00370F33" w:rsidRPr="00370F33" w:rsidRDefault="00370F33" w:rsidP="00BB2095">
            <w:pPr>
              <w:pStyle w:val="Tabletext1"/>
              <w:jc w:val="right"/>
              <w:cnfStyle w:val="000000100000" w:firstRow="0" w:lastRow="0" w:firstColumn="0" w:lastColumn="0" w:oddVBand="0" w:evenVBand="0" w:oddHBand="1" w:evenHBand="0" w:firstRowFirstColumn="0" w:firstRowLastColumn="0" w:lastRowFirstColumn="0" w:lastRowLastColumn="0"/>
            </w:pPr>
            <w:r w:rsidRPr="00370F33">
              <w:t xml:space="preserve"> </w:t>
            </w:r>
            <w:proofErr w:type="gramStart"/>
            <w:r w:rsidRPr="00370F33">
              <w:t>$  274</w:t>
            </w:r>
            <w:proofErr w:type="gramEnd"/>
            <w:r w:rsidRPr="00370F33">
              <w:t>.16</w:t>
            </w:r>
          </w:p>
        </w:tc>
        <w:tc>
          <w:tcPr>
            <w:tcW w:w="1366" w:type="dxa"/>
          </w:tcPr>
          <w:p w14:paraId="647F30F1" w14:textId="77777777" w:rsidR="00370F33" w:rsidRPr="00370F33" w:rsidRDefault="00370F33" w:rsidP="00BB2095">
            <w:pPr>
              <w:pStyle w:val="Tabletext1"/>
              <w:jc w:val="right"/>
              <w:cnfStyle w:val="000000100000" w:firstRow="0" w:lastRow="0" w:firstColumn="0" w:lastColumn="0" w:oddVBand="0" w:evenVBand="0" w:oddHBand="1" w:evenHBand="0" w:firstRowFirstColumn="0" w:firstRowLastColumn="0" w:lastRowFirstColumn="0" w:lastRowLastColumn="0"/>
            </w:pPr>
            <w:r w:rsidRPr="00370F33">
              <w:t>1</w:t>
            </w:r>
          </w:p>
        </w:tc>
        <w:tc>
          <w:tcPr>
            <w:tcW w:w="1134" w:type="dxa"/>
          </w:tcPr>
          <w:p w14:paraId="7E856C1B" w14:textId="77777777" w:rsidR="00370F33" w:rsidRPr="00370F33" w:rsidRDefault="00370F33" w:rsidP="00BB2095">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rPr>
            </w:pPr>
          </w:p>
        </w:tc>
      </w:tr>
      <w:tr w:rsidR="00370F33" w:rsidRPr="00370F33" w14:paraId="16E5579B" w14:textId="77777777" w:rsidTr="00BB2095">
        <w:trPr>
          <w:trHeight w:val="300"/>
        </w:trPr>
        <w:tc>
          <w:tcPr>
            <w:cnfStyle w:val="001000000000" w:firstRow="0" w:lastRow="0" w:firstColumn="1" w:lastColumn="0" w:oddVBand="0" w:evenVBand="0" w:oddHBand="0" w:evenHBand="0" w:firstRowFirstColumn="0" w:firstRowLastColumn="0" w:lastRowFirstColumn="0" w:lastRowLastColumn="0"/>
            <w:tcW w:w="2475" w:type="dxa"/>
            <w:noWrap/>
            <w:hideMark/>
          </w:tcPr>
          <w:p w14:paraId="64D79D93" w14:textId="7528A062" w:rsidR="00370F33" w:rsidRPr="00BB2095" w:rsidRDefault="00370F33" w:rsidP="00BB2095">
            <w:pPr>
              <w:pStyle w:val="Tabletext1"/>
              <w:rPr>
                <w:b w:val="0"/>
                <w:bCs w:val="0"/>
              </w:rPr>
            </w:pPr>
            <w:r w:rsidRPr="00BB2095">
              <w:rPr>
                <w:b w:val="0"/>
                <w:bCs w:val="0"/>
              </w:rPr>
              <w:t xml:space="preserve">Ophthalmology </w:t>
            </w:r>
            <w:r w:rsidR="00F478C5">
              <w:rPr>
                <w:b w:val="0"/>
                <w:bCs w:val="0"/>
              </w:rPr>
              <w:t>–</w:t>
            </w:r>
            <w:r w:rsidRPr="00BB2095">
              <w:rPr>
                <w:b w:val="0"/>
                <w:bCs w:val="0"/>
              </w:rPr>
              <w:t xml:space="preserve"> Allied health</w:t>
            </w:r>
          </w:p>
        </w:tc>
        <w:tc>
          <w:tcPr>
            <w:tcW w:w="830" w:type="dxa"/>
            <w:noWrap/>
            <w:hideMark/>
          </w:tcPr>
          <w:p w14:paraId="3EC4FD33" w14:textId="77777777" w:rsidR="00370F33" w:rsidRPr="00370F33" w:rsidRDefault="00370F33" w:rsidP="00BB2095">
            <w:pPr>
              <w:pStyle w:val="Tabletext1"/>
              <w:jc w:val="right"/>
              <w:cnfStyle w:val="000000000000" w:firstRow="0" w:lastRow="0" w:firstColumn="0" w:lastColumn="0" w:oddVBand="0" w:evenVBand="0" w:oddHBand="0" w:evenHBand="0" w:firstRowFirstColumn="0" w:firstRowLastColumn="0" w:lastRowFirstColumn="0" w:lastRowLastColumn="0"/>
            </w:pPr>
            <w:r w:rsidRPr="00370F33">
              <w:t>40.15</w:t>
            </w:r>
          </w:p>
        </w:tc>
        <w:tc>
          <w:tcPr>
            <w:tcW w:w="1507" w:type="dxa"/>
            <w:noWrap/>
            <w:hideMark/>
          </w:tcPr>
          <w:p w14:paraId="26325D7A" w14:textId="77777777" w:rsidR="00370F33" w:rsidRPr="00370F33" w:rsidRDefault="00370F33" w:rsidP="00BB2095">
            <w:pPr>
              <w:pStyle w:val="Tabletext1"/>
              <w:jc w:val="right"/>
              <w:cnfStyle w:val="000000000000" w:firstRow="0" w:lastRow="0" w:firstColumn="0" w:lastColumn="0" w:oddVBand="0" w:evenVBand="0" w:oddHBand="0" w:evenHBand="0" w:firstRowFirstColumn="0" w:firstRowLastColumn="0" w:lastRowFirstColumn="0" w:lastRowLastColumn="0"/>
            </w:pPr>
            <w:r w:rsidRPr="00370F33">
              <w:t>0.0079</w:t>
            </w:r>
          </w:p>
        </w:tc>
        <w:tc>
          <w:tcPr>
            <w:tcW w:w="1704" w:type="dxa"/>
            <w:noWrap/>
            <w:hideMark/>
          </w:tcPr>
          <w:p w14:paraId="7538E3E3" w14:textId="2F04539C" w:rsidR="00370F33" w:rsidRPr="00370F33" w:rsidRDefault="00370F33" w:rsidP="00BB2095">
            <w:pPr>
              <w:pStyle w:val="Tabletext1"/>
              <w:jc w:val="right"/>
              <w:cnfStyle w:val="000000000000" w:firstRow="0" w:lastRow="0" w:firstColumn="0" w:lastColumn="0" w:oddVBand="0" w:evenVBand="0" w:oddHBand="0" w:evenHBand="0" w:firstRowFirstColumn="0" w:firstRowLastColumn="0" w:lastRowFirstColumn="0" w:lastRowLastColumn="0"/>
            </w:pPr>
            <w:r w:rsidRPr="00370F33">
              <w:t xml:space="preserve"> $    40.56</w:t>
            </w:r>
          </w:p>
        </w:tc>
        <w:tc>
          <w:tcPr>
            <w:tcW w:w="1366" w:type="dxa"/>
          </w:tcPr>
          <w:p w14:paraId="228B821D" w14:textId="77777777" w:rsidR="00370F33" w:rsidRPr="00370F33" w:rsidRDefault="00370F33" w:rsidP="00BB2095">
            <w:pPr>
              <w:pStyle w:val="Tabletext1"/>
              <w:jc w:val="right"/>
              <w:cnfStyle w:val="000000000000" w:firstRow="0" w:lastRow="0" w:firstColumn="0" w:lastColumn="0" w:oddVBand="0" w:evenVBand="0" w:oddHBand="0" w:evenHBand="0" w:firstRowFirstColumn="0" w:firstRowLastColumn="0" w:lastRowFirstColumn="0" w:lastRowLastColumn="0"/>
            </w:pPr>
            <w:r w:rsidRPr="00370F33">
              <w:t>2</w:t>
            </w:r>
          </w:p>
        </w:tc>
        <w:tc>
          <w:tcPr>
            <w:tcW w:w="1134" w:type="dxa"/>
          </w:tcPr>
          <w:p w14:paraId="5D0B55BF" w14:textId="77777777" w:rsidR="00370F33" w:rsidRPr="00370F33" w:rsidRDefault="00370F33" w:rsidP="00BB2095">
            <w:pPr>
              <w:pStyle w:val="Tabletext1"/>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rPr>
            </w:pPr>
          </w:p>
        </w:tc>
      </w:tr>
      <w:tr w:rsidR="00370F33" w:rsidRPr="00370F33" w14:paraId="71268107" w14:textId="77777777" w:rsidTr="00BB20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75" w:type="dxa"/>
            <w:noWrap/>
            <w:hideMark/>
          </w:tcPr>
          <w:p w14:paraId="775E9944" w14:textId="77777777" w:rsidR="00370F33" w:rsidRPr="00BB2095" w:rsidRDefault="00370F33" w:rsidP="00BB2095">
            <w:pPr>
              <w:pStyle w:val="Tabletext1"/>
              <w:rPr>
                <w:b w:val="0"/>
                <w:bCs w:val="0"/>
              </w:rPr>
            </w:pPr>
            <w:r w:rsidRPr="00BB2095">
              <w:rPr>
                <w:b w:val="0"/>
                <w:bCs w:val="0"/>
              </w:rPr>
              <w:t>Ophthalmology/eye procedure</w:t>
            </w:r>
          </w:p>
        </w:tc>
        <w:tc>
          <w:tcPr>
            <w:tcW w:w="830" w:type="dxa"/>
            <w:noWrap/>
            <w:hideMark/>
          </w:tcPr>
          <w:p w14:paraId="032ABC3E" w14:textId="77777777" w:rsidR="00370F33" w:rsidRPr="00370F33" w:rsidRDefault="00370F33" w:rsidP="00BB2095">
            <w:pPr>
              <w:pStyle w:val="Tabletext1"/>
              <w:jc w:val="right"/>
              <w:cnfStyle w:val="000000100000" w:firstRow="0" w:lastRow="0" w:firstColumn="0" w:lastColumn="0" w:oddVBand="0" w:evenVBand="0" w:oddHBand="1" w:evenHBand="0" w:firstRowFirstColumn="0" w:firstRowLastColumn="0" w:lastRowFirstColumn="0" w:lastRowLastColumn="0"/>
            </w:pPr>
            <w:r w:rsidRPr="00370F33">
              <w:t>20.17</w:t>
            </w:r>
          </w:p>
        </w:tc>
        <w:tc>
          <w:tcPr>
            <w:tcW w:w="1507" w:type="dxa"/>
            <w:noWrap/>
            <w:hideMark/>
          </w:tcPr>
          <w:p w14:paraId="198457CA" w14:textId="77777777" w:rsidR="00370F33" w:rsidRPr="00370F33" w:rsidRDefault="00370F33" w:rsidP="00BB2095">
            <w:pPr>
              <w:pStyle w:val="Tabletext1"/>
              <w:jc w:val="right"/>
              <w:cnfStyle w:val="000000100000" w:firstRow="0" w:lastRow="0" w:firstColumn="0" w:lastColumn="0" w:oddVBand="0" w:evenVBand="0" w:oddHBand="1" w:evenHBand="0" w:firstRowFirstColumn="0" w:firstRowLastColumn="0" w:lastRowFirstColumn="0" w:lastRowLastColumn="0"/>
            </w:pPr>
            <w:r w:rsidRPr="00370F33">
              <w:t>0.0387</w:t>
            </w:r>
          </w:p>
        </w:tc>
        <w:tc>
          <w:tcPr>
            <w:tcW w:w="1704" w:type="dxa"/>
            <w:noWrap/>
            <w:hideMark/>
          </w:tcPr>
          <w:p w14:paraId="05289BE2" w14:textId="54084244" w:rsidR="00370F33" w:rsidRPr="00370F33" w:rsidRDefault="00370F33" w:rsidP="00BB2095">
            <w:pPr>
              <w:pStyle w:val="Tabletext1"/>
              <w:jc w:val="right"/>
              <w:cnfStyle w:val="000000100000" w:firstRow="0" w:lastRow="0" w:firstColumn="0" w:lastColumn="0" w:oddVBand="0" w:evenVBand="0" w:oddHBand="1" w:evenHBand="0" w:firstRowFirstColumn="0" w:firstRowLastColumn="0" w:lastRowFirstColumn="0" w:lastRowLastColumn="0"/>
            </w:pPr>
            <w:r w:rsidRPr="00370F33">
              <w:t xml:space="preserve"> </w:t>
            </w:r>
            <w:proofErr w:type="gramStart"/>
            <w:r w:rsidRPr="00370F33">
              <w:t>$  198</w:t>
            </w:r>
            <w:proofErr w:type="gramEnd"/>
            <w:r w:rsidRPr="00370F33">
              <w:t>.69</w:t>
            </w:r>
          </w:p>
        </w:tc>
        <w:tc>
          <w:tcPr>
            <w:tcW w:w="1366" w:type="dxa"/>
          </w:tcPr>
          <w:p w14:paraId="01F0D9C3" w14:textId="77777777" w:rsidR="00370F33" w:rsidRPr="00370F33" w:rsidRDefault="00370F33" w:rsidP="00BB2095">
            <w:pPr>
              <w:pStyle w:val="Tabletext1"/>
              <w:jc w:val="right"/>
              <w:cnfStyle w:val="000000100000" w:firstRow="0" w:lastRow="0" w:firstColumn="0" w:lastColumn="0" w:oddVBand="0" w:evenVBand="0" w:oddHBand="1" w:evenHBand="0" w:firstRowFirstColumn="0" w:firstRowLastColumn="0" w:lastRowFirstColumn="0" w:lastRowLastColumn="0"/>
            </w:pPr>
            <w:r w:rsidRPr="00370F33">
              <w:t>10</w:t>
            </w:r>
          </w:p>
        </w:tc>
        <w:tc>
          <w:tcPr>
            <w:tcW w:w="1134" w:type="dxa"/>
          </w:tcPr>
          <w:p w14:paraId="0FDECB36" w14:textId="77777777" w:rsidR="00370F33" w:rsidRPr="00370F33" w:rsidRDefault="00370F33" w:rsidP="00BB2095">
            <w:pPr>
              <w:pStyle w:val="Tabletext1"/>
              <w:jc w:val="right"/>
              <w:cnfStyle w:val="000000100000" w:firstRow="0" w:lastRow="0" w:firstColumn="0" w:lastColumn="0" w:oddVBand="0" w:evenVBand="0" w:oddHBand="1" w:evenHBand="0" w:firstRowFirstColumn="0" w:firstRowLastColumn="0" w:lastRowFirstColumn="0" w:lastRowLastColumn="0"/>
            </w:pPr>
            <w:r w:rsidRPr="00370F33">
              <w:t>5</w:t>
            </w:r>
          </w:p>
        </w:tc>
      </w:tr>
      <w:tr w:rsidR="00370F33" w:rsidRPr="00370F33" w14:paraId="10D17478" w14:textId="77777777" w:rsidTr="00BB2095">
        <w:trPr>
          <w:trHeight w:val="300"/>
        </w:trPr>
        <w:tc>
          <w:tcPr>
            <w:cnfStyle w:val="001000000000" w:firstRow="0" w:lastRow="0" w:firstColumn="1" w:lastColumn="0" w:oddVBand="0" w:evenVBand="0" w:oddHBand="0" w:evenHBand="0" w:firstRowFirstColumn="0" w:firstRowLastColumn="0" w:lastRowFirstColumn="0" w:lastRowLastColumn="0"/>
            <w:tcW w:w="2475" w:type="dxa"/>
            <w:noWrap/>
            <w:hideMark/>
          </w:tcPr>
          <w:p w14:paraId="6D30D30A" w14:textId="77777777" w:rsidR="00370F33" w:rsidRPr="00BB2095" w:rsidRDefault="00370F33" w:rsidP="00BB2095">
            <w:pPr>
              <w:pStyle w:val="Tabletext1"/>
              <w:rPr>
                <w:b w:val="0"/>
                <w:bCs w:val="0"/>
              </w:rPr>
            </w:pPr>
            <w:r w:rsidRPr="00BB2095">
              <w:rPr>
                <w:b w:val="0"/>
                <w:bCs w:val="0"/>
              </w:rPr>
              <w:t>Oral &amp; Maxillofacial</w:t>
            </w:r>
          </w:p>
        </w:tc>
        <w:tc>
          <w:tcPr>
            <w:tcW w:w="830" w:type="dxa"/>
            <w:noWrap/>
            <w:hideMark/>
          </w:tcPr>
          <w:p w14:paraId="051D1D40" w14:textId="77777777" w:rsidR="00370F33" w:rsidRPr="00370F33" w:rsidRDefault="00370F33" w:rsidP="00BB2095">
            <w:pPr>
              <w:pStyle w:val="Tabletext1"/>
              <w:jc w:val="right"/>
              <w:cnfStyle w:val="000000000000" w:firstRow="0" w:lastRow="0" w:firstColumn="0" w:lastColumn="0" w:oddVBand="0" w:evenVBand="0" w:oddHBand="0" w:evenHBand="0" w:firstRowFirstColumn="0" w:firstRowLastColumn="0" w:lastRowFirstColumn="0" w:lastRowLastColumn="0"/>
            </w:pPr>
            <w:r w:rsidRPr="00370F33">
              <w:t>20.27</w:t>
            </w:r>
          </w:p>
        </w:tc>
        <w:tc>
          <w:tcPr>
            <w:tcW w:w="1507" w:type="dxa"/>
            <w:noWrap/>
            <w:hideMark/>
          </w:tcPr>
          <w:p w14:paraId="48F7C20B" w14:textId="77777777" w:rsidR="00370F33" w:rsidRPr="00370F33" w:rsidRDefault="00370F33" w:rsidP="00BB2095">
            <w:pPr>
              <w:pStyle w:val="Tabletext1"/>
              <w:jc w:val="right"/>
              <w:cnfStyle w:val="000000000000" w:firstRow="0" w:lastRow="0" w:firstColumn="0" w:lastColumn="0" w:oddVBand="0" w:evenVBand="0" w:oddHBand="0" w:evenHBand="0" w:firstRowFirstColumn="0" w:firstRowLastColumn="0" w:lastRowFirstColumn="0" w:lastRowLastColumn="0"/>
            </w:pPr>
            <w:r w:rsidRPr="00370F33">
              <w:t>0.05</w:t>
            </w:r>
          </w:p>
        </w:tc>
        <w:tc>
          <w:tcPr>
            <w:tcW w:w="1704" w:type="dxa"/>
            <w:noWrap/>
            <w:hideMark/>
          </w:tcPr>
          <w:p w14:paraId="63DBF6C3" w14:textId="5BE30630" w:rsidR="00370F33" w:rsidRPr="00370F33" w:rsidRDefault="00370F33" w:rsidP="00BB2095">
            <w:pPr>
              <w:pStyle w:val="Tabletext1"/>
              <w:jc w:val="right"/>
              <w:cnfStyle w:val="000000000000" w:firstRow="0" w:lastRow="0" w:firstColumn="0" w:lastColumn="0" w:oddVBand="0" w:evenVBand="0" w:oddHBand="0" w:evenHBand="0" w:firstRowFirstColumn="0" w:firstRowLastColumn="0" w:lastRowFirstColumn="0" w:lastRowLastColumn="0"/>
            </w:pPr>
            <w:r w:rsidRPr="00370F33">
              <w:t xml:space="preserve"> </w:t>
            </w:r>
            <w:proofErr w:type="gramStart"/>
            <w:r w:rsidRPr="00370F33">
              <w:t>$  256</w:t>
            </w:r>
            <w:proofErr w:type="gramEnd"/>
            <w:r w:rsidRPr="00370F33">
              <w:t>.70</w:t>
            </w:r>
          </w:p>
        </w:tc>
        <w:tc>
          <w:tcPr>
            <w:tcW w:w="1366" w:type="dxa"/>
          </w:tcPr>
          <w:p w14:paraId="08967DB8" w14:textId="77777777" w:rsidR="00370F33" w:rsidRPr="00370F33" w:rsidRDefault="00370F33" w:rsidP="00BB2095">
            <w:pPr>
              <w:pStyle w:val="Tabletext1"/>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rPr>
            </w:pPr>
          </w:p>
        </w:tc>
        <w:tc>
          <w:tcPr>
            <w:tcW w:w="1134" w:type="dxa"/>
          </w:tcPr>
          <w:p w14:paraId="1061BE62" w14:textId="77777777" w:rsidR="00370F33" w:rsidRPr="00370F33" w:rsidRDefault="00370F33" w:rsidP="00BB2095">
            <w:pPr>
              <w:pStyle w:val="Tabletext1"/>
              <w:jc w:val="right"/>
              <w:cnfStyle w:val="000000000000" w:firstRow="0" w:lastRow="0" w:firstColumn="0" w:lastColumn="0" w:oddVBand="0" w:evenVBand="0" w:oddHBand="0" w:evenHBand="0" w:firstRowFirstColumn="0" w:firstRowLastColumn="0" w:lastRowFirstColumn="0" w:lastRowLastColumn="0"/>
            </w:pPr>
            <w:r w:rsidRPr="00370F33">
              <w:t>3</w:t>
            </w:r>
          </w:p>
        </w:tc>
      </w:tr>
      <w:tr w:rsidR="00370F33" w:rsidRPr="00370F33" w14:paraId="29D9A45C" w14:textId="77777777" w:rsidTr="00BB20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75" w:type="dxa"/>
            <w:noWrap/>
            <w:hideMark/>
          </w:tcPr>
          <w:p w14:paraId="4E6DE248" w14:textId="77777777" w:rsidR="00370F33" w:rsidRPr="00BB2095" w:rsidRDefault="00370F33" w:rsidP="00BB2095">
            <w:pPr>
              <w:pStyle w:val="Tabletext1"/>
              <w:rPr>
                <w:b w:val="0"/>
                <w:bCs w:val="0"/>
              </w:rPr>
            </w:pPr>
            <w:r w:rsidRPr="00BB2095">
              <w:rPr>
                <w:b w:val="0"/>
                <w:bCs w:val="0"/>
              </w:rPr>
              <w:t>Orthopaedics</w:t>
            </w:r>
          </w:p>
        </w:tc>
        <w:tc>
          <w:tcPr>
            <w:tcW w:w="830" w:type="dxa"/>
            <w:noWrap/>
            <w:hideMark/>
          </w:tcPr>
          <w:p w14:paraId="688EB0F5" w14:textId="77777777" w:rsidR="00370F33" w:rsidRPr="00370F33" w:rsidRDefault="00370F33" w:rsidP="00BB2095">
            <w:pPr>
              <w:pStyle w:val="Tabletext1"/>
              <w:jc w:val="right"/>
              <w:cnfStyle w:val="000000100000" w:firstRow="0" w:lastRow="0" w:firstColumn="0" w:lastColumn="0" w:oddVBand="0" w:evenVBand="0" w:oddHBand="1" w:evenHBand="0" w:firstRowFirstColumn="0" w:firstRowLastColumn="0" w:lastRowFirstColumn="0" w:lastRowLastColumn="0"/>
            </w:pPr>
            <w:r w:rsidRPr="00370F33">
              <w:t>20.29</w:t>
            </w:r>
          </w:p>
        </w:tc>
        <w:tc>
          <w:tcPr>
            <w:tcW w:w="1507" w:type="dxa"/>
            <w:noWrap/>
            <w:hideMark/>
          </w:tcPr>
          <w:p w14:paraId="452787D0" w14:textId="77777777" w:rsidR="00370F33" w:rsidRPr="00370F33" w:rsidRDefault="00370F33" w:rsidP="00BB2095">
            <w:pPr>
              <w:pStyle w:val="Tabletext1"/>
              <w:jc w:val="right"/>
              <w:cnfStyle w:val="000000100000" w:firstRow="0" w:lastRow="0" w:firstColumn="0" w:lastColumn="0" w:oddVBand="0" w:evenVBand="0" w:oddHBand="1" w:evenHBand="0" w:firstRowFirstColumn="0" w:firstRowLastColumn="0" w:lastRowFirstColumn="0" w:lastRowLastColumn="0"/>
            </w:pPr>
            <w:r w:rsidRPr="00370F33">
              <w:t>0.0405</w:t>
            </w:r>
          </w:p>
        </w:tc>
        <w:tc>
          <w:tcPr>
            <w:tcW w:w="1704" w:type="dxa"/>
            <w:noWrap/>
            <w:hideMark/>
          </w:tcPr>
          <w:p w14:paraId="1892041E" w14:textId="2F715753" w:rsidR="00370F33" w:rsidRPr="00370F33" w:rsidRDefault="00370F33" w:rsidP="00BB2095">
            <w:pPr>
              <w:pStyle w:val="Tabletext1"/>
              <w:jc w:val="right"/>
              <w:cnfStyle w:val="000000100000" w:firstRow="0" w:lastRow="0" w:firstColumn="0" w:lastColumn="0" w:oddVBand="0" w:evenVBand="0" w:oddHBand="1" w:evenHBand="0" w:firstRowFirstColumn="0" w:firstRowLastColumn="0" w:lastRowFirstColumn="0" w:lastRowLastColumn="0"/>
            </w:pPr>
            <w:r w:rsidRPr="00370F33">
              <w:t xml:space="preserve"> </w:t>
            </w:r>
            <w:proofErr w:type="gramStart"/>
            <w:r w:rsidRPr="00370F33">
              <w:t>$  207</w:t>
            </w:r>
            <w:proofErr w:type="gramEnd"/>
            <w:r w:rsidRPr="00370F33">
              <w:t>.93</w:t>
            </w:r>
          </w:p>
        </w:tc>
        <w:tc>
          <w:tcPr>
            <w:tcW w:w="1366" w:type="dxa"/>
          </w:tcPr>
          <w:p w14:paraId="34B4A64D" w14:textId="77777777" w:rsidR="00370F33" w:rsidRPr="00370F33" w:rsidRDefault="00370F33" w:rsidP="00BB2095">
            <w:pPr>
              <w:pStyle w:val="Tabletext1"/>
              <w:jc w:val="right"/>
              <w:cnfStyle w:val="000000100000" w:firstRow="0" w:lastRow="0" w:firstColumn="0" w:lastColumn="0" w:oddVBand="0" w:evenVBand="0" w:oddHBand="1" w:evenHBand="0" w:firstRowFirstColumn="0" w:firstRowLastColumn="0" w:lastRowFirstColumn="0" w:lastRowLastColumn="0"/>
            </w:pPr>
            <w:r w:rsidRPr="00370F33">
              <w:t>3</w:t>
            </w:r>
          </w:p>
        </w:tc>
        <w:tc>
          <w:tcPr>
            <w:tcW w:w="1134" w:type="dxa"/>
          </w:tcPr>
          <w:p w14:paraId="115CA2AE" w14:textId="77777777" w:rsidR="00370F33" w:rsidRPr="00370F33" w:rsidRDefault="00370F33" w:rsidP="00BB2095">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rPr>
            </w:pPr>
          </w:p>
        </w:tc>
      </w:tr>
      <w:tr w:rsidR="00370F33" w:rsidRPr="00370F33" w14:paraId="5760C513" w14:textId="77777777" w:rsidTr="00BB2095">
        <w:trPr>
          <w:trHeight w:val="300"/>
        </w:trPr>
        <w:tc>
          <w:tcPr>
            <w:cnfStyle w:val="001000000000" w:firstRow="0" w:lastRow="0" w:firstColumn="1" w:lastColumn="0" w:oddVBand="0" w:evenVBand="0" w:oddHBand="0" w:evenHBand="0" w:firstRowFirstColumn="0" w:firstRowLastColumn="0" w:lastRowFirstColumn="0" w:lastRowLastColumn="0"/>
            <w:tcW w:w="2475" w:type="dxa"/>
            <w:noWrap/>
            <w:hideMark/>
          </w:tcPr>
          <w:p w14:paraId="1D832B46" w14:textId="77777777" w:rsidR="00370F33" w:rsidRPr="00BB2095" w:rsidRDefault="00370F33" w:rsidP="00BB2095">
            <w:pPr>
              <w:pStyle w:val="Tabletext1"/>
              <w:rPr>
                <w:b w:val="0"/>
                <w:bCs w:val="0"/>
              </w:rPr>
            </w:pPr>
            <w:r w:rsidRPr="00BB2095">
              <w:rPr>
                <w:b w:val="0"/>
                <w:bCs w:val="0"/>
              </w:rPr>
              <w:t>Plastics</w:t>
            </w:r>
          </w:p>
        </w:tc>
        <w:tc>
          <w:tcPr>
            <w:tcW w:w="830" w:type="dxa"/>
            <w:noWrap/>
            <w:hideMark/>
          </w:tcPr>
          <w:p w14:paraId="4C1FEBB4" w14:textId="77777777" w:rsidR="00370F33" w:rsidRPr="00370F33" w:rsidRDefault="00370F33" w:rsidP="00BB2095">
            <w:pPr>
              <w:pStyle w:val="Tabletext1"/>
              <w:jc w:val="right"/>
              <w:cnfStyle w:val="000000000000" w:firstRow="0" w:lastRow="0" w:firstColumn="0" w:lastColumn="0" w:oddVBand="0" w:evenVBand="0" w:oddHBand="0" w:evenHBand="0" w:firstRowFirstColumn="0" w:firstRowLastColumn="0" w:lastRowFirstColumn="0" w:lastRowLastColumn="0"/>
            </w:pPr>
            <w:r w:rsidRPr="00370F33">
              <w:t>20.46</w:t>
            </w:r>
          </w:p>
        </w:tc>
        <w:tc>
          <w:tcPr>
            <w:tcW w:w="1507" w:type="dxa"/>
            <w:noWrap/>
            <w:hideMark/>
          </w:tcPr>
          <w:p w14:paraId="7FA238F8" w14:textId="77777777" w:rsidR="00370F33" w:rsidRPr="00370F33" w:rsidRDefault="00370F33" w:rsidP="00BB2095">
            <w:pPr>
              <w:pStyle w:val="Tabletext1"/>
              <w:jc w:val="right"/>
              <w:cnfStyle w:val="000000000000" w:firstRow="0" w:lastRow="0" w:firstColumn="0" w:lastColumn="0" w:oddVBand="0" w:evenVBand="0" w:oddHBand="0" w:evenHBand="0" w:firstRowFirstColumn="0" w:firstRowLastColumn="0" w:lastRowFirstColumn="0" w:lastRowLastColumn="0"/>
            </w:pPr>
            <w:r w:rsidRPr="00370F33">
              <w:t>0.0387</w:t>
            </w:r>
          </w:p>
        </w:tc>
        <w:tc>
          <w:tcPr>
            <w:tcW w:w="1704" w:type="dxa"/>
            <w:noWrap/>
            <w:hideMark/>
          </w:tcPr>
          <w:p w14:paraId="0D708778" w14:textId="2A2FD69B" w:rsidR="00370F33" w:rsidRPr="00370F33" w:rsidRDefault="00370F33" w:rsidP="00BB2095">
            <w:pPr>
              <w:pStyle w:val="Tabletext1"/>
              <w:jc w:val="right"/>
              <w:cnfStyle w:val="000000000000" w:firstRow="0" w:lastRow="0" w:firstColumn="0" w:lastColumn="0" w:oddVBand="0" w:evenVBand="0" w:oddHBand="0" w:evenHBand="0" w:firstRowFirstColumn="0" w:firstRowLastColumn="0" w:lastRowFirstColumn="0" w:lastRowLastColumn="0"/>
            </w:pPr>
            <w:r w:rsidRPr="00370F33">
              <w:t xml:space="preserve"> </w:t>
            </w:r>
            <w:proofErr w:type="gramStart"/>
            <w:r w:rsidRPr="00370F33">
              <w:t>$  198</w:t>
            </w:r>
            <w:proofErr w:type="gramEnd"/>
            <w:r w:rsidRPr="00370F33">
              <w:t>.69</w:t>
            </w:r>
          </w:p>
        </w:tc>
        <w:tc>
          <w:tcPr>
            <w:tcW w:w="1366" w:type="dxa"/>
          </w:tcPr>
          <w:p w14:paraId="3109C65C" w14:textId="77777777" w:rsidR="00370F33" w:rsidRPr="00370F33" w:rsidRDefault="00370F33" w:rsidP="00BB2095">
            <w:pPr>
              <w:pStyle w:val="Tabletext1"/>
              <w:jc w:val="right"/>
              <w:cnfStyle w:val="000000000000" w:firstRow="0" w:lastRow="0" w:firstColumn="0" w:lastColumn="0" w:oddVBand="0" w:evenVBand="0" w:oddHBand="0" w:evenHBand="0" w:firstRowFirstColumn="0" w:firstRowLastColumn="0" w:lastRowFirstColumn="0" w:lastRowLastColumn="0"/>
            </w:pPr>
            <w:r w:rsidRPr="00370F33">
              <w:t>5</w:t>
            </w:r>
          </w:p>
        </w:tc>
        <w:tc>
          <w:tcPr>
            <w:tcW w:w="1134" w:type="dxa"/>
          </w:tcPr>
          <w:p w14:paraId="5F0B8100" w14:textId="77777777" w:rsidR="00370F33" w:rsidRPr="00370F33" w:rsidRDefault="00370F33" w:rsidP="00BB2095">
            <w:pPr>
              <w:pStyle w:val="Tabletext1"/>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rPr>
            </w:pPr>
          </w:p>
        </w:tc>
      </w:tr>
      <w:tr w:rsidR="00370F33" w:rsidRPr="00370F33" w14:paraId="6D6DDD6E" w14:textId="77777777" w:rsidTr="00BB20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75" w:type="dxa"/>
            <w:noWrap/>
            <w:hideMark/>
          </w:tcPr>
          <w:p w14:paraId="36754F35" w14:textId="77777777" w:rsidR="00370F33" w:rsidRPr="00BB2095" w:rsidRDefault="00370F33" w:rsidP="00BB2095">
            <w:pPr>
              <w:pStyle w:val="Tabletext1"/>
              <w:rPr>
                <w:b w:val="0"/>
                <w:bCs w:val="0"/>
              </w:rPr>
            </w:pPr>
            <w:r w:rsidRPr="00BB2095">
              <w:rPr>
                <w:b w:val="0"/>
                <w:bCs w:val="0"/>
              </w:rPr>
              <w:t>Pre-admission clinic</w:t>
            </w:r>
          </w:p>
        </w:tc>
        <w:tc>
          <w:tcPr>
            <w:tcW w:w="830" w:type="dxa"/>
            <w:noWrap/>
            <w:hideMark/>
          </w:tcPr>
          <w:p w14:paraId="4D6C6DE8" w14:textId="77777777" w:rsidR="00370F33" w:rsidRPr="00370F33" w:rsidRDefault="00370F33" w:rsidP="00BB2095">
            <w:pPr>
              <w:pStyle w:val="Tabletext1"/>
              <w:jc w:val="right"/>
              <w:cnfStyle w:val="000000100000" w:firstRow="0" w:lastRow="0" w:firstColumn="0" w:lastColumn="0" w:oddVBand="0" w:evenVBand="0" w:oddHBand="1" w:evenHBand="0" w:firstRowFirstColumn="0" w:firstRowLastColumn="0" w:lastRowFirstColumn="0" w:lastRowLastColumn="0"/>
            </w:pPr>
            <w:r w:rsidRPr="00370F33">
              <w:t>40.07</w:t>
            </w:r>
          </w:p>
        </w:tc>
        <w:tc>
          <w:tcPr>
            <w:tcW w:w="1507" w:type="dxa"/>
            <w:noWrap/>
            <w:hideMark/>
          </w:tcPr>
          <w:p w14:paraId="53C14C53" w14:textId="77777777" w:rsidR="00370F33" w:rsidRPr="00370F33" w:rsidRDefault="00370F33" w:rsidP="00BB2095">
            <w:pPr>
              <w:pStyle w:val="Tabletext1"/>
              <w:jc w:val="right"/>
              <w:cnfStyle w:val="000000100000" w:firstRow="0" w:lastRow="0" w:firstColumn="0" w:lastColumn="0" w:oddVBand="0" w:evenVBand="0" w:oddHBand="1" w:evenHBand="0" w:firstRowFirstColumn="0" w:firstRowLastColumn="0" w:lastRowFirstColumn="0" w:lastRowLastColumn="0"/>
            </w:pPr>
            <w:r w:rsidRPr="00370F33">
              <w:t>0.0483</w:t>
            </w:r>
          </w:p>
        </w:tc>
        <w:tc>
          <w:tcPr>
            <w:tcW w:w="1704" w:type="dxa"/>
            <w:noWrap/>
            <w:hideMark/>
          </w:tcPr>
          <w:p w14:paraId="3999ED56" w14:textId="0848CEC8" w:rsidR="00370F33" w:rsidRPr="00370F33" w:rsidRDefault="00370F33" w:rsidP="00BB2095">
            <w:pPr>
              <w:pStyle w:val="Tabletext1"/>
              <w:jc w:val="right"/>
              <w:cnfStyle w:val="000000100000" w:firstRow="0" w:lastRow="0" w:firstColumn="0" w:lastColumn="0" w:oddVBand="0" w:evenVBand="0" w:oddHBand="1" w:evenHBand="0" w:firstRowFirstColumn="0" w:firstRowLastColumn="0" w:lastRowFirstColumn="0" w:lastRowLastColumn="0"/>
            </w:pPr>
            <w:r w:rsidRPr="00370F33">
              <w:t xml:space="preserve"> </w:t>
            </w:r>
            <w:proofErr w:type="gramStart"/>
            <w:r w:rsidRPr="00370F33">
              <w:t>$  247</w:t>
            </w:r>
            <w:proofErr w:type="gramEnd"/>
            <w:r w:rsidRPr="00370F33">
              <w:t>.97</w:t>
            </w:r>
          </w:p>
        </w:tc>
        <w:tc>
          <w:tcPr>
            <w:tcW w:w="1366" w:type="dxa"/>
          </w:tcPr>
          <w:p w14:paraId="6132C645" w14:textId="77777777" w:rsidR="00370F33" w:rsidRPr="00370F33" w:rsidRDefault="00370F33" w:rsidP="00BB2095">
            <w:pPr>
              <w:pStyle w:val="Tabletext1"/>
              <w:jc w:val="right"/>
              <w:cnfStyle w:val="000000100000" w:firstRow="0" w:lastRow="0" w:firstColumn="0" w:lastColumn="0" w:oddVBand="0" w:evenVBand="0" w:oddHBand="1" w:evenHBand="0" w:firstRowFirstColumn="0" w:firstRowLastColumn="0" w:lastRowFirstColumn="0" w:lastRowLastColumn="0"/>
            </w:pPr>
            <w:r w:rsidRPr="00370F33">
              <w:t>2</w:t>
            </w:r>
          </w:p>
        </w:tc>
        <w:tc>
          <w:tcPr>
            <w:tcW w:w="1134" w:type="dxa"/>
          </w:tcPr>
          <w:p w14:paraId="73ED3096" w14:textId="77777777" w:rsidR="00370F33" w:rsidRPr="00370F33" w:rsidRDefault="00370F33" w:rsidP="00BB2095">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rPr>
            </w:pPr>
          </w:p>
        </w:tc>
      </w:tr>
      <w:tr w:rsidR="00370F33" w:rsidRPr="00370F33" w14:paraId="731A8FD5" w14:textId="77777777" w:rsidTr="00BB2095">
        <w:trPr>
          <w:trHeight w:val="300"/>
        </w:trPr>
        <w:tc>
          <w:tcPr>
            <w:cnfStyle w:val="001000000000" w:firstRow="0" w:lastRow="0" w:firstColumn="1" w:lastColumn="0" w:oddVBand="0" w:evenVBand="0" w:oddHBand="0" w:evenHBand="0" w:firstRowFirstColumn="0" w:firstRowLastColumn="0" w:lastRowFirstColumn="0" w:lastRowLastColumn="0"/>
            <w:tcW w:w="2475" w:type="dxa"/>
            <w:noWrap/>
            <w:hideMark/>
          </w:tcPr>
          <w:p w14:paraId="2AD4B761" w14:textId="77777777" w:rsidR="00370F33" w:rsidRPr="00BB2095" w:rsidRDefault="00370F33" w:rsidP="00BB2095">
            <w:pPr>
              <w:pStyle w:val="Tabletext1"/>
              <w:rPr>
                <w:b w:val="0"/>
                <w:bCs w:val="0"/>
              </w:rPr>
            </w:pPr>
            <w:r w:rsidRPr="00BB2095">
              <w:rPr>
                <w:b w:val="0"/>
                <w:bCs w:val="0"/>
              </w:rPr>
              <w:t>Respiratory</w:t>
            </w:r>
          </w:p>
        </w:tc>
        <w:tc>
          <w:tcPr>
            <w:tcW w:w="830" w:type="dxa"/>
            <w:noWrap/>
            <w:hideMark/>
          </w:tcPr>
          <w:p w14:paraId="3D8BC5CD" w14:textId="77777777" w:rsidR="00370F33" w:rsidRPr="00370F33" w:rsidRDefault="00370F33" w:rsidP="00BB2095">
            <w:pPr>
              <w:pStyle w:val="Tabletext1"/>
              <w:jc w:val="right"/>
              <w:cnfStyle w:val="000000000000" w:firstRow="0" w:lastRow="0" w:firstColumn="0" w:lastColumn="0" w:oddVBand="0" w:evenVBand="0" w:oddHBand="0" w:evenHBand="0" w:firstRowFirstColumn="0" w:firstRowLastColumn="0" w:lastRowFirstColumn="0" w:lastRowLastColumn="0"/>
            </w:pPr>
            <w:r w:rsidRPr="00370F33">
              <w:t>20.19</w:t>
            </w:r>
          </w:p>
        </w:tc>
        <w:tc>
          <w:tcPr>
            <w:tcW w:w="1507" w:type="dxa"/>
            <w:noWrap/>
            <w:hideMark/>
          </w:tcPr>
          <w:p w14:paraId="363020D7" w14:textId="77777777" w:rsidR="00370F33" w:rsidRPr="00370F33" w:rsidRDefault="00370F33" w:rsidP="00BB2095">
            <w:pPr>
              <w:pStyle w:val="Tabletext1"/>
              <w:jc w:val="right"/>
              <w:cnfStyle w:val="000000000000" w:firstRow="0" w:lastRow="0" w:firstColumn="0" w:lastColumn="0" w:oddVBand="0" w:evenVBand="0" w:oddHBand="0" w:evenHBand="0" w:firstRowFirstColumn="0" w:firstRowLastColumn="0" w:lastRowFirstColumn="0" w:lastRowLastColumn="0"/>
            </w:pPr>
            <w:r w:rsidRPr="00370F33">
              <w:t>0.0645</w:t>
            </w:r>
          </w:p>
        </w:tc>
        <w:tc>
          <w:tcPr>
            <w:tcW w:w="1704" w:type="dxa"/>
            <w:noWrap/>
            <w:hideMark/>
          </w:tcPr>
          <w:p w14:paraId="6F68AA00" w14:textId="6C31734B" w:rsidR="00370F33" w:rsidRPr="00370F33" w:rsidRDefault="00370F33" w:rsidP="00BB2095">
            <w:pPr>
              <w:pStyle w:val="Tabletext1"/>
              <w:jc w:val="right"/>
              <w:cnfStyle w:val="000000000000" w:firstRow="0" w:lastRow="0" w:firstColumn="0" w:lastColumn="0" w:oddVBand="0" w:evenVBand="0" w:oddHBand="0" w:evenHBand="0" w:firstRowFirstColumn="0" w:firstRowLastColumn="0" w:lastRowFirstColumn="0" w:lastRowLastColumn="0"/>
            </w:pPr>
            <w:r w:rsidRPr="00370F33">
              <w:t xml:space="preserve"> </w:t>
            </w:r>
            <w:proofErr w:type="gramStart"/>
            <w:r w:rsidRPr="00370F33">
              <w:t>$  331</w:t>
            </w:r>
            <w:proofErr w:type="gramEnd"/>
            <w:r w:rsidRPr="00370F33">
              <w:t>.14</w:t>
            </w:r>
          </w:p>
        </w:tc>
        <w:tc>
          <w:tcPr>
            <w:tcW w:w="1366" w:type="dxa"/>
          </w:tcPr>
          <w:p w14:paraId="1D4EB04C" w14:textId="77777777" w:rsidR="00370F33" w:rsidRPr="00370F33" w:rsidRDefault="00370F33" w:rsidP="00BB2095">
            <w:pPr>
              <w:pStyle w:val="Tabletext1"/>
              <w:jc w:val="right"/>
              <w:cnfStyle w:val="000000000000" w:firstRow="0" w:lastRow="0" w:firstColumn="0" w:lastColumn="0" w:oddVBand="0" w:evenVBand="0" w:oddHBand="0" w:evenHBand="0" w:firstRowFirstColumn="0" w:firstRowLastColumn="0" w:lastRowFirstColumn="0" w:lastRowLastColumn="0"/>
            </w:pPr>
            <w:r w:rsidRPr="00370F33">
              <w:t>2</w:t>
            </w:r>
          </w:p>
        </w:tc>
        <w:tc>
          <w:tcPr>
            <w:tcW w:w="1134" w:type="dxa"/>
          </w:tcPr>
          <w:p w14:paraId="6ECE1578" w14:textId="77777777" w:rsidR="00370F33" w:rsidRPr="00370F33" w:rsidRDefault="00370F33" w:rsidP="00BB2095">
            <w:pPr>
              <w:pStyle w:val="Tabletext1"/>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rPr>
            </w:pPr>
          </w:p>
        </w:tc>
      </w:tr>
      <w:tr w:rsidR="00370F33" w:rsidRPr="00370F33" w14:paraId="1879E5BD" w14:textId="77777777" w:rsidTr="00BB20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75" w:type="dxa"/>
            <w:noWrap/>
            <w:hideMark/>
          </w:tcPr>
          <w:p w14:paraId="5D0CC64E" w14:textId="77777777" w:rsidR="00370F33" w:rsidRPr="00BB2095" w:rsidRDefault="00370F33" w:rsidP="00BB2095">
            <w:pPr>
              <w:pStyle w:val="Tabletext1"/>
              <w:rPr>
                <w:b w:val="0"/>
                <w:bCs w:val="0"/>
              </w:rPr>
            </w:pPr>
            <w:r w:rsidRPr="00BB2095">
              <w:rPr>
                <w:b w:val="0"/>
                <w:bCs w:val="0"/>
              </w:rPr>
              <w:t>Wound Care</w:t>
            </w:r>
          </w:p>
        </w:tc>
        <w:tc>
          <w:tcPr>
            <w:tcW w:w="830" w:type="dxa"/>
            <w:noWrap/>
            <w:hideMark/>
          </w:tcPr>
          <w:p w14:paraId="4E2075C7" w14:textId="77777777" w:rsidR="00370F33" w:rsidRPr="00370F33" w:rsidRDefault="00370F33" w:rsidP="00BB2095">
            <w:pPr>
              <w:pStyle w:val="Tabletext1"/>
              <w:jc w:val="right"/>
              <w:cnfStyle w:val="000000100000" w:firstRow="0" w:lastRow="0" w:firstColumn="0" w:lastColumn="0" w:oddVBand="0" w:evenVBand="0" w:oddHBand="1" w:evenHBand="0" w:firstRowFirstColumn="0" w:firstRowLastColumn="0" w:lastRowFirstColumn="0" w:lastRowLastColumn="0"/>
            </w:pPr>
            <w:r w:rsidRPr="00370F33">
              <w:t>40.13</w:t>
            </w:r>
          </w:p>
        </w:tc>
        <w:tc>
          <w:tcPr>
            <w:tcW w:w="1507" w:type="dxa"/>
            <w:noWrap/>
            <w:hideMark/>
          </w:tcPr>
          <w:p w14:paraId="4E532C28" w14:textId="77777777" w:rsidR="00370F33" w:rsidRPr="00370F33" w:rsidRDefault="00370F33" w:rsidP="00BB2095">
            <w:pPr>
              <w:pStyle w:val="Tabletext1"/>
              <w:jc w:val="right"/>
              <w:cnfStyle w:val="000000100000" w:firstRow="0" w:lastRow="0" w:firstColumn="0" w:lastColumn="0" w:oddVBand="0" w:evenVBand="0" w:oddHBand="1" w:evenHBand="0" w:firstRowFirstColumn="0" w:firstRowLastColumn="0" w:lastRowFirstColumn="0" w:lastRowLastColumn="0"/>
            </w:pPr>
            <w:r w:rsidRPr="00370F33">
              <w:t>0.0322</w:t>
            </w:r>
          </w:p>
        </w:tc>
        <w:tc>
          <w:tcPr>
            <w:tcW w:w="1704" w:type="dxa"/>
            <w:noWrap/>
            <w:hideMark/>
          </w:tcPr>
          <w:p w14:paraId="67D1E4B4" w14:textId="4020FDA1" w:rsidR="00370F33" w:rsidRPr="00370F33" w:rsidRDefault="00370F33" w:rsidP="00BB2095">
            <w:pPr>
              <w:pStyle w:val="Tabletext1"/>
              <w:jc w:val="right"/>
              <w:cnfStyle w:val="000000100000" w:firstRow="0" w:lastRow="0" w:firstColumn="0" w:lastColumn="0" w:oddVBand="0" w:evenVBand="0" w:oddHBand="1" w:evenHBand="0" w:firstRowFirstColumn="0" w:firstRowLastColumn="0" w:lastRowFirstColumn="0" w:lastRowLastColumn="0"/>
            </w:pPr>
            <w:r w:rsidRPr="00370F33">
              <w:t xml:space="preserve"> </w:t>
            </w:r>
            <w:proofErr w:type="gramStart"/>
            <w:r w:rsidRPr="00370F33">
              <w:t>$  165</w:t>
            </w:r>
            <w:proofErr w:type="gramEnd"/>
            <w:r w:rsidRPr="00370F33">
              <w:t>.31</w:t>
            </w:r>
          </w:p>
        </w:tc>
        <w:tc>
          <w:tcPr>
            <w:tcW w:w="1366" w:type="dxa"/>
          </w:tcPr>
          <w:p w14:paraId="7A3FB5FD" w14:textId="77777777" w:rsidR="00370F33" w:rsidRPr="00370F33" w:rsidRDefault="00370F33" w:rsidP="00BB2095">
            <w:pPr>
              <w:pStyle w:val="Tabletext1"/>
              <w:jc w:val="right"/>
              <w:cnfStyle w:val="000000100000" w:firstRow="0" w:lastRow="0" w:firstColumn="0" w:lastColumn="0" w:oddVBand="0" w:evenVBand="0" w:oddHBand="1" w:evenHBand="0" w:firstRowFirstColumn="0" w:firstRowLastColumn="0" w:lastRowFirstColumn="0" w:lastRowLastColumn="0"/>
            </w:pPr>
            <w:r w:rsidRPr="00370F33">
              <w:t>1</w:t>
            </w:r>
          </w:p>
        </w:tc>
        <w:tc>
          <w:tcPr>
            <w:tcW w:w="1134" w:type="dxa"/>
          </w:tcPr>
          <w:p w14:paraId="79359AA0" w14:textId="77777777" w:rsidR="00370F33" w:rsidRPr="00370F33" w:rsidRDefault="00370F33" w:rsidP="00BB2095">
            <w:pPr>
              <w:pStyle w:val="Tabletext1"/>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rPr>
            </w:pPr>
          </w:p>
        </w:tc>
      </w:tr>
      <w:tr w:rsidR="00370F33" w:rsidRPr="00370F33" w14:paraId="4792AB17" w14:textId="77777777" w:rsidTr="00BB2095">
        <w:trPr>
          <w:trHeight w:val="70"/>
        </w:trPr>
        <w:tc>
          <w:tcPr>
            <w:cnfStyle w:val="001000000000" w:firstRow="0" w:lastRow="0" w:firstColumn="1" w:lastColumn="0" w:oddVBand="0" w:evenVBand="0" w:oddHBand="0" w:evenHBand="0" w:firstRowFirstColumn="0" w:firstRowLastColumn="0" w:lastRowFirstColumn="0" w:lastRowLastColumn="0"/>
            <w:tcW w:w="2475" w:type="dxa"/>
            <w:noWrap/>
          </w:tcPr>
          <w:p w14:paraId="176F2FA5" w14:textId="77777777" w:rsidR="00370F33" w:rsidRPr="00370F33" w:rsidRDefault="00370F33" w:rsidP="00BB2095">
            <w:pPr>
              <w:pStyle w:val="Tabletext1"/>
            </w:pPr>
            <w:r w:rsidRPr="00370F33">
              <w:t>Total</w:t>
            </w:r>
          </w:p>
        </w:tc>
        <w:tc>
          <w:tcPr>
            <w:tcW w:w="830" w:type="dxa"/>
            <w:noWrap/>
          </w:tcPr>
          <w:p w14:paraId="1F839852" w14:textId="77777777" w:rsidR="00370F33" w:rsidRPr="00370F33" w:rsidRDefault="00370F33" w:rsidP="00BB2095">
            <w:pPr>
              <w:pStyle w:val="Tabletext1"/>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rPr>
            </w:pPr>
          </w:p>
        </w:tc>
        <w:tc>
          <w:tcPr>
            <w:tcW w:w="1507" w:type="dxa"/>
            <w:noWrap/>
          </w:tcPr>
          <w:p w14:paraId="1677514A" w14:textId="77777777" w:rsidR="00370F33" w:rsidRPr="00370F33" w:rsidRDefault="00370F33" w:rsidP="00BB2095">
            <w:pPr>
              <w:pStyle w:val="Tabletext1"/>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rPr>
            </w:pPr>
          </w:p>
        </w:tc>
        <w:tc>
          <w:tcPr>
            <w:tcW w:w="1704" w:type="dxa"/>
            <w:noWrap/>
          </w:tcPr>
          <w:p w14:paraId="7A765301" w14:textId="77777777" w:rsidR="00370F33" w:rsidRPr="00370F33" w:rsidRDefault="00370F33" w:rsidP="00BB2095">
            <w:pPr>
              <w:pStyle w:val="Tabletext1"/>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rPr>
            </w:pPr>
          </w:p>
        </w:tc>
        <w:tc>
          <w:tcPr>
            <w:tcW w:w="1366" w:type="dxa"/>
          </w:tcPr>
          <w:p w14:paraId="285B4660" w14:textId="77777777" w:rsidR="00370F33" w:rsidRPr="00370F33" w:rsidRDefault="00370F33" w:rsidP="00BB2095">
            <w:pPr>
              <w:pStyle w:val="Tabletext1"/>
              <w:jc w:val="right"/>
              <w:cnfStyle w:val="000000000000" w:firstRow="0" w:lastRow="0" w:firstColumn="0" w:lastColumn="0" w:oddVBand="0" w:evenVBand="0" w:oddHBand="0" w:evenHBand="0" w:firstRowFirstColumn="0" w:firstRowLastColumn="0" w:lastRowFirstColumn="0" w:lastRowLastColumn="0"/>
            </w:pPr>
            <w:r w:rsidRPr="00370F33">
              <w:t>46</w:t>
            </w:r>
          </w:p>
        </w:tc>
        <w:tc>
          <w:tcPr>
            <w:tcW w:w="1134" w:type="dxa"/>
          </w:tcPr>
          <w:p w14:paraId="50A791D6" w14:textId="77777777" w:rsidR="00370F33" w:rsidRPr="00370F33" w:rsidRDefault="00370F33" w:rsidP="00BB2095">
            <w:pPr>
              <w:pStyle w:val="Tabletext1"/>
              <w:jc w:val="right"/>
              <w:cnfStyle w:val="000000000000" w:firstRow="0" w:lastRow="0" w:firstColumn="0" w:lastColumn="0" w:oddVBand="0" w:evenVBand="0" w:oddHBand="0" w:evenHBand="0" w:firstRowFirstColumn="0" w:firstRowLastColumn="0" w:lastRowFirstColumn="0" w:lastRowLastColumn="0"/>
            </w:pPr>
            <w:r w:rsidRPr="00370F33">
              <w:t>10</w:t>
            </w:r>
          </w:p>
        </w:tc>
      </w:tr>
    </w:tbl>
    <w:p w14:paraId="4778DB59" w14:textId="644F034F" w:rsidR="00171526" w:rsidRDefault="00171526" w:rsidP="00897C5B">
      <w:pPr>
        <w:pStyle w:val="Caption"/>
        <w:rPr>
          <w:rFonts w:eastAsiaTheme="minorHAnsi"/>
          <w:lang w:eastAsia="en-US"/>
        </w:rPr>
      </w:pPr>
      <w:r w:rsidRPr="00370F33">
        <w:rPr>
          <w:rFonts w:eastAsiaTheme="minorHAnsi"/>
          <w:lang w:eastAsia="en-US"/>
        </w:rPr>
        <w:t xml:space="preserve">Table </w:t>
      </w:r>
      <w:r>
        <w:rPr>
          <w:rFonts w:eastAsiaTheme="minorHAnsi"/>
          <w:lang w:eastAsia="en-US"/>
        </w:rPr>
        <w:t>App</w:t>
      </w:r>
      <w:r w:rsidR="00461B97">
        <w:rPr>
          <w:rFonts w:eastAsiaTheme="minorHAnsi"/>
          <w:lang w:eastAsia="en-US"/>
        </w:rPr>
        <w:t>F</w:t>
      </w:r>
      <w:r w:rsidRPr="00370F33">
        <w:rPr>
          <w:rFonts w:eastAsiaTheme="minorHAnsi"/>
          <w:lang w:eastAsia="en-US"/>
        </w:rPr>
        <w:t>-1: Outpatient clinic visits recorded in Tasmanian Hospital data files and allocated codes and costs</w:t>
      </w:r>
    </w:p>
    <w:p w14:paraId="60BA5DDB" w14:textId="426C1545" w:rsidR="00370F33" w:rsidRPr="00370F33" w:rsidRDefault="00370F33" w:rsidP="00F478C5">
      <w:pPr>
        <w:pStyle w:val="CommentText"/>
        <w:rPr>
          <w:noProof/>
        </w:rPr>
      </w:pPr>
      <w:r w:rsidRPr="00370F33">
        <w:rPr>
          <w:rFonts w:eastAsiaTheme="minorHAnsi"/>
          <w:vertAlign w:val="superscript"/>
        </w:rPr>
        <w:t>a</w:t>
      </w:r>
      <w:r w:rsidRPr="00370F33">
        <w:rPr>
          <w:rFonts w:eastAsiaTheme="minorHAnsi"/>
        </w:rPr>
        <w:t xml:space="preserve"> calculated </w:t>
      </w:r>
      <w:r w:rsidRPr="00370F33">
        <w:rPr>
          <w:noProof/>
        </w:rPr>
        <w:t>using the “non-admitted_2019-20_nwau_calculator.xls” (a</w:t>
      </w:r>
      <w:r w:rsidRPr="00370F33">
        <w:t xml:space="preserve">vailable at </w:t>
      </w:r>
      <w:hyperlink r:id="rId59" w:history="1">
        <w:r w:rsidRPr="00370F33">
          <w:rPr>
            <w:color w:val="0000FF"/>
            <w:u w:val="single"/>
          </w:rPr>
          <w:t>https://www.ihpa.gov.au/publications/national-efficient-price-determination-2019-20</w:t>
        </w:r>
      </w:hyperlink>
      <w:r w:rsidRPr="00370F33">
        <w:rPr>
          <w:color w:val="0000FF"/>
          <w:u w:val="single"/>
        </w:rPr>
        <w:t>)</w:t>
      </w:r>
      <w:r w:rsidRPr="00370F33">
        <w:rPr>
          <w:noProof/>
        </w:rPr>
        <w:t xml:space="preserve"> assuming no funding adjustment factors were applicable for any study participant.</w:t>
      </w:r>
    </w:p>
    <w:p w14:paraId="30AF0098" w14:textId="2C31993E" w:rsidR="00370F33" w:rsidRPr="00171526" w:rsidRDefault="00370F33" w:rsidP="00F478C5">
      <w:pPr>
        <w:pStyle w:val="CommentText"/>
        <w:rPr>
          <w:noProof/>
        </w:rPr>
      </w:pPr>
      <w:r w:rsidRPr="00370F33">
        <w:rPr>
          <w:noProof/>
          <w:vertAlign w:val="superscript"/>
        </w:rPr>
        <w:t>b</w:t>
      </w:r>
      <w:r w:rsidRPr="00370F33">
        <w:rPr>
          <w:noProof/>
        </w:rPr>
        <w:t xml:space="preserve"> calculated by applying the National Efficient Price 2019-2020; whic</w:t>
      </w:r>
      <w:r w:rsidR="00171526">
        <w:rPr>
          <w:noProof/>
        </w:rPr>
        <w:t>h is $5,134 per activity weight</w:t>
      </w:r>
    </w:p>
    <w:tbl>
      <w:tblPr>
        <w:tblStyle w:val="ListTable3"/>
        <w:tblpPr w:leftFromText="180" w:rightFromText="180" w:vertAnchor="text" w:horzAnchor="margin" w:tblpY="-59"/>
        <w:tblW w:w="0" w:type="auto"/>
        <w:tblLayout w:type="fixed"/>
        <w:tblLook w:val="04A0" w:firstRow="1" w:lastRow="0" w:firstColumn="1" w:lastColumn="0" w:noHBand="0" w:noVBand="1"/>
      </w:tblPr>
      <w:tblGrid>
        <w:gridCol w:w="1532"/>
        <w:gridCol w:w="1015"/>
        <w:gridCol w:w="3007"/>
        <w:gridCol w:w="3462"/>
      </w:tblGrid>
      <w:tr w:rsidR="00171526" w:rsidRPr="00F478C5" w14:paraId="700EC679" w14:textId="77777777" w:rsidTr="00F478C5">
        <w:trPr>
          <w:cnfStyle w:val="100000000000" w:firstRow="1" w:lastRow="0" w:firstColumn="0" w:lastColumn="0" w:oddVBand="0" w:evenVBand="0" w:oddHBand="0" w:evenHBand="0" w:firstRowFirstColumn="0" w:firstRowLastColumn="0" w:lastRowFirstColumn="0" w:lastRowLastColumn="0"/>
          <w:trHeight w:val="135"/>
          <w:tblHeader/>
        </w:trPr>
        <w:tc>
          <w:tcPr>
            <w:cnfStyle w:val="001000000100" w:firstRow="0" w:lastRow="0" w:firstColumn="1" w:lastColumn="0" w:oddVBand="0" w:evenVBand="0" w:oddHBand="0" w:evenHBand="0" w:firstRowFirstColumn="1" w:firstRowLastColumn="0" w:lastRowFirstColumn="0" w:lastRowLastColumn="0"/>
            <w:tcW w:w="1532" w:type="dxa"/>
            <w:noWrap/>
            <w:hideMark/>
          </w:tcPr>
          <w:p w14:paraId="1CF752B6" w14:textId="77777777" w:rsidR="00171526" w:rsidRPr="00F478C5" w:rsidRDefault="00171526" w:rsidP="00F478C5">
            <w:pPr>
              <w:pStyle w:val="TableHeader"/>
              <w:rPr>
                <w:b/>
                <w:bCs w:val="0"/>
              </w:rPr>
            </w:pPr>
            <w:r w:rsidRPr="00F478C5">
              <w:rPr>
                <w:b/>
                <w:bCs w:val="0"/>
              </w:rPr>
              <w:lastRenderedPageBreak/>
              <w:t>Allied Health Service</w:t>
            </w:r>
          </w:p>
        </w:tc>
        <w:tc>
          <w:tcPr>
            <w:tcW w:w="1015" w:type="dxa"/>
            <w:noWrap/>
            <w:hideMark/>
          </w:tcPr>
          <w:p w14:paraId="572CD2A7" w14:textId="77777777" w:rsidR="00171526" w:rsidRPr="00F478C5" w:rsidRDefault="00171526" w:rsidP="00F478C5">
            <w:pPr>
              <w:pStyle w:val="TableHeader"/>
              <w:cnfStyle w:val="100000000000" w:firstRow="1" w:lastRow="0" w:firstColumn="0" w:lastColumn="0" w:oddVBand="0" w:evenVBand="0" w:oddHBand="0" w:evenHBand="0" w:firstRowFirstColumn="0" w:firstRowLastColumn="0" w:lastRowFirstColumn="0" w:lastRowLastColumn="0"/>
              <w:rPr>
                <w:b/>
                <w:bCs w:val="0"/>
              </w:rPr>
            </w:pPr>
            <w:r w:rsidRPr="00F478C5">
              <w:rPr>
                <w:b/>
                <w:bCs w:val="0"/>
              </w:rPr>
              <w:t>Cost</w:t>
            </w:r>
          </w:p>
        </w:tc>
        <w:tc>
          <w:tcPr>
            <w:tcW w:w="3007" w:type="dxa"/>
            <w:noWrap/>
          </w:tcPr>
          <w:p w14:paraId="6D9A35E5" w14:textId="77777777" w:rsidR="00171526" w:rsidRPr="00F478C5" w:rsidRDefault="00171526" w:rsidP="00F478C5">
            <w:pPr>
              <w:pStyle w:val="TableHeader"/>
              <w:cnfStyle w:val="100000000000" w:firstRow="1" w:lastRow="0" w:firstColumn="0" w:lastColumn="0" w:oddVBand="0" w:evenVBand="0" w:oddHBand="0" w:evenHBand="0" w:firstRowFirstColumn="0" w:firstRowLastColumn="0" w:lastRowFirstColumn="0" w:lastRowLastColumn="0"/>
              <w:rPr>
                <w:b/>
                <w:bCs w:val="0"/>
              </w:rPr>
            </w:pPr>
            <w:r w:rsidRPr="00F478C5">
              <w:rPr>
                <w:b/>
                <w:bCs w:val="0"/>
              </w:rPr>
              <w:t>Description</w:t>
            </w:r>
          </w:p>
        </w:tc>
        <w:tc>
          <w:tcPr>
            <w:tcW w:w="3462" w:type="dxa"/>
          </w:tcPr>
          <w:p w14:paraId="50127B3D" w14:textId="77777777" w:rsidR="00171526" w:rsidRPr="00F478C5" w:rsidRDefault="00171526" w:rsidP="00F478C5">
            <w:pPr>
              <w:pStyle w:val="TableHeader"/>
              <w:cnfStyle w:val="100000000000" w:firstRow="1" w:lastRow="0" w:firstColumn="0" w:lastColumn="0" w:oddVBand="0" w:evenVBand="0" w:oddHBand="0" w:evenHBand="0" w:firstRowFirstColumn="0" w:firstRowLastColumn="0" w:lastRowFirstColumn="0" w:lastRowLastColumn="0"/>
              <w:rPr>
                <w:b/>
                <w:bCs w:val="0"/>
              </w:rPr>
            </w:pPr>
            <w:r w:rsidRPr="00F478C5">
              <w:rPr>
                <w:b/>
                <w:bCs w:val="0"/>
              </w:rPr>
              <w:t>Source</w:t>
            </w:r>
          </w:p>
        </w:tc>
      </w:tr>
      <w:tr w:rsidR="00171526" w:rsidRPr="00171526" w14:paraId="29DA12E6" w14:textId="77777777" w:rsidTr="00F478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32" w:type="dxa"/>
            <w:noWrap/>
            <w:hideMark/>
          </w:tcPr>
          <w:p w14:paraId="01E0FEB5" w14:textId="77777777" w:rsidR="00171526" w:rsidRPr="00F478C5" w:rsidRDefault="00171526" w:rsidP="00F478C5">
            <w:pPr>
              <w:pStyle w:val="Tabletext1"/>
              <w:rPr>
                <w:rFonts w:eastAsiaTheme="minorHAnsi"/>
                <w:b w:val="0"/>
                <w:bCs w:val="0"/>
                <w:lang w:eastAsia="en-US"/>
              </w:rPr>
            </w:pPr>
            <w:r w:rsidRPr="00F478C5">
              <w:rPr>
                <w:rFonts w:eastAsiaTheme="minorHAnsi"/>
                <w:b w:val="0"/>
                <w:bCs w:val="0"/>
                <w:lang w:eastAsia="en-US"/>
              </w:rPr>
              <w:t>Audiologist, Hearing check</w:t>
            </w:r>
          </w:p>
        </w:tc>
        <w:tc>
          <w:tcPr>
            <w:tcW w:w="1015" w:type="dxa"/>
            <w:noWrap/>
            <w:hideMark/>
          </w:tcPr>
          <w:p w14:paraId="2F9804DA" w14:textId="77777777" w:rsidR="00171526" w:rsidRPr="00171526" w:rsidRDefault="00171526" w:rsidP="00F478C5">
            <w:pPr>
              <w:pStyle w:val="Tabletext1"/>
              <w:jc w:val="right"/>
              <w:cnfStyle w:val="000000100000" w:firstRow="0" w:lastRow="0" w:firstColumn="0" w:lastColumn="0" w:oddVBand="0" w:evenVBand="0" w:oddHBand="1" w:evenHBand="0" w:firstRowFirstColumn="0" w:firstRowLastColumn="0" w:lastRowFirstColumn="0" w:lastRowLastColumn="0"/>
              <w:rPr>
                <w:rFonts w:eastAsiaTheme="minorHAnsi"/>
                <w:lang w:eastAsia="en-US"/>
              </w:rPr>
            </w:pPr>
            <w:r w:rsidRPr="00171526">
              <w:rPr>
                <w:rFonts w:eastAsiaTheme="minorHAnsi"/>
                <w:lang w:eastAsia="en-US"/>
              </w:rPr>
              <w:t>$143.90</w:t>
            </w:r>
          </w:p>
        </w:tc>
        <w:tc>
          <w:tcPr>
            <w:tcW w:w="3007" w:type="dxa"/>
            <w:noWrap/>
            <w:hideMark/>
          </w:tcPr>
          <w:p w14:paraId="75FEE148" w14:textId="77777777" w:rsidR="00171526" w:rsidRPr="00171526" w:rsidRDefault="00171526" w:rsidP="00F478C5">
            <w:pPr>
              <w:pStyle w:val="Tabletext1"/>
              <w:cnfStyle w:val="000000100000" w:firstRow="0" w:lastRow="0" w:firstColumn="0" w:lastColumn="0" w:oddVBand="0" w:evenVBand="0" w:oddHBand="1" w:evenHBand="0" w:firstRowFirstColumn="0" w:firstRowLastColumn="0" w:lastRowFirstColumn="0" w:lastRowLastColumn="0"/>
              <w:rPr>
                <w:rFonts w:eastAsiaTheme="minorHAnsi"/>
                <w:lang w:eastAsia="en-US"/>
              </w:rPr>
            </w:pPr>
            <w:r w:rsidRPr="00171526">
              <w:rPr>
                <w:rFonts w:eastAsiaTheme="minorHAnsi"/>
                <w:lang w:eastAsia="en-US"/>
              </w:rPr>
              <w:t>Assessment (Item 600/800)</w:t>
            </w:r>
          </w:p>
        </w:tc>
        <w:tc>
          <w:tcPr>
            <w:tcW w:w="3462" w:type="dxa"/>
          </w:tcPr>
          <w:p w14:paraId="4E157FF1" w14:textId="53CFCE94" w:rsidR="00F478C5" w:rsidRPr="00F478C5" w:rsidRDefault="00612340" w:rsidP="00F478C5">
            <w:pPr>
              <w:pStyle w:val="Tabletext1"/>
              <w:cnfStyle w:val="000000100000" w:firstRow="0" w:lastRow="0" w:firstColumn="0" w:lastColumn="0" w:oddVBand="0" w:evenVBand="0" w:oddHBand="1" w:evenHBand="0" w:firstRowFirstColumn="0" w:firstRowLastColumn="0" w:lastRowFirstColumn="0" w:lastRowLastColumn="0"/>
            </w:pPr>
            <w:hyperlink r:id="rId60" w:history="1">
              <w:r w:rsidR="00171526" w:rsidRPr="00F478C5">
                <w:rPr>
                  <w:rStyle w:val="Hyperlink"/>
                  <w:rFonts w:eastAsiaTheme="minorHAnsi"/>
                </w:rPr>
                <w:t>http://www.hearingservices.gov.au/wps/portal/hso/site/about/legislation/contracts/schedule_fees_2020-21</w:t>
              </w:r>
            </w:hyperlink>
          </w:p>
        </w:tc>
      </w:tr>
      <w:tr w:rsidR="00171526" w:rsidRPr="00171526" w14:paraId="53ADB0F0" w14:textId="77777777" w:rsidTr="00F478C5">
        <w:trPr>
          <w:trHeight w:val="300"/>
        </w:trPr>
        <w:tc>
          <w:tcPr>
            <w:cnfStyle w:val="001000000000" w:firstRow="0" w:lastRow="0" w:firstColumn="1" w:lastColumn="0" w:oddVBand="0" w:evenVBand="0" w:oddHBand="0" w:evenHBand="0" w:firstRowFirstColumn="0" w:firstRowLastColumn="0" w:lastRowFirstColumn="0" w:lastRowLastColumn="0"/>
            <w:tcW w:w="1532" w:type="dxa"/>
            <w:noWrap/>
            <w:hideMark/>
          </w:tcPr>
          <w:p w14:paraId="2E13CCEF" w14:textId="77777777" w:rsidR="00171526" w:rsidRPr="00F478C5" w:rsidRDefault="00171526" w:rsidP="00F478C5">
            <w:pPr>
              <w:pStyle w:val="Tabletext1"/>
              <w:rPr>
                <w:rFonts w:eastAsiaTheme="minorHAnsi"/>
                <w:b w:val="0"/>
                <w:bCs w:val="0"/>
                <w:lang w:eastAsia="en-US"/>
              </w:rPr>
            </w:pPr>
            <w:r w:rsidRPr="00F478C5">
              <w:rPr>
                <w:rFonts w:eastAsiaTheme="minorHAnsi"/>
                <w:b w:val="0"/>
                <w:bCs w:val="0"/>
                <w:lang w:eastAsia="en-US"/>
              </w:rPr>
              <w:t>Dental (general/specialist)</w:t>
            </w:r>
          </w:p>
        </w:tc>
        <w:tc>
          <w:tcPr>
            <w:tcW w:w="1015" w:type="dxa"/>
            <w:noWrap/>
            <w:hideMark/>
          </w:tcPr>
          <w:p w14:paraId="48A9BC53" w14:textId="77777777" w:rsidR="00171526" w:rsidRPr="00171526" w:rsidRDefault="00171526" w:rsidP="00F478C5">
            <w:pPr>
              <w:pStyle w:val="Tabletext1"/>
              <w:jc w:val="right"/>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171526">
              <w:rPr>
                <w:rFonts w:eastAsiaTheme="minorHAnsi"/>
                <w:lang w:eastAsia="en-US"/>
              </w:rPr>
              <w:t>$53.50</w:t>
            </w:r>
          </w:p>
        </w:tc>
        <w:tc>
          <w:tcPr>
            <w:tcW w:w="3007" w:type="dxa"/>
            <w:noWrap/>
            <w:hideMark/>
          </w:tcPr>
          <w:p w14:paraId="32AA8B47" w14:textId="77777777" w:rsidR="00171526" w:rsidRPr="00171526" w:rsidRDefault="00171526" w:rsidP="00F478C5">
            <w:pPr>
              <w:pStyle w:val="Tabletext1"/>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171526">
              <w:rPr>
                <w:rFonts w:eastAsiaTheme="minorHAnsi"/>
                <w:lang w:eastAsia="en-US"/>
              </w:rPr>
              <w:t>D011 Comprehensive Oral Examination, South Australia</w:t>
            </w:r>
          </w:p>
        </w:tc>
        <w:tc>
          <w:tcPr>
            <w:tcW w:w="3462" w:type="dxa"/>
          </w:tcPr>
          <w:p w14:paraId="53ADF570" w14:textId="77777777" w:rsidR="00171526" w:rsidRPr="00171526" w:rsidRDefault="00171526" w:rsidP="00F478C5">
            <w:pPr>
              <w:pStyle w:val="Tabletext1"/>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171526">
              <w:rPr>
                <w:rFonts w:eastAsiaTheme="minorHAnsi"/>
                <w:lang w:eastAsia="en-US"/>
              </w:rPr>
              <w:t>Dental Schedule of Fees – ADF Services, Bupa Health Services Pty Ltd. Prices are effective from 1 July 2019.</w:t>
            </w:r>
          </w:p>
        </w:tc>
      </w:tr>
      <w:tr w:rsidR="00171526" w:rsidRPr="00171526" w14:paraId="6579251B" w14:textId="77777777" w:rsidTr="00F478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32" w:type="dxa"/>
            <w:noWrap/>
            <w:hideMark/>
          </w:tcPr>
          <w:p w14:paraId="4969CC91" w14:textId="77777777" w:rsidR="00171526" w:rsidRPr="00F478C5" w:rsidRDefault="00171526" w:rsidP="00F478C5">
            <w:pPr>
              <w:pStyle w:val="Tabletext1"/>
              <w:rPr>
                <w:rFonts w:eastAsiaTheme="minorHAnsi"/>
                <w:b w:val="0"/>
                <w:bCs w:val="0"/>
                <w:lang w:eastAsia="en-US"/>
              </w:rPr>
            </w:pPr>
            <w:r w:rsidRPr="00F478C5">
              <w:rPr>
                <w:rFonts w:eastAsiaTheme="minorHAnsi"/>
                <w:b w:val="0"/>
                <w:bCs w:val="0"/>
                <w:lang w:eastAsia="en-US"/>
              </w:rPr>
              <w:t>Dietetics</w:t>
            </w:r>
          </w:p>
        </w:tc>
        <w:tc>
          <w:tcPr>
            <w:tcW w:w="1015" w:type="dxa"/>
            <w:noWrap/>
            <w:hideMark/>
          </w:tcPr>
          <w:p w14:paraId="7AD9A74C" w14:textId="77777777" w:rsidR="00171526" w:rsidRPr="00171526" w:rsidRDefault="00171526" w:rsidP="00F478C5">
            <w:pPr>
              <w:pStyle w:val="Tabletext1"/>
              <w:jc w:val="right"/>
              <w:cnfStyle w:val="000000100000" w:firstRow="0" w:lastRow="0" w:firstColumn="0" w:lastColumn="0" w:oddVBand="0" w:evenVBand="0" w:oddHBand="1" w:evenHBand="0" w:firstRowFirstColumn="0" w:firstRowLastColumn="0" w:lastRowFirstColumn="0" w:lastRowLastColumn="0"/>
              <w:rPr>
                <w:rFonts w:eastAsiaTheme="minorHAnsi"/>
                <w:lang w:eastAsia="en-US"/>
              </w:rPr>
            </w:pPr>
            <w:r w:rsidRPr="00171526">
              <w:rPr>
                <w:rFonts w:eastAsiaTheme="minorHAnsi"/>
                <w:lang w:eastAsia="en-US"/>
              </w:rPr>
              <w:t>$102.90</w:t>
            </w:r>
          </w:p>
        </w:tc>
        <w:tc>
          <w:tcPr>
            <w:tcW w:w="3007" w:type="dxa"/>
            <w:noWrap/>
            <w:hideMark/>
          </w:tcPr>
          <w:p w14:paraId="0AF3F989" w14:textId="77777777" w:rsidR="00171526" w:rsidRPr="00171526" w:rsidRDefault="00171526" w:rsidP="00F478C5">
            <w:pPr>
              <w:pStyle w:val="Tabletext1"/>
              <w:cnfStyle w:val="000000100000" w:firstRow="0" w:lastRow="0" w:firstColumn="0" w:lastColumn="0" w:oddVBand="0" w:evenVBand="0" w:oddHBand="1" w:evenHBand="0" w:firstRowFirstColumn="0" w:firstRowLastColumn="0" w:lastRowFirstColumn="0" w:lastRowLastColumn="0"/>
              <w:rPr>
                <w:rFonts w:eastAsiaTheme="minorHAnsi"/>
                <w:lang w:eastAsia="en-US"/>
              </w:rPr>
            </w:pPr>
            <w:r w:rsidRPr="00171526">
              <w:rPr>
                <w:rFonts w:eastAsiaTheme="minorHAnsi"/>
                <w:lang w:eastAsia="en-US"/>
              </w:rPr>
              <w:t>DT01-Dietician –Initial Individual Consultation</w:t>
            </w:r>
          </w:p>
        </w:tc>
        <w:tc>
          <w:tcPr>
            <w:tcW w:w="3462" w:type="dxa"/>
          </w:tcPr>
          <w:p w14:paraId="4CB8B80A" w14:textId="77777777" w:rsidR="00171526" w:rsidRPr="00171526" w:rsidRDefault="00171526" w:rsidP="00F478C5">
            <w:pPr>
              <w:pStyle w:val="Tabletext1"/>
              <w:cnfStyle w:val="000000100000" w:firstRow="0" w:lastRow="0" w:firstColumn="0" w:lastColumn="0" w:oddVBand="0" w:evenVBand="0" w:oddHBand="1" w:evenHBand="0" w:firstRowFirstColumn="0" w:firstRowLastColumn="0" w:lastRowFirstColumn="0" w:lastRowLastColumn="0"/>
              <w:rPr>
                <w:rFonts w:eastAsiaTheme="minorHAnsi"/>
                <w:lang w:eastAsia="en-US"/>
              </w:rPr>
            </w:pPr>
            <w:r w:rsidRPr="00171526">
              <w:rPr>
                <w:rFonts w:eastAsiaTheme="minorHAnsi"/>
                <w:lang w:eastAsia="en-US"/>
              </w:rPr>
              <w:t>Dietitian Schedule of Fees, Bupa Health Services Pty Ltd. Prices are effective from 1 July 2019.</w:t>
            </w:r>
          </w:p>
        </w:tc>
      </w:tr>
      <w:tr w:rsidR="00171526" w:rsidRPr="00171526" w14:paraId="58585393" w14:textId="77777777" w:rsidTr="00F478C5">
        <w:trPr>
          <w:trHeight w:val="300"/>
        </w:trPr>
        <w:tc>
          <w:tcPr>
            <w:cnfStyle w:val="001000000000" w:firstRow="0" w:lastRow="0" w:firstColumn="1" w:lastColumn="0" w:oddVBand="0" w:evenVBand="0" w:oddHBand="0" w:evenHBand="0" w:firstRowFirstColumn="0" w:firstRowLastColumn="0" w:lastRowFirstColumn="0" w:lastRowLastColumn="0"/>
            <w:tcW w:w="1532" w:type="dxa"/>
            <w:noWrap/>
            <w:hideMark/>
          </w:tcPr>
          <w:p w14:paraId="739175F7" w14:textId="77777777" w:rsidR="00171526" w:rsidRPr="00F478C5" w:rsidRDefault="00171526" w:rsidP="00F478C5">
            <w:pPr>
              <w:pStyle w:val="Tabletext1"/>
              <w:rPr>
                <w:rFonts w:eastAsiaTheme="minorHAnsi"/>
                <w:b w:val="0"/>
                <w:bCs w:val="0"/>
                <w:lang w:eastAsia="en-US"/>
              </w:rPr>
            </w:pPr>
            <w:r w:rsidRPr="00F478C5">
              <w:rPr>
                <w:rFonts w:eastAsiaTheme="minorHAnsi"/>
                <w:b w:val="0"/>
                <w:bCs w:val="0"/>
                <w:lang w:eastAsia="en-US"/>
              </w:rPr>
              <w:t>Nurse practitioner (wound care)</w:t>
            </w:r>
          </w:p>
        </w:tc>
        <w:tc>
          <w:tcPr>
            <w:tcW w:w="1015" w:type="dxa"/>
            <w:noWrap/>
            <w:hideMark/>
          </w:tcPr>
          <w:p w14:paraId="52BD0982" w14:textId="43EB0E05" w:rsidR="00171526" w:rsidRPr="00171526" w:rsidRDefault="00171526" w:rsidP="00F478C5">
            <w:pPr>
              <w:pStyle w:val="Tabletext1"/>
              <w:jc w:val="right"/>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Tahoma"/>
                <w:lang w:eastAsia="en-US"/>
              </w:rPr>
            </w:pPr>
            <w:r w:rsidRPr="00171526">
              <w:rPr>
                <w:rFonts w:eastAsiaTheme="minorHAnsi"/>
                <w:lang w:eastAsia="en-US"/>
              </w:rPr>
              <w:t>$76.00</w:t>
            </w:r>
          </w:p>
        </w:tc>
        <w:tc>
          <w:tcPr>
            <w:tcW w:w="3007" w:type="dxa"/>
            <w:noWrap/>
            <w:hideMark/>
          </w:tcPr>
          <w:p w14:paraId="39229199" w14:textId="77777777" w:rsidR="00171526" w:rsidRPr="00171526" w:rsidRDefault="00171526" w:rsidP="00F478C5">
            <w:pPr>
              <w:pStyle w:val="Tabletext1"/>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171526">
              <w:rPr>
                <w:rFonts w:eastAsiaTheme="minorHAnsi"/>
                <w:lang w:eastAsia="en-US"/>
              </w:rPr>
              <w:t>Nursing 30 mins, Weekday 7am-6pm</w:t>
            </w:r>
          </w:p>
        </w:tc>
        <w:tc>
          <w:tcPr>
            <w:tcW w:w="3462" w:type="dxa"/>
          </w:tcPr>
          <w:p w14:paraId="7E387E75" w14:textId="77777777" w:rsidR="00171526" w:rsidRPr="00171526" w:rsidRDefault="00612340" w:rsidP="00F478C5">
            <w:pPr>
              <w:pStyle w:val="Tabletext1"/>
              <w:cnfStyle w:val="000000000000" w:firstRow="0" w:lastRow="0" w:firstColumn="0" w:lastColumn="0" w:oddVBand="0" w:evenVBand="0" w:oddHBand="0" w:evenHBand="0" w:firstRowFirstColumn="0" w:firstRowLastColumn="0" w:lastRowFirstColumn="0" w:lastRowLastColumn="0"/>
              <w:rPr>
                <w:rFonts w:eastAsiaTheme="minorHAnsi"/>
                <w:lang w:eastAsia="en-US"/>
              </w:rPr>
            </w:pPr>
            <w:hyperlink r:id="rId61" w:history="1">
              <w:r w:rsidR="00171526" w:rsidRPr="00171526">
                <w:rPr>
                  <w:rFonts w:eastAsiaTheme="minorHAnsi"/>
                  <w:color w:val="0000FF"/>
                  <w:u w:val="single"/>
                  <w:lang w:eastAsia="en-US"/>
                </w:rPr>
                <w:t>https://www.silverchain.org.au/sa/understanding-your-options/costs-and-eligibility/</w:t>
              </w:r>
            </w:hyperlink>
            <w:r w:rsidR="00171526" w:rsidRPr="00171526">
              <w:rPr>
                <w:rFonts w:eastAsiaTheme="minorHAnsi"/>
                <w:lang w:eastAsia="en-US"/>
              </w:rPr>
              <w:t xml:space="preserve"> (last accessed 15/03/21)</w:t>
            </w:r>
          </w:p>
        </w:tc>
      </w:tr>
      <w:tr w:rsidR="00171526" w:rsidRPr="00171526" w14:paraId="56E6BB7D" w14:textId="77777777" w:rsidTr="00F478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32" w:type="dxa"/>
            <w:noWrap/>
            <w:hideMark/>
          </w:tcPr>
          <w:p w14:paraId="4F8B1F05" w14:textId="77777777" w:rsidR="00171526" w:rsidRPr="00F478C5" w:rsidRDefault="00171526" w:rsidP="00F478C5">
            <w:pPr>
              <w:pStyle w:val="Tabletext1"/>
              <w:rPr>
                <w:rFonts w:eastAsiaTheme="minorHAnsi"/>
                <w:b w:val="0"/>
                <w:bCs w:val="0"/>
                <w:lang w:eastAsia="en-US"/>
              </w:rPr>
            </w:pPr>
            <w:r w:rsidRPr="00F478C5">
              <w:rPr>
                <w:rFonts w:eastAsiaTheme="minorHAnsi"/>
                <w:b w:val="0"/>
                <w:bCs w:val="0"/>
                <w:lang w:eastAsia="en-US"/>
              </w:rPr>
              <w:t>Occupational Therapy</w:t>
            </w:r>
          </w:p>
        </w:tc>
        <w:tc>
          <w:tcPr>
            <w:tcW w:w="1015" w:type="dxa"/>
            <w:noWrap/>
            <w:hideMark/>
          </w:tcPr>
          <w:p w14:paraId="2731DCE2" w14:textId="77777777" w:rsidR="00171526" w:rsidRPr="00171526" w:rsidRDefault="00171526" w:rsidP="00F478C5">
            <w:pPr>
              <w:pStyle w:val="Tabletext1"/>
              <w:jc w:val="right"/>
              <w:cnfStyle w:val="000000100000" w:firstRow="0" w:lastRow="0" w:firstColumn="0" w:lastColumn="0" w:oddVBand="0" w:evenVBand="0" w:oddHBand="1" w:evenHBand="0" w:firstRowFirstColumn="0" w:firstRowLastColumn="0" w:lastRowFirstColumn="0" w:lastRowLastColumn="0"/>
              <w:rPr>
                <w:rFonts w:eastAsiaTheme="minorHAnsi"/>
                <w:lang w:eastAsia="en-US"/>
              </w:rPr>
            </w:pPr>
            <w:r w:rsidRPr="00171526">
              <w:rPr>
                <w:rFonts w:eastAsiaTheme="minorHAnsi"/>
                <w:lang w:eastAsia="en-US"/>
              </w:rPr>
              <w:t>$129.22</w:t>
            </w:r>
          </w:p>
        </w:tc>
        <w:tc>
          <w:tcPr>
            <w:tcW w:w="3007" w:type="dxa"/>
            <w:noWrap/>
            <w:hideMark/>
          </w:tcPr>
          <w:p w14:paraId="3EF38A51" w14:textId="77777777" w:rsidR="00171526" w:rsidRPr="00171526" w:rsidRDefault="00171526" w:rsidP="00F478C5">
            <w:pPr>
              <w:pStyle w:val="Tabletext1"/>
              <w:cnfStyle w:val="000000100000" w:firstRow="0" w:lastRow="0" w:firstColumn="0" w:lastColumn="0" w:oddVBand="0" w:evenVBand="0" w:oddHBand="1" w:evenHBand="0" w:firstRowFirstColumn="0" w:firstRowLastColumn="0" w:lastRowFirstColumn="0" w:lastRowLastColumn="0"/>
              <w:rPr>
                <w:rFonts w:eastAsiaTheme="minorHAnsi"/>
                <w:lang w:eastAsia="en-US"/>
              </w:rPr>
            </w:pPr>
            <w:r w:rsidRPr="00171526">
              <w:rPr>
                <w:rFonts w:eastAsiaTheme="minorHAnsi"/>
                <w:lang w:eastAsia="en-US"/>
              </w:rPr>
              <w:t>OT02 Occupational Therapy - Initial Consultation - Home Visit</w:t>
            </w:r>
          </w:p>
        </w:tc>
        <w:tc>
          <w:tcPr>
            <w:tcW w:w="3462" w:type="dxa"/>
          </w:tcPr>
          <w:p w14:paraId="200E1274" w14:textId="77777777" w:rsidR="00171526" w:rsidRPr="00171526" w:rsidRDefault="00171526" w:rsidP="00F478C5">
            <w:pPr>
              <w:pStyle w:val="Tabletext1"/>
              <w:cnfStyle w:val="000000100000" w:firstRow="0" w:lastRow="0" w:firstColumn="0" w:lastColumn="0" w:oddVBand="0" w:evenVBand="0" w:oddHBand="1" w:evenHBand="0" w:firstRowFirstColumn="0" w:firstRowLastColumn="0" w:lastRowFirstColumn="0" w:lastRowLastColumn="0"/>
              <w:rPr>
                <w:rFonts w:eastAsiaTheme="minorHAnsi"/>
                <w:lang w:eastAsia="en-US"/>
              </w:rPr>
            </w:pPr>
            <w:r w:rsidRPr="00171526">
              <w:rPr>
                <w:rFonts w:eastAsiaTheme="minorHAnsi"/>
                <w:lang w:eastAsia="en-US"/>
              </w:rPr>
              <w:t>Occupational Therapy Schedule of Fees, Bupa Health Services Pty Ltd. Prices are effective from 1 July 2019.</w:t>
            </w:r>
          </w:p>
        </w:tc>
      </w:tr>
      <w:tr w:rsidR="00171526" w:rsidRPr="00171526" w14:paraId="3C928856" w14:textId="77777777" w:rsidTr="00F478C5">
        <w:trPr>
          <w:trHeight w:val="300"/>
        </w:trPr>
        <w:tc>
          <w:tcPr>
            <w:cnfStyle w:val="001000000000" w:firstRow="0" w:lastRow="0" w:firstColumn="1" w:lastColumn="0" w:oddVBand="0" w:evenVBand="0" w:oddHBand="0" w:evenHBand="0" w:firstRowFirstColumn="0" w:firstRowLastColumn="0" w:lastRowFirstColumn="0" w:lastRowLastColumn="0"/>
            <w:tcW w:w="1532" w:type="dxa"/>
            <w:noWrap/>
            <w:hideMark/>
          </w:tcPr>
          <w:p w14:paraId="6CB391F5" w14:textId="77777777" w:rsidR="00171526" w:rsidRPr="00F478C5" w:rsidRDefault="00171526" w:rsidP="00F478C5">
            <w:pPr>
              <w:pStyle w:val="Tabletext1"/>
              <w:rPr>
                <w:rFonts w:eastAsiaTheme="minorHAnsi"/>
                <w:b w:val="0"/>
                <w:bCs w:val="0"/>
                <w:lang w:eastAsia="en-US"/>
              </w:rPr>
            </w:pPr>
            <w:proofErr w:type="spellStart"/>
            <w:r w:rsidRPr="00F478C5">
              <w:rPr>
                <w:rFonts w:eastAsiaTheme="minorHAnsi"/>
                <w:b w:val="0"/>
                <w:bCs w:val="0"/>
                <w:lang w:eastAsia="en-US"/>
              </w:rPr>
              <w:t>Parkinsons</w:t>
            </w:r>
            <w:proofErr w:type="spellEnd"/>
            <w:r w:rsidRPr="00F478C5">
              <w:rPr>
                <w:rFonts w:eastAsiaTheme="minorHAnsi"/>
                <w:b w:val="0"/>
                <w:bCs w:val="0"/>
                <w:lang w:eastAsia="en-US"/>
              </w:rPr>
              <w:t xml:space="preserve"> Nurse</w:t>
            </w:r>
          </w:p>
        </w:tc>
        <w:tc>
          <w:tcPr>
            <w:tcW w:w="1015" w:type="dxa"/>
            <w:noWrap/>
            <w:hideMark/>
          </w:tcPr>
          <w:p w14:paraId="77805530" w14:textId="61F1851C" w:rsidR="00171526" w:rsidRPr="00171526" w:rsidRDefault="00171526" w:rsidP="00F478C5">
            <w:pPr>
              <w:pStyle w:val="Tabletext1"/>
              <w:jc w:val="right"/>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Tahoma"/>
                <w:lang w:eastAsia="en-US"/>
              </w:rPr>
            </w:pPr>
            <w:r w:rsidRPr="00171526">
              <w:rPr>
                <w:rFonts w:eastAsiaTheme="minorHAnsi"/>
                <w:lang w:eastAsia="en-US"/>
              </w:rPr>
              <w:t>$76.00</w:t>
            </w:r>
          </w:p>
        </w:tc>
        <w:tc>
          <w:tcPr>
            <w:tcW w:w="3007" w:type="dxa"/>
            <w:noWrap/>
            <w:hideMark/>
          </w:tcPr>
          <w:p w14:paraId="115105D5" w14:textId="77777777" w:rsidR="00171526" w:rsidRPr="00171526" w:rsidRDefault="00171526" w:rsidP="00F478C5">
            <w:pPr>
              <w:pStyle w:val="Tabletext1"/>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171526">
              <w:rPr>
                <w:rFonts w:eastAsiaTheme="minorHAnsi"/>
                <w:lang w:eastAsia="en-US"/>
              </w:rPr>
              <w:t>Nursing 30 mins, Weekday 7am-6pm</w:t>
            </w:r>
          </w:p>
        </w:tc>
        <w:tc>
          <w:tcPr>
            <w:tcW w:w="3462" w:type="dxa"/>
          </w:tcPr>
          <w:p w14:paraId="6C59655D" w14:textId="77777777" w:rsidR="00171526" w:rsidRPr="00171526" w:rsidRDefault="00612340" w:rsidP="00F478C5">
            <w:pPr>
              <w:pStyle w:val="Tabletext1"/>
              <w:cnfStyle w:val="000000000000" w:firstRow="0" w:lastRow="0" w:firstColumn="0" w:lastColumn="0" w:oddVBand="0" w:evenVBand="0" w:oddHBand="0" w:evenHBand="0" w:firstRowFirstColumn="0" w:firstRowLastColumn="0" w:lastRowFirstColumn="0" w:lastRowLastColumn="0"/>
              <w:rPr>
                <w:rFonts w:eastAsiaTheme="minorHAnsi"/>
                <w:lang w:eastAsia="en-US"/>
              </w:rPr>
            </w:pPr>
            <w:hyperlink r:id="rId62" w:history="1">
              <w:r w:rsidR="00171526" w:rsidRPr="00171526">
                <w:rPr>
                  <w:rFonts w:eastAsiaTheme="minorHAnsi"/>
                  <w:color w:val="0000FF"/>
                  <w:u w:val="single"/>
                  <w:lang w:eastAsia="en-US"/>
                </w:rPr>
                <w:t>https://www.silverchain.org.au/sa/understanding-your-options/costs-and-eligibility/</w:t>
              </w:r>
            </w:hyperlink>
            <w:r w:rsidR="00171526" w:rsidRPr="00171526">
              <w:rPr>
                <w:rFonts w:eastAsiaTheme="minorHAnsi"/>
                <w:lang w:eastAsia="en-US"/>
              </w:rPr>
              <w:t xml:space="preserve"> (last accessed 15/03/21)</w:t>
            </w:r>
          </w:p>
        </w:tc>
      </w:tr>
      <w:tr w:rsidR="00171526" w:rsidRPr="00171526" w14:paraId="4A235D9E" w14:textId="77777777" w:rsidTr="00F478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32" w:type="dxa"/>
            <w:noWrap/>
            <w:hideMark/>
          </w:tcPr>
          <w:p w14:paraId="5C852647" w14:textId="77777777" w:rsidR="00171526" w:rsidRPr="00F478C5" w:rsidRDefault="00171526" w:rsidP="00F478C5">
            <w:pPr>
              <w:pStyle w:val="Tabletext1"/>
              <w:rPr>
                <w:rFonts w:eastAsiaTheme="minorHAnsi"/>
                <w:b w:val="0"/>
                <w:bCs w:val="0"/>
                <w:lang w:eastAsia="en-US"/>
              </w:rPr>
            </w:pPr>
            <w:r w:rsidRPr="00F478C5">
              <w:rPr>
                <w:rFonts w:eastAsiaTheme="minorHAnsi"/>
                <w:b w:val="0"/>
                <w:bCs w:val="0"/>
                <w:lang w:eastAsia="en-US"/>
              </w:rPr>
              <w:t>Physiotherapy</w:t>
            </w:r>
          </w:p>
        </w:tc>
        <w:tc>
          <w:tcPr>
            <w:tcW w:w="1015" w:type="dxa"/>
            <w:noWrap/>
            <w:hideMark/>
          </w:tcPr>
          <w:p w14:paraId="7B1A663A" w14:textId="77777777" w:rsidR="00171526" w:rsidRPr="00171526" w:rsidRDefault="00171526" w:rsidP="00F478C5">
            <w:pPr>
              <w:pStyle w:val="Tabletext1"/>
              <w:jc w:val="right"/>
              <w:cnfStyle w:val="000000100000" w:firstRow="0" w:lastRow="0" w:firstColumn="0" w:lastColumn="0" w:oddVBand="0" w:evenVBand="0" w:oddHBand="1" w:evenHBand="0" w:firstRowFirstColumn="0" w:firstRowLastColumn="0" w:lastRowFirstColumn="0" w:lastRowLastColumn="0"/>
              <w:rPr>
                <w:rFonts w:eastAsiaTheme="minorHAnsi"/>
                <w:lang w:eastAsia="en-US"/>
              </w:rPr>
            </w:pPr>
            <w:r w:rsidRPr="00171526">
              <w:rPr>
                <w:rFonts w:eastAsiaTheme="minorHAnsi"/>
                <w:lang w:eastAsia="en-US"/>
              </w:rPr>
              <w:t>$65.00</w:t>
            </w:r>
          </w:p>
        </w:tc>
        <w:tc>
          <w:tcPr>
            <w:tcW w:w="3007" w:type="dxa"/>
            <w:noWrap/>
            <w:hideMark/>
          </w:tcPr>
          <w:p w14:paraId="3ED0C99D" w14:textId="77777777" w:rsidR="00171526" w:rsidRPr="00171526" w:rsidRDefault="00171526" w:rsidP="00F478C5">
            <w:pPr>
              <w:pStyle w:val="Tabletext1"/>
              <w:cnfStyle w:val="000000100000" w:firstRow="0" w:lastRow="0" w:firstColumn="0" w:lastColumn="0" w:oddVBand="0" w:evenVBand="0" w:oddHBand="1" w:evenHBand="0" w:firstRowFirstColumn="0" w:firstRowLastColumn="0" w:lastRowFirstColumn="0" w:lastRowLastColumn="0"/>
              <w:rPr>
                <w:rFonts w:eastAsiaTheme="minorHAnsi"/>
                <w:lang w:eastAsia="en-US"/>
              </w:rPr>
            </w:pPr>
            <w:r w:rsidRPr="00171526">
              <w:rPr>
                <w:rFonts w:eastAsiaTheme="minorHAnsi"/>
                <w:lang w:eastAsia="en-US"/>
              </w:rPr>
              <w:t>T505 Standard Treatment (South Australia)</w:t>
            </w:r>
          </w:p>
        </w:tc>
        <w:tc>
          <w:tcPr>
            <w:tcW w:w="3462" w:type="dxa"/>
          </w:tcPr>
          <w:p w14:paraId="6AD36054" w14:textId="77777777" w:rsidR="00171526" w:rsidRPr="00171526" w:rsidRDefault="00171526" w:rsidP="00F478C5">
            <w:pPr>
              <w:pStyle w:val="Tabletext1"/>
              <w:cnfStyle w:val="000000100000" w:firstRow="0" w:lastRow="0" w:firstColumn="0" w:lastColumn="0" w:oddVBand="0" w:evenVBand="0" w:oddHBand="1" w:evenHBand="0" w:firstRowFirstColumn="0" w:firstRowLastColumn="0" w:lastRowFirstColumn="0" w:lastRowLastColumn="0"/>
              <w:rPr>
                <w:rFonts w:eastAsiaTheme="minorHAnsi"/>
                <w:lang w:eastAsia="en-US"/>
              </w:rPr>
            </w:pPr>
            <w:r w:rsidRPr="00171526">
              <w:rPr>
                <w:rFonts w:eastAsiaTheme="minorHAnsi"/>
                <w:lang w:eastAsia="en-US"/>
              </w:rPr>
              <w:t>Physiotherapy Schedule of Fees – ADF Services, Bupa Health Services Pty Ltd. Prices are effective from 12 March 2020</w:t>
            </w:r>
          </w:p>
        </w:tc>
      </w:tr>
      <w:tr w:rsidR="00171526" w:rsidRPr="00171526" w14:paraId="369E6FB1" w14:textId="77777777" w:rsidTr="00F478C5">
        <w:trPr>
          <w:trHeight w:val="300"/>
        </w:trPr>
        <w:tc>
          <w:tcPr>
            <w:cnfStyle w:val="001000000000" w:firstRow="0" w:lastRow="0" w:firstColumn="1" w:lastColumn="0" w:oddVBand="0" w:evenVBand="0" w:oddHBand="0" w:evenHBand="0" w:firstRowFirstColumn="0" w:firstRowLastColumn="0" w:lastRowFirstColumn="0" w:lastRowLastColumn="0"/>
            <w:tcW w:w="1532" w:type="dxa"/>
            <w:noWrap/>
            <w:hideMark/>
          </w:tcPr>
          <w:p w14:paraId="49CB4DD7" w14:textId="77777777" w:rsidR="00171526" w:rsidRPr="00F478C5" w:rsidRDefault="00171526" w:rsidP="00F478C5">
            <w:pPr>
              <w:pStyle w:val="Tabletext1"/>
              <w:rPr>
                <w:rFonts w:eastAsiaTheme="minorHAnsi"/>
                <w:b w:val="0"/>
                <w:bCs w:val="0"/>
                <w:lang w:eastAsia="en-US"/>
              </w:rPr>
            </w:pPr>
            <w:r w:rsidRPr="00F478C5">
              <w:rPr>
                <w:rFonts w:eastAsiaTheme="minorHAnsi"/>
                <w:b w:val="0"/>
                <w:bCs w:val="0"/>
                <w:lang w:eastAsia="en-US"/>
              </w:rPr>
              <w:t>Podiatry</w:t>
            </w:r>
          </w:p>
        </w:tc>
        <w:tc>
          <w:tcPr>
            <w:tcW w:w="1015" w:type="dxa"/>
            <w:noWrap/>
            <w:hideMark/>
          </w:tcPr>
          <w:p w14:paraId="177609F9" w14:textId="77777777" w:rsidR="00171526" w:rsidRPr="00171526" w:rsidRDefault="00171526" w:rsidP="00F478C5">
            <w:pPr>
              <w:pStyle w:val="Tabletext1"/>
              <w:jc w:val="right"/>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171526">
              <w:rPr>
                <w:rFonts w:eastAsiaTheme="minorHAnsi"/>
                <w:lang w:eastAsia="en-US"/>
              </w:rPr>
              <w:t>$71.40</w:t>
            </w:r>
          </w:p>
        </w:tc>
        <w:tc>
          <w:tcPr>
            <w:tcW w:w="3007" w:type="dxa"/>
            <w:noWrap/>
            <w:hideMark/>
          </w:tcPr>
          <w:p w14:paraId="26695945" w14:textId="77777777" w:rsidR="00171526" w:rsidRPr="00171526" w:rsidRDefault="00171526" w:rsidP="00F478C5">
            <w:pPr>
              <w:pStyle w:val="Tabletext1"/>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171526">
              <w:rPr>
                <w:rFonts w:eastAsiaTheme="minorHAnsi"/>
                <w:lang w:eastAsia="en-US"/>
              </w:rPr>
              <w:t>F023/024/025 Initial Intermediate /Comprehensive Service (/Diabetes) - Home Based</w:t>
            </w:r>
          </w:p>
        </w:tc>
        <w:tc>
          <w:tcPr>
            <w:tcW w:w="3462" w:type="dxa"/>
          </w:tcPr>
          <w:p w14:paraId="32926E4E" w14:textId="77777777" w:rsidR="00171526" w:rsidRPr="00171526" w:rsidRDefault="00171526" w:rsidP="00F478C5">
            <w:pPr>
              <w:pStyle w:val="Tabletext1"/>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171526">
              <w:rPr>
                <w:rFonts w:eastAsiaTheme="minorHAnsi"/>
                <w:lang w:eastAsia="en-US"/>
              </w:rPr>
              <w:t>Podiatry Schedule of Fees, Bupa Health Services Pty Ltd. Prices are effective from 1 July 2019.</w:t>
            </w:r>
          </w:p>
        </w:tc>
      </w:tr>
      <w:tr w:rsidR="00171526" w:rsidRPr="00171526" w14:paraId="16377503" w14:textId="77777777" w:rsidTr="00F478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32" w:type="dxa"/>
            <w:noWrap/>
            <w:hideMark/>
          </w:tcPr>
          <w:p w14:paraId="772FAC78" w14:textId="77777777" w:rsidR="00171526" w:rsidRPr="00F478C5" w:rsidRDefault="00171526" w:rsidP="00F478C5">
            <w:pPr>
              <w:pStyle w:val="Tabletext1"/>
              <w:rPr>
                <w:rFonts w:eastAsiaTheme="minorHAnsi"/>
                <w:b w:val="0"/>
                <w:bCs w:val="0"/>
                <w:lang w:eastAsia="en-US"/>
              </w:rPr>
            </w:pPr>
            <w:r w:rsidRPr="00F478C5">
              <w:rPr>
                <w:rFonts w:eastAsiaTheme="minorHAnsi"/>
                <w:b w:val="0"/>
                <w:bCs w:val="0"/>
                <w:lang w:eastAsia="en-US"/>
              </w:rPr>
              <w:t>Psychology</w:t>
            </w:r>
          </w:p>
        </w:tc>
        <w:tc>
          <w:tcPr>
            <w:tcW w:w="1015" w:type="dxa"/>
            <w:noWrap/>
            <w:hideMark/>
          </w:tcPr>
          <w:p w14:paraId="7AF86942" w14:textId="77777777" w:rsidR="00171526" w:rsidRPr="00171526" w:rsidRDefault="00171526" w:rsidP="00F478C5">
            <w:pPr>
              <w:pStyle w:val="Tabletext1"/>
              <w:jc w:val="right"/>
              <w:cnfStyle w:val="000000100000" w:firstRow="0" w:lastRow="0" w:firstColumn="0" w:lastColumn="0" w:oddVBand="0" w:evenVBand="0" w:oddHBand="1" w:evenHBand="0" w:firstRowFirstColumn="0" w:firstRowLastColumn="0" w:lastRowFirstColumn="0" w:lastRowLastColumn="0"/>
              <w:rPr>
                <w:rFonts w:eastAsiaTheme="minorHAnsi"/>
                <w:lang w:eastAsia="en-US"/>
              </w:rPr>
            </w:pPr>
            <w:r w:rsidRPr="00171526">
              <w:rPr>
                <w:rFonts w:eastAsiaTheme="minorHAnsi"/>
                <w:lang w:eastAsia="en-US"/>
              </w:rPr>
              <w:t>$112.40</w:t>
            </w:r>
          </w:p>
        </w:tc>
        <w:tc>
          <w:tcPr>
            <w:tcW w:w="3007" w:type="dxa"/>
            <w:noWrap/>
            <w:hideMark/>
          </w:tcPr>
          <w:p w14:paraId="26EAF7F2" w14:textId="77777777" w:rsidR="00171526" w:rsidRPr="00171526" w:rsidRDefault="00171526" w:rsidP="00F478C5">
            <w:pPr>
              <w:pStyle w:val="Tabletext1"/>
              <w:cnfStyle w:val="000000100000" w:firstRow="0" w:lastRow="0" w:firstColumn="0" w:lastColumn="0" w:oddVBand="0" w:evenVBand="0" w:oddHBand="1" w:evenHBand="0" w:firstRowFirstColumn="0" w:firstRowLastColumn="0" w:lastRowFirstColumn="0" w:lastRowLastColumn="0"/>
              <w:rPr>
                <w:rFonts w:eastAsiaTheme="minorHAnsi"/>
                <w:lang w:eastAsia="en-US"/>
              </w:rPr>
            </w:pPr>
            <w:r w:rsidRPr="00171526">
              <w:rPr>
                <w:rFonts w:eastAsiaTheme="minorHAnsi"/>
                <w:lang w:eastAsia="en-US"/>
              </w:rPr>
              <w:t>US11 Consultation</w:t>
            </w:r>
          </w:p>
        </w:tc>
        <w:tc>
          <w:tcPr>
            <w:tcW w:w="3462" w:type="dxa"/>
          </w:tcPr>
          <w:p w14:paraId="1F36D934" w14:textId="77777777" w:rsidR="00171526" w:rsidRPr="00171526" w:rsidRDefault="00171526" w:rsidP="00F478C5">
            <w:pPr>
              <w:pStyle w:val="Tabletext1"/>
              <w:cnfStyle w:val="000000100000" w:firstRow="0" w:lastRow="0" w:firstColumn="0" w:lastColumn="0" w:oddVBand="0" w:evenVBand="0" w:oddHBand="1" w:evenHBand="0" w:firstRowFirstColumn="0" w:firstRowLastColumn="0" w:lastRowFirstColumn="0" w:lastRowLastColumn="0"/>
              <w:rPr>
                <w:rFonts w:eastAsiaTheme="minorHAnsi"/>
                <w:lang w:eastAsia="en-US"/>
              </w:rPr>
            </w:pPr>
            <w:r w:rsidRPr="00171526">
              <w:rPr>
                <w:rFonts w:eastAsiaTheme="minorHAnsi"/>
                <w:lang w:eastAsia="en-US"/>
              </w:rPr>
              <w:t>Psychology Schedule of Fees – ADF Services, Bupa Health Services Pty Ltd. Prices are effective from 12 March 2020</w:t>
            </w:r>
          </w:p>
        </w:tc>
      </w:tr>
      <w:tr w:rsidR="00171526" w:rsidRPr="00171526" w14:paraId="130C8406" w14:textId="77777777" w:rsidTr="00F478C5">
        <w:trPr>
          <w:trHeight w:val="300"/>
        </w:trPr>
        <w:tc>
          <w:tcPr>
            <w:cnfStyle w:val="001000000000" w:firstRow="0" w:lastRow="0" w:firstColumn="1" w:lastColumn="0" w:oddVBand="0" w:evenVBand="0" w:oddHBand="0" w:evenHBand="0" w:firstRowFirstColumn="0" w:firstRowLastColumn="0" w:lastRowFirstColumn="0" w:lastRowLastColumn="0"/>
            <w:tcW w:w="1532" w:type="dxa"/>
            <w:noWrap/>
            <w:hideMark/>
          </w:tcPr>
          <w:p w14:paraId="6890B4C0" w14:textId="77777777" w:rsidR="00171526" w:rsidRPr="00F478C5" w:rsidRDefault="00171526" w:rsidP="00F478C5">
            <w:pPr>
              <w:pStyle w:val="Tabletext1"/>
              <w:rPr>
                <w:rFonts w:eastAsiaTheme="minorHAnsi"/>
                <w:b w:val="0"/>
                <w:bCs w:val="0"/>
                <w:lang w:eastAsia="en-US"/>
              </w:rPr>
            </w:pPr>
            <w:r w:rsidRPr="00F478C5">
              <w:rPr>
                <w:rFonts w:eastAsiaTheme="minorHAnsi"/>
                <w:b w:val="0"/>
                <w:bCs w:val="0"/>
                <w:lang w:eastAsia="en-US"/>
              </w:rPr>
              <w:t>Remedial massage</w:t>
            </w:r>
          </w:p>
        </w:tc>
        <w:tc>
          <w:tcPr>
            <w:tcW w:w="1015" w:type="dxa"/>
            <w:noWrap/>
            <w:hideMark/>
          </w:tcPr>
          <w:p w14:paraId="12732097" w14:textId="77777777" w:rsidR="00171526" w:rsidRPr="00171526" w:rsidRDefault="00171526" w:rsidP="00F478C5">
            <w:pPr>
              <w:pStyle w:val="Tabletext1"/>
              <w:jc w:val="right"/>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171526">
              <w:rPr>
                <w:rFonts w:eastAsiaTheme="minorHAnsi"/>
                <w:lang w:eastAsia="en-US"/>
              </w:rPr>
              <w:t>$110.00</w:t>
            </w:r>
          </w:p>
        </w:tc>
        <w:tc>
          <w:tcPr>
            <w:tcW w:w="3007" w:type="dxa"/>
            <w:noWrap/>
            <w:hideMark/>
          </w:tcPr>
          <w:p w14:paraId="65B5F77A" w14:textId="77777777" w:rsidR="00171526" w:rsidRPr="00171526" w:rsidRDefault="00171526" w:rsidP="00F478C5">
            <w:pPr>
              <w:pStyle w:val="Tabletext1"/>
              <w:cnfStyle w:val="000000000000" w:firstRow="0" w:lastRow="0" w:firstColumn="0" w:lastColumn="0" w:oddVBand="0" w:evenVBand="0" w:oddHBand="0" w:evenHBand="0" w:firstRowFirstColumn="0" w:firstRowLastColumn="0" w:lastRowFirstColumn="0" w:lastRowLastColumn="0"/>
              <w:rPr>
                <w:rFonts w:eastAsiaTheme="minorHAnsi"/>
                <w:lang w:eastAsia="en-US"/>
              </w:rPr>
            </w:pPr>
            <w:proofErr w:type="gramStart"/>
            <w:r w:rsidRPr="00171526">
              <w:rPr>
                <w:rFonts w:eastAsiaTheme="minorHAnsi"/>
                <w:lang w:eastAsia="en-US"/>
              </w:rPr>
              <w:t>60 minute</w:t>
            </w:r>
            <w:proofErr w:type="gramEnd"/>
            <w:r w:rsidRPr="00171526">
              <w:rPr>
                <w:rFonts w:eastAsiaTheme="minorHAnsi"/>
                <w:lang w:eastAsia="en-US"/>
              </w:rPr>
              <w:t xml:space="preserve"> initial consult</w:t>
            </w:r>
          </w:p>
        </w:tc>
        <w:tc>
          <w:tcPr>
            <w:tcW w:w="3462" w:type="dxa"/>
          </w:tcPr>
          <w:p w14:paraId="10E3ED1F" w14:textId="77777777" w:rsidR="00171526" w:rsidRPr="00171526" w:rsidRDefault="00612340" w:rsidP="00F478C5">
            <w:pPr>
              <w:pStyle w:val="Tabletext1"/>
              <w:cnfStyle w:val="000000000000" w:firstRow="0" w:lastRow="0" w:firstColumn="0" w:lastColumn="0" w:oddVBand="0" w:evenVBand="0" w:oddHBand="0" w:evenHBand="0" w:firstRowFirstColumn="0" w:firstRowLastColumn="0" w:lastRowFirstColumn="0" w:lastRowLastColumn="0"/>
              <w:rPr>
                <w:rFonts w:eastAsiaTheme="minorHAnsi"/>
                <w:lang w:eastAsia="en-US"/>
              </w:rPr>
            </w:pPr>
            <w:hyperlink r:id="rId63" w:history="1">
              <w:r w:rsidR="00171526" w:rsidRPr="00171526">
                <w:rPr>
                  <w:rFonts w:eastAsiaTheme="minorHAnsi"/>
                  <w:color w:val="0000FF"/>
                  <w:u w:val="single"/>
                  <w:lang w:eastAsia="en-US"/>
                </w:rPr>
                <w:t>https://www.claritywellness.com.au/remedial-massage/remedial-massage-prices/</w:t>
              </w:r>
            </w:hyperlink>
            <w:r w:rsidR="00171526" w:rsidRPr="00171526">
              <w:rPr>
                <w:rFonts w:eastAsiaTheme="minorHAnsi"/>
                <w:lang w:eastAsia="en-US"/>
              </w:rPr>
              <w:t xml:space="preserve"> (last accessed 15/03/21)</w:t>
            </w:r>
          </w:p>
        </w:tc>
      </w:tr>
      <w:tr w:rsidR="00171526" w:rsidRPr="00171526" w14:paraId="7055D225" w14:textId="77777777" w:rsidTr="00F478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32" w:type="dxa"/>
            <w:noWrap/>
            <w:hideMark/>
          </w:tcPr>
          <w:p w14:paraId="623191C6" w14:textId="77777777" w:rsidR="00171526" w:rsidRPr="00F478C5" w:rsidRDefault="00171526" w:rsidP="00F478C5">
            <w:pPr>
              <w:pStyle w:val="Tabletext1"/>
              <w:rPr>
                <w:rFonts w:eastAsiaTheme="minorHAnsi"/>
                <w:b w:val="0"/>
                <w:bCs w:val="0"/>
                <w:lang w:eastAsia="en-US"/>
              </w:rPr>
            </w:pPr>
            <w:r w:rsidRPr="00F478C5">
              <w:rPr>
                <w:rFonts w:eastAsiaTheme="minorHAnsi"/>
                <w:b w:val="0"/>
                <w:bCs w:val="0"/>
                <w:lang w:eastAsia="en-US"/>
              </w:rPr>
              <w:t>Social Worker</w:t>
            </w:r>
          </w:p>
        </w:tc>
        <w:tc>
          <w:tcPr>
            <w:tcW w:w="1015" w:type="dxa"/>
            <w:noWrap/>
            <w:hideMark/>
          </w:tcPr>
          <w:p w14:paraId="22B25098" w14:textId="77777777" w:rsidR="00171526" w:rsidRPr="00171526" w:rsidRDefault="00171526" w:rsidP="00F478C5">
            <w:pPr>
              <w:pStyle w:val="Tabletext1"/>
              <w:jc w:val="right"/>
              <w:cnfStyle w:val="000000100000" w:firstRow="0" w:lastRow="0" w:firstColumn="0" w:lastColumn="0" w:oddVBand="0" w:evenVBand="0" w:oddHBand="1" w:evenHBand="0" w:firstRowFirstColumn="0" w:firstRowLastColumn="0" w:lastRowFirstColumn="0" w:lastRowLastColumn="0"/>
              <w:rPr>
                <w:rFonts w:eastAsiaTheme="minorHAnsi"/>
                <w:lang w:eastAsia="en-US"/>
              </w:rPr>
            </w:pPr>
            <w:r w:rsidRPr="00171526">
              <w:rPr>
                <w:rFonts w:eastAsiaTheme="minorHAnsi"/>
                <w:lang w:eastAsia="en-US"/>
              </w:rPr>
              <w:t>$80.05</w:t>
            </w:r>
          </w:p>
        </w:tc>
        <w:tc>
          <w:tcPr>
            <w:tcW w:w="3007" w:type="dxa"/>
            <w:noWrap/>
            <w:hideMark/>
          </w:tcPr>
          <w:p w14:paraId="2DCA8DC5" w14:textId="77777777" w:rsidR="00171526" w:rsidRPr="00171526" w:rsidRDefault="00171526" w:rsidP="00F478C5">
            <w:pPr>
              <w:pStyle w:val="Tabletext1"/>
              <w:cnfStyle w:val="000000100000" w:firstRow="0" w:lastRow="0" w:firstColumn="0" w:lastColumn="0" w:oddVBand="0" w:evenVBand="0" w:oddHBand="1" w:evenHBand="0" w:firstRowFirstColumn="0" w:firstRowLastColumn="0" w:lastRowFirstColumn="0" w:lastRowLastColumn="0"/>
              <w:rPr>
                <w:rFonts w:eastAsiaTheme="minorHAnsi"/>
                <w:lang w:eastAsia="en-US"/>
              </w:rPr>
            </w:pPr>
            <w:r w:rsidRPr="00171526">
              <w:rPr>
                <w:rFonts w:eastAsiaTheme="minorHAnsi"/>
                <w:lang w:eastAsia="en-US"/>
              </w:rPr>
              <w:t>SW05 Initial Consultation – 1st Client</w:t>
            </w:r>
          </w:p>
        </w:tc>
        <w:tc>
          <w:tcPr>
            <w:tcW w:w="3462" w:type="dxa"/>
          </w:tcPr>
          <w:p w14:paraId="4EAD7B08" w14:textId="77777777" w:rsidR="00171526" w:rsidRPr="00171526" w:rsidRDefault="00171526" w:rsidP="00F478C5">
            <w:pPr>
              <w:pStyle w:val="Tabletext1"/>
              <w:cnfStyle w:val="000000100000" w:firstRow="0" w:lastRow="0" w:firstColumn="0" w:lastColumn="0" w:oddVBand="0" w:evenVBand="0" w:oddHBand="1" w:evenHBand="0" w:firstRowFirstColumn="0" w:firstRowLastColumn="0" w:lastRowFirstColumn="0" w:lastRowLastColumn="0"/>
              <w:rPr>
                <w:rFonts w:eastAsiaTheme="minorHAnsi"/>
                <w:lang w:eastAsia="en-US"/>
              </w:rPr>
            </w:pPr>
            <w:r w:rsidRPr="00171526">
              <w:rPr>
                <w:rFonts w:eastAsiaTheme="minorHAnsi"/>
                <w:lang w:eastAsia="en-US"/>
              </w:rPr>
              <w:t>Social Workers Schedule of Fees Effective 1 July 2020, Australian Government Department of Veterans’ Affairs</w:t>
            </w:r>
          </w:p>
        </w:tc>
      </w:tr>
      <w:tr w:rsidR="00171526" w:rsidRPr="00171526" w14:paraId="00297E10" w14:textId="77777777" w:rsidTr="00F478C5">
        <w:trPr>
          <w:trHeight w:val="300"/>
        </w:trPr>
        <w:tc>
          <w:tcPr>
            <w:cnfStyle w:val="001000000000" w:firstRow="0" w:lastRow="0" w:firstColumn="1" w:lastColumn="0" w:oddVBand="0" w:evenVBand="0" w:oddHBand="0" w:evenHBand="0" w:firstRowFirstColumn="0" w:firstRowLastColumn="0" w:lastRowFirstColumn="0" w:lastRowLastColumn="0"/>
            <w:tcW w:w="1532" w:type="dxa"/>
            <w:noWrap/>
            <w:hideMark/>
          </w:tcPr>
          <w:p w14:paraId="276BD964" w14:textId="77777777" w:rsidR="00171526" w:rsidRPr="00F478C5" w:rsidRDefault="00171526" w:rsidP="00F478C5">
            <w:pPr>
              <w:pStyle w:val="Tabletext1"/>
              <w:rPr>
                <w:rFonts w:eastAsiaTheme="minorHAnsi"/>
                <w:b w:val="0"/>
                <w:bCs w:val="0"/>
                <w:lang w:eastAsia="en-US"/>
              </w:rPr>
            </w:pPr>
            <w:r w:rsidRPr="00F478C5">
              <w:rPr>
                <w:rFonts w:eastAsiaTheme="minorHAnsi"/>
                <w:b w:val="0"/>
                <w:bCs w:val="0"/>
                <w:lang w:eastAsia="en-US"/>
              </w:rPr>
              <w:t>Speech therapy</w:t>
            </w:r>
          </w:p>
        </w:tc>
        <w:tc>
          <w:tcPr>
            <w:tcW w:w="1015" w:type="dxa"/>
            <w:noWrap/>
            <w:hideMark/>
          </w:tcPr>
          <w:p w14:paraId="6F7FA638" w14:textId="77777777" w:rsidR="00171526" w:rsidRPr="00171526" w:rsidRDefault="00171526" w:rsidP="00F478C5">
            <w:pPr>
              <w:pStyle w:val="Tabletext1"/>
              <w:jc w:val="right"/>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171526">
              <w:rPr>
                <w:rFonts w:eastAsiaTheme="minorHAnsi"/>
                <w:lang w:eastAsia="en-US"/>
              </w:rPr>
              <w:t>$148.87</w:t>
            </w:r>
          </w:p>
        </w:tc>
        <w:tc>
          <w:tcPr>
            <w:tcW w:w="3007" w:type="dxa"/>
            <w:noWrap/>
            <w:hideMark/>
          </w:tcPr>
          <w:p w14:paraId="0F18AAD5" w14:textId="77777777" w:rsidR="00171526" w:rsidRPr="00171526" w:rsidRDefault="00171526" w:rsidP="00F478C5">
            <w:pPr>
              <w:pStyle w:val="Tabletext1"/>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171526">
              <w:rPr>
                <w:rFonts w:eastAsiaTheme="minorHAnsi"/>
                <w:lang w:eastAsia="en-US"/>
              </w:rPr>
              <w:t>SPT1 Speech Pathology - Initial Consultation</w:t>
            </w:r>
          </w:p>
        </w:tc>
        <w:tc>
          <w:tcPr>
            <w:tcW w:w="3462" w:type="dxa"/>
          </w:tcPr>
          <w:p w14:paraId="405E63DA" w14:textId="77777777" w:rsidR="00171526" w:rsidRPr="00171526" w:rsidRDefault="00171526" w:rsidP="00F478C5">
            <w:pPr>
              <w:pStyle w:val="Tabletext1"/>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171526">
              <w:rPr>
                <w:rFonts w:eastAsiaTheme="minorHAnsi"/>
                <w:lang w:eastAsia="en-US"/>
              </w:rPr>
              <w:t>Speech Pathology Schedule of Fees – ADF Services, Bupa Health Services Pty Ltd. Prices are effective from 1 July 2019.</w:t>
            </w:r>
          </w:p>
        </w:tc>
      </w:tr>
    </w:tbl>
    <w:p w14:paraId="2388EDC4" w14:textId="7CD66271" w:rsidR="00370F33" w:rsidRPr="00F478C5" w:rsidRDefault="00370F33" w:rsidP="00897C5B">
      <w:pPr>
        <w:pStyle w:val="Caption"/>
        <w:rPr>
          <w:rFonts w:eastAsiaTheme="minorHAnsi"/>
        </w:rPr>
      </w:pPr>
      <w:r w:rsidRPr="00370F33">
        <w:rPr>
          <w:rFonts w:eastAsiaTheme="minorHAnsi"/>
          <w:lang w:eastAsia="en-US"/>
        </w:rPr>
        <w:t>Table A</w:t>
      </w:r>
      <w:r w:rsidR="00030572">
        <w:rPr>
          <w:rFonts w:eastAsiaTheme="minorHAnsi"/>
          <w:lang w:eastAsia="en-US"/>
        </w:rPr>
        <w:t>ppH</w:t>
      </w:r>
      <w:r w:rsidRPr="00370F33">
        <w:rPr>
          <w:rFonts w:eastAsiaTheme="minorHAnsi"/>
          <w:lang w:eastAsia="en-US"/>
        </w:rPr>
        <w:t>-2: Allied health services price sources</w:t>
      </w:r>
      <w:r w:rsidRPr="00F478C5">
        <w:rPr>
          <w:rFonts w:eastAsiaTheme="minorHAnsi"/>
        </w:rPr>
        <w:br w:type="page"/>
      </w:r>
    </w:p>
    <w:p w14:paraId="514ACAC9" w14:textId="40968A53" w:rsidR="00C33056" w:rsidRPr="00183E4D" w:rsidRDefault="00C33056" w:rsidP="00C33056">
      <w:pPr>
        <w:pStyle w:val="Heading1"/>
      </w:pPr>
      <w:bookmarkStart w:id="430" w:name="_Toc117758353"/>
      <w:r w:rsidRPr="00270A3F">
        <w:lastRenderedPageBreak/>
        <w:t xml:space="preserve">Appendix </w:t>
      </w:r>
      <w:r w:rsidR="00E62636">
        <w:t>I</w:t>
      </w:r>
      <w:r w:rsidR="003634A9">
        <w:t xml:space="preserve">: </w:t>
      </w:r>
      <w:r>
        <w:t>Text Alternatives for Complex Figures</w:t>
      </w:r>
      <w:bookmarkEnd w:id="430"/>
    </w:p>
    <w:p w14:paraId="14420507" w14:textId="1A6BC569" w:rsidR="00C33056" w:rsidRDefault="00030572" w:rsidP="00897C5B">
      <w:pPr>
        <w:pStyle w:val="Heading2"/>
      </w:pPr>
      <w:bookmarkStart w:id="431" w:name="_G.1_Text_alternative"/>
      <w:bookmarkStart w:id="432" w:name="_Toc117758354"/>
      <w:bookmarkEnd w:id="431"/>
      <w:r>
        <w:t>I</w:t>
      </w:r>
      <w:r w:rsidR="00C33056">
        <w:t>.1</w:t>
      </w:r>
      <w:r w:rsidR="00C06ACB">
        <w:tab/>
      </w:r>
      <w:r w:rsidR="00C33056">
        <w:t>T</w:t>
      </w:r>
      <w:r w:rsidR="00D9115F">
        <w:t>ext alternative for Figure ES-1</w:t>
      </w:r>
      <w:r w:rsidR="00141744">
        <w:t xml:space="preserve"> and ES-2</w:t>
      </w:r>
      <w:bookmarkEnd w:id="432"/>
    </w:p>
    <w:p w14:paraId="7656E9D2" w14:textId="7707EB80" w:rsidR="00D9115F" w:rsidRPr="00A0710D" w:rsidRDefault="00030572" w:rsidP="00C06ACB">
      <w:pPr>
        <w:pStyle w:val="Heading3"/>
      </w:pPr>
      <w:bookmarkStart w:id="433" w:name="_Toc117758355"/>
      <w:r w:rsidRPr="00A0710D">
        <w:t>I</w:t>
      </w:r>
      <w:r w:rsidR="00141744" w:rsidRPr="00A0710D">
        <w:t>.1.1</w:t>
      </w:r>
      <w:r w:rsidR="00C06ACB">
        <w:tab/>
      </w:r>
      <w:r w:rsidR="00141744" w:rsidRPr="00A0710D">
        <w:t>Text alternative for Figure ES-1</w:t>
      </w:r>
      <w:bookmarkEnd w:id="433"/>
    </w:p>
    <w:p w14:paraId="577F7E21" w14:textId="02B65F57" w:rsidR="00141744" w:rsidRDefault="003D3271" w:rsidP="007501B9">
      <w:r>
        <w:t xml:space="preserve">Figure ES-1 is a flow </w:t>
      </w:r>
      <w:r w:rsidR="00835FD5">
        <w:t xml:space="preserve">chart indicating the clinical algorithm proposed for the new </w:t>
      </w:r>
      <w:proofErr w:type="spellStart"/>
      <w:r w:rsidR="00156AFD">
        <w:t>ReMInDAR</w:t>
      </w:r>
      <w:proofErr w:type="spellEnd"/>
      <w:r w:rsidR="00156AFD">
        <w:t xml:space="preserve"> pharmacy </w:t>
      </w:r>
      <w:r w:rsidR="00835FD5">
        <w:t xml:space="preserve">service in comparison to the clinical algorithm for the comparator of usual care. Residents in an aged care were allocated to one of two arms. Either the comparator arm of the trial where they continued to receive usual care regardless of any medicine or </w:t>
      </w:r>
      <w:r w:rsidR="00156AFD">
        <w:t>frailty</w:t>
      </w:r>
      <w:r w:rsidR="00835FD5">
        <w:t xml:space="preserve"> changes during the year. Or </w:t>
      </w:r>
      <w:r w:rsidR="00156AFD">
        <w:t xml:space="preserve">they were allocated </w:t>
      </w:r>
      <w:r w:rsidR="00835FD5">
        <w:t>to the intervention arm of the trial</w:t>
      </w:r>
      <w:r w:rsidR="00156AFD">
        <w:t xml:space="preserve"> where they received an additional regular pharmacist service. This additional service is further outlined in the next figure</w:t>
      </w:r>
      <w:r w:rsidR="00976D25">
        <w:t>.</w:t>
      </w:r>
    </w:p>
    <w:p w14:paraId="5086C7DF" w14:textId="62EC8500" w:rsidR="00141744" w:rsidRPr="00A0710D" w:rsidRDefault="00030572" w:rsidP="005F0749">
      <w:pPr>
        <w:pStyle w:val="Heading3"/>
      </w:pPr>
      <w:bookmarkStart w:id="434" w:name="_Toc117758356"/>
      <w:r w:rsidRPr="00A0710D">
        <w:t>I</w:t>
      </w:r>
      <w:r w:rsidR="00270A3F" w:rsidRPr="00A0710D">
        <w:t>.1.2</w:t>
      </w:r>
      <w:r w:rsidR="005F0749">
        <w:tab/>
      </w:r>
      <w:r w:rsidR="00141744" w:rsidRPr="00A0710D">
        <w:t>Text alternative for Figure ES-2</w:t>
      </w:r>
      <w:bookmarkEnd w:id="434"/>
    </w:p>
    <w:p w14:paraId="5B31048E" w14:textId="77777777" w:rsidR="002F228C" w:rsidRDefault="00156AFD" w:rsidP="007501B9">
      <w:r>
        <w:t xml:space="preserve">Figure ES-2 is a decision support flow chart that indicates how a resident is triaged through the clinical management algorithm for the </w:t>
      </w:r>
      <w:r w:rsidRPr="00156AFD">
        <w:t xml:space="preserve">new </w:t>
      </w:r>
      <w:proofErr w:type="spellStart"/>
      <w:r w:rsidRPr="00156AFD">
        <w:t>ReMInDAR</w:t>
      </w:r>
      <w:proofErr w:type="spellEnd"/>
      <w:r w:rsidRPr="00156AFD">
        <w:t xml:space="preserve"> pharmacy service</w:t>
      </w:r>
      <w:r>
        <w:t xml:space="preserve">. It also indicates the required actions for each decision pathway. It is a cyclical process as resident reviews are conducted on an </w:t>
      </w:r>
      <w:proofErr w:type="gramStart"/>
      <w:r>
        <w:t>8 weekly</w:t>
      </w:r>
      <w:proofErr w:type="gramEnd"/>
      <w:r>
        <w:t xml:space="preserve"> basis. </w:t>
      </w:r>
    </w:p>
    <w:p w14:paraId="1F002046" w14:textId="23E791E3" w:rsidR="00141744" w:rsidRDefault="00156AFD" w:rsidP="007501B9">
      <w:r>
        <w:t xml:space="preserve">Pharmacists review residents’ medicine charts to determine if a medicine change has occurred in the previous 8 weeks. They also </w:t>
      </w:r>
      <w:r w:rsidR="002F228C">
        <w:t xml:space="preserve">subsequently </w:t>
      </w:r>
      <w:r>
        <w:t xml:space="preserve">interview and assess residents and check their health records to determine if any deterioration is observed (based on </w:t>
      </w:r>
      <w:r w:rsidR="002F228C">
        <w:t>changes</w:t>
      </w:r>
      <w:r>
        <w:t xml:space="preserve"> to their </w:t>
      </w:r>
      <w:r w:rsidR="002F228C">
        <w:t xml:space="preserve">results from </w:t>
      </w:r>
      <w:r>
        <w:t>24 movement activity, grip strength, MoCA</w:t>
      </w:r>
      <w:r w:rsidR="002F228C">
        <w:t xml:space="preserve">) or reported through concerns raised by staff or self-reported by residents. If there are no signs of deterioration or concerns raised, or if the concerns are not thought to be related to </w:t>
      </w:r>
      <w:proofErr w:type="gramStart"/>
      <w:r w:rsidR="002F228C">
        <w:t>medicines</w:t>
      </w:r>
      <w:proofErr w:type="gramEnd"/>
      <w:r w:rsidR="002F228C">
        <w:t xml:space="preserve"> then they are recorded on the residents care record and staff are advised verbally. However, if the pharmacist identifies that the issue is potentially related to medicines then further action is taken. The risk level is determined for the possible cause of medication induced deterioration and recommendations are made to mitigate the risk. If the risk is low </w:t>
      </w:r>
      <w:proofErr w:type="gramStart"/>
      <w:r w:rsidR="002F228C">
        <w:t>level</w:t>
      </w:r>
      <w:proofErr w:type="gramEnd"/>
      <w:r w:rsidR="002F228C">
        <w:t xml:space="preserve"> then the issue is </w:t>
      </w:r>
      <w:r w:rsidR="002F228C" w:rsidRPr="002F228C">
        <w:t>recorded on the residents care record and staff are advised verbally</w:t>
      </w:r>
      <w:r w:rsidR="007501B9">
        <w:t xml:space="preserve">. </w:t>
      </w:r>
      <w:r w:rsidR="002F228C">
        <w:t>If the issue is considered high risk, then recommendations are communicated to the GP for consideration. The GP is responsible for implementing any action or change to prescribing. Regardless of risk level the pharmacist will follow up possible causes of medication induced deterioration in a timely fashion, and review of the residents will cycle every 8 weeks.</w:t>
      </w:r>
    </w:p>
    <w:p w14:paraId="63DA844D" w14:textId="4A9BF59F" w:rsidR="00D9115F" w:rsidRDefault="00612340" w:rsidP="007501B9">
      <w:hyperlink w:anchor="_ES.7_Key_Differences" w:history="1">
        <w:r w:rsidR="00D9115F" w:rsidRPr="00141744">
          <w:rPr>
            <w:rStyle w:val="Hyperlink"/>
          </w:rPr>
          <w:t>Return to executive summary</w:t>
        </w:r>
      </w:hyperlink>
    </w:p>
    <w:p w14:paraId="552C3025" w14:textId="5E1B52E1" w:rsidR="00D9115F" w:rsidRDefault="00030572" w:rsidP="00897C5B">
      <w:pPr>
        <w:pStyle w:val="Heading2"/>
      </w:pPr>
      <w:bookmarkStart w:id="435" w:name="_G.2_Test_alternative"/>
      <w:bookmarkStart w:id="436" w:name="_G.2_Text_alternative"/>
      <w:bookmarkStart w:id="437" w:name="_Toc117758357"/>
      <w:bookmarkEnd w:id="435"/>
      <w:bookmarkEnd w:id="436"/>
      <w:r>
        <w:lastRenderedPageBreak/>
        <w:t>I</w:t>
      </w:r>
      <w:r w:rsidR="00D9115F">
        <w:t>.2</w:t>
      </w:r>
      <w:r w:rsidR="00C06ACB">
        <w:tab/>
      </w:r>
      <w:r w:rsidR="00D9115F">
        <w:t>Text alternative for Figure</w:t>
      </w:r>
      <w:r w:rsidR="00141744">
        <w:t xml:space="preserve"> A-1</w:t>
      </w:r>
      <w:r w:rsidR="00C32C90">
        <w:t>.</w:t>
      </w:r>
      <w:bookmarkEnd w:id="437"/>
    </w:p>
    <w:p w14:paraId="7769BD41" w14:textId="6B18142C" w:rsidR="00D9115F" w:rsidRDefault="00E61DEB" w:rsidP="007501B9">
      <w:r>
        <w:t>The</w:t>
      </w:r>
      <w:r w:rsidR="00C32C90">
        <w:t xml:space="preserve"> schematic </w:t>
      </w:r>
      <w:r>
        <w:t xml:space="preserve">in Figure A-1 </w:t>
      </w:r>
      <w:r w:rsidR="00C32C90">
        <w:t xml:space="preserve">illustrates the relationship between medicines, medicine-induced </w:t>
      </w:r>
      <w:r>
        <w:t xml:space="preserve">deterioration, </w:t>
      </w:r>
      <w:proofErr w:type="gramStart"/>
      <w:r>
        <w:t>frailty</w:t>
      </w:r>
      <w:proofErr w:type="gramEnd"/>
      <w:r>
        <w:t xml:space="preserve"> and adverse events. It is well known that medicines can sometimes lead to adverse events, however they also have impacts on daily functions such as:</w:t>
      </w:r>
    </w:p>
    <w:p w14:paraId="544BCBC9" w14:textId="3C54BCF0" w:rsidR="00E61DEB" w:rsidRDefault="00E61DEB" w:rsidP="00596660">
      <w:pPr>
        <w:pStyle w:val="ListParagraph"/>
        <w:numPr>
          <w:ilvl w:val="0"/>
          <w:numId w:val="11"/>
        </w:numPr>
      </w:pPr>
      <w:r>
        <w:t>Gait, walking and balance</w:t>
      </w:r>
    </w:p>
    <w:p w14:paraId="19E11802" w14:textId="6C4B66ED" w:rsidR="00E61DEB" w:rsidRDefault="00E61DEB" w:rsidP="00596660">
      <w:pPr>
        <w:pStyle w:val="ListParagraph"/>
        <w:numPr>
          <w:ilvl w:val="0"/>
          <w:numId w:val="11"/>
        </w:numPr>
      </w:pPr>
      <w:r>
        <w:t>Appetite</w:t>
      </w:r>
    </w:p>
    <w:p w14:paraId="23B88411" w14:textId="22F52EB5" w:rsidR="00E61DEB" w:rsidRDefault="00E61DEB" w:rsidP="00596660">
      <w:pPr>
        <w:pStyle w:val="ListParagraph"/>
        <w:numPr>
          <w:ilvl w:val="0"/>
          <w:numId w:val="11"/>
        </w:numPr>
      </w:pPr>
      <w:r>
        <w:t>Cognitive impairment.</w:t>
      </w:r>
    </w:p>
    <w:p w14:paraId="3E41A4C5" w14:textId="0928D845" w:rsidR="00141744" w:rsidRDefault="00E61DEB" w:rsidP="007501B9">
      <w:r>
        <w:t>Collectively, these medicine-induced impacts on daily functions can be described as ‘medicine-induced deterioration’. This deterioration in any daily function can lead to frailty and subsequently to the possibility of an adverse event.</w:t>
      </w:r>
    </w:p>
    <w:p w14:paraId="325101A2" w14:textId="365F11F3" w:rsidR="00D9115F" w:rsidRDefault="00612340" w:rsidP="007501B9">
      <w:hyperlink w:anchor="_A.3.2_Exclusion_criteria" w:history="1">
        <w:r w:rsidR="00141744" w:rsidRPr="00141744">
          <w:rPr>
            <w:rStyle w:val="Hyperlink"/>
          </w:rPr>
          <w:t>Return to Section A.3.2 Exclusion criteria</w:t>
        </w:r>
      </w:hyperlink>
    </w:p>
    <w:p w14:paraId="62B0717B" w14:textId="23F552E5" w:rsidR="00D9115F" w:rsidRDefault="00030572" w:rsidP="00897C5B">
      <w:pPr>
        <w:pStyle w:val="Heading2"/>
      </w:pPr>
      <w:bookmarkStart w:id="438" w:name="_G.3._Text_alternative"/>
      <w:bookmarkStart w:id="439" w:name="_Toc117758358"/>
      <w:bookmarkEnd w:id="438"/>
      <w:r>
        <w:t>I</w:t>
      </w:r>
      <w:r w:rsidR="00D9115F">
        <w:t>.3.</w:t>
      </w:r>
      <w:r w:rsidR="00C06ACB">
        <w:tab/>
      </w:r>
      <w:r w:rsidR="00D9115F">
        <w:t>Text alternative for Figure</w:t>
      </w:r>
      <w:r w:rsidR="0036494E">
        <w:t>s A-2 and A-3</w:t>
      </w:r>
      <w:r w:rsidR="00E61DEB">
        <w:t>.</w:t>
      </w:r>
      <w:bookmarkEnd w:id="439"/>
    </w:p>
    <w:p w14:paraId="3871AEDB" w14:textId="5D16275F" w:rsidR="00141744" w:rsidRPr="00A0710D" w:rsidRDefault="0036494E" w:rsidP="00C06ACB">
      <w:pPr>
        <w:pStyle w:val="Heading3"/>
      </w:pPr>
      <w:bookmarkStart w:id="440" w:name="_Toc117758359"/>
      <w:r w:rsidRPr="00A0710D">
        <w:t>Text alternative for Figure A-2</w:t>
      </w:r>
      <w:bookmarkEnd w:id="440"/>
    </w:p>
    <w:p w14:paraId="357301DF" w14:textId="7E14243C" w:rsidR="0036494E" w:rsidRDefault="00E61DEB" w:rsidP="007501B9">
      <w:r w:rsidRPr="00E61DEB">
        <w:t xml:space="preserve">Figure </w:t>
      </w:r>
      <w:r>
        <w:t xml:space="preserve">A-2 is a flow chart </w:t>
      </w:r>
      <w:r w:rsidR="00E24F98">
        <w:t xml:space="preserve">describing </w:t>
      </w:r>
      <w:r w:rsidRPr="00E61DEB">
        <w:t>the</w:t>
      </w:r>
      <w:r w:rsidR="00E24F98">
        <w:t xml:space="preserve"> clinical algorithm of</w:t>
      </w:r>
      <w:r>
        <w:t xml:space="preserve"> </w:t>
      </w:r>
      <w:r w:rsidR="00E24F98">
        <w:t>the intervention arm of the</w:t>
      </w:r>
      <w:r w:rsidRPr="00E61DEB">
        <w:t xml:space="preserve"> </w:t>
      </w:r>
      <w:proofErr w:type="spellStart"/>
      <w:r w:rsidRPr="00E61DEB">
        <w:t>ReMInDAR</w:t>
      </w:r>
      <w:proofErr w:type="spellEnd"/>
      <w:r w:rsidRPr="00E61DEB">
        <w:t xml:space="preserve"> pharmacy service in comparison to the comparator </w:t>
      </w:r>
      <w:r w:rsidR="00E24F98">
        <w:t xml:space="preserve">trial arm </w:t>
      </w:r>
      <w:r w:rsidRPr="00E61DEB">
        <w:t>of usual care. Residents in an aged care were allocated to one of two arms. Either the comparator arm of the trial where they continued to receive usual care regardless of any medicine or frailty changes during the year. Or they were allocated to the intervention arm of the trial where they received an additional regular pharmacist service. This additional service is further outlined in the next figure</w:t>
      </w:r>
      <w:r w:rsidR="00E24F98">
        <w:t>.</w:t>
      </w:r>
    </w:p>
    <w:p w14:paraId="1AD03730" w14:textId="3CD9647F" w:rsidR="0036494E" w:rsidRPr="00A0710D" w:rsidRDefault="00E24F98" w:rsidP="00C06ACB">
      <w:pPr>
        <w:pStyle w:val="Heading3"/>
      </w:pPr>
      <w:bookmarkStart w:id="441" w:name="_Toc117758360"/>
      <w:r w:rsidRPr="00A0710D">
        <w:t>Tex</w:t>
      </w:r>
      <w:r w:rsidR="0036494E" w:rsidRPr="00A0710D">
        <w:t>t alternative for Figure A-3</w:t>
      </w:r>
      <w:bookmarkEnd w:id="441"/>
    </w:p>
    <w:p w14:paraId="1833FFCB" w14:textId="4ACBFD1B" w:rsidR="00E24F98" w:rsidRDefault="00E24F98" w:rsidP="007501B9">
      <w:r>
        <w:t xml:space="preserve">Figure A-3 is a decision support flow chart that indicates how a resident is triaged through the clinical management algorithm for the new </w:t>
      </w:r>
      <w:proofErr w:type="spellStart"/>
      <w:r>
        <w:t>ReMInDAR</w:t>
      </w:r>
      <w:proofErr w:type="spellEnd"/>
      <w:r>
        <w:t xml:space="preserve"> pharmacy service. It also indicates the required actions for each decision pathway. It is a cyclical process as resident reviews are conducted on an </w:t>
      </w:r>
      <w:proofErr w:type="gramStart"/>
      <w:r>
        <w:t>8 weekly</w:t>
      </w:r>
      <w:proofErr w:type="gramEnd"/>
      <w:r>
        <w:t xml:space="preserve"> basis. </w:t>
      </w:r>
    </w:p>
    <w:p w14:paraId="2AF4C91C" w14:textId="42A9A6C5" w:rsidR="0036494E" w:rsidRPr="0036494E" w:rsidRDefault="00E24F98" w:rsidP="007501B9">
      <w:pPr>
        <w:rPr>
          <w:rStyle w:val="Hyperlink"/>
        </w:rPr>
      </w:pPr>
      <w:r>
        <w:t xml:space="preserve">Pharmacists review residents’ medicine charts to determine if a medicine change has occurred in the previous 8 weeks. They also subsequently interview and assess residents and check their health records to determine if any deterioration is observed (based on changes to their results from 24 movement activity, grip strength, MoCA) or reported through concerns raised by staff or self-reported by residents. If there are no signs of deterioration or concerns raised, or if the concerns are not thought to be related to </w:t>
      </w:r>
      <w:proofErr w:type="gramStart"/>
      <w:r>
        <w:t>medicines</w:t>
      </w:r>
      <w:proofErr w:type="gramEnd"/>
      <w:r>
        <w:t xml:space="preserve"> then they are </w:t>
      </w:r>
      <w:r>
        <w:lastRenderedPageBreak/>
        <w:t xml:space="preserve">recorded on the residents care record and staff are advised verbally. However, if the pharmacist identifies that the issue is potentially related to medicines then further action is taken. The risk level is determined for the possible cause of medication induced deterioration and recommendations are made to mitigate the risk. If the risk is low </w:t>
      </w:r>
      <w:proofErr w:type="gramStart"/>
      <w:r>
        <w:t>level</w:t>
      </w:r>
      <w:proofErr w:type="gramEnd"/>
      <w:r>
        <w:t xml:space="preserve"> then the issue is recorded on the residents care record and staff are advised verbally</w:t>
      </w:r>
      <w:r w:rsidR="007501B9">
        <w:t xml:space="preserve">. </w:t>
      </w:r>
      <w:r>
        <w:t>If the issue is considered high risk, then recommendations are communicated to the GP for consideration. The GP is responsible for implementing any action or change to prescribing. Regardless of risk level the pharmacist will follow up possible causes of medication induced deterioration in a timely fashion, and review of the residents will cycle every 8 weeks.</w:t>
      </w:r>
      <w:r w:rsidR="0036494E">
        <w:rPr>
          <w:rFonts w:asciiTheme="minorHAnsi" w:eastAsiaTheme="minorEastAsia" w:hAnsiTheme="minorHAnsi" w:cstheme="minorBidi"/>
        </w:rPr>
        <w:fldChar w:fldCharType="begin"/>
      </w:r>
      <w:r w:rsidR="0036494E">
        <w:instrText xml:space="preserve"> HYPERLINK  \l "_Clinical_Claim" </w:instrText>
      </w:r>
      <w:r w:rsidR="0036494E">
        <w:rPr>
          <w:rFonts w:asciiTheme="minorHAnsi" w:eastAsiaTheme="minorEastAsia" w:hAnsiTheme="minorHAnsi" w:cstheme="minorBidi"/>
        </w:rPr>
        <w:fldChar w:fldCharType="separate"/>
      </w:r>
    </w:p>
    <w:p w14:paraId="2484D27C" w14:textId="50DC3E22" w:rsidR="0036494E" w:rsidRPr="0036494E" w:rsidRDefault="0036494E" w:rsidP="007501B9">
      <w:pPr>
        <w:rPr>
          <w:rStyle w:val="Hyperlink"/>
        </w:rPr>
      </w:pPr>
      <w:r w:rsidRPr="0036494E">
        <w:rPr>
          <w:rStyle w:val="Hyperlink"/>
        </w:rPr>
        <w:t xml:space="preserve">Return to Section A.6 Clinical Claim </w:t>
      </w:r>
    </w:p>
    <w:bookmarkStart w:id="442" w:name="_G.4._Text_alternative"/>
    <w:bookmarkEnd w:id="442"/>
    <w:p w14:paraId="5784AC1E" w14:textId="7D02CF4A" w:rsidR="00D9115F" w:rsidRDefault="0036494E" w:rsidP="00C06ACB">
      <w:pPr>
        <w:pStyle w:val="Heading2"/>
      </w:pPr>
      <w:r>
        <w:fldChar w:fldCharType="end"/>
      </w:r>
      <w:bookmarkStart w:id="443" w:name="_Toc117758361"/>
      <w:r w:rsidR="00030572">
        <w:t>I</w:t>
      </w:r>
      <w:r w:rsidR="00D9115F">
        <w:t>.4.</w:t>
      </w:r>
      <w:r w:rsidR="00C06ACB">
        <w:tab/>
      </w:r>
      <w:r w:rsidR="00D9115F">
        <w:t>Text alternative for Figure</w:t>
      </w:r>
      <w:r>
        <w:t xml:space="preserve"> B-1</w:t>
      </w:r>
      <w:bookmarkEnd w:id="443"/>
    </w:p>
    <w:p w14:paraId="5074709F" w14:textId="64F88B64" w:rsidR="00D9115F" w:rsidRDefault="00E24F98" w:rsidP="007501B9">
      <w:r>
        <w:t xml:space="preserve">Figure B-1 is a flow chart describing the recruitment and subsequent steps of trial delivery across the trial timeframe. At each residential aged care facility residents are screened </w:t>
      </w:r>
      <w:r w:rsidR="00B0546E">
        <w:t xml:space="preserve">by a research assistant </w:t>
      </w:r>
      <w:r>
        <w:t xml:space="preserve">for eligibility and those residents who do not wish to participate are able to opt out. For residents who opt out or who are ineligible, </w:t>
      </w:r>
      <w:r w:rsidR="00B0546E">
        <w:t>there is no further involvement in the trial.</w:t>
      </w:r>
    </w:p>
    <w:p w14:paraId="4D5CD677" w14:textId="127BF25A" w:rsidR="00B0546E" w:rsidRDefault="00B0546E" w:rsidP="007501B9">
      <w:r>
        <w:t xml:space="preserve">Eligible residents who chose to participate in the trial are assessed for baseline trial outcomes, and data is also collected from their medicine and health records. Residents are then randomised (1:1) into one of two trial arms, the comparator </w:t>
      </w:r>
      <w:proofErr w:type="gramStart"/>
      <w:r>
        <w:t>arm</w:t>
      </w:r>
      <w:proofErr w:type="gramEnd"/>
      <w:r>
        <w:t xml:space="preserve"> or the intervention pharmacist service for 12 months (which is further described in text below for Figure B-2). The comparator arm </w:t>
      </w:r>
      <w:r w:rsidRPr="00B0546E">
        <w:t xml:space="preserve">continued to receive usual care </w:t>
      </w:r>
      <w:r>
        <w:t xml:space="preserve">for 12 months </w:t>
      </w:r>
      <w:r w:rsidRPr="00B0546E">
        <w:t>regardless of any medicine or frailty changes during the year.</w:t>
      </w:r>
      <w:r>
        <w:t xml:space="preserve"> Participants in both arms of the trial are assessed for </w:t>
      </w:r>
      <w:proofErr w:type="gramStart"/>
      <w:r>
        <w:t>6 and 12 month</w:t>
      </w:r>
      <w:proofErr w:type="gramEnd"/>
      <w:r>
        <w:t xml:space="preserve"> time point outcomes at the respective period of the trial before trial completion.</w:t>
      </w:r>
    </w:p>
    <w:p w14:paraId="365EB4C2" w14:textId="6323E186" w:rsidR="0036494E" w:rsidRDefault="00612340" w:rsidP="007501B9">
      <w:hyperlink w:anchor="_Randomisation" w:history="1">
        <w:r w:rsidR="0036494E" w:rsidRPr="00936533">
          <w:rPr>
            <w:rStyle w:val="Hyperlink"/>
          </w:rPr>
          <w:t>Return to Section B:</w:t>
        </w:r>
        <w:r w:rsidR="00936533" w:rsidRPr="00936533">
          <w:rPr>
            <w:rStyle w:val="Hyperlink"/>
          </w:rPr>
          <w:t xml:space="preserve"> Methodology of the </w:t>
        </w:r>
        <w:proofErr w:type="spellStart"/>
        <w:r w:rsidR="00936533" w:rsidRPr="00936533">
          <w:rPr>
            <w:rStyle w:val="Hyperlink"/>
          </w:rPr>
          <w:t>ReMInDAR</w:t>
        </w:r>
        <w:proofErr w:type="spellEnd"/>
        <w:r w:rsidR="00936533" w:rsidRPr="00936533">
          <w:rPr>
            <w:rStyle w:val="Hyperlink"/>
          </w:rPr>
          <w:t xml:space="preserve"> trial - Randomisation</w:t>
        </w:r>
      </w:hyperlink>
    </w:p>
    <w:p w14:paraId="6253B66A" w14:textId="2F67B527" w:rsidR="0036494E" w:rsidRDefault="00030572" w:rsidP="00897C5B">
      <w:pPr>
        <w:pStyle w:val="Heading2"/>
      </w:pPr>
      <w:bookmarkStart w:id="444" w:name="_G.4._Text_alternative_1"/>
      <w:bookmarkStart w:id="445" w:name="_Toc117758362"/>
      <w:bookmarkEnd w:id="444"/>
      <w:r>
        <w:t>I</w:t>
      </w:r>
      <w:r w:rsidR="0036494E">
        <w:t>.</w:t>
      </w:r>
      <w:r w:rsidR="00936533">
        <w:t>5</w:t>
      </w:r>
      <w:r w:rsidR="0036494E">
        <w:t>.</w:t>
      </w:r>
      <w:r w:rsidR="00C06ACB">
        <w:tab/>
      </w:r>
      <w:r w:rsidR="0036494E">
        <w:t xml:space="preserve">Text alternative for Figure </w:t>
      </w:r>
      <w:r w:rsidR="00936533">
        <w:t>B-2</w:t>
      </w:r>
      <w:bookmarkEnd w:id="445"/>
    </w:p>
    <w:p w14:paraId="69C6C4B1" w14:textId="7EE556D4" w:rsidR="00B0546E" w:rsidRDefault="00B0546E" w:rsidP="007501B9">
      <w:r>
        <w:t xml:space="preserve">Figure B-2 describes the cyclical pharmacist service that is provided, as resident reviews are conducted on an </w:t>
      </w:r>
      <w:proofErr w:type="gramStart"/>
      <w:r>
        <w:t>8 weekly</w:t>
      </w:r>
      <w:proofErr w:type="gramEnd"/>
      <w:r>
        <w:t xml:space="preserve"> basis. This is a decision support flow chart that indicates how a resident is triaged through the clinical management algorithm for the new </w:t>
      </w:r>
      <w:proofErr w:type="spellStart"/>
      <w:r>
        <w:t>ReMInDAR</w:t>
      </w:r>
      <w:proofErr w:type="spellEnd"/>
      <w:r>
        <w:t xml:space="preserve"> pharmacy service. It also indicates the required actions for each decision pathway. </w:t>
      </w:r>
    </w:p>
    <w:p w14:paraId="0974B650" w14:textId="366768EB" w:rsidR="00B0546E" w:rsidRPr="0036494E" w:rsidRDefault="00B0546E" w:rsidP="007501B9">
      <w:pPr>
        <w:rPr>
          <w:rStyle w:val="Hyperlink"/>
        </w:rPr>
      </w:pPr>
      <w:r>
        <w:t xml:space="preserve">Pharmacists review residents’ medicine charts to determine if a medicine change has occurred in the previous 8 weeks. They also subsequently interview and assess residents and check their health records to determine if any deterioration is observed (based on </w:t>
      </w:r>
      <w:r>
        <w:lastRenderedPageBreak/>
        <w:t xml:space="preserve">changes to their results from 24 movement activity, grip strength, MoCA) or reported through concerns raised by staff or self-reported by residents. If there are no signs of deterioration or concerns raised, or if the concerns are not thought to be related to </w:t>
      </w:r>
      <w:proofErr w:type="gramStart"/>
      <w:r>
        <w:t>medicines</w:t>
      </w:r>
      <w:proofErr w:type="gramEnd"/>
      <w:r>
        <w:t xml:space="preserve"> then they are recorded on the residents care record and staff are advised verbally. However, if the pharmacist identifies that the issue is potentially related to medicines then further action is taken. The risk level is determined for the possible cause of medication induced deterioration and recommendations are made to mitigate the risk. If the risk is low </w:t>
      </w:r>
      <w:proofErr w:type="gramStart"/>
      <w:r>
        <w:t>level</w:t>
      </w:r>
      <w:proofErr w:type="gramEnd"/>
      <w:r>
        <w:t xml:space="preserve"> then the issue is recorded on the residents care record and staff are advised verbally</w:t>
      </w:r>
      <w:r w:rsidR="007501B9">
        <w:t xml:space="preserve">. </w:t>
      </w:r>
      <w:r>
        <w:t>If the issue is considered high risk, then recommendations are communicated to the GP for consideration. The GP is responsible for implementing any action or change to prescribing. Regardless of risk level the pharmacist will follow up possible causes of medication induced deterioration in a timely fashion, and review of the residents will cycle every 8 weeks.</w:t>
      </w:r>
      <w:r>
        <w:fldChar w:fldCharType="begin"/>
      </w:r>
      <w:r>
        <w:instrText xml:space="preserve"> HYPERLINK  \l "_Clinical_Claim" </w:instrText>
      </w:r>
      <w:r>
        <w:fldChar w:fldCharType="separate"/>
      </w:r>
    </w:p>
    <w:p w14:paraId="5B9A823D" w14:textId="4C3DD895" w:rsidR="00936533" w:rsidRDefault="00B0546E" w:rsidP="007501B9">
      <w:r>
        <w:rPr>
          <w:b/>
        </w:rPr>
        <w:fldChar w:fldCharType="end"/>
      </w:r>
      <w:hyperlink w:anchor="_Usual_care" w:history="1">
        <w:r w:rsidR="00936533" w:rsidRPr="00F27CB5">
          <w:rPr>
            <w:rStyle w:val="Hyperlink"/>
          </w:rPr>
          <w:t xml:space="preserve">Return to Section B- Methodology of the </w:t>
        </w:r>
        <w:proofErr w:type="spellStart"/>
        <w:r w:rsidR="00936533" w:rsidRPr="00F27CB5">
          <w:rPr>
            <w:rStyle w:val="Hyperlink"/>
          </w:rPr>
          <w:t>ReMInDAR</w:t>
        </w:r>
        <w:proofErr w:type="spellEnd"/>
        <w:r w:rsidR="00936533" w:rsidRPr="00F27CB5">
          <w:rPr>
            <w:rStyle w:val="Hyperlink"/>
          </w:rPr>
          <w:t xml:space="preserve"> trial – usual care</w:t>
        </w:r>
      </w:hyperlink>
    </w:p>
    <w:p w14:paraId="085F885E" w14:textId="0BC4E03B" w:rsidR="0036494E" w:rsidRDefault="00030572" w:rsidP="00897C5B">
      <w:pPr>
        <w:pStyle w:val="Heading2"/>
      </w:pPr>
      <w:bookmarkStart w:id="446" w:name="_G.6._Text_alternative"/>
      <w:bookmarkStart w:id="447" w:name="_Toc117758363"/>
      <w:bookmarkEnd w:id="446"/>
      <w:r>
        <w:t>I</w:t>
      </w:r>
      <w:r w:rsidR="0036494E">
        <w:t>.</w:t>
      </w:r>
      <w:r w:rsidR="00936533">
        <w:t>6</w:t>
      </w:r>
      <w:r w:rsidR="0036494E">
        <w:t>.</w:t>
      </w:r>
      <w:r w:rsidR="00C06ACB">
        <w:tab/>
      </w:r>
      <w:r w:rsidR="0036494E">
        <w:t>Text alternative for Figure</w:t>
      </w:r>
      <w:r w:rsidR="00E914F1">
        <w:t xml:space="preserve"> B-3</w:t>
      </w:r>
      <w:bookmarkEnd w:id="447"/>
      <w:r w:rsidR="0036494E">
        <w:t xml:space="preserve"> </w:t>
      </w:r>
    </w:p>
    <w:p w14:paraId="1B8CB137" w14:textId="4F512ACF" w:rsidR="0036494E" w:rsidRDefault="00B0546E" w:rsidP="007501B9">
      <w:r>
        <w:t>Figure B-</w:t>
      </w:r>
      <w:r w:rsidR="007F3328">
        <w:t xml:space="preserve">3 is a consort flow diagram indicating </w:t>
      </w:r>
      <w:r w:rsidR="007F3328" w:rsidRPr="007F3328">
        <w:t xml:space="preserve">the numbers and </w:t>
      </w:r>
      <w:proofErr w:type="gramStart"/>
      <w:r w:rsidR="007F3328">
        <w:t>step-wise</w:t>
      </w:r>
      <w:proofErr w:type="gramEnd"/>
      <w:r w:rsidR="007F3328">
        <w:t xml:space="preserve"> </w:t>
      </w:r>
      <w:r w:rsidR="007F3328" w:rsidRPr="007F3328">
        <w:t xml:space="preserve">flow of residents in RACF who were screened, excluded, enrolled, randomised and followed up at each time-point </w:t>
      </w:r>
      <w:r w:rsidR="007F3328">
        <w:t>in the trial</w:t>
      </w:r>
      <w:r w:rsidR="007F3328" w:rsidRPr="007F3328">
        <w:t>.</w:t>
      </w:r>
    </w:p>
    <w:p w14:paraId="1FE15587" w14:textId="1849E662" w:rsidR="007F3328" w:rsidRDefault="007F3328" w:rsidP="007501B9">
      <w:r w:rsidRPr="007F3328">
        <w:t>The 39 RACFs that were involved in the trial had 3,646 residents at the commencement of</w:t>
      </w:r>
      <w:r>
        <w:t xml:space="preserve"> the trial. </w:t>
      </w:r>
      <w:r w:rsidRPr="007F3328">
        <w:t xml:space="preserve">Overall, 3,049 were excluded </w:t>
      </w:r>
      <w:r>
        <w:t xml:space="preserve">in a preliminary desktop </w:t>
      </w:r>
      <w:r w:rsidRPr="007F3328">
        <w:t xml:space="preserve">based on one or more of the following reasons: </w:t>
      </w:r>
    </w:p>
    <w:p w14:paraId="62F77107" w14:textId="77777777" w:rsidR="007F3328" w:rsidRDefault="007F3328" w:rsidP="00853EEA">
      <w:pPr>
        <w:pStyle w:val="ListNumber"/>
        <w:numPr>
          <w:ilvl w:val="0"/>
          <w:numId w:val="40"/>
        </w:numPr>
        <w:spacing w:line="240" w:lineRule="auto"/>
        <w:ind w:left="357" w:hanging="357"/>
      </w:pPr>
      <w:r w:rsidRPr="007F3328">
        <w:t>having a historical psychogeriatric scale score on the RACF client files of greater than 10 (where a score of 10 or less is considered the threshold for capacity for self-consent</w:t>
      </w:r>
      <w:proofErr w:type="gramStart"/>
      <w:r w:rsidRPr="007F3328">
        <w:t>);</w:t>
      </w:r>
      <w:proofErr w:type="gramEnd"/>
      <w:r w:rsidRPr="007F3328">
        <w:t xml:space="preserve"> </w:t>
      </w:r>
    </w:p>
    <w:p w14:paraId="77684E80" w14:textId="485157AA" w:rsidR="007F3328" w:rsidRDefault="007F3328" w:rsidP="00853EEA">
      <w:pPr>
        <w:pStyle w:val="ListNumber"/>
        <w:numPr>
          <w:ilvl w:val="0"/>
          <w:numId w:val="40"/>
        </w:numPr>
        <w:spacing w:line="240" w:lineRule="auto"/>
        <w:ind w:left="357" w:hanging="357"/>
      </w:pPr>
      <w:r w:rsidRPr="007F3328">
        <w:t xml:space="preserve">staff advice regarding the </w:t>
      </w:r>
      <w:proofErr w:type="gramStart"/>
      <w:r w:rsidRPr="007F3328">
        <w:t>residents</w:t>
      </w:r>
      <w:proofErr w:type="gramEnd"/>
      <w:r w:rsidRPr="007F3328">
        <w:t xml:space="preserve"> limitations, cognition</w:t>
      </w:r>
      <w:r>
        <w:t xml:space="preserve"> or capacity for communication; or</w:t>
      </w:r>
    </w:p>
    <w:p w14:paraId="1BF94A96" w14:textId="77777777" w:rsidR="007F3328" w:rsidRDefault="007F3328" w:rsidP="00853EEA">
      <w:pPr>
        <w:pStyle w:val="ListNumber"/>
        <w:numPr>
          <w:ilvl w:val="0"/>
          <w:numId w:val="40"/>
        </w:numPr>
        <w:spacing w:line="240" w:lineRule="auto"/>
        <w:ind w:left="357" w:hanging="357"/>
      </w:pPr>
      <w:r w:rsidRPr="007F3328">
        <w:t xml:space="preserve">being </w:t>
      </w:r>
      <w:r>
        <w:t xml:space="preserve">in respite or transition care. </w:t>
      </w:r>
    </w:p>
    <w:p w14:paraId="0EFFBE76" w14:textId="41CDEF00" w:rsidR="007F3328" w:rsidRDefault="007F3328" w:rsidP="007501B9">
      <w:r w:rsidRPr="007F3328">
        <w:t>The remaining 597 residents were screened by interview</w:t>
      </w:r>
      <w:r w:rsidR="007501B9">
        <w:t xml:space="preserve">. </w:t>
      </w:r>
      <w:r w:rsidRPr="007F3328">
        <w:t>A further 315 were excluded based on one or mo</w:t>
      </w:r>
      <w:r>
        <w:t xml:space="preserve">re of the following reasons: </w:t>
      </w:r>
    </w:p>
    <w:p w14:paraId="1D4E9022" w14:textId="77777777" w:rsidR="007F3328" w:rsidRDefault="007F3328" w:rsidP="00853EEA">
      <w:pPr>
        <w:pStyle w:val="ListNumber"/>
        <w:numPr>
          <w:ilvl w:val="0"/>
          <w:numId w:val="41"/>
        </w:numPr>
        <w:spacing w:line="240" w:lineRule="auto"/>
      </w:pPr>
      <w:r w:rsidRPr="007F3328">
        <w:t>having a fra</w:t>
      </w:r>
      <w:r>
        <w:t xml:space="preserve">ilty index greater than </w:t>
      </w:r>
      <w:proofErr w:type="gramStart"/>
      <w:r>
        <w:t>0.4;</w:t>
      </w:r>
      <w:proofErr w:type="gramEnd"/>
    </w:p>
    <w:p w14:paraId="34C48C47" w14:textId="77777777" w:rsidR="007F3328" w:rsidRDefault="007F3328" w:rsidP="00853EEA">
      <w:pPr>
        <w:pStyle w:val="ListNumber"/>
        <w:numPr>
          <w:ilvl w:val="0"/>
          <w:numId w:val="40"/>
        </w:numPr>
        <w:spacing w:line="240" w:lineRule="auto"/>
        <w:ind w:left="357" w:hanging="357"/>
      </w:pPr>
      <w:r w:rsidRPr="007F3328">
        <w:t>being on less than 4 medications (if one was not a sedative or a</w:t>
      </w:r>
      <w:r>
        <w:t>nti-cholinergic medication</w:t>
      </w:r>
      <w:proofErr w:type="gramStart"/>
      <w:r>
        <w:t>);</w:t>
      </w:r>
      <w:proofErr w:type="gramEnd"/>
    </w:p>
    <w:p w14:paraId="3EA4AE73" w14:textId="77777777" w:rsidR="007F3328" w:rsidRDefault="007F3328" w:rsidP="00853EEA">
      <w:pPr>
        <w:pStyle w:val="ListNumber"/>
        <w:numPr>
          <w:ilvl w:val="0"/>
          <w:numId w:val="40"/>
        </w:numPr>
        <w:spacing w:line="240" w:lineRule="auto"/>
        <w:ind w:left="357" w:hanging="357"/>
      </w:pPr>
      <w:r w:rsidRPr="007F3328">
        <w:t>scoring less than 18 in the MoCA administered during screening (corre</w:t>
      </w:r>
      <w:r>
        <w:t>sponding to PAS of &gt;10</w:t>
      </w:r>
      <w:proofErr w:type="gramStart"/>
      <w:r>
        <w:t>);</w:t>
      </w:r>
      <w:proofErr w:type="gramEnd"/>
    </w:p>
    <w:p w14:paraId="50A2AB4A" w14:textId="77777777" w:rsidR="007F3328" w:rsidRDefault="007F3328" w:rsidP="00853EEA">
      <w:pPr>
        <w:pStyle w:val="ListNumber"/>
        <w:numPr>
          <w:ilvl w:val="0"/>
          <w:numId w:val="40"/>
        </w:numPr>
        <w:spacing w:line="240" w:lineRule="auto"/>
        <w:ind w:left="357" w:hanging="357"/>
      </w:pPr>
      <w:r>
        <w:t>having</w:t>
      </w:r>
      <w:r w:rsidRPr="007F3328">
        <w:t xml:space="preserve"> significan</w:t>
      </w:r>
      <w:r>
        <w:t xml:space="preserve">t communication </w:t>
      </w:r>
      <w:proofErr w:type="gramStart"/>
      <w:r>
        <w:t>difficulties;</w:t>
      </w:r>
      <w:proofErr w:type="gramEnd"/>
    </w:p>
    <w:p w14:paraId="6396E04D" w14:textId="77777777" w:rsidR="007F3328" w:rsidRDefault="007F3328" w:rsidP="00853EEA">
      <w:pPr>
        <w:pStyle w:val="ListNumber"/>
        <w:numPr>
          <w:ilvl w:val="0"/>
          <w:numId w:val="40"/>
        </w:numPr>
        <w:spacing w:line="240" w:lineRule="auto"/>
        <w:ind w:left="357" w:hanging="357"/>
      </w:pPr>
      <w:r w:rsidRPr="007F3328">
        <w:t xml:space="preserve"> already in a research project that wasn’t </w:t>
      </w:r>
      <w:r>
        <w:t>at a facility-wide level; or</w:t>
      </w:r>
    </w:p>
    <w:p w14:paraId="77E42934" w14:textId="36AEB8AD" w:rsidR="007F3328" w:rsidRDefault="007F3328" w:rsidP="00853EEA">
      <w:pPr>
        <w:pStyle w:val="ListNumber"/>
        <w:numPr>
          <w:ilvl w:val="0"/>
          <w:numId w:val="40"/>
        </w:numPr>
        <w:spacing w:line="240" w:lineRule="auto"/>
        <w:ind w:left="357" w:hanging="357"/>
      </w:pPr>
      <w:r w:rsidRPr="007F3328">
        <w:t>resident opted out.</w:t>
      </w:r>
    </w:p>
    <w:p w14:paraId="3DB8F376" w14:textId="1DE22667" w:rsidR="008F43FF" w:rsidRDefault="007F3328" w:rsidP="007501B9">
      <w:r w:rsidRPr="007F3328">
        <w:t>A total of 282 participants were enrolled in the trial and of these 136 were randomised to the intervention arm of the trial and 146 were randomised to the comparison arm</w:t>
      </w:r>
      <w:r w:rsidR="007501B9">
        <w:t xml:space="preserve">. </w:t>
      </w:r>
      <w:r w:rsidRPr="007F3328">
        <w:t>Withdrawals included 16 from the intervention arm and 18 withdrew from the comparison arm</w:t>
      </w:r>
      <w:r w:rsidR="007501B9">
        <w:t xml:space="preserve">. </w:t>
      </w:r>
      <w:r w:rsidRPr="007F3328">
        <w:t xml:space="preserve">Excluding </w:t>
      </w:r>
      <w:r w:rsidRPr="007F3328">
        <w:lastRenderedPageBreak/>
        <w:t xml:space="preserve">those who died left a total of </w:t>
      </w:r>
      <w:r>
        <w:t>105</w:t>
      </w:r>
      <w:r w:rsidRPr="007F3328">
        <w:t xml:space="preserve"> participants for analysis of the primary outcome at </w:t>
      </w:r>
      <w:r>
        <w:t>6</w:t>
      </w:r>
      <w:r w:rsidRPr="007F3328">
        <w:t xml:space="preserve"> months for the intervention arm and 11</w:t>
      </w:r>
      <w:r>
        <w:t xml:space="preserve">9 for the comparison </w:t>
      </w:r>
      <w:proofErr w:type="gramStart"/>
      <w:r>
        <w:t>arm;</w:t>
      </w:r>
      <w:proofErr w:type="gramEnd"/>
      <w:r>
        <w:t xml:space="preserve"> and</w:t>
      </w:r>
      <w:r w:rsidRPr="007F3328">
        <w:t xml:space="preserve"> 97 participants for analysis of the primary outcome at 12 months for the intervention arm and 111 for the comparison arm.</w:t>
      </w:r>
      <w:r w:rsidR="008F43FF" w:rsidRPr="008F43FF">
        <w:t xml:space="preserve"> </w:t>
      </w:r>
    </w:p>
    <w:p w14:paraId="4E8EAC6A" w14:textId="18514999" w:rsidR="0036494E" w:rsidRDefault="00612340" w:rsidP="007501B9">
      <w:hyperlink w:anchor="_Consideration_of_death" w:history="1">
        <w:r w:rsidR="008F43FF" w:rsidRPr="008F43FF">
          <w:rPr>
            <w:rStyle w:val="Hyperlink"/>
          </w:rPr>
          <w:t>Return to Section B – Consideration of Deaths</w:t>
        </w:r>
      </w:hyperlink>
    </w:p>
    <w:p w14:paraId="1580B5C5" w14:textId="59AC92C0" w:rsidR="001B0A44" w:rsidRPr="001B0A44" w:rsidRDefault="00030572" w:rsidP="00897C5B">
      <w:pPr>
        <w:pStyle w:val="Heading2"/>
      </w:pPr>
      <w:bookmarkStart w:id="448" w:name="_I.7._Text_alternative"/>
      <w:bookmarkStart w:id="449" w:name="_Toc117758364"/>
      <w:bookmarkEnd w:id="448"/>
      <w:r>
        <w:t>I.</w:t>
      </w:r>
      <w:r w:rsidR="001B0A44">
        <w:t>7.</w:t>
      </w:r>
      <w:r w:rsidR="00C06ACB">
        <w:tab/>
      </w:r>
      <w:r w:rsidR="001B0A44">
        <w:t>Text alternative for Figure B-4</w:t>
      </w:r>
      <w:bookmarkEnd w:id="449"/>
    </w:p>
    <w:p w14:paraId="45EE9DEC" w14:textId="538FA8A2" w:rsidR="00883AC5" w:rsidRDefault="00883AC5" w:rsidP="007501B9">
      <w:r>
        <w:rPr>
          <w:b/>
        </w:rPr>
        <w:t xml:space="preserve">Figure B-4 </w:t>
      </w:r>
      <w:r w:rsidRPr="0098258A">
        <w:t>shows a graph comparing the number of deaths for each trial arm for each completed session (or imputed completed session for the control arm based on the pharmacist session dates for their intervention arm counterparts. This is presented numerically in the table below.</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Caption w:val="Table of number of deaths aligned to session delivery"/>
        <w:tblDescription w:val="Table comparing the number of deaths for each trial arm for each completed session (or imputed completed session for the control arm based on the pharmacist session dates for their intervention arm counterparts. "/>
      </w:tblPr>
      <w:tblGrid>
        <w:gridCol w:w="2078"/>
        <w:gridCol w:w="1143"/>
        <w:gridCol w:w="1143"/>
      </w:tblGrid>
      <w:tr w:rsidR="00883AC5" w14:paraId="547E84E2" w14:textId="77777777" w:rsidTr="0082047D">
        <w:trPr>
          <w:trHeight w:val="290"/>
          <w:tblHeader/>
        </w:trPr>
        <w:tc>
          <w:tcPr>
            <w:tcW w:w="0" w:type="auto"/>
            <w:shd w:val="clear" w:color="auto" w:fill="000000" w:themeFill="text1"/>
          </w:tcPr>
          <w:p w14:paraId="6E2D3435" w14:textId="77777777" w:rsidR="00883AC5" w:rsidRPr="00883AC5" w:rsidRDefault="00883AC5" w:rsidP="0082047D">
            <w:pPr>
              <w:pStyle w:val="TableHeader"/>
            </w:pPr>
            <w:bookmarkStart w:id="450" w:name="RowTitle_28" w:colFirst="0" w:colLast="0"/>
            <w:r w:rsidRPr="00883AC5">
              <w:t>Completed session</w:t>
            </w:r>
          </w:p>
        </w:tc>
        <w:tc>
          <w:tcPr>
            <w:tcW w:w="0" w:type="auto"/>
            <w:gridSpan w:val="2"/>
            <w:shd w:val="clear" w:color="auto" w:fill="000000" w:themeFill="text1"/>
          </w:tcPr>
          <w:p w14:paraId="5738CE69" w14:textId="77777777" w:rsidR="00883AC5" w:rsidRPr="00883AC5" w:rsidRDefault="00883AC5" w:rsidP="0082047D">
            <w:pPr>
              <w:pStyle w:val="TableHeader"/>
            </w:pPr>
            <w:r w:rsidRPr="00883AC5">
              <w:t xml:space="preserve"># </w:t>
            </w:r>
            <w:proofErr w:type="gramStart"/>
            <w:r w:rsidRPr="00883AC5">
              <w:t>of</w:t>
            </w:r>
            <w:proofErr w:type="gramEnd"/>
            <w:r w:rsidRPr="00883AC5">
              <w:t xml:space="preserve"> deaths in control</w:t>
            </w:r>
          </w:p>
        </w:tc>
      </w:tr>
      <w:bookmarkEnd w:id="450"/>
      <w:tr w:rsidR="00883AC5" w14:paraId="165FA510" w14:textId="77777777" w:rsidTr="00883AC5">
        <w:trPr>
          <w:trHeight w:val="290"/>
        </w:trPr>
        <w:tc>
          <w:tcPr>
            <w:tcW w:w="0" w:type="auto"/>
          </w:tcPr>
          <w:p w14:paraId="14BCC5B8" w14:textId="77777777" w:rsidR="00883AC5" w:rsidRDefault="00883AC5" w:rsidP="0082047D">
            <w:pPr>
              <w:pStyle w:val="Tabletext1"/>
            </w:pPr>
            <w:r>
              <w:t>session 0</w:t>
            </w:r>
          </w:p>
        </w:tc>
        <w:tc>
          <w:tcPr>
            <w:tcW w:w="0" w:type="auto"/>
          </w:tcPr>
          <w:p w14:paraId="28F9E1BC" w14:textId="77777777" w:rsidR="00883AC5" w:rsidRDefault="00883AC5" w:rsidP="0082047D">
            <w:pPr>
              <w:pStyle w:val="Tabletext1"/>
            </w:pPr>
            <w:r>
              <w:t>2</w:t>
            </w:r>
          </w:p>
        </w:tc>
        <w:tc>
          <w:tcPr>
            <w:tcW w:w="0" w:type="auto"/>
          </w:tcPr>
          <w:p w14:paraId="1555C47D" w14:textId="77777777" w:rsidR="00883AC5" w:rsidRDefault="00883AC5" w:rsidP="0082047D">
            <w:pPr>
              <w:pStyle w:val="Tabletext1"/>
            </w:pPr>
            <w:r>
              <w:t>5</w:t>
            </w:r>
          </w:p>
        </w:tc>
      </w:tr>
      <w:tr w:rsidR="00883AC5" w14:paraId="350FC48A" w14:textId="77777777" w:rsidTr="00883AC5">
        <w:trPr>
          <w:trHeight w:val="290"/>
        </w:trPr>
        <w:tc>
          <w:tcPr>
            <w:tcW w:w="0" w:type="auto"/>
          </w:tcPr>
          <w:p w14:paraId="6E4C0C62" w14:textId="77777777" w:rsidR="00883AC5" w:rsidRDefault="00883AC5" w:rsidP="0082047D">
            <w:pPr>
              <w:pStyle w:val="Tabletext1"/>
            </w:pPr>
            <w:r>
              <w:t>session 1</w:t>
            </w:r>
          </w:p>
        </w:tc>
        <w:tc>
          <w:tcPr>
            <w:tcW w:w="0" w:type="auto"/>
          </w:tcPr>
          <w:p w14:paraId="768406EE" w14:textId="77777777" w:rsidR="00883AC5" w:rsidRDefault="00883AC5" w:rsidP="0082047D">
            <w:pPr>
              <w:pStyle w:val="Tabletext1"/>
            </w:pPr>
            <w:r>
              <w:t>5</w:t>
            </w:r>
          </w:p>
        </w:tc>
        <w:tc>
          <w:tcPr>
            <w:tcW w:w="0" w:type="auto"/>
          </w:tcPr>
          <w:p w14:paraId="420AD810" w14:textId="77777777" w:rsidR="00883AC5" w:rsidRDefault="00883AC5" w:rsidP="0082047D">
            <w:pPr>
              <w:pStyle w:val="Tabletext1"/>
            </w:pPr>
            <w:r>
              <w:t>7</w:t>
            </w:r>
          </w:p>
        </w:tc>
      </w:tr>
      <w:tr w:rsidR="00883AC5" w14:paraId="297E2282" w14:textId="77777777" w:rsidTr="00883AC5">
        <w:trPr>
          <w:trHeight w:val="290"/>
        </w:trPr>
        <w:tc>
          <w:tcPr>
            <w:tcW w:w="0" w:type="auto"/>
          </w:tcPr>
          <w:p w14:paraId="38F3BD19" w14:textId="77777777" w:rsidR="00883AC5" w:rsidRDefault="00883AC5" w:rsidP="0082047D">
            <w:pPr>
              <w:pStyle w:val="Tabletext1"/>
            </w:pPr>
            <w:r>
              <w:t>session 2</w:t>
            </w:r>
          </w:p>
        </w:tc>
        <w:tc>
          <w:tcPr>
            <w:tcW w:w="0" w:type="auto"/>
          </w:tcPr>
          <w:p w14:paraId="79AA2F30" w14:textId="77777777" w:rsidR="00883AC5" w:rsidRDefault="00883AC5" w:rsidP="0082047D">
            <w:pPr>
              <w:pStyle w:val="Tabletext1"/>
            </w:pPr>
            <w:r>
              <w:t>2</w:t>
            </w:r>
          </w:p>
        </w:tc>
        <w:tc>
          <w:tcPr>
            <w:tcW w:w="0" w:type="auto"/>
          </w:tcPr>
          <w:p w14:paraId="10E12CBE" w14:textId="77777777" w:rsidR="00883AC5" w:rsidRDefault="00883AC5" w:rsidP="0082047D">
            <w:pPr>
              <w:pStyle w:val="Tabletext1"/>
            </w:pPr>
            <w:r>
              <w:t>2</w:t>
            </w:r>
          </w:p>
        </w:tc>
      </w:tr>
      <w:tr w:rsidR="00883AC5" w14:paraId="005B91AF" w14:textId="77777777" w:rsidTr="00883AC5">
        <w:trPr>
          <w:trHeight w:val="290"/>
        </w:trPr>
        <w:tc>
          <w:tcPr>
            <w:tcW w:w="0" w:type="auto"/>
          </w:tcPr>
          <w:p w14:paraId="66FE9284" w14:textId="77777777" w:rsidR="00883AC5" w:rsidRDefault="00883AC5" w:rsidP="0082047D">
            <w:pPr>
              <w:pStyle w:val="Tabletext1"/>
            </w:pPr>
            <w:r>
              <w:t>session 3</w:t>
            </w:r>
          </w:p>
        </w:tc>
        <w:tc>
          <w:tcPr>
            <w:tcW w:w="0" w:type="auto"/>
          </w:tcPr>
          <w:p w14:paraId="4F47C21F" w14:textId="77777777" w:rsidR="00883AC5" w:rsidRDefault="00883AC5" w:rsidP="0082047D">
            <w:pPr>
              <w:pStyle w:val="Tabletext1"/>
            </w:pPr>
            <w:r>
              <w:t>2</w:t>
            </w:r>
          </w:p>
        </w:tc>
        <w:tc>
          <w:tcPr>
            <w:tcW w:w="0" w:type="auto"/>
          </w:tcPr>
          <w:p w14:paraId="0EEEF5E2" w14:textId="77777777" w:rsidR="00883AC5" w:rsidRDefault="00883AC5" w:rsidP="0082047D">
            <w:pPr>
              <w:pStyle w:val="Tabletext1"/>
            </w:pPr>
            <w:r>
              <w:t>3</w:t>
            </w:r>
          </w:p>
        </w:tc>
      </w:tr>
      <w:tr w:rsidR="00883AC5" w14:paraId="722E5444" w14:textId="77777777" w:rsidTr="00883AC5">
        <w:trPr>
          <w:trHeight w:val="290"/>
        </w:trPr>
        <w:tc>
          <w:tcPr>
            <w:tcW w:w="0" w:type="auto"/>
          </w:tcPr>
          <w:p w14:paraId="53F08AFD" w14:textId="77777777" w:rsidR="00883AC5" w:rsidRDefault="00883AC5" w:rsidP="0082047D">
            <w:pPr>
              <w:pStyle w:val="Tabletext1"/>
            </w:pPr>
            <w:r>
              <w:t>session 4</w:t>
            </w:r>
          </w:p>
        </w:tc>
        <w:tc>
          <w:tcPr>
            <w:tcW w:w="0" w:type="auto"/>
          </w:tcPr>
          <w:p w14:paraId="4E10F064" w14:textId="77777777" w:rsidR="00883AC5" w:rsidRDefault="00883AC5" w:rsidP="0082047D">
            <w:pPr>
              <w:pStyle w:val="Tabletext1"/>
            </w:pPr>
            <w:r>
              <w:t>2</w:t>
            </w:r>
          </w:p>
        </w:tc>
        <w:tc>
          <w:tcPr>
            <w:tcW w:w="0" w:type="auto"/>
          </w:tcPr>
          <w:p w14:paraId="7AE30471" w14:textId="77777777" w:rsidR="00883AC5" w:rsidRDefault="00883AC5" w:rsidP="0082047D">
            <w:pPr>
              <w:pStyle w:val="Tabletext1"/>
            </w:pPr>
            <w:r>
              <w:t>3</w:t>
            </w:r>
          </w:p>
        </w:tc>
      </w:tr>
      <w:tr w:rsidR="00883AC5" w14:paraId="66AFD5ED" w14:textId="77777777" w:rsidTr="00883AC5">
        <w:trPr>
          <w:trHeight w:val="290"/>
        </w:trPr>
        <w:tc>
          <w:tcPr>
            <w:tcW w:w="0" w:type="auto"/>
          </w:tcPr>
          <w:p w14:paraId="7663A039" w14:textId="77777777" w:rsidR="00883AC5" w:rsidRDefault="00883AC5" w:rsidP="0082047D">
            <w:pPr>
              <w:pStyle w:val="Tabletext1"/>
            </w:pPr>
            <w:r>
              <w:t>session 5</w:t>
            </w:r>
          </w:p>
        </w:tc>
        <w:tc>
          <w:tcPr>
            <w:tcW w:w="0" w:type="auto"/>
          </w:tcPr>
          <w:p w14:paraId="67069DB8" w14:textId="77777777" w:rsidR="00883AC5" w:rsidRDefault="00883AC5" w:rsidP="0082047D">
            <w:pPr>
              <w:pStyle w:val="Tabletext1"/>
            </w:pPr>
            <w:r>
              <w:t>1</w:t>
            </w:r>
          </w:p>
        </w:tc>
        <w:tc>
          <w:tcPr>
            <w:tcW w:w="0" w:type="auto"/>
          </w:tcPr>
          <w:p w14:paraId="03DD9528" w14:textId="77777777" w:rsidR="00883AC5" w:rsidRDefault="00883AC5" w:rsidP="0082047D">
            <w:pPr>
              <w:pStyle w:val="Tabletext1"/>
            </w:pPr>
            <w:r>
              <w:t>2</w:t>
            </w:r>
          </w:p>
        </w:tc>
      </w:tr>
      <w:tr w:rsidR="00883AC5" w14:paraId="478647B7" w14:textId="77777777" w:rsidTr="00883AC5">
        <w:trPr>
          <w:trHeight w:val="290"/>
        </w:trPr>
        <w:tc>
          <w:tcPr>
            <w:tcW w:w="0" w:type="auto"/>
          </w:tcPr>
          <w:p w14:paraId="02AEE05C" w14:textId="77777777" w:rsidR="00883AC5" w:rsidRDefault="00883AC5" w:rsidP="0082047D">
            <w:pPr>
              <w:pStyle w:val="Tabletext1"/>
            </w:pPr>
            <w:r>
              <w:t>session 6</w:t>
            </w:r>
          </w:p>
        </w:tc>
        <w:tc>
          <w:tcPr>
            <w:tcW w:w="0" w:type="auto"/>
          </w:tcPr>
          <w:p w14:paraId="09E1D52F" w14:textId="77777777" w:rsidR="00883AC5" w:rsidRDefault="00883AC5" w:rsidP="0082047D">
            <w:pPr>
              <w:pStyle w:val="Tabletext1"/>
            </w:pPr>
            <w:r>
              <w:t>2</w:t>
            </w:r>
          </w:p>
        </w:tc>
        <w:tc>
          <w:tcPr>
            <w:tcW w:w="0" w:type="auto"/>
          </w:tcPr>
          <w:p w14:paraId="37BC228D" w14:textId="77777777" w:rsidR="00883AC5" w:rsidRDefault="00883AC5" w:rsidP="0082047D">
            <w:pPr>
              <w:pStyle w:val="Tabletext1"/>
            </w:pPr>
            <w:r>
              <w:t>1</w:t>
            </w:r>
          </w:p>
        </w:tc>
      </w:tr>
    </w:tbl>
    <w:p w14:paraId="1093384D" w14:textId="053550C8" w:rsidR="001B0A44" w:rsidRDefault="00612340" w:rsidP="007501B9">
      <w:hyperlink w:anchor="_ReMInDAR_trial_consort" w:history="1">
        <w:r w:rsidR="004F75D9" w:rsidRPr="001B0A44">
          <w:rPr>
            <w:rStyle w:val="Hyperlink"/>
          </w:rPr>
          <w:t>Return to Section B –</w:t>
        </w:r>
        <w:r w:rsidR="004F75D9">
          <w:rPr>
            <w:rStyle w:val="Hyperlink"/>
          </w:rPr>
          <w:t>Cohort Characteristics</w:t>
        </w:r>
      </w:hyperlink>
    </w:p>
    <w:p w14:paraId="1E460FF9" w14:textId="64EB5A1D" w:rsidR="001B0A44" w:rsidRDefault="00030572" w:rsidP="00897C5B">
      <w:pPr>
        <w:pStyle w:val="Heading2"/>
      </w:pPr>
      <w:bookmarkStart w:id="451" w:name="_I.8._Text_alternative"/>
      <w:bookmarkStart w:id="452" w:name="_Toc117758365"/>
      <w:bookmarkEnd w:id="451"/>
      <w:r>
        <w:t>I.</w:t>
      </w:r>
      <w:r w:rsidR="001B0A44">
        <w:t>8.</w:t>
      </w:r>
      <w:r w:rsidR="00C06ACB">
        <w:tab/>
      </w:r>
      <w:r w:rsidR="001B0A44">
        <w:t>Text alternative for Figure B-5</w:t>
      </w:r>
      <w:bookmarkEnd w:id="452"/>
    </w:p>
    <w:p w14:paraId="587E45D2" w14:textId="2B1BFF90" w:rsidR="005E327A" w:rsidRDefault="00986E4E" w:rsidP="007501B9">
      <w:r>
        <w:t>Figure B-</w:t>
      </w:r>
      <w:r w:rsidR="001B0A44">
        <w:t xml:space="preserve">5 </w:t>
      </w:r>
      <w:r>
        <w:t>is a chart illustrating the proportion of pharmacist case review documentation by recipient throughout the trial. The proportion</w:t>
      </w:r>
      <w:r w:rsidR="005E327A">
        <w:t>s were from highest to lowest:</w:t>
      </w:r>
    </w:p>
    <w:p w14:paraId="44DE63F8" w14:textId="77777777" w:rsidR="005E327A" w:rsidRDefault="00986E4E" w:rsidP="00853EEA">
      <w:pPr>
        <w:pStyle w:val="ListParagraph"/>
        <w:numPr>
          <w:ilvl w:val="0"/>
          <w:numId w:val="12"/>
        </w:numPr>
      </w:pPr>
      <w:r>
        <w:t>pharmacist progress notes or patient care record notes</w:t>
      </w:r>
      <w:r w:rsidR="005E327A">
        <w:t xml:space="preserve"> (52%)</w:t>
      </w:r>
      <w:r>
        <w:t xml:space="preserve">, </w:t>
      </w:r>
    </w:p>
    <w:p w14:paraId="12E78847" w14:textId="77777777" w:rsidR="005E327A" w:rsidRDefault="00986E4E" w:rsidP="00853EEA">
      <w:pPr>
        <w:pStyle w:val="ListParagraph"/>
        <w:numPr>
          <w:ilvl w:val="0"/>
          <w:numId w:val="12"/>
        </w:numPr>
      </w:pPr>
      <w:r>
        <w:t>GP communications (27%),</w:t>
      </w:r>
    </w:p>
    <w:p w14:paraId="43B9BCFC" w14:textId="77777777" w:rsidR="005E327A" w:rsidRDefault="00D24CCE" w:rsidP="00853EEA">
      <w:pPr>
        <w:pStyle w:val="ListParagraph"/>
        <w:numPr>
          <w:ilvl w:val="0"/>
          <w:numId w:val="12"/>
        </w:numPr>
      </w:pPr>
      <w:r>
        <w:t xml:space="preserve">resident </w:t>
      </w:r>
      <w:r w:rsidR="00986E4E">
        <w:t>communications (16%)</w:t>
      </w:r>
      <w:r w:rsidR="005E327A">
        <w:t>,</w:t>
      </w:r>
      <w:r w:rsidR="00986E4E">
        <w:t xml:space="preserve"> and </w:t>
      </w:r>
    </w:p>
    <w:p w14:paraId="7B0C6CA0" w14:textId="27FA2237" w:rsidR="001076DD" w:rsidRDefault="00986E4E" w:rsidP="00853EEA">
      <w:pPr>
        <w:pStyle w:val="ListParagraph"/>
        <w:numPr>
          <w:ilvl w:val="0"/>
          <w:numId w:val="12"/>
        </w:numPr>
      </w:pPr>
      <w:r>
        <w:t>RACF nursing staff communications (5%).</w:t>
      </w:r>
    </w:p>
    <w:p w14:paraId="0ECCA5F8" w14:textId="4CC630D5" w:rsidR="00B9689B" w:rsidRDefault="00612340" w:rsidP="007501B9">
      <w:pPr>
        <w:rPr>
          <w:rStyle w:val="Hyperlink"/>
        </w:rPr>
      </w:pPr>
      <w:hyperlink w:anchor="_B6.2_Medication_related" w:history="1">
        <w:r w:rsidR="00E914F1" w:rsidRPr="00B9689B">
          <w:rPr>
            <w:rStyle w:val="Hyperlink"/>
          </w:rPr>
          <w:t>Return to Section B – Results - Medication related problems</w:t>
        </w:r>
      </w:hyperlink>
    </w:p>
    <w:p w14:paraId="6A4C2E06" w14:textId="0E369FAC" w:rsidR="001076DD" w:rsidRDefault="001076DD" w:rsidP="0082047D">
      <w:pPr>
        <w:pStyle w:val="Heading2"/>
      </w:pPr>
      <w:bookmarkStart w:id="453" w:name="_I.9._alternative_text"/>
      <w:bookmarkStart w:id="454" w:name="_Toc117758366"/>
      <w:bookmarkEnd w:id="453"/>
      <w:r w:rsidRPr="001076DD">
        <w:lastRenderedPageBreak/>
        <w:t>I</w:t>
      </w:r>
      <w:r w:rsidR="008F282F">
        <w:t>.9.</w:t>
      </w:r>
      <w:r w:rsidR="00C06ACB">
        <w:tab/>
        <w:t>A</w:t>
      </w:r>
      <w:r w:rsidRPr="001076DD">
        <w:t>lternative text for figure</w:t>
      </w:r>
      <w:r w:rsidR="008F282F">
        <w:t>s</w:t>
      </w:r>
      <w:bookmarkEnd w:id="454"/>
    </w:p>
    <w:p w14:paraId="04C9CA03" w14:textId="4FA1058B" w:rsidR="00E223F3" w:rsidRPr="00E223F3" w:rsidRDefault="00E223F3" w:rsidP="0082047D">
      <w:pPr>
        <w:keepNext/>
      </w:pPr>
      <w:r>
        <w:t>Table below shows raw data for chart indicating the number of problems per person identified for each session.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2"/>
        <w:gridCol w:w="606"/>
        <w:gridCol w:w="606"/>
        <w:gridCol w:w="606"/>
        <w:gridCol w:w="606"/>
        <w:gridCol w:w="606"/>
        <w:gridCol w:w="606"/>
      </w:tblGrid>
      <w:tr w:rsidR="001076DD" w:rsidRPr="001076DD" w14:paraId="055BE819" w14:textId="77777777" w:rsidTr="0082047D">
        <w:trPr>
          <w:trHeight w:val="300"/>
        </w:trPr>
        <w:tc>
          <w:tcPr>
            <w:tcW w:w="0" w:type="auto"/>
            <w:shd w:val="clear" w:color="auto" w:fill="auto"/>
            <w:noWrap/>
            <w:vAlign w:val="bottom"/>
            <w:hideMark/>
          </w:tcPr>
          <w:p w14:paraId="2D57FAF1" w14:textId="77777777" w:rsidR="001076DD" w:rsidRPr="001076DD" w:rsidRDefault="001076DD" w:rsidP="0082047D">
            <w:pPr>
              <w:pStyle w:val="Tabletext1"/>
              <w:keepNext/>
            </w:pPr>
          </w:p>
        </w:tc>
        <w:tc>
          <w:tcPr>
            <w:tcW w:w="0" w:type="auto"/>
            <w:shd w:val="clear" w:color="auto" w:fill="auto"/>
            <w:noWrap/>
            <w:vAlign w:val="bottom"/>
            <w:hideMark/>
          </w:tcPr>
          <w:p w14:paraId="2342C439" w14:textId="77777777" w:rsidR="001076DD" w:rsidRPr="001076DD" w:rsidRDefault="001076DD" w:rsidP="0082047D">
            <w:pPr>
              <w:pStyle w:val="Tabletext1"/>
              <w:keepNext/>
            </w:pPr>
            <w:r w:rsidRPr="001076DD">
              <w:t>1</w:t>
            </w:r>
          </w:p>
        </w:tc>
        <w:tc>
          <w:tcPr>
            <w:tcW w:w="0" w:type="auto"/>
            <w:shd w:val="clear" w:color="auto" w:fill="auto"/>
            <w:noWrap/>
            <w:vAlign w:val="bottom"/>
            <w:hideMark/>
          </w:tcPr>
          <w:p w14:paraId="536E7BEC" w14:textId="77777777" w:rsidR="001076DD" w:rsidRPr="001076DD" w:rsidRDefault="001076DD" w:rsidP="0082047D">
            <w:pPr>
              <w:pStyle w:val="Tabletext1"/>
              <w:keepNext/>
            </w:pPr>
            <w:r w:rsidRPr="001076DD">
              <w:t>2</w:t>
            </w:r>
          </w:p>
        </w:tc>
        <w:tc>
          <w:tcPr>
            <w:tcW w:w="0" w:type="auto"/>
            <w:shd w:val="clear" w:color="auto" w:fill="auto"/>
            <w:noWrap/>
            <w:vAlign w:val="bottom"/>
            <w:hideMark/>
          </w:tcPr>
          <w:p w14:paraId="5094F5EF" w14:textId="77777777" w:rsidR="001076DD" w:rsidRPr="001076DD" w:rsidRDefault="001076DD" w:rsidP="0082047D">
            <w:pPr>
              <w:pStyle w:val="Tabletext1"/>
              <w:keepNext/>
            </w:pPr>
            <w:r w:rsidRPr="001076DD">
              <w:t>3</w:t>
            </w:r>
          </w:p>
        </w:tc>
        <w:tc>
          <w:tcPr>
            <w:tcW w:w="0" w:type="auto"/>
            <w:shd w:val="clear" w:color="auto" w:fill="auto"/>
            <w:noWrap/>
            <w:vAlign w:val="bottom"/>
            <w:hideMark/>
          </w:tcPr>
          <w:p w14:paraId="7DABAC8F" w14:textId="77777777" w:rsidR="001076DD" w:rsidRPr="001076DD" w:rsidRDefault="001076DD" w:rsidP="0082047D">
            <w:pPr>
              <w:pStyle w:val="Tabletext1"/>
              <w:keepNext/>
            </w:pPr>
            <w:r w:rsidRPr="001076DD">
              <w:t>4</w:t>
            </w:r>
          </w:p>
        </w:tc>
        <w:tc>
          <w:tcPr>
            <w:tcW w:w="0" w:type="auto"/>
            <w:shd w:val="clear" w:color="auto" w:fill="auto"/>
            <w:noWrap/>
            <w:vAlign w:val="bottom"/>
            <w:hideMark/>
          </w:tcPr>
          <w:p w14:paraId="3E07E8E1" w14:textId="77777777" w:rsidR="001076DD" w:rsidRPr="001076DD" w:rsidRDefault="001076DD" w:rsidP="0082047D">
            <w:pPr>
              <w:pStyle w:val="Tabletext1"/>
              <w:keepNext/>
            </w:pPr>
            <w:r w:rsidRPr="001076DD">
              <w:t>5</w:t>
            </w:r>
          </w:p>
        </w:tc>
        <w:tc>
          <w:tcPr>
            <w:tcW w:w="0" w:type="auto"/>
            <w:shd w:val="clear" w:color="auto" w:fill="auto"/>
            <w:noWrap/>
            <w:vAlign w:val="bottom"/>
            <w:hideMark/>
          </w:tcPr>
          <w:p w14:paraId="507DCE30" w14:textId="77777777" w:rsidR="001076DD" w:rsidRPr="001076DD" w:rsidRDefault="001076DD" w:rsidP="0082047D">
            <w:pPr>
              <w:pStyle w:val="Tabletext1"/>
              <w:keepNext/>
            </w:pPr>
            <w:r w:rsidRPr="001076DD">
              <w:t>6</w:t>
            </w:r>
          </w:p>
        </w:tc>
      </w:tr>
      <w:tr w:rsidR="001076DD" w:rsidRPr="001076DD" w14:paraId="669C09AD" w14:textId="77777777" w:rsidTr="0082047D">
        <w:trPr>
          <w:trHeight w:val="300"/>
        </w:trPr>
        <w:tc>
          <w:tcPr>
            <w:tcW w:w="0" w:type="auto"/>
            <w:shd w:val="clear" w:color="auto" w:fill="auto"/>
            <w:noWrap/>
            <w:vAlign w:val="bottom"/>
            <w:hideMark/>
          </w:tcPr>
          <w:p w14:paraId="31E3C6B3" w14:textId="77777777" w:rsidR="001076DD" w:rsidRPr="001076DD" w:rsidRDefault="001076DD" w:rsidP="0082047D">
            <w:pPr>
              <w:pStyle w:val="Tabletext1"/>
              <w:keepNext/>
            </w:pPr>
            <w:r w:rsidRPr="001076DD">
              <w:t>1</w:t>
            </w:r>
          </w:p>
        </w:tc>
        <w:tc>
          <w:tcPr>
            <w:tcW w:w="0" w:type="auto"/>
            <w:shd w:val="clear" w:color="auto" w:fill="auto"/>
            <w:noWrap/>
            <w:vAlign w:val="bottom"/>
            <w:hideMark/>
          </w:tcPr>
          <w:p w14:paraId="0A4A7CAD" w14:textId="77777777" w:rsidR="001076DD" w:rsidRPr="001076DD" w:rsidRDefault="001076DD" w:rsidP="0082047D">
            <w:pPr>
              <w:pStyle w:val="Tabletext1"/>
              <w:keepNext/>
            </w:pPr>
            <w:r w:rsidRPr="001076DD">
              <w:t>56.8</w:t>
            </w:r>
          </w:p>
        </w:tc>
        <w:tc>
          <w:tcPr>
            <w:tcW w:w="0" w:type="auto"/>
            <w:shd w:val="clear" w:color="auto" w:fill="auto"/>
            <w:noWrap/>
            <w:vAlign w:val="bottom"/>
            <w:hideMark/>
          </w:tcPr>
          <w:p w14:paraId="669D9C70" w14:textId="77777777" w:rsidR="001076DD" w:rsidRPr="001076DD" w:rsidRDefault="001076DD" w:rsidP="0082047D">
            <w:pPr>
              <w:pStyle w:val="Tabletext1"/>
              <w:keepNext/>
            </w:pPr>
            <w:r w:rsidRPr="001076DD">
              <w:t>64.9</w:t>
            </w:r>
          </w:p>
        </w:tc>
        <w:tc>
          <w:tcPr>
            <w:tcW w:w="0" w:type="auto"/>
            <w:shd w:val="clear" w:color="auto" w:fill="auto"/>
            <w:noWrap/>
            <w:vAlign w:val="bottom"/>
            <w:hideMark/>
          </w:tcPr>
          <w:p w14:paraId="4787593E" w14:textId="77777777" w:rsidR="001076DD" w:rsidRPr="001076DD" w:rsidRDefault="001076DD" w:rsidP="0082047D">
            <w:pPr>
              <w:pStyle w:val="Tabletext1"/>
              <w:keepNext/>
            </w:pPr>
            <w:r w:rsidRPr="001076DD">
              <w:t>66.2</w:t>
            </w:r>
          </w:p>
        </w:tc>
        <w:tc>
          <w:tcPr>
            <w:tcW w:w="0" w:type="auto"/>
            <w:shd w:val="clear" w:color="auto" w:fill="auto"/>
            <w:noWrap/>
            <w:vAlign w:val="bottom"/>
            <w:hideMark/>
          </w:tcPr>
          <w:p w14:paraId="2E777039" w14:textId="77777777" w:rsidR="001076DD" w:rsidRPr="001076DD" w:rsidRDefault="001076DD" w:rsidP="0082047D">
            <w:pPr>
              <w:pStyle w:val="Tabletext1"/>
              <w:keepNext/>
            </w:pPr>
            <w:r w:rsidRPr="001076DD">
              <w:t>61.2</w:t>
            </w:r>
          </w:p>
        </w:tc>
        <w:tc>
          <w:tcPr>
            <w:tcW w:w="0" w:type="auto"/>
            <w:shd w:val="clear" w:color="auto" w:fill="auto"/>
            <w:noWrap/>
            <w:vAlign w:val="bottom"/>
            <w:hideMark/>
          </w:tcPr>
          <w:p w14:paraId="3719063C" w14:textId="77777777" w:rsidR="001076DD" w:rsidRPr="001076DD" w:rsidRDefault="001076DD" w:rsidP="0082047D">
            <w:pPr>
              <w:pStyle w:val="Tabletext1"/>
              <w:keepNext/>
            </w:pPr>
            <w:r w:rsidRPr="001076DD">
              <w:t>78.2</w:t>
            </w:r>
          </w:p>
        </w:tc>
        <w:tc>
          <w:tcPr>
            <w:tcW w:w="0" w:type="auto"/>
            <w:shd w:val="clear" w:color="auto" w:fill="auto"/>
            <w:noWrap/>
            <w:vAlign w:val="bottom"/>
            <w:hideMark/>
          </w:tcPr>
          <w:p w14:paraId="5611093B" w14:textId="77777777" w:rsidR="001076DD" w:rsidRPr="001076DD" w:rsidRDefault="001076DD" w:rsidP="0082047D">
            <w:pPr>
              <w:pStyle w:val="Tabletext1"/>
              <w:keepNext/>
            </w:pPr>
            <w:r w:rsidRPr="001076DD">
              <w:t>64.5</w:t>
            </w:r>
          </w:p>
        </w:tc>
      </w:tr>
      <w:tr w:rsidR="001076DD" w:rsidRPr="001076DD" w14:paraId="4C3E3416" w14:textId="77777777" w:rsidTr="0082047D">
        <w:trPr>
          <w:trHeight w:val="300"/>
        </w:trPr>
        <w:tc>
          <w:tcPr>
            <w:tcW w:w="0" w:type="auto"/>
            <w:shd w:val="clear" w:color="auto" w:fill="auto"/>
            <w:noWrap/>
            <w:vAlign w:val="bottom"/>
            <w:hideMark/>
          </w:tcPr>
          <w:p w14:paraId="0B2C2B9C" w14:textId="77777777" w:rsidR="001076DD" w:rsidRPr="001076DD" w:rsidRDefault="001076DD" w:rsidP="0082047D">
            <w:pPr>
              <w:pStyle w:val="Tabletext1"/>
              <w:keepNext/>
            </w:pPr>
            <w:r w:rsidRPr="001076DD">
              <w:t>2</w:t>
            </w:r>
          </w:p>
        </w:tc>
        <w:tc>
          <w:tcPr>
            <w:tcW w:w="0" w:type="auto"/>
            <w:shd w:val="clear" w:color="auto" w:fill="auto"/>
            <w:noWrap/>
            <w:vAlign w:val="bottom"/>
            <w:hideMark/>
          </w:tcPr>
          <w:p w14:paraId="3891B984" w14:textId="77777777" w:rsidR="001076DD" w:rsidRPr="001076DD" w:rsidRDefault="001076DD" w:rsidP="0082047D">
            <w:pPr>
              <w:pStyle w:val="Tabletext1"/>
              <w:keepNext/>
            </w:pPr>
            <w:r w:rsidRPr="001076DD">
              <w:t>25.0</w:t>
            </w:r>
          </w:p>
        </w:tc>
        <w:tc>
          <w:tcPr>
            <w:tcW w:w="0" w:type="auto"/>
            <w:shd w:val="clear" w:color="auto" w:fill="auto"/>
            <w:noWrap/>
            <w:vAlign w:val="bottom"/>
            <w:hideMark/>
          </w:tcPr>
          <w:p w14:paraId="4986DF7C" w14:textId="77777777" w:rsidR="001076DD" w:rsidRPr="001076DD" w:rsidRDefault="001076DD" w:rsidP="0082047D">
            <w:pPr>
              <w:pStyle w:val="Tabletext1"/>
              <w:keepNext/>
            </w:pPr>
            <w:r w:rsidRPr="001076DD">
              <w:t>23.4</w:t>
            </w:r>
          </w:p>
        </w:tc>
        <w:tc>
          <w:tcPr>
            <w:tcW w:w="0" w:type="auto"/>
            <w:shd w:val="clear" w:color="auto" w:fill="auto"/>
            <w:noWrap/>
            <w:vAlign w:val="bottom"/>
            <w:hideMark/>
          </w:tcPr>
          <w:p w14:paraId="56386C6A" w14:textId="77777777" w:rsidR="001076DD" w:rsidRPr="001076DD" w:rsidRDefault="001076DD" w:rsidP="0082047D">
            <w:pPr>
              <w:pStyle w:val="Tabletext1"/>
              <w:keepNext/>
            </w:pPr>
            <w:r w:rsidRPr="001076DD">
              <w:t>20.8</w:t>
            </w:r>
          </w:p>
        </w:tc>
        <w:tc>
          <w:tcPr>
            <w:tcW w:w="0" w:type="auto"/>
            <w:shd w:val="clear" w:color="auto" w:fill="auto"/>
            <w:noWrap/>
            <w:vAlign w:val="bottom"/>
            <w:hideMark/>
          </w:tcPr>
          <w:p w14:paraId="4DA40C94" w14:textId="77777777" w:rsidR="001076DD" w:rsidRPr="001076DD" w:rsidRDefault="001076DD" w:rsidP="0082047D">
            <w:pPr>
              <w:pStyle w:val="Tabletext1"/>
              <w:keepNext/>
            </w:pPr>
            <w:r w:rsidRPr="001076DD">
              <w:t>19.4</w:t>
            </w:r>
          </w:p>
        </w:tc>
        <w:tc>
          <w:tcPr>
            <w:tcW w:w="0" w:type="auto"/>
            <w:shd w:val="clear" w:color="auto" w:fill="auto"/>
            <w:noWrap/>
            <w:vAlign w:val="bottom"/>
            <w:hideMark/>
          </w:tcPr>
          <w:p w14:paraId="29835D16" w14:textId="77777777" w:rsidR="001076DD" w:rsidRPr="001076DD" w:rsidRDefault="001076DD" w:rsidP="0082047D">
            <w:pPr>
              <w:pStyle w:val="Tabletext1"/>
              <w:keepNext/>
            </w:pPr>
            <w:r w:rsidRPr="001076DD">
              <w:t>7.3</w:t>
            </w:r>
          </w:p>
        </w:tc>
        <w:tc>
          <w:tcPr>
            <w:tcW w:w="0" w:type="auto"/>
            <w:shd w:val="clear" w:color="auto" w:fill="auto"/>
            <w:noWrap/>
            <w:vAlign w:val="bottom"/>
            <w:hideMark/>
          </w:tcPr>
          <w:p w14:paraId="2F96EE3C" w14:textId="77777777" w:rsidR="001076DD" w:rsidRPr="001076DD" w:rsidRDefault="001076DD" w:rsidP="0082047D">
            <w:pPr>
              <w:pStyle w:val="Tabletext1"/>
              <w:keepNext/>
            </w:pPr>
            <w:r w:rsidRPr="001076DD">
              <w:t>19.4</w:t>
            </w:r>
          </w:p>
        </w:tc>
      </w:tr>
      <w:tr w:rsidR="001076DD" w:rsidRPr="001076DD" w14:paraId="39A806E1" w14:textId="77777777" w:rsidTr="0082047D">
        <w:trPr>
          <w:trHeight w:val="300"/>
        </w:trPr>
        <w:tc>
          <w:tcPr>
            <w:tcW w:w="0" w:type="auto"/>
            <w:shd w:val="clear" w:color="auto" w:fill="auto"/>
            <w:noWrap/>
            <w:vAlign w:val="bottom"/>
            <w:hideMark/>
          </w:tcPr>
          <w:p w14:paraId="096103FE" w14:textId="77777777" w:rsidR="001076DD" w:rsidRPr="001076DD" w:rsidRDefault="001076DD" w:rsidP="0082047D">
            <w:pPr>
              <w:pStyle w:val="Tabletext1"/>
            </w:pPr>
            <w:r w:rsidRPr="001076DD">
              <w:t>3</w:t>
            </w:r>
          </w:p>
        </w:tc>
        <w:tc>
          <w:tcPr>
            <w:tcW w:w="0" w:type="auto"/>
            <w:shd w:val="clear" w:color="auto" w:fill="auto"/>
            <w:noWrap/>
            <w:vAlign w:val="bottom"/>
            <w:hideMark/>
          </w:tcPr>
          <w:p w14:paraId="69E2CC23" w14:textId="77777777" w:rsidR="001076DD" w:rsidRPr="001076DD" w:rsidRDefault="001076DD" w:rsidP="0082047D">
            <w:pPr>
              <w:pStyle w:val="Tabletext1"/>
            </w:pPr>
            <w:r w:rsidRPr="001076DD">
              <w:t>12.5</w:t>
            </w:r>
          </w:p>
        </w:tc>
        <w:tc>
          <w:tcPr>
            <w:tcW w:w="0" w:type="auto"/>
            <w:shd w:val="clear" w:color="auto" w:fill="auto"/>
            <w:noWrap/>
            <w:vAlign w:val="bottom"/>
            <w:hideMark/>
          </w:tcPr>
          <w:p w14:paraId="3CBE42A4" w14:textId="77777777" w:rsidR="001076DD" w:rsidRPr="001076DD" w:rsidRDefault="001076DD" w:rsidP="0082047D">
            <w:pPr>
              <w:pStyle w:val="Tabletext1"/>
            </w:pPr>
            <w:r w:rsidRPr="001076DD">
              <w:t>10.4</w:t>
            </w:r>
          </w:p>
        </w:tc>
        <w:tc>
          <w:tcPr>
            <w:tcW w:w="0" w:type="auto"/>
            <w:shd w:val="clear" w:color="auto" w:fill="auto"/>
            <w:noWrap/>
            <w:vAlign w:val="bottom"/>
            <w:hideMark/>
          </w:tcPr>
          <w:p w14:paraId="6A0F64F1" w14:textId="77777777" w:rsidR="001076DD" w:rsidRPr="001076DD" w:rsidRDefault="001076DD" w:rsidP="0082047D">
            <w:pPr>
              <w:pStyle w:val="Tabletext1"/>
            </w:pPr>
            <w:r w:rsidRPr="001076DD">
              <w:t>3.9</w:t>
            </w:r>
          </w:p>
        </w:tc>
        <w:tc>
          <w:tcPr>
            <w:tcW w:w="0" w:type="auto"/>
            <w:shd w:val="clear" w:color="auto" w:fill="auto"/>
            <w:noWrap/>
            <w:vAlign w:val="bottom"/>
            <w:hideMark/>
          </w:tcPr>
          <w:p w14:paraId="6BA069CF" w14:textId="77777777" w:rsidR="001076DD" w:rsidRPr="001076DD" w:rsidRDefault="001076DD" w:rsidP="0082047D">
            <w:pPr>
              <w:pStyle w:val="Tabletext1"/>
            </w:pPr>
            <w:r w:rsidRPr="001076DD">
              <w:t>7.5</w:t>
            </w:r>
          </w:p>
        </w:tc>
        <w:tc>
          <w:tcPr>
            <w:tcW w:w="0" w:type="auto"/>
            <w:shd w:val="clear" w:color="auto" w:fill="auto"/>
            <w:noWrap/>
            <w:vAlign w:val="bottom"/>
            <w:hideMark/>
          </w:tcPr>
          <w:p w14:paraId="0408187F" w14:textId="77777777" w:rsidR="001076DD" w:rsidRPr="001076DD" w:rsidRDefault="001076DD" w:rsidP="0082047D">
            <w:pPr>
              <w:pStyle w:val="Tabletext1"/>
            </w:pPr>
            <w:r w:rsidRPr="001076DD">
              <w:t>7.3</w:t>
            </w:r>
          </w:p>
        </w:tc>
        <w:tc>
          <w:tcPr>
            <w:tcW w:w="0" w:type="auto"/>
            <w:shd w:val="clear" w:color="auto" w:fill="auto"/>
            <w:noWrap/>
            <w:vAlign w:val="bottom"/>
            <w:hideMark/>
          </w:tcPr>
          <w:p w14:paraId="45A08200" w14:textId="77777777" w:rsidR="001076DD" w:rsidRPr="001076DD" w:rsidRDefault="001076DD" w:rsidP="0082047D">
            <w:pPr>
              <w:pStyle w:val="Tabletext1"/>
            </w:pPr>
            <w:r w:rsidRPr="001076DD">
              <w:t>12.9</w:t>
            </w:r>
          </w:p>
        </w:tc>
      </w:tr>
      <w:tr w:rsidR="001076DD" w:rsidRPr="001076DD" w14:paraId="000CFC06" w14:textId="77777777" w:rsidTr="0082047D">
        <w:trPr>
          <w:trHeight w:val="300"/>
        </w:trPr>
        <w:tc>
          <w:tcPr>
            <w:tcW w:w="0" w:type="auto"/>
            <w:shd w:val="clear" w:color="auto" w:fill="auto"/>
            <w:noWrap/>
            <w:vAlign w:val="bottom"/>
            <w:hideMark/>
          </w:tcPr>
          <w:p w14:paraId="7E1CA726" w14:textId="77777777" w:rsidR="001076DD" w:rsidRPr="001076DD" w:rsidRDefault="001076DD" w:rsidP="0082047D">
            <w:pPr>
              <w:pStyle w:val="Tabletext1"/>
            </w:pPr>
            <w:r w:rsidRPr="001076DD">
              <w:t>4 or more</w:t>
            </w:r>
          </w:p>
        </w:tc>
        <w:tc>
          <w:tcPr>
            <w:tcW w:w="0" w:type="auto"/>
            <w:shd w:val="clear" w:color="auto" w:fill="auto"/>
            <w:noWrap/>
            <w:vAlign w:val="bottom"/>
            <w:hideMark/>
          </w:tcPr>
          <w:p w14:paraId="2C454C99" w14:textId="77777777" w:rsidR="001076DD" w:rsidRPr="001076DD" w:rsidRDefault="001076DD" w:rsidP="0082047D">
            <w:pPr>
              <w:pStyle w:val="Tabletext1"/>
            </w:pPr>
            <w:r w:rsidRPr="001076DD">
              <w:t>5.7</w:t>
            </w:r>
          </w:p>
        </w:tc>
        <w:tc>
          <w:tcPr>
            <w:tcW w:w="0" w:type="auto"/>
            <w:shd w:val="clear" w:color="auto" w:fill="auto"/>
            <w:noWrap/>
            <w:vAlign w:val="bottom"/>
            <w:hideMark/>
          </w:tcPr>
          <w:p w14:paraId="799863B8" w14:textId="77777777" w:rsidR="001076DD" w:rsidRPr="001076DD" w:rsidRDefault="001076DD" w:rsidP="0082047D">
            <w:pPr>
              <w:pStyle w:val="Tabletext1"/>
            </w:pPr>
            <w:r w:rsidRPr="001076DD">
              <w:t>1.3</w:t>
            </w:r>
          </w:p>
        </w:tc>
        <w:tc>
          <w:tcPr>
            <w:tcW w:w="0" w:type="auto"/>
            <w:shd w:val="clear" w:color="auto" w:fill="auto"/>
            <w:noWrap/>
            <w:vAlign w:val="bottom"/>
            <w:hideMark/>
          </w:tcPr>
          <w:p w14:paraId="66367763" w14:textId="77777777" w:rsidR="001076DD" w:rsidRPr="001076DD" w:rsidRDefault="001076DD" w:rsidP="0082047D">
            <w:pPr>
              <w:pStyle w:val="Tabletext1"/>
            </w:pPr>
            <w:r w:rsidRPr="001076DD">
              <w:t>9.1</w:t>
            </w:r>
          </w:p>
        </w:tc>
        <w:tc>
          <w:tcPr>
            <w:tcW w:w="0" w:type="auto"/>
            <w:shd w:val="clear" w:color="auto" w:fill="auto"/>
            <w:noWrap/>
            <w:vAlign w:val="bottom"/>
            <w:hideMark/>
          </w:tcPr>
          <w:p w14:paraId="528F0062" w14:textId="77777777" w:rsidR="001076DD" w:rsidRPr="001076DD" w:rsidRDefault="001076DD" w:rsidP="0082047D">
            <w:pPr>
              <w:pStyle w:val="Tabletext1"/>
            </w:pPr>
            <w:r w:rsidRPr="001076DD">
              <w:t>11.9</w:t>
            </w:r>
          </w:p>
        </w:tc>
        <w:tc>
          <w:tcPr>
            <w:tcW w:w="0" w:type="auto"/>
            <w:shd w:val="clear" w:color="auto" w:fill="auto"/>
            <w:noWrap/>
            <w:vAlign w:val="bottom"/>
            <w:hideMark/>
          </w:tcPr>
          <w:p w14:paraId="530E8D43" w14:textId="77777777" w:rsidR="001076DD" w:rsidRPr="001076DD" w:rsidRDefault="001076DD" w:rsidP="0082047D">
            <w:pPr>
              <w:pStyle w:val="Tabletext1"/>
            </w:pPr>
            <w:r w:rsidRPr="001076DD">
              <w:t>7.3</w:t>
            </w:r>
          </w:p>
        </w:tc>
        <w:tc>
          <w:tcPr>
            <w:tcW w:w="0" w:type="auto"/>
            <w:shd w:val="clear" w:color="auto" w:fill="auto"/>
            <w:noWrap/>
            <w:vAlign w:val="bottom"/>
            <w:hideMark/>
          </w:tcPr>
          <w:p w14:paraId="704E1F20" w14:textId="77777777" w:rsidR="001076DD" w:rsidRPr="001076DD" w:rsidRDefault="001076DD" w:rsidP="0082047D">
            <w:pPr>
              <w:pStyle w:val="Tabletext1"/>
            </w:pPr>
            <w:r w:rsidRPr="001076DD">
              <w:t>3.2</w:t>
            </w:r>
          </w:p>
        </w:tc>
      </w:tr>
    </w:tbl>
    <w:p w14:paraId="02FC0A30" w14:textId="67C0D67B" w:rsidR="008F282F" w:rsidRPr="00E223F3" w:rsidRDefault="00E223F3" w:rsidP="0082047D">
      <w:pPr>
        <w:spacing w:before="240"/>
      </w:pPr>
      <w:r w:rsidRPr="00E223F3">
        <w:rPr>
          <w:rStyle w:val="Hyperlink"/>
          <w:color w:val="auto"/>
          <w:u w:val="none"/>
        </w:rPr>
        <w:t>The figure shows a Kaplan Myer analysis of time to the next problem development</w:t>
      </w:r>
      <w:r w:rsidR="007501B9">
        <w:rPr>
          <w:rStyle w:val="Hyperlink"/>
          <w:color w:val="auto"/>
          <w:u w:val="none"/>
        </w:rPr>
        <w:t xml:space="preserve">. </w:t>
      </w:r>
      <w:r>
        <w:t>We analysed time to develop a new problem after session one and found that 50% had developed a new problem by the next session and 75% had a new problem by the subsequent session, this suggests the time between pharmacist reviews was appropriate at intervals of eight weeks</w:t>
      </w:r>
      <w:bookmarkStart w:id="455" w:name="_G.8._Text_alternative"/>
      <w:bookmarkEnd w:id="455"/>
    </w:p>
    <w:p w14:paraId="032B46B8" w14:textId="677767A3" w:rsidR="00B9689B" w:rsidRPr="00E223F3" w:rsidRDefault="00E223F3" w:rsidP="007501B9">
      <w:r w:rsidRPr="00E223F3">
        <w:t>The final figure is a</w:t>
      </w:r>
      <w:r w:rsidR="005E327A" w:rsidRPr="00E223F3">
        <w:t xml:space="preserve"> chart illustrating the proportion and types of medicine related problems that were experienced by residents throughout the trial. The relative proportions of the types of problems from larges to smallest were as follows:</w:t>
      </w:r>
    </w:p>
    <w:p w14:paraId="23F5E9EB" w14:textId="77777777" w:rsidR="00E223F3" w:rsidRPr="00E223F3" w:rsidRDefault="00E223F3" w:rsidP="00853EEA">
      <w:pPr>
        <w:pStyle w:val="ListNumber"/>
        <w:numPr>
          <w:ilvl w:val="0"/>
          <w:numId w:val="42"/>
        </w:numPr>
      </w:pPr>
      <w:r w:rsidRPr="00E223F3">
        <w:t>Symptom report (83%)</w:t>
      </w:r>
    </w:p>
    <w:p w14:paraId="2CE58D1E" w14:textId="1E7A0290" w:rsidR="005E327A" w:rsidRPr="00E223F3" w:rsidRDefault="005E327A" w:rsidP="00853EEA">
      <w:pPr>
        <w:pStyle w:val="ListNumber"/>
        <w:numPr>
          <w:ilvl w:val="0"/>
          <w:numId w:val="42"/>
        </w:numPr>
      </w:pPr>
      <w:r w:rsidRPr="00E223F3">
        <w:t>Education or information (</w:t>
      </w:r>
      <w:r w:rsidR="00E223F3" w:rsidRPr="00E223F3">
        <w:t>57</w:t>
      </w:r>
      <w:r w:rsidRPr="00E223F3">
        <w:t>%)</w:t>
      </w:r>
    </w:p>
    <w:p w14:paraId="0107D907" w14:textId="2B5802B7" w:rsidR="00E223F3" w:rsidRPr="00E223F3" w:rsidRDefault="00E223F3" w:rsidP="00853EEA">
      <w:pPr>
        <w:pStyle w:val="ListNumber"/>
        <w:numPr>
          <w:ilvl w:val="0"/>
          <w:numId w:val="42"/>
        </w:numPr>
      </w:pPr>
      <w:r w:rsidRPr="00E223F3">
        <w:t>Toxicity or adverse reaction (51%)</w:t>
      </w:r>
    </w:p>
    <w:p w14:paraId="2A4C7C1A" w14:textId="62E35AB1" w:rsidR="00E223F3" w:rsidRPr="00E223F3" w:rsidRDefault="00E223F3" w:rsidP="00853EEA">
      <w:pPr>
        <w:pStyle w:val="ListNumber"/>
        <w:numPr>
          <w:ilvl w:val="0"/>
          <w:numId w:val="42"/>
        </w:numPr>
      </w:pPr>
      <w:r w:rsidRPr="00E223F3">
        <w:t>Over or under dose (50%)</w:t>
      </w:r>
    </w:p>
    <w:p w14:paraId="14343C73" w14:textId="35411DC1" w:rsidR="00E223F3" w:rsidRPr="00E223F3" w:rsidRDefault="00E223F3" w:rsidP="00853EEA">
      <w:pPr>
        <w:pStyle w:val="ListNumber"/>
        <w:numPr>
          <w:ilvl w:val="0"/>
          <w:numId w:val="42"/>
        </w:numPr>
      </w:pPr>
      <w:r w:rsidRPr="00E223F3">
        <w:t>Drug selection (34%)</w:t>
      </w:r>
    </w:p>
    <w:p w14:paraId="7D1B4811" w14:textId="77777777" w:rsidR="00E223F3" w:rsidRPr="00E223F3" w:rsidRDefault="00E223F3" w:rsidP="00853EEA">
      <w:pPr>
        <w:pStyle w:val="ListNumber"/>
        <w:numPr>
          <w:ilvl w:val="0"/>
          <w:numId w:val="42"/>
        </w:numPr>
      </w:pPr>
      <w:r w:rsidRPr="00E223F3">
        <w:t xml:space="preserve">Monitoring (28%) </w:t>
      </w:r>
    </w:p>
    <w:p w14:paraId="5430EAC4" w14:textId="21970D7F" w:rsidR="008F282F" w:rsidRPr="00E223F3" w:rsidRDefault="00E223F3" w:rsidP="00853EEA">
      <w:pPr>
        <w:pStyle w:val="ListNumber"/>
        <w:numPr>
          <w:ilvl w:val="0"/>
          <w:numId w:val="42"/>
        </w:numPr>
      </w:pPr>
      <w:r w:rsidRPr="00E223F3">
        <w:t>Compliance (20%)</w:t>
      </w:r>
    </w:p>
    <w:p w14:paraId="7CFC7302" w14:textId="0C2A79D1" w:rsidR="008F282F" w:rsidRPr="008F282F" w:rsidRDefault="00612340" w:rsidP="007501B9">
      <w:hyperlink w:anchor="_Pharmacist_recommendations" w:history="1">
        <w:r w:rsidR="008F282F" w:rsidRPr="008F282F">
          <w:rPr>
            <w:rStyle w:val="Hyperlink"/>
          </w:rPr>
          <w:t>Return to pharmacist recommendations</w:t>
        </w:r>
      </w:hyperlink>
    </w:p>
    <w:p w14:paraId="21444ABC" w14:textId="2625B9B5" w:rsidR="00B9689B" w:rsidRDefault="00030572" w:rsidP="00897C5B">
      <w:pPr>
        <w:pStyle w:val="Heading2"/>
      </w:pPr>
      <w:bookmarkStart w:id="456" w:name="_G.9._Text_alternative"/>
      <w:bookmarkStart w:id="457" w:name="_G.910._Text_alternative"/>
      <w:bookmarkStart w:id="458" w:name="_Toc117758367"/>
      <w:bookmarkEnd w:id="456"/>
      <w:bookmarkEnd w:id="457"/>
      <w:r>
        <w:t>I.</w:t>
      </w:r>
      <w:r w:rsidR="001B0A44">
        <w:t>10</w:t>
      </w:r>
      <w:r w:rsidR="00B9689B">
        <w:t>.</w:t>
      </w:r>
      <w:r w:rsidR="00C06ACB">
        <w:tab/>
      </w:r>
      <w:r w:rsidR="00B9689B">
        <w:t xml:space="preserve">Text alternative for Figure </w:t>
      </w:r>
      <w:r w:rsidR="00B9689B" w:rsidRPr="00207FAE">
        <w:t>B-</w:t>
      </w:r>
      <w:r w:rsidR="00FB7ED1" w:rsidRPr="00207FAE">
        <w:t>6a</w:t>
      </w:r>
      <w:bookmarkEnd w:id="458"/>
    </w:p>
    <w:p w14:paraId="3AD73E98" w14:textId="21F42249" w:rsidR="00895279" w:rsidRDefault="003D559A" w:rsidP="007501B9">
      <w:r>
        <w:t xml:space="preserve">Figure shows trend lines and statistical variation for each point plotted for the </w:t>
      </w:r>
      <w:r w:rsidR="009908B6">
        <w:t xml:space="preserve">modelled </w:t>
      </w:r>
      <w:r>
        <w:t>m</w:t>
      </w:r>
      <w:r w:rsidRPr="003D559A">
        <w:t>ean change in Frailty Index in intervention and control arms</w:t>
      </w:r>
      <w:r>
        <w:t xml:space="preserve"> </w:t>
      </w:r>
      <w:r w:rsidR="009908B6">
        <w:t>from</w:t>
      </w:r>
      <w:r>
        <w:t xml:space="preserve"> baseline</w:t>
      </w:r>
      <w:r w:rsidR="009908B6">
        <w:t xml:space="preserve"> to</w:t>
      </w:r>
      <w:r>
        <w:t xml:space="preserve"> </w:t>
      </w:r>
      <w:proofErr w:type="gramStart"/>
      <w:r>
        <w:t>12 month</w:t>
      </w:r>
      <w:proofErr w:type="gramEnd"/>
      <w:r>
        <w:t xml:space="preserve"> time point. The trend line for the mean change in frailty index is slightly more favourable for the intervention arm, but the differences in the results were not statistically significant. </w:t>
      </w:r>
      <w:r w:rsidR="00895279">
        <w:t>Table below shows the data for this figure: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Caption w:val="Table B-5. Primary effectiveness outcome (frailty)"/>
        <w:tblDescription w:val="Frailty Results and statistical variation and confidence intervals for residents in both intervention and control arms at the 6 and 12 month assessment timepoints."/>
      </w:tblPr>
      <w:tblGrid>
        <w:gridCol w:w="864"/>
        <w:gridCol w:w="662"/>
        <w:gridCol w:w="1034"/>
        <w:gridCol w:w="900"/>
        <w:gridCol w:w="923"/>
        <w:gridCol w:w="731"/>
        <w:gridCol w:w="686"/>
        <w:gridCol w:w="581"/>
        <w:gridCol w:w="1098"/>
        <w:gridCol w:w="989"/>
        <w:gridCol w:w="548"/>
      </w:tblGrid>
      <w:tr w:rsidR="0082047D" w:rsidRPr="0082047D" w14:paraId="4A8E93AE" w14:textId="77777777" w:rsidTr="0082047D">
        <w:trPr>
          <w:tblHeader/>
          <w:jc w:val="center"/>
        </w:trPr>
        <w:tc>
          <w:tcPr>
            <w:tcW w:w="0" w:type="auto"/>
            <w:shd w:val="clear" w:color="auto" w:fill="000000" w:themeFill="text1"/>
            <w:tcMar>
              <w:left w:w="80" w:type="dxa"/>
              <w:right w:w="80" w:type="dxa"/>
            </w:tcMar>
          </w:tcPr>
          <w:p w14:paraId="2F91F11A" w14:textId="77777777" w:rsidR="00EA2E5E" w:rsidRPr="0082047D" w:rsidRDefault="00EA2E5E" w:rsidP="0082047D">
            <w:pPr>
              <w:pStyle w:val="TableHeader"/>
              <w:rPr>
                <w:rFonts w:ascii="Arial Narrow" w:hAnsi="Arial Narrow"/>
                <w:sz w:val="18"/>
                <w:szCs w:val="18"/>
              </w:rPr>
            </w:pPr>
            <w:r w:rsidRPr="0082047D">
              <w:rPr>
                <w:rFonts w:ascii="Arial Narrow" w:hAnsi="Arial Narrow"/>
                <w:sz w:val="18"/>
                <w:szCs w:val="18"/>
              </w:rPr>
              <w:lastRenderedPageBreak/>
              <w:t>Outcome*</w:t>
            </w:r>
          </w:p>
        </w:tc>
        <w:tc>
          <w:tcPr>
            <w:tcW w:w="0" w:type="auto"/>
            <w:shd w:val="clear" w:color="auto" w:fill="000000" w:themeFill="text1"/>
            <w:tcMar>
              <w:left w:w="80" w:type="dxa"/>
              <w:right w:w="80" w:type="dxa"/>
            </w:tcMar>
          </w:tcPr>
          <w:p w14:paraId="0CDB520F" w14:textId="77777777" w:rsidR="00EA2E5E" w:rsidRPr="0082047D" w:rsidRDefault="00EA2E5E" w:rsidP="0082047D">
            <w:pPr>
              <w:pStyle w:val="TableHeader"/>
              <w:rPr>
                <w:rFonts w:ascii="Arial Narrow" w:hAnsi="Arial Narrow"/>
                <w:sz w:val="18"/>
                <w:szCs w:val="18"/>
              </w:rPr>
            </w:pPr>
            <w:r w:rsidRPr="0082047D">
              <w:rPr>
                <w:rFonts w:ascii="Arial Narrow" w:hAnsi="Arial Narrow"/>
                <w:sz w:val="18"/>
                <w:szCs w:val="18"/>
              </w:rPr>
              <w:t>Trial Stage</w:t>
            </w:r>
          </w:p>
        </w:tc>
        <w:tc>
          <w:tcPr>
            <w:tcW w:w="0" w:type="auto"/>
            <w:shd w:val="clear" w:color="auto" w:fill="000000" w:themeFill="text1"/>
            <w:tcMar>
              <w:left w:w="80" w:type="dxa"/>
              <w:right w:w="80" w:type="dxa"/>
            </w:tcMar>
          </w:tcPr>
          <w:p w14:paraId="54E7B43B" w14:textId="77777777" w:rsidR="00EA2E5E" w:rsidRPr="0082047D" w:rsidRDefault="00EA2E5E" w:rsidP="0082047D">
            <w:pPr>
              <w:pStyle w:val="TableHeader"/>
              <w:rPr>
                <w:rFonts w:ascii="Arial Narrow" w:hAnsi="Arial Narrow"/>
                <w:sz w:val="18"/>
                <w:szCs w:val="18"/>
              </w:rPr>
            </w:pPr>
            <w:r w:rsidRPr="0082047D">
              <w:rPr>
                <w:rFonts w:ascii="Arial Narrow" w:hAnsi="Arial Narrow"/>
                <w:sz w:val="18"/>
                <w:szCs w:val="18"/>
              </w:rPr>
              <w:t>Intervention group</w:t>
            </w:r>
          </w:p>
          <w:p w14:paraId="57FA30C5" w14:textId="77777777" w:rsidR="00EA2E5E" w:rsidRPr="0082047D" w:rsidRDefault="00EA2E5E" w:rsidP="0082047D">
            <w:pPr>
              <w:pStyle w:val="TableHeader"/>
              <w:rPr>
                <w:rFonts w:ascii="Arial Narrow" w:hAnsi="Arial Narrow"/>
                <w:sz w:val="18"/>
                <w:szCs w:val="18"/>
              </w:rPr>
            </w:pPr>
            <w:r w:rsidRPr="0082047D">
              <w:rPr>
                <w:rFonts w:ascii="Arial Narrow" w:hAnsi="Arial Narrow"/>
                <w:sz w:val="18"/>
                <w:szCs w:val="18"/>
              </w:rPr>
              <w:t>Mean Change</w:t>
            </w:r>
          </w:p>
        </w:tc>
        <w:tc>
          <w:tcPr>
            <w:tcW w:w="0" w:type="auto"/>
            <w:shd w:val="clear" w:color="auto" w:fill="000000" w:themeFill="text1"/>
          </w:tcPr>
          <w:p w14:paraId="342DE0A4" w14:textId="77777777" w:rsidR="00EA2E5E" w:rsidRPr="0082047D" w:rsidRDefault="00EA2E5E" w:rsidP="0082047D">
            <w:pPr>
              <w:pStyle w:val="TableHeader"/>
              <w:rPr>
                <w:rFonts w:ascii="Arial Narrow" w:hAnsi="Arial Narrow"/>
                <w:sz w:val="18"/>
                <w:szCs w:val="18"/>
              </w:rPr>
            </w:pPr>
            <w:r w:rsidRPr="0082047D">
              <w:rPr>
                <w:rFonts w:ascii="Arial Narrow" w:hAnsi="Arial Narrow"/>
                <w:sz w:val="18"/>
                <w:szCs w:val="18"/>
              </w:rPr>
              <w:t>Intervention group</w:t>
            </w:r>
          </w:p>
          <w:p w14:paraId="5F0FBCB5" w14:textId="77777777" w:rsidR="00EA2E5E" w:rsidRPr="0082047D" w:rsidRDefault="00EA2E5E" w:rsidP="0082047D">
            <w:pPr>
              <w:pStyle w:val="TableHeader"/>
              <w:rPr>
                <w:rFonts w:ascii="Arial Narrow" w:hAnsi="Arial Narrow"/>
                <w:sz w:val="18"/>
                <w:szCs w:val="18"/>
              </w:rPr>
            </w:pPr>
            <w:r w:rsidRPr="0082047D">
              <w:rPr>
                <w:rFonts w:ascii="Arial Narrow" w:hAnsi="Arial Narrow"/>
                <w:sz w:val="18"/>
                <w:szCs w:val="18"/>
              </w:rPr>
              <w:t xml:space="preserve">Change variation (SE) </w:t>
            </w:r>
          </w:p>
        </w:tc>
        <w:tc>
          <w:tcPr>
            <w:tcW w:w="0" w:type="auto"/>
            <w:shd w:val="clear" w:color="auto" w:fill="000000" w:themeFill="text1"/>
          </w:tcPr>
          <w:p w14:paraId="79C75061" w14:textId="77777777" w:rsidR="00EA2E5E" w:rsidRPr="0082047D" w:rsidRDefault="00EA2E5E" w:rsidP="0082047D">
            <w:pPr>
              <w:pStyle w:val="TableHeader"/>
              <w:rPr>
                <w:rFonts w:ascii="Arial Narrow" w:hAnsi="Arial Narrow"/>
                <w:sz w:val="18"/>
                <w:szCs w:val="18"/>
              </w:rPr>
            </w:pPr>
            <w:r w:rsidRPr="0082047D">
              <w:rPr>
                <w:rFonts w:ascii="Arial Narrow" w:hAnsi="Arial Narrow"/>
                <w:sz w:val="18"/>
                <w:szCs w:val="18"/>
              </w:rPr>
              <w:t>Intervention group number</w:t>
            </w:r>
          </w:p>
          <w:p w14:paraId="6E639744" w14:textId="77777777" w:rsidR="00EA2E5E" w:rsidRPr="0082047D" w:rsidRDefault="00EA2E5E" w:rsidP="0082047D">
            <w:pPr>
              <w:pStyle w:val="TableHeader"/>
              <w:rPr>
                <w:rFonts w:ascii="Arial Narrow" w:hAnsi="Arial Narrow"/>
                <w:sz w:val="18"/>
                <w:szCs w:val="18"/>
              </w:rPr>
            </w:pPr>
            <w:r w:rsidRPr="0082047D">
              <w:rPr>
                <w:rFonts w:ascii="Arial Narrow" w:hAnsi="Arial Narrow"/>
                <w:sz w:val="18"/>
                <w:szCs w:val="18"/>
              </w:rPr>
              <w:t>(n)</w:t>
            </w:r>
          </w:p>
        </w:tc>
        <w:tc>
          <w:tcPr>
            <w:tcW w:w="0" w:type="auto"/>
            <w:shd w:val="clear" w:color="auto" w:fill="000000" w:themeFill="text1"/>
            <w:tcMar>
              <w:left w:w="80" w:type="dxa"/>
              <w:right w:w="80" w:type="dxa"/>
            </w:tcMar>
          </w:tcPr>
          <w:p w14:paraId="7DAEF99F" w14:textId="77777777" w:rsidR="00EA2E5E" w:rsidRPr="0082047D" w:rsidRDefault="00EA2E5E" w:rsidP="0082047D">
            <w:pPr>
              <w:pStyle w:val="TableHeader"/>
              <w:rPr>
                <w:rFonts w:ascii="Arial Narrow" w:hAnsi="Arial Narrow"/>
                <w:sz w:val="18"/>
                <w:szCs w:val="18"/>
              </w:rPr>
            </w:pPr>
            <w:r w:rsidRPr="0082047D">
              <w:rPr>
                <w:rFonts w:ascii="Arial Narrow" w:hAnsi="Arial Narrow"/>
                <w:sz w:val="18"/>
                <w:szCs w:val="18"/>
              </w:rPr>
              <w:t>Control group</w:t>
            </w:r>
          </w:p>
          <w:p w14:paraId="3CAB3496" w14:textId="77777777" w:rsidR="00EA2E5E" w:rsidRPr="0082047D" w:rsidRDefault="00EA2E5E" w:rsidP="0082047D">
            <w:pPr>
              <w:pStyle w:val="TableHeader"/>
              <w:rPr>
                <w:rFonts w:ascii="Arial Narrow" w:hAnsi="Arial Narrow"/>
                <w:sz w:val="18"/>
                <w:szCs w:val="18"/>
              </w:rPr>
            </w:pPr>
            <w:r w:rsidRPr="0082047D">
              <w:rPr>
                <w:rFonts w:ascii="Arial Narrow" w:hAnsi="Arial Narrow"/>
                <w:sz w:val="18"/>
                <w:szCs w:val="18"/>
              </w:rPr>
              <w:t xml:space="preserve">Mean Change </w:t>
            </w:r>
          </w:p>
        </w:tc>
        <w:tc>
          <w:tcPr>
            <w:tcW w:w="0" w:type="auto"/>
            <w:shd w:val="clear" w:color="auto" w:fill="000000" w:themeFill="text1"/>
          </w:tcPr>
          <w:p w14:paraId="0F0D20A8" w14:textId="77777777" w:rsidR="00EA2E5E" w:rsidRPr="0082047D" w:rsidRDefault="00EA2E5E" w:rsidP="0082047D">
            <w:pPr>
              <w:pStyle w:val="TableHeader"/>
              <w:rPr>
                <w:rFonts w:ascii="Arial Narrow" w:hAnsi="Arial Narrow"/>
                <w:sz w:val="18"/>
                <w:szCs w:val="18"/>
              </w:rPr>
            </w:pPr>
            <w:r w:rsidRPr="0082047D">
              <w:rPr>
                <w:rFonts w:ascii="Arial Narrow" w:hAnsi="Arial Narrow"/>
                <w:sz w:val="18"/>
                <w:szCs w:val="18"/>
              </w:rPr>
              <w:t>Control group</w:t>
            </w:r>
          </w:p>
          <w:p w14:paraId="05AA8F6C" w14:textId="77777777" w:rsidR="00EA2E5E" w:rsidRPr="0082047D" w:rsidRDefault="00EA2E5E" w:rsidP="0082047D">
            <w:pPr>
              <w:pStyle w:val="TableHeader"/>
              <w:rPr>
                <w:rFonts w:ascii="Arial Narrow" w:hAnsi="Arial Narrow"/>
                <w:sz w:val="18"/>
                <w:szCs w:val="18"/>
              </w:rPr>
            </w:pPr>
            <w:r w:rsidRPr="0082047D">
              <w:rPr>
                <w:rFonts w:ascii="Arial Narrow" w:hAnsi="Arial Narrow"/>
                <w:sz w:val="18"/>
                <w:szCs w:val="18"/>
              </w:rPr>
              <w:t>Change variation (SE)</w:t>
            </w:r>
          </w:p>
        </w:tc>
        <w:tc>
          <w:tcPr>
            <w:tcW w:w="0" w:type="auto"/>
            <w:shd w:val="clear" w:color="auto" w:fill="000000" w:themeFill="text1"/>
          </w:tcPr>
          <w:p w14:paraId="7B4CD329" w14:textId="77777777" w:rsidR="00EA2E5E" w:rsidRPr="0082047D" w:rsidRDefault="00EA2E5E" w:rsidP="0082047D">
            <w:pPr>
              <w:pStyle w:val="TableHeader"/>
              <w:rPr>
                <w:rFonts w:ascii="Arial Narrow" w:hAnsi="Arial Narrow"/>
                <w:sz w:val="18"/>
                <w:szCs w:val="18"/>
              </w:rPr>
            </w:pPr>
            <w:r w:rsidRPr="0082047D">
              <w:rPr>
                <w:rFonts w:ascii="Arial Narrow" w:hAnsi="Arial Narrow"/>
                <w:sz w:val="18"/>
                <w:szCs w:val="18"/>
              </w:rPr>
              <w:t>Control group</w:t>
            </w:r>
          </w:p>
          <w:p w14:paraId="4D4DBD30" w14:textId="77777777" w:rsidR="00EA2E5E" w:rsidRPr="0082047D" w:rsidRDefault="00EA2E5E" w:rsidP="0082047D">
            <w:pPr>
              <w:pStyle w:val="TableHeader"/>
              <w:rPr>
                <w:rFonts w:ascii="Arial Narrow" w:hAnsi="Arial Narrow"/>
                <w:sz w:val="18"/>
                <w:szCs w:val="18"/>
              </w:rPr>
            </w:pPr>
            <w:r w:rsidRPr="0082047D">
              <w:rPr>
                <w:rFonts w:ascii="Arial Narrow" w:hAnsi="Arial Narrow"/>
                <w:sz w:val="18"/>
                <w:szCs w:val="18"/>
              </w:rPr>
              <w:t>number (n)</w:t>
            </w:r>
          </w:p>
        </w:tc>
        <w:tc>
          <w:tcPr>
            <w:tcW w:w="0" w:type="auto"/>
            <w:shd w:val="clear" w:color="auto" w:fill="000000" w:themeFill="text1"/>
            <w:tcMar>
              <w:left w:w="80" w:type="dxa"/>
              <w:right w:w="80" w:type="dxa"/>
            </w:tcMar>
          </w:tcPr>
          <w:p w14:paraId="3A5FA67E" w14:textId="77777777" w:rsidR="00EA2E5E" w:rsidRPr="0082047D" w:rsidRDefault="00EA2E5E" w:rsidP="0082047D">
            <w:pPr>
              <w:pStyle w:val="TableHeader"/>
              <w:rPr>
                <w:rFonts w:ascii="Arial Narrow" w:hAnsi="Arial Narrow"/>
                <w:sz w:val="18"/>
                <w:szCs w:val="18"/>
              </w:rPr>
            </w:pPr>
            <w:r w:rsidRPr="0082047D">
              <w:rPr>
                <w:rFonts w:ascii="Arial Narrow" w:hAnsi="Arial Narrow"/>
                <w:sz w:val="18"/>
                <w:szCs w:val="18"/>
              </w:rPr>
              <w:t xml:space="preserve">Estimate = Intervention - Control </w:t>
            </w:r>
          </w:p>
        </w:tc>
        <w:tc>
          <w:tcPr>
            <w:tcW w:w="0" w:type="auto"/>
            <w:shd w:val="clear" w:color="auto" w:fill="000000" w:themeFill="text1"/>
          </w:tcPr>
          <w:p w14:paraId="0282F144" w14:textId="77777777" w:rsidR="00EA2E5E" w:rsidRPr="0082047D" w:rsidRDefault="00EA2E5E" w:rsidP="0082047D">
            <w:pPr>
              <w:pStyle w:val="TableHeader"/>
              <w:rPr>
                <w:rFonts w:ascii="Arial Narrow" w:hAnsi="Arial Narrow"/>
                <w:sz w:val="18"/>
                <w:szCs w:val="18"/>
              </w:rPr>
            </w:pPr>
            <w:r w:rsidRPr="0082047D">
              <w:rPr>
                <w:rFonts w:ascii="Arial Narrow" w:hAnsi="Arial Narrow"/>
                <w:sz w:val="18"/>
                <w:szCs w:val="18"/>
              </w:rPr>
              <w:t>Estimate = Intervention - Control (95% CI)</w:t>
            </w:r>
          </w:p>
        </w:tc>
        <w:tc>
          <w:tcPr>
            <w:tcW w:w="0" w:type="auto"/>
            <w:shd w:val="clear" w:color="auto" w:fill="000000" w:themeFill="text1"/>
            <w:tcMar>
              <w:left w:w="80" w:type="dxa"/>
              <w:right w:w="80" w:type="dxa"/>
            </w:tcMar>
          </w:tcPr>
          <w:p w14:paraId="746E67BC" w14:textId="77777777" w:rsidR="00EA2E5E" w:rsidRPr="0082047D" w:rsidRDefault="00EA2E5E" w:rsidP="0082047D">
            <w:pPr>
              <w:pStyle w:val="TableHeader"/>
              <w:rPr>
                <w:rFonts w:ascii="Arial Narrow" w:hAnsi="Arial Narrow"/>
                <w:sz w:val="18"/>
                <w:szCs w:val="18"/>
              </w:rPr>
            </w:pPr>
            <w:r w:rsidRPr="0082047D">
              <w:rPr>
                <w:rFonts w:ascii="Arial Narrow" w:hAnsi="Arial Narrow"/>
                <w:sz w:val="18"/>
                <w:szCs w:val="18"/>
              </w:rPr>
              <w:t>P-value</w:t>
            </w:r>
          </w:p>
        </w:tc>
      </w:tr>
      <w:tr w:rsidR="00EA2E5E" w:rsidRPr="0082047D" w14:paraId="41457489" w14:textId="77777777" w:rsidTr="0082047D">
        <w:trPr>
          <w:tblHeader/>
          <w:jc w:val="center"/>
        </w:trPr>
        <w:tc>
          <w:tcPr>
            <w:tcW w:w="0" w:type="auto"/>
            <w:shd w:val="clear" w:color="auto" w:fill="FFFFFF"/>
            <w:tcMar>
              <w:left w:w="80" w:type="dxa"/>
              <w:right w:w="80" w:type="dxa"/>
            </w:tcMar>
          </w:tcPr>
          <w:p w14:paraId="5AC458D8" w14:textId="77777777" w:rsidR="00EA2E5E" w:rsidRPr="0082047D" w:rsidRDefault="00EA2E5E" w:rsidP="0082047D">
            <w:pPr>
              <w:pStyle w:val="Tabletext1"/>
              <w:rPr>
                <w:rFonts w:ascii="Arial Narrow" w:hAnsi="Arial Narrow"/>
                <w:sz w:val="18"/>
                <w:szCs w:val="18"/>
              </w:rPr>
            </w:pPr>
            <w:r w:rsidRPr="0082047D">
              <w:rPr>
                <w:rFonts w:ascii="Arial Narrow" w:hAnsi="Arial Narrow"/>
                <w:sz w:val="18"/>
                <w:szCs w:val="18"/>
              </w:rPr>
              <w:t>Frailty Index</w:t>
            </w:r>
          </w:p>
        </w:tc>
        <w:tc>
          <w:tcPr>
            <w:tcW w:w="0" w:type="auto"/>
            <w:shd w:val="clear" w:color="auto" w:fill="FFFFFF"/>
            <w:tcMar>
              <w:left w:w="80" w:type="dxa"/>
              <w:right w:w="80" w:type="dxa"/>
            </w:tcMar>
          </w:tcPr>
          <w:p w14:paraId="3991401E" w14:textId="77777777" w:rsidR="00EA2E5E" w:rsidRPr="0082047D" w:rsidRDefault="00EA2E5E" w:rsidP="0082047D">
            <w:pPr>
              <w:pStyle w:val="Tabletext1"/>
              <w:rPr>
                <w:rFonts w:ascii="Arial Narrow" w:hAnsi="Arial Narrow"/>
                <w:sz w:val="18"/>
                <w:szCs w:val="18"/>
              </w:rPr>
            </w:pPr>
            <w:r w:rsidRPr="0082047D">
              <w:rPr>
                <w:rFonts w:ascii="Arial Narrow" w:hAnsi="Arial Narrow"/>
                <w:sz w:val="18"/>
                <w:szCs w:val="18"/>
              </w:rPr>
              <w:t>6 Months</w:t>
            </w:r>
          </w:p>
        </w:tc>
        <w:tc>
          <w:tcPr>
            <w:tcW w:w="0" w:type="auto"/>
            <w:shd w:val="clear" w:color="auto" w:fill="FFFFFF"/>
            <w:tcMar>
              <w:left w:w="80" w:type="dxa"/>
              <w:right w:w="80" w:type="dxa"/>
            </w:tcMar>
            <w:vAlign w:val="center"/>
          </w:tcPr>
          <w:p w14:paraId="14559D16" w14:textId="77777777" w:rsidR="00EA2E5E" w:rsidRPr="0082047D" w:rsidRDefault="00EA2E5E" w:rsidP="0082047D">
            <w:pPr>
              <w:pStyle w:val="Tabletext1"/>
              <w:jc w:val="right"/>
              <w:rPr>
                <w:rFonts w:ascii="Arial Narrow" w:hAnsi="Arial Narrow"/>
                <w:sz w:val="18"/>
                <w:szCs w:val="18"/>
              </w:rPr>
            </w:pPr>
            <w:r w:rsidRPr="0082047D">
              <w:rPr>
                <w:rFonts w:ascii="Arial Narrow" w:hAnsi="Arial Narrow"/>
                <w:sz w:val="18"/>
                <w:szCs w:val="18"/>
              </w:rPr>
              <w:t>0.040</w:t>
            </w:r>
          </w:p>
        </w:tc>
        <w:tc>
          <w:tcPr>
            <w:tcW w:w="0" w:type="auto"/>
            <w:shd w:val="clear" w:color="auto" w:fill="FFFFFF"/>
            <w:vAlign w:val="center"/>
          </w:tcPr>
          <w:p w14:paraId="337814D5" w14:textId="77777777" w:rsidR="00EA2E5E" w:rsidRPr="0082047D" w:rsidRDefault="00EA2E5E" w:rsidP="0082047D">
            <w:pPr>
              <w:pStyle w:val="Tabletext1"/>
              <w:jc w:val="right"/>
              <w:rPr>
                <w:rFonts w:ascii="Arial Narrow" w:hAnsi="Arial Narrow"/>
                <w:sz w:val="18"/>
                <w:szCs w:val="18"/>
              </w:rPr>
            </w:pPr>
            <w:r w:rsidRPr="0082047D">
              <w:rPr>
                <w:rFonts w:ascii="Arial Narrow" w:hAnsi="Arial Narrow"/>
                <w:sz w:val="18"/>
                <w:szCs w:val="18"/>
              </w:rPr>
              <w:t>0.064</w:t>
            </w:r>
          </w:p>
        </w:tc>
        <w:tc>
          <w:tcPr>
            <w:tcW w:w="0" w:type="auto"/>
            <w:shd w:val="clear" w:color="auto" w:fill="FFFFFF"/>
            <w:vAlign w:val="center"/>
          </w:tcPr>
          <w:p w14:paraId="20C3FFEE" w14:textId="77777777" w:rsidR="00EA2E5E" w:rsidRPr="0082047D" w:rsidRDefault="00EA2E5E" w:rsidP="0082047D">
            <w:pPr>
              <w:pStyle w:val="Tabletext1"/>
              <w:jc w:val="right"/>
              <w:rPr>
                <w:rFonts w:ascii="Arial Narrow" w:hAnsi="Arial Narrow"/>
                <w:sz w:val="18"/>
                <w:szCs w:val="18"/>
              </w:rPr>
            </w:pPr>
            <w:r w:rsidRPr="0082047D">
              <w:rPr>
                <w:rFonts w:ascii="Arial Narrow" w:hAnsi="Arial Narrow"/>
                <w:sz w:val="18"/>
                <w:szCs w:val="18"/>
              </w:rPr>
              <w:t>105</w:t>
            </w:r>
          </w:p>
        </w:tc>
        <w:tc>
          <w:tcPr>
            <w:tcW w:w="0" w:type="auto"/>
            <w:shd w:val="clear" w:color="auto" w:fill="FFFFFF"/>
            <w:tcMar>
              <w:left w:w="80" w:type="dxa"/>
              <w:right w:w="80" w:type="dxa"/>
            </w:tcMar>
            <w:vAlign w:val="center"/>
          </w:tcPr>
          <w:p w14:paraId="1A3E0B0E" w14:textId="77777777" w:rsidR="00EA2E5E" w:rsidRPr="0082047D" w:rsidRDefault="00EA2E5E" w:rsidP="0082047D">
            <w:pPr>
              <w:pStyle w:val="Tabletext1"/>
              <w:jc w:val="right"/>
              <w:rPr>
                <w:rFonts w:ascii="Arial Narrow" w:hAnsi="Arial Narrow"/>
                <w:sz w:val="18"/>
                <w:szCs w:val="18"/>
              </w:rPr>
            </w:pPr>
            <w:r w:rsidRPr="0082047D">
              <w:rPr>
                <w:rFonts w:ascii="Arial Narrow" w:hAnsi="Arial Narrow"/>
                <w:sz w:val="18"/>
                <w:szCs w:val="18"/>
              </w:rPr>
              <w:t>0.044</w:t>
            </w:r>
          </w:p>
        </w:tc>
        <w:tc>
          <w:tcPr>
            <w:tcW w:w="0" w:type="auto"/>
            <w:shd w:val="clear" w:color="auto" w:fill="FFFFFF"/>
            <w:vAlign w:val="center"/>
          </w:tcPr>
          <w:p w14:paraId="593AD766" w14:textId="77777777" w:rsidR="00EA2E5E" w:rsidRPr="0082047D" w:rsidRDefault="00EA2E5E" w:rsidP="0082047D">
            <w:pPr>
              <w:pStyle w:val="Tabletext1"/>
              <w:jc w:val="right"/>
              <w:rPr>
                <w:rFonts w:ascii="Arial Narrow" w:hAnsi="Arial Narrow"/>
                <w:sz w:val="18"/>
                <w:szCs w:val="18"/>
              </w:rPr>
            </w:pPr>
            <w:r w:rsidRPr="0082047D">
              <w:rPr>
                <w:rFonts w:ascii="Arial Narrow" w:hAnsi="Arial Narrow"/>
                <w:sz w:val="18"/>
                <w:szCs w:val="18"/>
              </w:rPr>
              <w:t>0.062</w:t>
            </w:r>
          </w:p>
        </w:tc>
        <w:tc>
          <w:tcPr>
            <w:tcW w:w="0" w:type="auto"/>
            <w:shd w:val="clear" w:color="auto" w:fill="FFFFFF"/>
            <w:vAlign w:val="center"/>
          </w:tcPr>
          <w:p w14:paraId="4166508D" w14:textId="77777777" w:rsidR="00EA2E5E" w:rsidRPr="0082047D" w:rsidRDefault="00EA2E5E" w:rsidP="0082047D">
            <w:pPr>
              <w:pStyle w:val="Tabletext1"/>
              <w:jc w:val="right"/>
              <w:rPr>
                <w:rFonts w:ascii="Arial Narrow" w:hAnsi="Arial Narrow"/>
                <w:sz w:val="18"/>
                <w:szCs w:val="18"/>
              </w:rPr>
            </w:pPr>
            <w:r w:rsidRPr="0082047D">
              <w:rPr>
                <w:rFonts w:ascii="Arial Narrow" w:hAnsi="Arial Narrow"/>
                <w:sz w:val="18"/>
                <w:szCs w:val="18"/>
              </w:rPr>
              <w:t>119</w:t>
            </w:r>
          </w:p>
        </w:tc>
        <w:tc>
          <w:tcPr>
            <w:tcW w:w="0" w:type="auto"/>
            <w:shd w:val="clear" w:color="auto" w:fill="FFFFFF"/>
            <w:tcMar>
              <w:left w:w="80" w:type="dxa"/>
              <w:right w:w="80" w:type="dxa"/>
            </w:tcMar>
            <w:vAlign w:val="center"/>
          </w:tcPr>
          <w:p w14:paraId="0D2D0BAA" w14:textId="77777777" w:rsidR="00EA2E5E" w:rsidRPr="0082047D" w:rsidRDefault="00EA2E5E" w:rsidP="0082047D">
            <w:pPr>
              <w:pStyle w:val="Tabletext1"/>
              <w:jc w:val="right"/>
              <w:rPr>
                <w:rFonts w:ascii="Arial Narrow" w:hAnsi="Arial Narrow"/>
                <w:sz w:val="18"/>
                <w:szCs w:val="18"/>
              </w:rPr>
            </w:pPr>
            <w:r w:rsidRPr="0082047D">
              <w:rPr>
                <w:rFonts w:ascii="Arial Narrow" w:hAnsi="Arial Narrow"/>
                <w:sz w:val="18"/>
                <w:szCs w:val="18"/>
              </w:rPr>
              <w:t>-0.005</w:t>
            </w:r>
          </w:p>
        </w:tc>
        <w:tc>
          <w:tcPr>
            <w:tcW w:w="0" w:type="auto"/>
            <w:shd w:val="clear" w:color="auto" w:fill="FFFFFF"/>
            <w:vAlign w:val="center"/>
          </w:tcPr>
          <w:p w14:paraId="14253574" w14:textId="77777777" w:rsidR="00EA2E5E" w:rsidRPr="0082047D" w:rsidRDefault="00EA2E5E" w:rsidP="0082047D">
            <w:pPr>
              <w:pStyle w:val="Tabletext1"/>
              <w:jc w:val="right"/>
              <w:rPr>
                <w:rFonts w:ascii="Arial Narrow" w:hAnsi="Arial Narrow"/>
                <w:sz w:val="18"/>
                <w:szCs w:val="18"/>
              </w:rPr>
            </w:pPr>
            <w:r w:rsidRPr="0082047D">
              <w:rPr>
                <w:rFonts w:ascii="Arial Narrow" w:hAnsi="Arial Narrow"/>
                <w:sz w:val="18"/>
                <w:szCs w:val="18"/>
              </w:rPr>
              <w:t>-0.023, 0.013</w:t>
            </w:r>
          </w:p>
        </w:tc>
        <w:tc>
          <w:tcPr>
            <w:tcW w:w="0" w:type="auto"/>
            <w:shd w:val="clear" w:color="auto" w:fill="FFFFFF"/>
            <w:tcMar>
              <w:left w:w="80" w:type="dxa"/>
              <w:right w:w="80" w:type="dxa"/>
            </w:tcMar>
            <w:vAlign w:val="center"/>
          </w:tcPr>
          <w:p w14:paraId="72805B8F" w14:textId="77777777" w:rsidR="00EA2E5E" w:rsidRPr="0082047D" w:rsidRDefault="00EA2E5E" w:rsidP="0082047D">
            <w:pPr>
              <w:pStyle w:val="Tabletext1"/>
              <w:jc w:val="right"/>
              <w:rPr>
                <w:rFonts w:ascii="Arial Narrow" w:hAnsi="Arial Narrow"/>
                <w:sz w:val="18"/>
                <w:szCs w:val="18"/>
              </w:rPr>
            </w:pPr>
            <w:r w:rsidRPr="0082047D">
              <w:rPr>
                <w:rFonts w:ascii="Arial Narrow" w:hAnsi="Arial Narrow"/>
                <w:sz w:val="18"/>
                <w:szCs w:val="18"/>
              </w:rPr>
              <w:t>0.606</w:t>
            </w:r>
          </w:p>
        </w:tc>
      </w:tr>
      <w:tr w:rsidR="00EA2E5E" w:rsidRPr="0082047D" w14:paraId="3C565833" w14:textId="77777777" w:rsidTr="0082047D">
        <w:trPr>
          <w:tblHeader/>
          <w:jc w:val="center"/>
        </w:trPr>
        <w:tc>
          <w:tcPr>
            <w:tcW w:w="0" w:type="auto"/>
            <w:shd w:val="clear" w:color="auto" w:fill="FFFFFF"/>
            <w:tcMar>
              <w:left w:w="80" w:type="dxa"/>
              <w:right w:w="80" w:type="dxa"/>
            </w:tcMar>
          </w:tcPr>
          <w:p w14:paraId="209481B7" w14:textId="77777777" w:rsidR="00EA2E5E" w:rsidRPr="0082047D" w:rsidRDefault="00EA2E5E" w:rsidP="0082047D">
            <w:pPr>
              <w:pStyle w:val="Tabletext1"/>
              <w:rPr>
                <w:rFonts w:ascii="Arial Narrow" w:hAnsi="Arial Narrow"/>
                <w:sz w:val="18"/>
                <w:szCs w:val="18"/>
              </w:rPr>
            </w:pPr>
            <w:r w:rsidRPr="0082047D">
              <w:rPr>
                <w:rFonts w:ascii="Arial Narrow" w:hAnsi="Arial Narrow"/>
                <w:sz w:val="18"/>
                <w:szCs w:val="18"/>
              </w:rPr>
              <w:t>Frailty Index</w:t>
            </w:r>
          </w:p>
        </w:tc>
        <w:tc>
          <w:tcPr>
            <w:tcW w:w="0" w:type="auto"/>
            <w:shd w:val="clear" w:color="auto" w:fill="FFFFFF"/>
            <w:tcMar>
              <w:left w:w="80" w:type="dxa"/>
              <w:right w:w="80" w:type="dxa"/>
            </w:tcMar>
          </w:tcPr>
          <w:p w14:paraId="7C410A11" w14:textId="77777777" w:rsidR="00EA2E5E" w:rsidRPr="0082047D" w:rsidRDefault="00EA2E5E" w:rsidP="0082047D">
            <w:pPr>
              <w:pStyle w:val="Tabletext1"/>
              <w:rPr>
                <w:rFonts w:ascii="Arial Narrow" w:hAnsi="Arial Narrow"/>
                <w:sz w:val="18"/>
                <w:szCs w:val="18"/>
              </w:rPr>
            </w:pPr>
            <w:r w:rsidRPr="0082047D">
              <w:rPr>
                <w:rFonts w:ascii="Arial Narrow" w:hAnsi="Arial Narrow"/>
                <w:sz w:val="18"/>
                <w:szCs w:val="18"/>
              </w:rPr>
              <w:t>12 Months</w:t>
            </w:r>
          </w:p>
        </w:tc>
        <w:tc>
          <w:tcPr>
            <w:tcW w:w="0" w:type="auto"/>
            <w:shd w:val="clear" w:color="auto" w:fill="FFFFFF"/>
            <w:tcMar>
              <w:left w:w="80" w:type="dxa"/>
              <w:right w:w="80" w:type="dxa"/>
            </w:tcMar>
            <w:vAlign w:val="center"/>
          </w:tcPr>
          <w:p w14:paraId="662C1E0B" w14:textId="77777777" w:rsidR="00EA2E5E" w:rsidRPr="0082047D" w:rsidRDefault="00EA2E5E" w:rsidP="0082047D">
            <w:pPr>
              <w:pStyle w:val="Tabletext1"/>
              <w:jc w:val="right"/>
              <w:rPr>
                <w:rFonts w:ascii="Arial Narrow" w:hAnsi="Arial Narrow"/>
                <w:sz w:val="18"/>
                <w:szCs w:val="18"/>
              </w:rPr>
            </w:pPr>
            <w:r w:rsidRPr="0082047D">
              <w:rPr>
                <w:rFonts w:ascii="Arial Narrow" w:hAnsi="Arial Narrow"/>
                <w:sz w:val="18"/>
                <w:szCs w:val="18"/>
              </w:rPr>
              <w:t>0.080</w:t>
            </w:r>
          </w:p>
        </w:tc>
        <w:tc>
          <w:tcPr>
            <w:tcW w:w="0" w:type="auto"/>
            <w:shd w:val="clear" w:color="auto" w:fill="FFFFFF"/>
            <w:vAlign w:val="center"/>
          </w:tcPr>
          <w:p w14:paraId="45896D2E" w14:textId="77777777" w:rsidR="00EA2E5E" w:rsidRPr="0082047D" w:rsidRDefault="00EA2E5E" w:rsidP="0082047D">
            <w:pPr>
              <w:pStyle w:val="Tabletext1"/>
              <w:jc w:val="right"/>
              <w:rPr>
                <w:rFonts w:ascii="Arial Narrow" w:hAnsi="Arial Narrow"/>
                <w:sz w:val="18"/>
                <w:szCs w:val="18"/>
              </w:rPr>
            </w:pPr>
            <w:r w:rsidRPr="0082047D">
              <w:rPr>
                <w:rFonts w:ascii="Arial Narrow" w:hAnsi="Arial Narrow"/>
                <w:sz w:val="18"/>
                <w:szCs w:val="18"/>
              </w:rPr>
              <w:t>0.076</w:t>
            </w:r>
          </w:p>
        </w:tc>
        <w:tc>
          <w:tcPr>
            <w:tcW w:w="0" w:type="auto"/>
            <w:shd w:val="clear" w:color="auto" w:fill="FFFFFF"/>
            <w:vAlign w:val="center"/>
          </w:tcPr>
          <w:p w14:paraId="442E47BD" w14:textId="77777777" w:rsidR="00EA2E5E" w:rsidRPr="0082047D" w:rsidRDefault="00EA2E5E" w:rsidP="0082047D">
            <w:pPr>
              <w:pStyle w:val="Tabletext1"/>
              <w:jc w:val="right"/>
              <w:rPr>
                <w:rFonts w:ascii="Arial Narrow" w:hAnsi="Arial Narrow"/>
                <w:sz w:val="18"/>
                <w:szCs w:val="18"/>
              </w:rPr>
            </w:pPr>
            <w:r w:rsidRPr="0082047D">
              <w:rPr>
                <w:rFonts w:ascii="Arial Narrow" w:hAnsi="Arial Narrow"/>
                <w:sz w:val="18"/>
                <w:szCs w:val="18"/>
              </w:rPr>
              <w:t>97</w:t>
            </w:r>
          </w:p>
        </w:tc>
        <w:tc>
          <w:tcPr>
            <w:tcW w:w="0" w:type="auto"/>
            <w:shd w:val="clear" w:color="auto" w:fill="FFFFFF"/>
            <w:tcMar>
              <w:left w:w="80" w:type="dxa"/>
              <w:right w:w="80" w:type="dxa"/>
            </w:tcMar>
            <w:vAlign w:val="center"/>
          </w:tcPr>
          <w:p w14:paraId="3E83092F" w14:textId="77777777" w:rsidR="00EA2E5E" w:rsidRPr="0082047D" w:rsidRDefault="00EA2E5E" w:rsidP="0082047D">
            <w:pPr>
              <w:pStyle w:val="Tabletext1"/>
              <w:jc w:val="right"/>
              <w:rPr>
                <w:rFonts w:ascii="Arial Narrow" w:hAnsi="Arial Narrow"/>
                <w:sz w:val="18"/>
                <w:szCs w:val="18"/>
              </w:rPr>
            </w:pPr>
            <w:r w:rsidRPr="0082047D">
              <w:rPr>
                <w:rFonts w:ascii="Arial Narrow" w:hAnsi="Arial Narrow"/>
                <w:sz w:val="18"/>
                <w:szCs w:val="18"/>
              </w:rPr>
              <w:t>0.089</w:t>
            </w:r>
          </w:p>
        </w:tc>
        <w:tc>
          <w:tcPr>
            <w:tcW w:w="0" w:type="auto"/>
            <w:shd w:val="clear" w:color="auto" w:fill="FFFFFF"/>
            <w:vAlign w:val="center"/>
          </w:tcPr>
          <w:p w14:paraId="44041CA7" w14:textId="77777777" w:rsidR="00EA2E5E" w:rsidRPr="0082047D" w:rsidRDefault="00EA2E5E" w:rsidP="0082047D">
            <w:pPr>
              <w:pStyle w:val="Tabletext1"/>
              <w:jc w:val="right"/>
              <w:rPr>
                <w:rFonts w:ascii="Arial Narrow" w:hAnsi="Arial Narrow"/>
                <w:sz w:val="18"/>
                <w:szCs w:val="18"/>
              </w:rPr>
            </w:pPr>
            <w:r w:rsidRPr="0082047D">
              <w:rPr>
                <w:rFonts w:ascii="Arial Narrow" w:hAnsi="Arial Narrow"/>
                <w:sz w:val="18"/>
                <w:szCs w:val="18"/>
              </w:rPr>
              <w:t>0.082</w:t>
            </w:r>
          </w:p>
        </w:tc>
        <w:tc>
          <w:tcPr>
            <w:tcW w:w="0" w:type="auto"/>
            <w:shd w:val="clear" w:color="auto" w:fill="FFFFFF"/>
            <w:vAlign w:val="center"/>
          </w:tcPr>
          <w:p w14:paraId="6CCBFE91" w14:textId="77777777" w:rsidR="00EA2E5E" w:rsidRPr="0082047D" w:rsidRDefault="00EA2E5E" w:rsidP="0082047D">
            <w:pPr>
              <w:pStyle w:val="Tabletext1"/>
              <w:jc w:val="right"/>
              <w:rPr>
                <w:rFonts w:ascii="Arial Narrow" w:hAnsi="Arial Narrow"/>
                <w:sz w:val="18"/>
                <w:szCs w:val="18"/>
              </w:rPr>
            </w:pPr>
            <w:r w:rsidRPr="0082047D">
              <w:rPr>
                <w:rFonts w:ascii="Arial Narrow" w:hAnsi="Arial Narrow"/>
                <w:sz w:val="18"/>
                <w:szCs w:val="18"/>
              </w:rPr>
              <w:t>111</w:t>
            </w:r>
          </w:p>
        </w:tc>
        <w:tc>
          <w:tcPr>
            <w:tcW w:w="0" w:type="auto"/>
            <w:shd w:val="clear" w:color="auto" w:fill="FFFFFF"/>
            <w:tcMar>
              <w:left w:w="80" w:type="dxa"/>
              <w:right w:w="80" w:type="dxa"/>
            </w:tcMar>
            <w:vAlign w:val="center"/>
          </w:tcPr>
          <w:p w14:paraId="68F200F3" w14:textId="77777777" w:rsidR="00EA2E5E" w:rsidRPr="0082047D" w:rsidRDefault="00EA2E5E" w:rsidP="0082047D">
            <w:pPr>
              <w:pStyle w:val="Tabletext1"/>
              <w:jc w:val="right"/>
              <w:rPr>
                <w:rFonts w:ascii="Arial Narrow" w:hAnsi="Arial Narrow"/>
                <w:sz w:val="18"/>
                <w:szCs w:val="18"/>
              </w:rPr>
            </w:pPr>
            <w:r w:rsidRPr="0082047D">
              <w:rPr>
                <w:rFonts w:ascii="Arial Narrow" w:hAnsi="Arial Narrow"/>
                <w:sz w:val="18"/>
                <w:szCs w:val="18"/>
              </w:rPr>
              <w:t>-0.009</w:t>
            </w:r>
          </w:p>
        </w:tc>
        <w:tc>
          <w:tcPr>
            <w:tcW w:w="0" w:type="auto"/>
            <w:shd w:val="clear" w:color="auto" w:fill="FFFFFF"/>
            <w:vAlign w:val="center"/>
          </w:tcPr>
          <w:p w14:paraId="271B6948" w14:textId="77777777" w:rsidR="00EA2E5E" w:rsidRPr="0082047D" w:rsidRDefault="00EA2E5E" w:rsidP="0082047D">
            <w:pPr>
              <w:pStyle w:val="Tabletext1"/>
              <w:jc w:val="right"/>
              <w:rPr>
                <w:rFonts w:ascii="Arial Narrow" w:hAnsi="Arial Narrow"/>
                <w:sz w:val="18"/>
                <w:szCs w:val="18"/>
              </w:rPr>
            </w:pPr>
            <w:r w:rsidRPr="0082047D">
              <w:rPr>
                <w:rFonts w:ascii="Arial Narrow" w:hAnsi="Arial Narrow"/>
                <w:sz w:val="18"/>
                <w:szCs w:val="18"/>
              </w:rPr>
              <w:t>-0.028, 0.009</w:t>
            </w:r>
          </w:p>
        </w:tc>
        <w:tc>
          <w:tcPr>
            <w:tcW w:w="0" w:type="auto"/>
            <w:shd w:val="clear" w:color="auto" w:fill="FFFFFF"/>
            <w:tcMar>
              <w:left w:w="80" w:type="dxa"/>
              <w:right w:w="80" w:type="dxa"/>
            </w:tcMar>
            <w:vAlign w:val="center"/>
          </w:tcPr>
          <w:p w14:paraId="61A2C46C" w14:textId="77777777" w:rsidR="00EA2E5E" w:rsidRPr="0082047D" w:rsidRDefault="00EA2E5E" w:rsidP="0082047D">
            <w:pPr>
              <w:pStyle w:val="Tabletext1"/>
              <w:jc w:val="right"/>
              <w:rPr>
                <w:rFonts w:ascii="Arial Narrow" w:hAnsi="Arial Narrow"/>
                <w:sz w:val="18"/>
                <w:szCs w:val="18"/>
              </w:rPr>
            </w:pPr>
            <w:r w:rsidRPr="0082047D">
              <w:rPr>
                <w:rFonts w:ascii="Arial Narrow" w:hAnsi="Arial Narrow"/>
                <w:sz w:val="18"/>
                <w:szCs w:val="18"/>
              </w:rPr>
              <w:t>0.320</w:t>
            </w:r>
          </w:p>
        </w:tc>
      </w:tr>
    </w:tbl>
    <w:p w14:paraId="362604DC" w14:textId="39290DFE" w:rsidR="001425A9" w:rsidRDefault="001425A9" w:rsidP="0082047D">
      <w:pPr>
        <w:spacing w:before="240"/>
      </w:pPr>
      <w:r>
        <w:t xml:space="preserve">The figure has been overlaid with the imputed effects of the impact of </w:t>
      </w:r>
      <w:r w:rsidR="006B0804">
        <w:t>COVID</w:t>
      </w:r>
      <w:r>
        <w:t>-restrictions calculated from data in table presented below.</w:t>
      </w:r>
    </w:p>
    <w:tbl>
      <w:tblPr>
        <w:tblW w:w="9923" w:type="dxa"/>
        <w:tblInd w:w="-8" w:type="dxa"/>
        <w:tblLayout w:type="fixed"/>
        <w:tblCellMar>
          <w:left w:w="0" w:type="dxa"/>
          <w:right w:w="0" w:type="dxa"/>
        </w:tblCellMar>
        <w:tblLook w:val="0000" w:firstRow="0" w:lastRow="0" w:firstColumn="0" w:lastColumn="0" w:noHBand="0" w:noVBand="0"/>
        <w:tblCaption w:val="Imputation of Frailty outcome measurements after Covid-19 access restrictions"/>
        <w:tblDescription w:val="Post hoc analysis and imputation of impact of Covid-19 access restrictions on the control and intervention arms."/>
      </w:tblPr>
      <w:tblGrid>
        <w:gridCol w:w="1134"/>
        <w:gridCol w:w="1134"/>
        <w:gridCol w:w="993"/>
        <w:gridCol w:w="992"/>
        <w:gridCol w:w="992"/>
        <w:gridCol w:w="992"/>
        <w:gridCol w:w="851"/>
        <w:gridCol w:w="1134"/>
        <w:gridCol w:w="992"/>
        <w:gridCol w:w="709"/>
      </w:tblGrid>
      <w:tr w:rsidR="001425A9" w:rsidRPr="0082047D" w14:paraId="5698FA0F" w14:textId="77777777" w:rsidTr="0082047D">
        <w:trPr>
          <w:cantSplit/>
        </w:trPr>
        <w:tc>
          <w:tcPr>
            <w:tcW w:w="1134" w:type="dxa"/>
            <w:tcBorders>
              <w:top w:val="single" w:sz="6" w:space="0" w:color="000000"/>
              <w:left w:val="single" w:sz="6" w:space="0" w:color="000000"/>
              <w:bottom w:val="single" w:sz="2" w:space="0" w:color="000000"/>
              <w:right w:val="nil"/>
            </w:tcBorders>
            <w:shd w:val="clear" w:color="auto" w:fill="000000" w:themeFill="text1"/>
            <w:tcMar>
              <w:left w:w="80" w:type="dxa"/>
              <w:right w:w="80" w:type="dxa"/>
            </w:tcMar>
          </w:tcPr>
          <w:p w14:paraId="12BE3661" w14:textId="77777777" w:rsidR="001425A9" w:rsidRPr="0082047D" w:rsidRDefault="001425A9" w:rsidP="0082047D">
            <w:pPr>
              <w:pStyle w:val="TableHeader"/>
              <w:rPr>
                <w:rFonts w:ascii="Arial Narrow" w:hAnsi="Arial Narrow"/>
                <w:sz w:val="20"/>
                <w:szCs w:val="20"/>
              </w:rPr>
            </w:pPr>
            <w:r w:rsidRPr="0082047D">
              <w:rPr>
                <w:rFonts w:ascii="Arial Narrow" w:hAnsi="Arial Narrow"/>
                <w:sz w:val="20"/>
                <w:szCs w:val="20"/>
              </w:rPr>
              <w:t>Outcome*</w:t>
            </w:r>
          </w:p>
        </w:tc>
        <w:tc>
          <w:tcPr>
            <w:tcW w:w="1134" w:type="dxa"/>
            <w:tcBorders>
              <w:top w:val="single" w:sz="6" w:space="0" w:color="000000"/>
              <w:left w:val="single" w:sz="2" w:space="0" w:color="000000"/>
              <w:bottom w:val="single" w:sz="2" w:space="0" w:color="000000"/>
              <w:right w:val="nil"/>
            </w:tcBorders>
            <w:shd w:val="clear" w:color="auto" w:fill="000000" w:themeFill="text1"/>
            <w:tcMar>
              <w:left w:w="80" w:type="dxa"/>
              <w:right w:w="80" w:type="dxa"/>
            </w:tcMar>
          </w:tcPr>
          <w:p w14:paraId="2638DEC3" w14:textId="77777777" w:rsidR="001425A9" w:rsidRPr="0082047D" w:rsidRDefault="001425A9" w:rsidP="0082047D">
            <w:pPr>
              <w:pStyle w:val="TableHeader"/>
              <w:rPr>
                <w:rFonts w:ascii="Arial Narrow" w:hAnsi="Arial Narrow"/>
                <w:sz w:val="20"/>
                <w:szCs w:val="20"/>
              </w:rPr>
            </w:pPr>
            <w:r w:rsidRPr="0082047D">
              <w:rPr>
                <w:rFonts w:ascii="Arial Narrow" w:hAnsi="Arial Narrow"/>
                <w:sz w:val="20"/>
                <w:szCs w:val="20"/>
              </w:rPr>
              <w:t xml:space="preserve">Intervention Observed mean </w:t>
            </w:r>
          </w:p>
        </w:tc>
        <w:tc>
          <w:tcPr>
            <w:tcW w:w="993" w:type="dxa"/>
            <w:tcBorders>
              <w:top w:val="single" w:sz="6" w:space="0" w:color="000000"/>
              <w:left w:val="single" w:sz="2" w:space="0" w:color="000000"/>
              <w:bottom w:val="single" w:sz="2" w:space="0" w:color="000000"/>
              <w:right w:val="single" w:sz="2" w:space="0" w:color="000000"/>
            </w:tcBorders>
            <w:shd w:val="clear" w:color="auto" w:fill="000000" w:themeFill="text1"/>
          </w:tcPr>
          <w:p w14:paraId="6EC6A92B" w14:textId="77777777" w:rsidR="001425A9" w:rsidRPr="0082047D" w:rsidRDefault="001425A9" w:rsidP="0082047D">
            <w:pPr>
              <w:pStyle w:val="TableHeader"/>
              <w:rPr>
                <w:rFonts w:ascii="Arial Narrow" w:hAnsi="Arial Narrow"/>
                <w:sz w:val="20"/>
                <w:szCs w:val="20"/>
              </w:rPr>
            </w:pPr>
            <w:r w:rsidRPr="0082047D">
              <w:rPr>
                <w:rFonts w:ascii="Arial Narrow" w:hAnsi="Arial Narrow"/>
                <w:sz w:val="20"/>
                <w:szCs w:val="20"/>
              </w:rPr>
              <w:t>Intervention variation (SE)</w:t>
            </w:r>
          </w:p>
        </w:tc>
        <w:tc>
          <w:tcPr>
            <w:tcW w:w="992" w:type="dxa"/>
            <w:tcBorders>
              <w:top w:val="single" w:sz="6" w:space="0" w:color="000000"/>
              <w:left w:val="single" w:sz="2" w:space="0" w:color="000000"/>
              <w:bottom w:val="single" w:sz="2" w:space="0" w:color="000000"/>
              <w:right w:val="single" w:sz="2" w:space="0" w:color="000000"/>
            </w:tcBorders>
            <w:shd w:val="clear" w:color="auto" w:fill="000000" w:themeFill="text1"/>
          </w:tcPr>
          <w:p w14:paraId="5654B7A7" w14:textId="77777777" w:rsidR="001425A9" w:rsidRPr="0082047D" w:rsidRDefault="001425A9" w:rsidP="0082047D">
            <w:pPr>
              <w:pStyle w:val="TableHeader"/>
              <w:rPr>
                <w:rFonts w:ascii="Arial Narrow" w:hAnsi="Arial Narrow"/>
                <w:sz w:val="20"/>
                <w:szCs w:val="20"/>
              </w:rPr>
            </w:pPr>
            <w:r w:rsidRPr="0082047D">
              <w:rPr>
                <w:rFonts w:ascii="Arial Narrow" w:hAnsi="Arial Narrow"/>
                <w:sz w:val="20"/>
                <w:szCs w:val="20"/>
              </w:rPr>
              <w:t>Intervention number (n)</w:t>
            </w:r>
          </w:p>
        </w:tc>
        <w:tc>
          <w:tcPr>
            <w:tcW w:w="992" w:type="dxa"/>
            <w:tcBorders>
              <w:top w:val="single" w:sz="6" w:space="0" w:color="000000"/>
              <w:left w:val="single" w:sz="2" w:space="0" w:color="000000"/>
              <w:bottom w:val="single" w:sz="2" w:space="0" w:color="000000"/>
              <w:right w:val="nil"/>
            </w:tcBorders>
            <w:shd w:val="clear" w:color="auto" w:fill="000000" w:themeFill="text1"/>
            <w:tcMar>
              <w:left w:w="80" w:type="dxa"/>
              <w:right w:w="80" w:type="dxa"/>
            </w:tcMar>
          </w:tcPr>
          <w:p w14:paraId="0B166434" w14:textId="77777777" w:rsidR="001425A9" w:rsidRPr="0082047D" w:rsidRDefault="001425A9" w:rsidP="0082047D">
            <w:pPr>
              <w:pStyle w:val="TableHeader"/>
              <w:rPr>
                <w:rFonts w:ascii="Arial Narrow" w:hAnsi="Arial Narrow"/>
                <w:sz w:val="20"/>
                <w:szCs w:val="20"/>
              </w:rPr>
            </w:pPr>
            <w:r w:rsidRPr="0082047D">
              <w:rPr>
                <w:rFonts w:ascii="Arial Narrow" w:hAnsi="Arial Narrow"/>
                <w:sz w:val="20"/>
                <w:szCs w:val="20"/>
              </w:rPr>
              <w:t xml:space="preserve">Control, </w:t>
            </w:r>
            <w:proofErr w:type="gramStart"/>
            <w:r w:rsidRPr="0082047D">
              <w:rPr>
                <w:rFonts w:ascii="Arial Narrow" w:hAnsi="Arial Narrow"/>
                <w:sz w:val="20"/>
                <w:szCs w:val="20"/>
              </w:rPr>
              <w:t>Observed</w:t>
            </w:r>
            <w:proofErr w:type="gramEnd"/>
            <w:r w:rsidRPr="0082047D">
              <w:rPr>
                <w:rFonts w:ascii="Arial Narrow" w:hAnsi="Arial Narrow"/>
                <w:sz w:val="20"/>
                <w:szCs w:val="20"/>
              </w:rPr>
              <w:t xml:space="preserve"> mean </w:t>
            </w:r>
          </w:p>
        </w:tc>
        <w:tc>
          <w:tcPr>
            <w:tcW w:w="992" w:type="dxa"/>
            <w:tcBorders>
              <w:top w:val="single" w:sz="6" w:space="0" w:color="000000"/>
              <w:left w:val="single" w:sz="2" w:space="0" w:color="000000"/>
              <w:bottom w:val="single" w:sz="2" w:space="0" w:color="000000"/>
              <w:right w:val="single" w:sz="2" w:space="0" w:color="000000"/>
            </w:tcBorders>
            <w:shd w:val="clear" w:color="auto" w:fill="000000" w:themeFill="text1"/>
          </w:tcPr>
          <w:p w14:paraId="750ECCE5" w14:textId="77777777" w:rsidR="001425A9" w:rsidRPr="0082047D" w:rsidRDefault="001425A9" w:rsidP="0082047D">
            <w:pPr>
              <w:pStyle w:val="TableHeader"/>
              <w:rPr>
                <w:rFonts w:ascii="Arial Narrow" w:hAnsi="Arial Narrow"/>
                <w:sz w:val="20"/>
                <w:szCs w:val="20"/>
              </w:rPr>
            </w:pPr>
            <w:r w:rsidRPr="0082047D">
              <w:rPr>
                <w:rFonts w:ascii="Arial Narrow" w:hAnsi="Arial Narrow"/>
                <w:sz w:val="20"/>
                <w:szCs w:val="20"/>
              </w:rPr>
              <w:t>Control, variation (SE)</w:t>
            </w:r>
          </w:p>
        </w:tc>
        <w:tc>
          <w:tcPr>
            <w:tcW w:w="851" w:type="dxa"/>
            <w:tcBorders>
              <w:top w:val="single" w:sz="6" w:space="0" w:color="000000"/>
              <w:left w:val="single" w:sz="2" w:space="0" w:color="000000"/>
              <w:bottom w:val="single" w:sz="2" w:space="0" w:color="000000"/>
              <w:right w:val="single" w:sz="2" w:space="0" w:color="000000"/>
            </w:tcBorders>
            <w:shd w:val="clear" w:color="auto" w:fill="000000" w:themeFill="text1"/>
          </w:tcPr>
          <w:p w14:paraId="53D75B43" w14:textId="77777777" w:rsidR="001425A9" w:rsidRPr="0082047D" w:rsidRDefault="001425A9" w:rsidP="0082047D">
            <w:pPr>
              <w:pStyle w:val="TableHeader"/>
              <w:rPr>
                <w:rFonts w:ascii="Arial Narrow" w:hAnsi="Arial Narrow"/>
                <w:sz w:val="20"/>
                <w:szCs w:val="20"/>
              </w:rPr>
            </w:pPr>
            <w:r w:rsidRPr="0082047D">
              <w:rPr>
                <w:rFonts w:ascii="Arial Narrow" w:hAnsi="Arial Narrow"/>
                <w:sz w:val="20"/>
                <w:szCs w:val="20"/>
              </w:rPr>
              <w:t>Control number (n)</w:t>
            </w:r>
          </w:p>
        </w:tc>
        <w:tc>
          <w:tcPr>
            <w:tcW w:w="1134" w:type="dxa"/>
            <w:tcBorders>
              <w:top w:val="single" w:sz="6" w:space="0" w:color="000000"/>
              <w:left w:val="single" w:sz="2" w:space="0" w:color="000000"/>
              <w:bottom w:val="single" w:sz="2" w:space="0" w:color="000000"/>
              <w:right w:val="nil"/>
            </w:tcBorders>
            <w:shd w:val="clear" w:color="auto" w:fill="000000" w:themeFill="text1"/>
            <w:tcMar>
              <w:left w:w="80" w:type="dxa"/>
              <w:right w:w="80" w:type="dxa"/>
            </w:tcMar>
          </w:tcPr>
          <w:p w14:paraId="07D4ECBD" w14:textId="77777777" w:rsidR="001425A9" w:rsidRPr="0082047D" w:rsidRDefault="001425A9" w:rsidP="0082047D">
            <w:pPr>
              <w:pStyle w:val="TableHeader"/>
              <w:rPr>
                <w:rFonts w:ascii="Arial Narrow" w:hAnsi="Arial Narrow"/>
                <w:sz w:val="20"/>
                <w:szCs w:val="20"/>
              </w:rPr>
            </w:pPr>
            <w:r w:rsidRPr="0082047D">
              <w:rPr>
                <w:rFonts w:ascii="Arial Narrow" w:hAnsi="Arial Narrow"/>
                <w:sz w:val="20"/>
                <w:szCs w:val="20"/>
              </w:rPr>
              <w:t>Intervention-Control variation</w:t>
            </w:r>
          </w:p>
        </w:tc>
        <w:tc>
          <w:tcPr>
            <w:tcW w:w="992" w:type="dxa"/>
            <w:tcBorders>
              <w:top w:val="single" w:sz="6" w:space="0" w:color="000000"/>
              <w:left w:val="single" w:sz="2" w:space="0" w:color="000000"/>
              <w:bottom w:val="single" w:sz="2" w:space="0" w:color="000000"/>
              <w:right w:val="single" w:sz="2" w:space="0" w:color="000000"/>
            </w:tcBorders>
            <w:shd w:val="clear" w:color="auto" w:fill="000000" w:themeFill="text1"/>
          </w:tcPr>
          <w:p w14:paraId="0E8AC882" w14:textId="77777777" w:rsidR="001425A9" w:rsidRPr="0082047D" w:rsidRDefault="001425A9" w:rsidP="0082047D">
            <w:pPr>
              <w:pStyle w:val="TableHeader"/>
              <w:rPr>
                <w:rFonts w:ascii="Arial Narrow" w:hAnsi="Arial Narrow"/>
                <w:sz w:val="20"/>
                <w:szCs w:val="20"/>
              </w:rPr>
            </w:pPr>
            <w:r w:rsidRPr="0082047D">
              <w:rPr>
                <w:rFonts w:ascii="Arial Narrow" w:hAnsi="Arial Narrow"/>
                <w:sz w:val="20"/>
                <w:szCs w:val="20"/>
              </w:rPr>
              <w:t>Intervention-Control (95% CI)</w:t>
            </w:r>
          </w:p>
        </w:tc>
        <w:tc>
          <w:tcPr>
            <w:tcW w:w="709" w:type="dxa"/>
            <w:tcBorders>
              <w:top w:val="single" w:sz="6" w:space="0" w:color="000000"/>
              <w:left w:val="single" w:sz="2" w:space="0" w:color="000000"/>
              <w:bottom w:val="single" w:sz="2" w:space="0" w:color="000000"/>
              <w:right w:val="single" w:sz="6" w:space="0" w:color="000000"/>
            </w:tcBorders>
            <w:shd w:val="clear" w:color="auto" w:fill="000000" w:themeFill="text1"/>
            <w:tcMar>
              <w:left w:w="80" w:type="dxa"/>
              <w:right w:w="80" w:type="dxa"/>
            </w:tcMar>
          </w:tcPr>
          <w:p w14:paraId="7D3ADF64" w14:textId="77777777" w:rsidR="001425A9" w:rsidRPr="0082047D" w:rsidRDefault="001425A9" w:rsidP="0082047D">
            <w:pPr>
              <w:pStyle w:val="TableHeader"/>
              <w:rPr>
                <w:rFonts w:ascii="Arial Narrow" w:hAnsi="Arial Narrow"/>
                <w:sz w:val="20"/>
                <w:szCs w:val="20"/>
              </w:rPr>
            </w:pPr>
            <w:r w:rsidRPr="0082047D">
              <w:rPr>
                <w:rFonts w:ascii="Arial Narrow" w:hAnsi="Arial Narrow"/>
                <w:sz w:val="20"/>
                <w:szCs w:val="20"/>
              </w:rPr>
              <w:t>P-value</w:t>
            </w:r>
          </w:p>
        </w:tc>
      </w:tr>
      <w:tr w:rsidR="001425A9" w:rsidRPr="0082047D" w14:paraId="41851B48" w14:textId="77777777" w:rsidTr="0082047D">
        <w:trPr>
          <w:cantSplit/>
          <w:trHeight w:val="794"/>
        </w:trPr>
        <w:tc>
          <w:tcPr>
            <w:tcW w:w="1134" w:type="dxa"/>
            <w:tcBorders>
              <w:top w:val="nil"/>
              <w:left w:val="single" w:sz="6" w:space="0" w:color="000000"/>
              <w:bottom w:val="single" w:sz="2" w:space="0" w:color="000000"/>
              <w:right w:val="nil"/>
            </w:tcBorders>
            <w:shd w:val="clear" w:color="auto" w:fill="FFFFFF"/>
            <w:tcMar>
              <w:left w:w="80" w:type="dxa"/>
              <w:right w:w="80" w:type="dxa"/>
            </w:tcMar>
          </w:tcPr>
          <w:p w14:paraId="45BDFFAB" w14:textId="17833EF2" w:rsidR="001425A9" w:rsidRPr="0082047D" w:rsidRDefault="001425A9" w:rsidP="0082047D">
            <w:pPr>
              <w:pStyle w:val="Tabletext1"/>
              <w:rPr>
                <w:rFonts w:ascii="Arial Narrow" w:hAnsi="Arial Narrow"/>
                <w:szCs w:val="20"/>
              </w:rPr>
            </w:pPr>
            <w:r w:rsidRPr="0082047D">
              <w:rPr>
                <w:rFonts w:ascii="Arial Narrow" w:hAnsi="Arial Narrow"/>
                <w:szCs w:val="20"/>
              </w:rPr>
              <w:t>Frailty Index, all participants</w:t>
            </w:r>
            <w:r w:rsidR="009043A5" w:rsidRPr="0082047D">
              <w:rPr>
                <w:rFonts w:ascii="Arial Narrow" w:hAnsi="Arial Narrow"/>
                <w:color w:val="FFFFFF" w:themeColor="background1"/>
                <w:szCs w:val="20"/>
              </w:rPr>
              <w:t xml:space="preserve"> </w:t>
            </w:r>
          </w:p>
        </w:tc>
        <w:tc>
          <w:tcPr>
            <w:tcW w:w="1134" w:type="dxa"/>
            <w:tcBorders>
              <w:top w:val="nil"/>
              <w:left w:val="single" w:sz="2" w:space="0" w:color="000000"/>
              <w:bottom w:val="single" w:sz="2" w:space="0" w:color="000000"/>
              <w:right w:val="nil"/>
            </w:tcBorders>
            <w:shd w:val="clear" w:color="auto" w:fill="FFFFFF"/>
            <w:tcMar>
              <w:left w:w="80" w:type="dxa"/>
              <w:right w:w="80" w:type="dxa"/>
            </w:tcMar>
          </w:tcPr>
          <w:p w14:paraId="25062461" w14:textId="77777777" w:rsidR="001425A9" w:rsidRPr="0082047D" w:rsidRDefault="001425A9" w:rsidP="0082047D">
            <w:pPr>
              <w:pStyle w:val="Tabletext1"/>
              <w:jc w:val="right"/>
              <w:rPr>
                <w:rFonts w:ascii="Arial Narrow" w:hAnsi="Arial Narrow"/>
                <w:szCs w:val="20"/>
              </w:rPr>
            </w:pPr>
            <w:r w:rsidRPr="0082047D">
              <w:rPr>
                <w:rFonts w:ascii="Arial Narrow" w:hAnsi="Arial Narrow"/>
                <w:szCs w:val="20"/>
              </w:rPr>
              <w:t>0.080</w:t>
            </w:r>
          </w:p>
        </w:tc>
        <w:tc>
          <w:tcPr>
            <w:tcW w:w="993" w:type="dxa"/>
            <w:tcBorders>
              <w:top w:val="nil"/>
              <w:left w:val="single" w:sz="2" w:space="0" w:color="000000"/>
              <w:bottom w:val="single" w:sz="2" w:space="0" w:color="000000"/>
              <w:right w:val="single" w:sz="2" w:space="0" w:color="000000"/>
            </w:tcBorders>
            <w:shd w:val="clear" w:color="auto" w:fill="FFFFFF"/>
          </w:tcPr>
          <w:p w14:paraId="77AE6E3C" w14:textId="77777777" w:rsidR="001425A9" w:rsidRPr="0082047D" w:rsidRDefault="001425A9" w:rsidP="0082047D">
            <w:pPr>
              <w:pStyle w:val="Tabletext1"/>
              <w:jc w:val="right"/>
              <w:rPr>
                <w:rFonts w:ascii="Arial Narrow" w:hAnsi="Arial Narrow"/>
                <w:szCs w:val="20"/>
              </w:rPr>
            </w:pPr>
            <w:r w:rsidRPr="0082047D">
              <w:rPr>
                <w:rFonts w:ascii="Arial Narrow" w:hAnsi="Arial Narrow"/>
                <w:szCs w:val="20"/>
              </w:rPr>
              <w:t>(0.076)</w:t>
            </w:r>
          </w:p>
        </w:tc>
        <w:tc>
          <w:tcPr>
            <w:tcW w:w="992" w:type="dxa"/>
            <w:tcBorders>
              <w:top w:val="nil"/>
              <w:left w:val="single" w:sz="2" w:space="0" w:color="000000"/>
              <w:bottom w:val="single" w:sz="2" w:space="0" w:color="000000"/>
              <w:right w:val="single" w:sz="2" w:space="0" w:color="000000"/>
            </w:tcBorders>
            <w:shd w:val="clear" w:color="auto" w:fill="FFFFFF"/>
          </w:tcPr>
          <w:p w14:paraId="79C7DB32" w14:textId="77777777" w:rsidR="001425A9" w:rsidRPr="0082047D" w:rsidRDefault="001425A9" w:rsidP="0082047D">
            <w:pPr>
              <w:pStyle w:val="Tabletext1"/>
              <w:jc w:val="right"/>
              <w:rPr>
                <w:rFonts w:ascii="Arial Narrow" w:hAnsi="Arial Narrow"/>
                <w:szCs w:val="20"/>
              </w:rPr>
            </w:pPr>
            <w:r w:rsidRPr="0082047D">
              <w:rPr>
                <w:rFonts w:ascii="Arial Narrow" w:hAnsi="Arial Narrow"/>
                <w:szCs w:val="20"/>
              </w:rPr>
              <w:t>97</w:t>
            </w:r>
          </w:p>
        </w:tc>
        <w:tc>
          <w:tcPr>
            <w:tcW w:w="992" w:type="dxa"/>
            <w:tcBorders>
              <w:top w:val="nil"/>
              <w:left w:val="single" w:sz="2" w:space="0" w:color="000000"/>
              <w:bottom w:val="single" w:sz="2" w:space="0" w:color="000000"/>
              <w:right w:val="nil"/>
            </w:tcBorders>
            <w:shd w:val="clear" w:color="auto" w:fill="FFFFFF"/>
            <w:tcMar>
              <w:left w:w="80" w:type="dxa"/>
              <w:right w:w="80" w:type="dxa"/>
            </w:tcMar>
          </w:tcPr>
          <w:p w14:paraId="0331007C" w14:textId="77777777" w:rsidR="001425A9" w:rsidRPr="0082047D" w:rsidRDefault="001425A9" w:rsidP="0082047D">
            <w:pPr>
              <w:pStyle w:val="Tabletext1"/>
              <w:jc w:val="right"/>
              <w:rPr>
                <w:rFonts w:ascii="Arial Narrow" w:hAnsi="Arial Narrow"/>
                <w:szCs w:val="20"/>
              </w:rPr>
            </w:pPr>
            <w:r w:rsidRPr="0082047D">
              <w:rPr>
                <w:rFonts w:ascii="Arial Narrow" w:hAnsi="Arial Narrow"/>
                <w:szCs w:val="20"/>
              </w:rPr>
              <w:t>0.089</w:t>
            </w:r>
          </w:p>
        </w:tc>
        <w:tc>
          <w:tcPr>
            <w:tcW w:w="992" w:type="dxa"/>
            <w:tcBorders>
              <w:top w:val="nil"/>
              <w:left w:val="single" w:sz="2" w:space="0" w:color="000000"/>
              <w:bottom w:val="single" w:sz="2" w:space="0" w:color="000000"/>
              <w:right w:val="single" w:sz="2" w:space="0" w:color="000000"/>
            </w:tcBorders>
            <w:shd w:val="clear" w:color="auto" w:fill="FFFFFF"/>
          </w:tcPr>
          <w:p w14:paraId="09EC3725" w14:textId="77777777" w:rsidR="001425A9" w:rsidRPr="0082047D" w:rsidRDefault="001425A9" w:rsidP="0082047D">
            <w:pPr>
              <w:pStyle w:val="Tabletext1"/>
              <w:jc w:val="right"/>
              <w:rPr>
                <w:rFonts w:ascii="Arial Narrow" w:hAnsi="Arial Narrow"/>
                <w:szCs w:val="20"/>
              </w:rPr>
            </w:pPr>
            <w:r w:rsidRPr="0082047D">
              <w:rPr>
                <w:rFonts w:ascii="Arial Narrow" w:hAnsi="Arial Narrow"/>
                <w:szCs w:val="20"/>
              </w:rPr>
              <w:t>(0.082)</w:t>
            </w:r>
          </w:p>
        </w:tc>
        <w:tc>
          <w:tcPr>
            <w:tcW w:w="851" w:type="dxa"/>
            <w:tcBorders>
              <w:top w:val="nil"/>
              <w:left w:val="single" w:sz="2" w:space="0" w:color="000000"/>
              <w:bottom w:val="single" w:sz="2" w:space="0" w:color="000000"/>
              <w:right w:val="single" w:sz="2" w:space="0" w:color="000000"/>
            </w:tcBorders>
            <w:shd w:val="clear" w:color="auto" w:fill="FFFFFF"/>
          </w:tcPr>
          <w:p w14:paraId="460C2C5C" w14:textId="77777777" w:rsidR="001425A9" w:rsidRPr="0082047D" w:rsidRDefault="001425A9" w:rsidP="0082047D">
            <w:pPr>
              <w:pStyle w:val="Tabletext1"/>
              <w:jc w:val="right"/>
              <w:rPr>
                <w:rFonts w:ascii="Arial Narrow" w:hAnsi="Arial Narrow"/>
                <w:szCs w:val="20"/>
              </w:rPr>
            </w:pPr>
            <w:r w:rsidRPr="0082047D">
              <w:rPr>
                <w:rFonts w:ascii="Arial Narrow" w:hAnsi="Arial Narrow"/>
                <w:szCs w:val="20"/>
              </w:rPr>
              <w:t>111</w:t>
            </w:r>
          </w:p>
        </w:tc>
        <w:tc>
          <w:tcPr>
            <w:tcW w:w="1134" w:type="dxa"/>
            <w:tcBorders>
              <w:top w:val="nil"/>
              <w:left w:val="single" w:sz="2" w:space="0" w:color="000000"/>
              <w:bottom w:val="single" w:sz="2" w:space="0" w:color="000000"/>
              <w:right w:val="nil"/>
            </w:tcBorders>
            <w:shd w:val="clear" w:color="auto" w:fill="FFFFFF"/>
            <w:tcMar>
              <w:left w:w="80" w:type="dxa"/>
              <w:right w:w="80" w:type="dxa"/>
            </w:tcMar>
          </w:tcPr>
          <w:p w14:paraId="5C0E8C71" w14:textId="77777777" w:rsidR="001425A9" w:rsidRPr="0082047D" w:rsidRDefault="001425A9" w:rsidP="0082047D">
            <w:pPr>
              <w:pStyle w:val="Tabletext1"/>
              <w:jc w:val="right"/>
              <w:rPr>
                <w:rFonts w:ascii="Arial Narrow" w:hAnsi="Arial Narrow"/>
                <w:szCs w:val="20"/>
              </w:rPr>
            </w:pPr>
            <w:r w:rsidRPr="0082047D">
              <w:rPr>
                <w:rFonts w:ascii="Arial Narrow" w:hAnsi="Arial Narrow"/>
                <w:szCs w:val="20"/>
              </w:rPr>
              <w:t>-0.009</w:t>
            </w:r>
          </w:p>
        </w:tc>
        <w:tc>
          <w:tcPr>
            <w:tcW w:w="992" w:type="dxa"/>
            <w:tcBorders>
              <w:top w:val="nil"/>
              <w:left w:val="single" w:sz="2" w:space="0" w:color="000000"/>
              <w:bottom w:val="single" w:sz="2" w:space="0" w:color="000000"/>
              <w:right w:val="single" w:sz="2" w:space="0" w:color="000000"/>
            </w:tcBorders>
            <w:shd w:val="clear" w:color="auto" w:fill="FFFFFF"/>
          </w:tcPr>
          <w:p w14:paraId="352EC376" w14:textId="77777777" w:rsidR="001425A9" w:rsidRPr="0082047D" w:rsidRDefault="001425A9" w:rsidP="0082047D">
            <w:pPr>
              <w:pStyle w:val="Tabletext1"/>
              <w:jc w:val="right"/>
              <w:rPr>
                <w:rFonts w:ascii="Arial Narrow" w:hAnsi="Arial Narrow"/>
                <w:szCs w:val="20"/>
              </w:rPr>
            </w:pPr>
            <w:r w:rsidRPr="0082047D">
              <w:rPr>
                <w:rFonts w:ascii="Arial Narrow" w:hAnsi="Arial Narrow"/>
                <w:szCs w:val="20"/>
              </w:rPr>
              <w:t>(-0.028, 0.009)</w:t>
            </w:r>
          </w:p>
        </w:tc>
        <w:tc>
          <w:tcPr>
            <w:tcW w:w="709" w:type="dxa"/>
            <w:tcBorders>
              <w:top w:val="nil"/>
              <w:left w:val="single" w:sz="2" w:space="0" w:color="000000"/>
              <w:bottom w:val="single" w:sz="2" w:space="0" w:color="000000"/>
              <w:right w:val="single" w:sz="6" w:space="0" w:color="000000"/>
            </w:tcBorders>
            <w:shd w:val="clear" w:color="auto" w:fill="FFFFFF"/>
            <w:tcMar>
              <w:left w:w="80" w:type="dxa"/>
              <w:right w:w="80" w:type="dxa"/>
            </w:tcMar>
          </w:tcPr>
          <w:p w14:paraId="5E0D5BBC" w14:textId="77777777" w:rsidR="001425A9" w:rsidRPr="0082047D" w:rsidRDefault="001425A9" w:rsidP="0082047D">
            <w:pPr>
              <w:pStyle w:val="Tabletext1"/>
              <w:jc w:val="right"/>
              <w:rPr>
                <w:rFonts w:ascii="Arial Narrow" w:hAnsi="Arial Narrow"/>
                <w:szCs w:val="20"/>
              </w:rPr>
            </w:pPr>
            <w:r w:rsidRPr="0082047D">
              <w:rPr>
                <w:rFonts w:ascii="Arial Narrow" w:hAnsi="Arial Narrow"/>
                <w:szCs w:val="20"/>
              </w:rPr>
              <w:t>0.320</w:t>
            </w:r>
          </w:p>
        </w:tc>
      </w:tr>
      <w:tr w:rsidR="001425A9" w:rsidRPr="0082047D" w14:paraId="744FEF20" w14:textId="77777777" w:rsidTr="0082047D">
        <w:trPr>
          <w:cantSplit/>
          <w:trHeight w:val="794"/>
        </w:trPr>
        <w:tc>
          <w:tcPr>
            <w:tcW w:w="1134" w:type="dxa"/>
            <w:tcBorders>
              <w:top w:val="single" w:sz="2" w:space="0" w:color="000000"/>
              <w:left w:val="single" w:sz="6" w:space="0" w:color="000000"/>
              <w:bottom w:val="single" w:sz="4" w:space="0" w:color="auto"/>
              <w:right w:val="nil"/>
            </w:tcBorders>
            <w:shd w:val="clear" w:color="auto" w:fill="FFFFFF"/>
            <w:tcMar>
              <w:left w:w="80" w:type="dxa"/>
              <w:right w:w="80" w:type="dxa"/>
            </w:tcMar>
          </w:tcPr>
          <w:p w14:paraId="2A7466C9" w14:textId="067CF02E" w:rsidR="001425A9" w:rsidRPr="0082047D" w:rsidRDefault="001425A9" w:rsidP="0082047D">
            <w:pPr>
              <w:pStyle w:val="Tabletext1"/>
              <w:rPr>
                <w:rFonts w:ascii="Arial Narrow" w:hAnsi="Arial Narrow"/>
                <w:szCs w:val="20"/>
              </w:rPr>
            </w:pPr>
            <w:r w:rsidRPr="0082047D">
              <w:rPr>
                <w:rFonts w:ascii="Arial Narrow" w:hAnsi="Arial Narrow"/>
                <w:szCs w:val="20"/>
              </w:rPr>
              <w:t xml:space="preserve">Frailty Index, excluding post </w:t>
            </w:r>
            <w:r w:rsidR="006B0804" w:rsidRPr="0082047D">
              <w:rPr>
                <w:rFonts w:ascii="Arial Narrow" w:hAnsi="Arial Narrow"/>
                <w:szCs w:val="20"/>
              </w:rPr>
              <w:t>COVID</w:t>
            </w:r>
            <w:r w:rsidR="009043A5" w:rsidRPr="0082047D">
              <w:rPr>
                <w:rFonts w:ascii="Arial Narrow" w:hAnsi="Arial Narrow"/>
                <w:szCs w:val="20"/>
              </w:rPr>
              <w:t xml:space="preserve"> I</w:t>
            </w:r>
          </w:p>
        </w:tc>
        <w:tc>
          <w:tcPr>
            <w:tcW w:w="1134" w:type="dxa"/>
            <w:tcBorders>
              <w:top w:val="single" w:sz="2" w:space="0" w:color="000000"/>
              <w:left w:val="single" w:sz="2" w:space="0" w:color="000000"/>
              <w:bottom w:val="single" w:sz="4" w:space="0" w:color="auto"/>
              <w:right w:val="nil"/>
            </w:tcBorders>
            <w:shd w:val="clear" w:color="auto" w:fill="FFFFFF"/>
            <w:tcMar>
              <w:left w:w="80" w:type="dxa"/>
              <w:right w:w="80" w:type="dxa"/>
            </w:tcMar>
          </w:tcPr>
          <w:p w14:paraId="4E97E763" w14:textId="77777777" w:rsidR="001425A9" w:rsidRPr="0082047D" w:rsidRDefault="001425A9" w:rsidP="0082047D">
            <w:pPr>
              <w:pStyle w:val="Tabletext1"/>
              <w:jc w:val="right"/>
              <w:rPr>
                <w:rFonts w:ascii="Arial Narrow" w:hAnsi="Arial Narrow"/>
                <w:szCs w:val="20"/>
              </w:rPr>
            </w:pPr>
            <w:r w:rsidRPr="0082047D">
              <w:rPr>
                <w:rFonts w:ascii="Arial Narrow" w:hAnsi="Arial Narrow"/>
                <w:szCs w:val="20"/>
              </w:rPr>
              <w:t>0.045</w:t>
            </w:r>
          </w:p>
        </w:tc>
        <w:tc>
          <w:tcPr>
            <w:tcW w:w="993" w:type="dxa"/>
            <w:tcBorders>
              <w:top w:val="single" w:sz="2" w:space="0" w:color="000000"/>
              <w:left w:val="single" w:sz="2" w:space="0" w:color="000000"/>
              <w:bottom w:val="single" w:sz="4" w:space="0" w:color="auto"/>
              <w:right w:val="single" w:sz="2" w:space="0" w:color="000000"/>
            </w:tcBorders>
            <w:shd w:val="clear" w:color="auto" w:fill="FFFFFF"/>
          </w:tcPr>
          <w:p w14:paraId="3494ADE9" w14:textId="77777777" w:rsidR="001425A9" w:rsidRPr="0082047D" w:rsidRDefault="001425A9" w:rsidP="0082047D">
            <w:pPr>
              <w:pStyle w:val="Tabletext1"/>
              <w:jc w:val="right"/>
              <w:rPr>
                <w:rFonts w:ascii="Arial Narrow" w:hAnsi="Arial Narrow"/>
                <w:szCs w:val="20"/>
              </w:rPr>
            </w:pPr>
            <w:r w:rsidRPr="0082047D">
              <w:rPr>
                <w:rFonts w:ascii="Arial Narrow" w:hAnsi="Arial Narrow"/>
                <w:szCs w:val="20"/>
              </w:rPr>
              <w:t>(0.065)</w:t>
            </w:r>
          </w:p>
        </w:tc>
        <w:tc>
          <w:tcPr>
            <w:tcW w:w="992" w:type="dxa"/>
            <w:tcBorders>
              <w:top w:val="single" w:sz="2" w:space="0" w:color="000000"/>
              <w:left w:val="single" w:sz="2" w:space="0" w:color="000000"/>
              <w:bottom w:val="single" w:sz="4" w:space="0" w:color="auto"/>
              <w:right w:val="single" w:sz="2" w:space="0" w:color="000000"/>
            </w:tcBorders>
            <w:shd w:val="clear" w:color="auto" w:fill="FFFFFF"/>
          </w:tcPr>
          <w:p w14:paraId="46E0A188" w14:textId="77777777" w:rsidR="001425A9" w:rsidRPr="0082047D" w:rsidRDefault="001425A9" w:rsidP="0082047D">
            <w:pPr>
              <w:pStyle w:val="Tabletext1"/>
              <w:jc w:val="right"/>
              <w:rPr>
                <w:rFonts w:ascii="Arial Narrow" w:hAnsi="Arial Narrow"/>
                <w:szCs w:val="20"/>
              </w:rPr>
            </w:pPr>
            <w:r w:rsidRPr="0082047D">
              <w:rPr>
                <w:rFonts w:ascii="Arial Narrow" w:hAnsi="Arial Narrow"/>
                <w:szCs w:val="20"/>
              </w:rPr>
              <w:t>30</w:t>
            </w:r>
          </w:p>
        </w:tc>
        <w:tc>
          <w:tcPr>
            <w:tcW w:w="992" w:type="dxa"/>
            <w:tcBorders>
              <w:top w:val="single" w:sz="2" w:space="0" w:color="000000"/>
              <w:left w:val="single" w:sz="2" w:space="0" w:color="000000"/>
              <w:bottom w:val="single" w:sz="4" w:space="0" w:color="auto"/>
              <w:right w:val="nil"/>
            </w:tcBorders>
            <w:shd w:val="clear" w:color="auto" w:fill="FFFFFF"/>
            <w:tcMar>
              <w:left w:w="80" w:type="dxa"/>
              <w:right w:w="80" w:type="dxa"/>
            </w:tcMar>
          </w:tcPr>
          <w:p w14:paraId="32A1A8BC" w14:textId="77777777" w:rsidR="001425A9" w:rsidRPr="0082047D" w:rsidRDefault="001425A9" w:rsidP="0082047D">
            <w:pPr>
              <w:pStyle w:val="Tabletext1"/>
              <w:jc w:val="right"/>
              <w:rPr>
                <w:rFonts w:ascii="Arial Narrow" w:hAnsi="Arial Narrow"/>
                <w:szCs w:val="20"/>
              </w:rPr>
            </w:pPr>
            <w:r w:rsidRPr="0082047D">
              <w:rPr>
                <w:rFonts w:ascii="Arial Narrow" w:hAnsi="Arial Narrow"/>
                <w:szCs w:val="20"/>
              </w:rPr>
              <w:t>0.062</w:t>
            </w:r>
          </w:p>
        </w:tc>
        <w:tc>
          <w:tcPr>
            <w:tcW w:w="992" w:type="dxa"/>
            <w:tcBorders>
              <w:top w:val="single" w:sz="2" w:space="0" w:color="000000"/>
              <w:left w:val="single" w:sz="2" w:space="0" w:color="000000"/>
              <w:bottom w:val="single" w:sz="4" w:space="0" w:color="auto"/>
              <w:right w:val="single" w:sz="2" w:space="0" w:color="000000"/>
            </w:tcBorders>
            <w:shd w:val="clear" w:color="auto" w:fill="FFFFFF"/>
          </w:tcPr>
          <w:p w14:paraId="7ED31553" w14:textId="77777777" w:rsidR="001425A9" w:rsidRPr="0082047D" w:rsidRDefault="001425A9" w:rsidP="0082047D">
            <w:pPr>
              <w:pStyle w:val="Tabletext1"/>
              <w:jc w:val="right"/>
              <w:rPr>
                <w:rFonts w:ascii="Arial Narrow" w:hAnsi="Arial Narrow"/>
                <w:szCs w:val="20"/>
              </w:rPr>
            </w:pPr>
            <w:r w:rsidRPr="0082047D">
              <w:rPr>
                <w:rFonts w:ascii="Arial Narrow" w:hAnsi="Arial Narrow"/>
                <w:szCs w:val="20"/>
              </w:rPr>
              <w:t>(0.077)</w:t>
            </w:r>
          </w:p>
        </w:tc>
        <w:tc>
          <w:tcPr>
            <w:tcW w:w="851" w:type="dxa"/>
            <w:tcBorders>
              <w:top w:val="single" w:sz="2" w:space="0" w:color="000000"/>
              <w:left w:val="single" w:sz="2" w:space="0" w:color="000000"/>
              <w:bottom w:val="single" w:sz="4" w:space="0" w:color="auto"/>
              <w:right w:val="single" w:sz="2" w:space="0" w:color="000000"/>
            </w:tcBorders>
            <w:shd w:val="clear" w:color="auto" w:fill="FFFFFF"/>
          </w:tcPr>
          <w:p w14:paraId="02E619FA" w14:textId="77777777" w:rsidR="001425A9" w:rsidRPr="0082047D" w:rsidRDefault="001425A9" w:rsidP="0082047D">
            <w:pPr>
              <w:pStyle w:val="Tabletext1"/>
              <w:jc w:val="right"/>
              <w:rPr>
                <w:rFonts w:ascii="Arial Narrow" w:hAnsi="Arial Narrow"/>
                <w:szCs w:val="20"/>
              </w:rPr>
            </w:pPr>
            <w:r w:rsidRPr="0082047D">
              <w:rPr>
                <w:rFonts w:ascii="Arial Narrow" w:hAnsi="Arial Narrow"/>
                <w:szCs w:val="20"/>
              </w:rPr>
              <w:t>32</w:t>
            </w:r>
          </w:p>
        </w:tc>
        <w:tc>
          <w:tcPr>
            <w:tcW w:w="1134" w:type="dxa"/>
            <w:tcBorders>
              <w:top w:val="single" w:sz="2" w:space="0" w:color="000000"/>
              <w:left w:val="single" w:sz="2" w:space="0" w:color="000000"/>
              <w:bottom w:val="single" w:sz="4" w:space="0" w:color="auto"/>
              <w:right w:val="nil"/>
            </w:tcBorders>
            <w:shd w:val="clear" w:color="auto" w:fill="FFFFFF"/>
            <w:tcMar>
              <w:left w:w="80" w:type="dxa"/>
              <w:right w:w="80" w:type="dxa"/>
            </w:tcMar>
          </w:tcPr>
          <w:p w14:paraId="507F3302" w14:textId="77777777" w:rsidR="001425A9" w:rsidRPr="0082047D" w:rsidRDefault="001425A9" w:rsidP="0082047D">
            <w:pPr>
              <w:pStyle w:val="Tabletext1"/>
              <w:jc w:val="right"/>
              <w:rPr>
                <w:rFonts w:ascii="Arial Narrow" w:hAnsi="Arial Narrow"/>
                <w:szCs w:val="20"/>
              </w:rPr>
            </w:pPr>
            <w:r w:rsidRPr="0082047D">
              <w:rPr>
                <w:rFonts w:ascii="Arial Narrow" w:hAnsi="Arial Narrow"/>
                <w:szCs w:val="20"/>
              </w:rPr>
              <w:t>-0.012</w:t>
            </w:r>
          </w:p>
        </w:tc>
        <w:tc>
          <w:tcPr>
            <w:tcW w:w="992" w:type="dxa"/>
            <w:tcBorders>
              <w:top w:val="single" w:sz="2" w:space="0" w:color="000000"/>
              <w:left w:val="single" w:sz="2" w:space="0" w:color="000000"/>
              <w:bottom w:val="single" w:sz="4" w:space="0" w:color="auto"/>
              <w:right w:val="single" w:sz="2" w:space="0" w:color="000000"/>
            </w:tcBorders>
            <w:shd w:val="clear" w:color="auto" w:fill="FFFFFF"/>
          </w:tcPr>
          <w:p w14:paraId="3AD4AD7E" w14:textId="77777777" w:rsidR="001425A9" w:rsidRPr="0082047D" w:rsidRDefault="001425A9" w:rsidP="0082047D">
            <w:pPr>
              <w:pStyle w:val="Tabletext1"/>
              <w:jc w:val="right"/>
              <w:rPr>
                <w:rFonts w:ascii="Arial Narrow" w:hAnsi="Arial Narrow"/>
                <w:szCs w:val="20"/>
              </w:rPr>
            </w:pPr>
            <w:r w:rsidRPr="0082047D">
              <w:rPr>
                <w:rFonts w:ascii="Arial Narrow" w:hAnsi="Arial Narrow"/>
                <w:szCs w:val="20"/>
              </w:rPr>
              <w:t>(-0.039, 0.016)</w:t>
            </w:r>
          </w:p>
        </w:tc>
        <w:tc>
          <w:tcPr>
            <w:tcW w:w="709" w:type="dxa"/>
            <w:tcBorders>
              <w:top w:val="single" w:sz="2" w:space="0" w:color="000000"/>
              <w:left w:val="single" w:sz="2" w:space="0" w:color="000000"/>
              <w:bottom w:val="single" w:sz="4" w:space="0" w:color="auto"/>
              <w:right w:val="single" w:sz="6" w:space="0" w:color="000000"/>
            </w:tcBorders>
            <w:shd w:val="clear" w:color="auto" w:fill="FFFFFF"/>
            <w:tcMar>
              <w:left w:w="80" w:type="dxa"/>
              <w:right w:w="80" w:type="dxa"/>
            </w:tcMar>
          </w:tcPr>
          <w:p w14:paraId="0C109C7C" w14:textId="77777777" w:rsidR="001425A9" w:rsidRPr="0082047D" w:rsidRDefault="001425A9" w:rsidP="0082047D">
            <w:pPr>
              <w:pStyle w:val="Tabletext1"/>
              <w:jc w:val="right"/>
              <w:rPr>
                <w:rFonts w:ascii="Arial Narrow" w:hAnsi="Arial Narrow"/>
                <w:szCs w:val="20"/>
              </w:rPr>
            </w:pPr>
            <w:r w:rsidRPr="0082047D">
              <w:rPr>
                <w:rFonts w:ascii="Arial Narrow" w:hAnsi="Arial Narrow"/>
                <w:szCs w:val="20"/>
              </w:rPr>
              <w:t>0.410</w:t>
            </w:r>
          </w:p>
        </w:tc>
      </w:tr>
      <w:tr w:rsidR="001425A9" w:rsidRPr="0082047D" w14:paraId="4C8E36FB" w14:textId="77777777" w:rsidTr="0082047D">
        <w:trPr>
          <w:cantSplit/>
          <w:trHeight w:val="794"/>
        </w:trPr>
        <w:tc>
          <w:tcPr>
            <w:tcW w:w="1134" w:type="dxa"/>
            <w:tcBorders>
              <w:top w:val="single" w:sz="4" w:space="0" w:color="auto"/>
              <w:left w:val="single" w:sz="6" w:space="0" w:color="000000"/>
              <w:bottom w:val="single" w:sz="6" w:space="0" w:color="000000"/>
              <w:right w:val="nil"/>
            </w:tcBorders>
            <w:shd w:val="clear" w:color="auto" w:fill="FFFFFF"/>
            <w:tcMar>
              <w:left w:w="80" w:type="dxa"/>
              <w:right w:w="80" w:type="dxa"/>
            </w:tcMar>
          </w:tcPr>
          <w:p w14:paraId="399593AA" w14:textId="1AF0AE36" w:rsidR="001425A9" w:rsidRPr="0082047D" w:rsidRDefault="001425A9" w:rsidP="0082047D">
            <w:pPr>
              <w:pStyle w:val="Tabletext1"/>
              <w:rPr>
                <w:rFonts w:ascii="Arial Narrow" w:hAnsi="Arial Narrow"/>
                <w:szCs w:val="20"/>
              </w:rPr>
            </w:pPr>
            <w:r w:rsidRPr="0082047D">
              <w:rPr>
                <w:rFonts w:ascii="Arial Narrow" w:hAnsi="Arial Narrow"/>
                <w:szCs w:val="20"/>
              </w:rPr>
              <w:t xml:space="preserve">Frailty Index, post </w:t>
            </w:r>
            <w:r w:rsidR="006B0804" w:rsidRPr="0082047D">
              <w:rPr>
                <w:rFonts w:ascii="Arial Narrow" w:hAnsi="Arial Narrow"/>
                <w:szCs w:val="20"/>
              </w:rPr>
              <w:t>COVID</w:t>
            </w:r>
            <w:r w:rsidRPr="0082047D">
              <w:rPr>
                <w:rFonts w:ascii="Arial Narrow" w:hAnsi="Arial Narrow"/>
                <w:szCs w:val="20"/>
              </w:rPr>
              <w:t xml:space="preserve"> imputed</w:t>
            </w:r>
          </w:p>
        </w:tc>
        <w:tc>
          <w:tcPr>
            <w:tcW w:w="1134" w:type="dxa"/>
            <w:tcBorders>
              <w:top w:val="single" w:sz="4" w:space="0" w:color="auto"/>
              <w:left w:val="single" w:sz="2" w:space="0" w:color="000000"/>
              <w:bottom w:val="single" w:sz="6" w:space="0" w:color="000000"/>
              <w:right w:val="nil"/>
            </w:tcBorders>
            <w:shd w:val="clear" w:color="auto" w:fill="FFFFFF"/>
            <w:tcMar>
              <w:left w:w="80" w:type="dxa"/>
              <w:right w:w="80" w:type="dxa"/>
            </w:tcMar>
          </w:tcPr>
          <w:p w14:paraId="3A4EB01C" w14:textId="77777777" w:rsidR="001425A9" w:rsidRPr="0082047D" w:rsidRDefault="001425A9" w:rsidP="0082047D">
            <w:pPr>
              <w:pStyle w:val="Tabletext1"/>
              <w:jc w:val="right"/>
              <w:rPr>
                <w:rFonts w:ascii="Arial Narrow" w:hAnsi="Arial Narrow"/>
                <w:szCs w:val="20"/>
              </w:rPr>
            </w:pPr>
            <w:r w:rsidRPr="0082047D">
              <w:rPr>
                <w:rFonts w:ascii="Arial Narrow" w:hAnsi="Arial Narrow"/>
                <w:szCs w:val="20"/>
              </w:rPr>
              <w:t>-</w:t>
            </w:r>
          </w:p>
        </w:tc>
        <w:tc>
          <w:tcPr>
            <w:tcW w:w="993" w:type="dxa"/>
            <w:tcBorders>
              <w:top w:val="single" w:sz="4" w:space="0" w:color="auto"/>
              <w:left w:val="single" w:sz="2" w:space="0" w:color="000000"/>
              <w:bottom w:val="single" w:sz="6" w:space="0" w:color="000000"/>
              <w:right w:val="single" w:sz="2" w:space="0" w:color="000000"/>
            </w:tcBorders>
            <w:shd w:val="clear" w:color="auto" w:fill="FFFFFF"/>
          </w:tcPr>
          <w:p w14:paraId="77C6E35B" w14:textId="77777777" w:rsidR="001425A9" w:rsidRPr="0082047D" w:rsidRDefault="001425A9" w:rsidP="0082047D">
            <w:pPr>
              <w:pStyle w:val="Tabletext1"/>
              <w:jc w:val="right"/>
              <w:rPr>
                <w:rFonts w:ascii="Arial Narrow" w:hAnsi="Arial Narrow" w:cs="Thorndale AMT"/>
                <w:color w:val="000000"/>
                <w:szCs w:val="20"/>
              </w:rPr>
            </w:pPr>
          </w:p>
        </w:tc>
        <w:tc>
          <w:tcPr>
            <w:tcW w:w="992" w:type="dxa"/>
            <w:tcBorders>
              <w:top w:val="single" w:sz="4" w:space="0" w:color="auto"/>
              <w:left w:val="single" w:sz="2" w:space="0" w:color="000000"/>
              <w:bottom w:val="single" w:sz="6" w:space="0" w:color="000000"/>
              <w:right w:val="single" w:sz="2" w:space="0" w:color="000000"/>
            </w:tcBorders>
            <w:shd w:val="clear" w:color="auto" w:fill="FFFFFF"/>
          </w:tcPr>
          <w:p w14:paraId="240D1B50" w14:textId="77777777" w:rsidR="001425A9" w:rsidRPr="0082047D" w:rsidRDefault="001425A9" w:rsidP="0082047D">
            <w:pPr>
              <w:pStyle w:val="Tabletext1"/>
              <w:jc w:val="right"/>
              <w:rPr>
                <w:rFonts w:ascii="Arial Narrow" w:hAnsi="Arial Narrow" w:cs="Thorndale AMT"/>
                <w:color w:val="000000"/>
                <w:szCs w:val="20"/>
              </w:rPr>
            </w:pPr>
          </w:p>
        </w:tc>
        <w:tc>
          <w:tcPr>
            <w:tcW w:w="992" w:type="dxa"/>
            <w:tcBorders>
              <w:top w:val="single" w:sz="4" w:space="0" w:color="auto"/>
              <w:left w:val="single" w:sz="2" w:space="0" w:color="000000"/>
              <w:bottom w:val="single" w:sz="6" w:space="0" w:color="000000"/>
              <w:right w:val="nil"/>
            </w:tcBorders>
            <w:shd w:val="clear" w:color="auto" w:fill="FFFFFF"/>
            <w:tcMar>
              <w:left w:w="80" w:type="dxa"/>
              <w:right w:w="80" w:type="dxa"/>
            </w:tcMar>
          </w:tcPr>
          <w:p w14:paraId="25DD8C47" w14:textId="77777777" w:rsidR="001425A9" w:rsidRPr="0082047D" w:rsidRDefault="001425A9" w:rsidP="0082047D">
            <w:pPr>
              <w:pStyle w:val="Tabletext1"/>
              <w:jc w:val="right"/>
              <w:rPr>
                <w:rFonts w:ascii="Arial Narrow" w:hAnsi="Arial Narrow"/>
                <w:szCs w:val="20"/>
              </w:rPr>
            </w:pPr>
            <w:r w:rsidRPr="0082047D">
              <w:rPr>
                <w:rFonts w:ascii="Arial Narrow" w:hAnsi="Arial Narrow"/>
                <w:szCs w:val="20"/>
              </w:rPr>
              <w:t>-</w:t>
            </w:r>
          </w:p>
        </w:tc>
        <w:tc>
          <w:tcPr>
            <w:tcW w:w="992" w:type="dxa"/>
            <w:tcBorders>
              <w:top w:val="single" w:sz="4" w:space="0" w:color="auto"/>
              <w:left w:val="single" w:sz="2" w:space="0" w:color="000000"/>
              <w:bottom w:val="single" w:sz="6" w:space="0" w:color="000000"/>
              <w:right w:val="single" w:sz="2" w:space="0" w:color="000000"/>
            </w:tcBorders>
            <w:shd w:val="clear" w:color="auto" w:fill="FFFFFF"/>
          </w:tcPr>
          <w:p w14:paraId="3F5B4CD2" w14:textId="77777777" w:rsidR="001425A9" w:rsidRPr="0082047D" w:rsidRDefault="001425A9" w:rsidP="0082047D">
            <w:pPr>
              <w:pStyle w:val="Tabletext1"/>
              <w:jc w:val="right"/>
              <w:rPr>
                <w:rFonts w:ascii="Arial Narrow" w:hAnsi="Arial Narrow" w:cs="Thorndale AMT"/>
                <w:color w:val="000000"/>
                <w:szCs w:val="20"/>
              </w:rPr>
            </w:pPr>
          </w:p>
        </w:tc>
        <w:tc>
          <w:tcPr>
            <w:tcW w:w="851" w:type="dxa"/>
            <w:tcBorders>
              <w:top w:val="single" w:sz="4" w:space="0" w:color="auto"/>
              <w:left w:val="single" w:sz="2" w:space="0" w:color="000000"/>
              <w:bottom w:val="single" w:sz="6" w:space="0" w:color="000000"/>
              <w:right w:val="single" w:sz="2" w:space="0" w:color="000000"/>
            </w:tcBorders>
            <w:shd w:val="clear" w:color="auto" w:fill="FFFFFF"/>
          </w:tcPr>
          <w:p w14:paraId="2C9EE3A4" w14:textId="77777777" w:rsidR="001425A9" w:rsidRPr="0082047D" w:rsidRDefault="001425A9" w:rsidP="0082047D">
            <w:pPr>
              <w:pStyle w:val="Tabletext1"/>
              <w:jc w:val="right"/>
              <w:rPr>
                <w:rFonts w:ascii="Arial Narrow" w:hAnsi="Arial Narrow" w:cs="Thorndale AMT"/>
                <w:color w:val="000000"/>
                <w:szCs w:val="20"/>
              </w:rPr>
            </w:pPr>
          </w:p>
        </w:tc>
        <w:tc>
          <w:tcPr>
            <w:tcW w:w="1134" w:type="dxa"/>
            <w:tcBorders>
              <w:top w:val="single" w:sz="4" w:space="0" w:color="auto"/>
              <w:left w:val="single" w:sz="2" w:space="0" w:color="000000"/>
              <w:bottom w:val="single" w:sz="6" w:space="0" w:color="000000"/>
              <w:right w:val="nil"/>
            </w:tcBorders>
            <w:shd w:val="clear" w:color="auto" w:fill="FFFFFF"/>
            <w:tcMar>
              <w:left w:w="80" w:type="dxa"/>
              <w:right w:w="80" w:type="dxa"/>
            </w:tcMar>
          </w:tcPr>
          <w:p w14:paraId="668FCBC4" w14:textId="77777777" w:rsidR="001425A9" w:rsidRPr="0082047D" w:rsidRDefault="001425A9" w:rsidP="0082047D">
            <w:pPr>
              <w:pStyle w:val="Tabletext1"/>
              <w:jc w:val="right"/>
              <w:rPr>
                <w:rFonts w:ascii="Arial Narrow" w:hAnsi="Arial Narrow"/>
                <w:szCs w:val="20"/>
              </w:rPr>
            </w:pPr>
            <w:r w:rsidRPr="0082047D">
              <w:rPr>
                <w:rFonts w:ascii="Arial Narrow" w:hAnsi="Arial Narrow"/>
                <w:szCs w:val="20"/>
              </w:rPr>
              <w:t>-0.012</w:t>
            </w:r>
          </w:p>
        </w:tc>
        <w:tc>
          <w:tcPr>
            <w:tcW w:w="992" w:type="dxa"/>
            <w:tcBorders>
              <w:top w:val="single" w:sz="4" w:space="0" w:color="auto"/>
              <w:left w:val="single" w:sz="2" w:space="0" w:color="000000"/>
              <w:bottom w:val="single" w:sz="6" w:space="0" w:color="000000"/>
              <w:right w:val="single" w:sz="2" w:space="0" w:color="000000"/>
            </w:tcBorders>
            <w:shd w:val="clear" w:color="auto" w:fill="FFFFFF"/>
          </w:tcPr>
          <w:p w14:paraId="3588F918" w14:textId="77777777" w:rsidR="001425A9" w:rsidRPr="0082047D" w:rsidRDefault="001425A9" w:rsidP="0082047D">
            <w:pPr>
              <w:pStyle w:val="Tabletext1"/>
              <w:jc w:val="right"/>
              <w:rPr>
                <w:rFonts w:ascii="Arial Narrow" w:hAnsi="Arial Narrow"/>
                <w:szCs w:val="20"/>
              </w:rPr>
            </w:pPr>
            <w:r w:rsidRPr="0082047D">
              <w:rPr>
                <w:rFonts w:ascii="Arial Narrow" w:hAnsi="Arial Narrow"/>
                <w:szCs w:val="20"/>
              </w:rPr>
              <w:t>(-0.033, 0.009)</w:t>
            </w:r>
          </w:p>
        </w:tc>
        <w:tc>
          <w:tcPr>
            <w:tcW w:w="709" w:type="dxa"/>
            <w:tcBorders>
              <w:top w:val="single" w:sz="4" w:space="0" w:color="auto"/>
              <w:left w:val="single" w:sz="2" w:space="0" w:color="000000"/>
              <w:bottom w:val="single" w:sz="6" w:space="0" w:color="000000"/>
              <w:right w:val="single" w:sz="6" w:space="0" w:color="000000"/>
            </w:tcBorders>
            <w:shd w:val="clear" w:color="auto" w:fill="FFFFFF"/>
            <w:tcMar>
              <w:left w:w="80" w:type="dxa"/>
              <w:right w:w="80" w:type="dxa"/>
            </w:tcMar>
          </w:tcPr>
          <w:p w14:paraId="62C8CDDB" w14:textId="77777777" w:rsidR="001425A9" w:rsidRPr="0082047D" w:rsidRDefault="001425A9" w:rsidP="0082047D">
            <w:pPr>
              <w:pStyle w:val="Tabletext1"/>
              <w:jc w:val="right"/>
              <w:rPr>
                <w:rFonts w:ascii="Arial Narrow" w:hAnsi="Arial Narrow"/>
                <w:szCs w:val="20"/>
              </w:rPr>
            </w:pPr>
            <w:r w:rsidRPr="0082047D">
              <w:rPr>
                <w:rFonts w:ascii="Arial Narrow" w:hAnsi="Arial Narrow"/>
                <w:szCs w:val="20"/>
              </w:rPr>
              <w:t>0.270</w:t>
            </w:r>
          </w:p>
        </w:tc>
      </w:tr>
    </w:tbl>
    <w:p w14:paraId="7B3F12CD" w14:textId="00589BDD" w:rsidR="001425A9" w:rsidRPr="001425A9" w:rsidRDefault="00612340" w:rsidP="007501B9">
      <w:hyperlink w:anchor="_Impact_of_Covid-19" w:history="1">
        <w:r w:rsidR="001425A9" w:rsidRPr="006B0804">
          <w:rPr>
            <w:rStyle w:val="Hyperlink"/>
          </w:rPr>
          <w:t>Return to section B</w:t>
        </w:r>
      </w:hyperlink>
    </w:p>
    <w:p w14:paraId="46664B1B" w14:textId="312F3272" w:rsidR="00FB7ED1" w:rsidRDefault="00030572" w:rsidP="00897C5B">
      <w:pPr>
        <w:pStyle w:val="Heading2"/>
      </w:pPr>
      <w:bookmarkStart w:id="459" w:name="_G.10._Text_alternative"/>
      <w:bookmarkStart w:id="460" w:name="_Toc117758368"/>
      <w:bookmarkEnd w:id="459"/>
      <w:r>
        <w:t>I.</w:t>
      </w:r>
      <w:r w:rsidR="001B0A44">
        <w:t>11</w:t>
      </w:r>
      <w:r w:rsidR="00FB7ED1">
        <w:t>.</w:t>
      </w:r>
      <w:r w:rsidR="00C06ACB">
        <w:tab/>
      </w:r>
      <w:r w:rsidR="00FB7ED1">
        <w:t xml:space="preserve">Text alternative for Figures </w:t>
      </w:r>
      <w:r w:rsidR="00FB7ED1" w:rsidRPr="00207FAE">
        <w:t>B-7 and B-8</w:t>
      </w:r>
      <w:bookmarkEnd w:id="460"/>
    </w:p>
    <w:p w14:paraId="609213ED" w14:textId="7CD4D109" w:rsidR="00C06ACB" w:rsidRDefault="00C06ACB" w:rsidP="00C06ACB">
      <w:pPr>
        <w:pStyle w:val="Heading3"/>
        <w:rPr>
          <w:noProof/>
        </w:rPr>
      </w:pPr>
      <w:bookmarkStart w:id="461" w:name="_Toc117758369"/>
      <w:r>
        <w:rPr>
          <w:noProof/>
        </w:rPr>
        <w:t>Text alternative for Figure B7</w:t>
      </w:r>
      <w:bookmarkEnd w:id="461"/>
    </w:p>
    <w:p w14:paraId="394D90A2" w14:textId="6A9E939E" w:rsidR="00FB7ED1" w:rsidRDefault="00122270" w:rsidP="007501B9">
      <w:pPr>
        <w:rPr>
          <w:noProof/>
        </w:rPr>
      </w:pPr>
      <w:r w:rsidRPr="00122270">
        <w:rPr>
          <w:noProof/>
        </w:rPr>
        <w:t xml:space="preserve">Figure shows trend lines and statistical variation for each point plotted for the mean observed </w:t>
      </w:r>
      <w:r w:rsidR="0093339D">
        <w:rPr>
          <w:noProof/>
        </w:rPr>
        <w:t>cognition (MoCA score)</w:t>
      </w:r>
      <w:r w:rsidRPr="00122270">
        <w:rPr>
          <w:noProof/>
        </w:rPr>
        <w:t xml:space="preserve"> in intervention and control arms at the baseline, 6 and 12 month time points.</w:t>
      </w:r>
      <w:r w:rsidR="0093339D">
        <w:rPr>
          <w:noProof/>
        </w:rPr>
        <w:t xml:space="preserve"> </w:t>
      </w:r>
      <w:r w:rsidR="00056860">
        <w:rPr>
          <w:noProof/>
        </w:rPr>
        <w:t>Despite rand</w:t>
      </w:r>
      <w:r w:rsidR="0093339D">
        <w:rPr>
          <w:noProof/>
        </w:rPr>
        <w:t>omisation, this outcome</w:t>
      </w:r>
      <w:r w:rsidR="0093339D" w:rsidRPr="0093339D">
        <w:rPr>
          <w:noProof/>
        </w:rPr>
        <w:t xml:space="preserve"> </w:t>
      </w:r>
      <w:r w:rsidR="00056860">
        <w:rPr>
          <w:noProof/>
        </w:rPr>
        <w:t>was</w:t>
      </w:r>
      <w:r w:rsidR="0093339D" w:rsidRPr="0093339D">
        <w:rPr>
          <w:noProof/>
        </w:rPr>
        <w:t xml:space="preserve"> different at baseline</w:t>
      </w:r>
      <w:r w:rsidR="007501B9">
        <w:rPr>
          <w:noProof/>
        </w:rPr>
        <w:t xml:space="preserve">. </w:t>
      </w:r>
      <w:r w:rsidR="00056860">
        <w:rPr>
          <w:noProof/>
        </w:rPr>
        <w:t>Both arms declined for coginition, however, t</w:t>
      </w:r>
      <w:r w:rsidRPr="00122270">
        <w:rPr>
          <w:noProof/>
        </w:rPr>
        <w:t>here was a statistically significant result with an observed mean difference of 1.36 point change at 12 months</w:t>
      </w:r>
      <w:r w:rsidR="00056860">
        <w:rPr>
          <w:noProof/>
        </w:rPr>
        <w:t>, where the intervention arm had the favourable outcome</w:t>
      </w:r>
      <w:r w:rsidR="007501B9">
        <w:rPr>
          <w:noProof/>
        </w:rPr>
        <w:t xml:space="preserve">. </w:t>
      </w:r>
      <w:r w:rsidRPr="00122270">
        <w:rPr>
          <w:noProof/>
        </w:rPr>
        <w:t>The estimated change in M</w:t>
      </w:r>
      <w:r w:rsidR="00D36143">
        <w:rPr>
          <w:noProof/>
        </w:rPr>
        <w:t>o</w:t>
      </w:r>
      <w:r w:rsidRPr="00122270">
        <w:rPr>
          <w:noProof/>
        </w:rPr>
        <w:t>CA that is clinically significant is 2 point change</w:t>
      </w:r>
      <w:r w:rsidR="007501B9">
        <w:rPr>
          <w:noProof/>
        </w:rPr>
        <w:t xml:space="preserve">. </w:t>
      </w:r>
      <w:r w:rsidRPr="00122270">
        <w:rPr>
          <w:noProof/>
        </w:rPr>
        <w:t>The change</w:t>
      </w:r>
      <w:r w:rsidR="00056860">
        <w:rPr>
          <w:noProof/>
        </w:rPr>
        <w:t xml:space="preserve"> (decline)</w:t>
      </w:r>
      <w:r w:rsidRPr="00122270">
        <w:rPr>
          <w:noProof/>
        </w:rPr>
        <w:t xml:space="preserve"> in M</w:t>
      </w:r>
      <w:r w:rsidR="00D36143">
        <w:rPr>
          <w:noProof/>
        </w:rPr>
        <w:t>o</w:t>
      </w:r>
      <w:r w:rsidRPr="00122270">
        <w:rPr>
          <w:noProof/>
        </w:rPr>
        <w:t>CA in the control group was over 3 points, a clinically significant decline, while the change in the interven</w:t>
      </w:r>
      <w:r w:rsidR="00056860">
        <w:rPr>
          <w:noProof/>
        </w:rPr>
        <w:t>tion group less than 2 points.</w:t>
      </w:r>
      <w:r w:rsidR="00B55484">
        <w:rPr>
          <w:noProof/>
        </w:rPr>
        <w:t>Table</w:t>
      </w:r>
      <w:r w:rsidRPr="00122270">
        <w:rPr>
          <w:noProof/>
        </w:rPr>
        <w:t xml:space="preserve"> below shows the data for this figure:</w:t>
      </w:r>
    </w:p>
    <w:tbl>
      <w:tblPr>
        <w:tblW w:w="50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Caption w:val="Table B-6. Secondary outcomes for Intervention and control arms"/>
        <w:tblDescription w:val="The results, number of residents and statistical variation for each secondary outcome is presented in the table for each trial arm at each of the 6 and 12 month assessment points."/>
      </w:tblPr>
      <w:tblGrid>
        <w:gridCol w:w="998"/>
        <w:gridCol w:w="698"/>
        <w:gridCol w:w="1099"/>
        <w:gridCol w:w="949"/>
        <w:gridCol w:w="949"/>
        <w:gridCol w:w="762"/>
        <w:gridCol w:w="612"/>
        <w:gridCol w:w="612"/>
        <w:gridCol w:w="845"/>
        <w:gridCol w:w="837"/>
        <w:gridCol w:w="799"/>
      </w:tblGrid>
      <w:tr w:rsidR="0082047D" w:rsidRPr="0082047D" w14:paraId="004EB93C" w14:textId="77777777" w:rsidTr="0082047D">
        <w:trPr>
          <w:cantSplit/>
          <w:tblHeader/>
          <w:jc w:val="center"/>
        </w:trPr>
        <w:tc>
          <w:tcPr>
            <w:tcW w:w="545" w:type="pct"/>
            <w:tcBorders>
              <w:bottom w:val="single" w:sz="4" w:space="0" w:color="auto"/>
            </w:tcBorders>
            <w:shd w:val="clear" w:color="auto" w:fill="000000" w:themeFill="text1"/>
            <w:tcMar>
              <w:left w:w="80" w:type="dxa"/>
              <w:right w:w="80" w:type="dxa"/>
            </w:tcMar>
            <w:vAlign w:val="center"/>
          </w:tcPr>
          <w:p w14:paraId="251E9454" w14:textId="77777777" w:rsidR="004C7F93" w:rsidRPr="0082047D" w:rsidRDefault="004C7F93" w:rsidP="0082047D">
            <w:pPr>
              <w:pStyle w:val="TableHeader"/>
              <w:rPr>
                <w:rFonts w:ascii="Arial Narrow" w:hAnsi="Arial Narrow"/>
                <w:sz w:val="20"/>
                <w:szCs w:val="20"/>
              </w:rPr>
            </w:pPr>
            <w:r w:rsidRPr="0082047D">
              <w:rPr>
                <w:rFonts w:ascii="Arial Narrow" w:hAnsi="Arial Narrow"/>
                <w:sz w:val="20"/>
                <w:szCs w:val="20"/>
              </w:rPr>
              <w:lastRenderedPageBreak/>
              <w:t>Outcome</w:t>
            </w:r>
          </w:p>
        </w:tc>
        <w:tc>
          <w:tcPr>
            <w:tcW w:w="381" w:type="pct"/>
            <w:shd w:val="clear" w:color="auto" w:fill="000000" w:themeFill="text1"/>
            <w:tcMar>
              <w:left w:w="80" w:type="dxa"/>
              <w:right w:w="80" w:type="dxa"/>
            </w:tcMar>
            <w:vAlign w:val="center"/>
          </w:tcPr>
          <w:p w14:paraId="212D1B7B" w14:textId="77777777" w:rsidR="004C7F93" w:rsidRPr="0082047D" w:rsidRDefault="004C7F93" w:rsidP="0082047D">
            <w:pPr>
              <w:pStyle w:val="TableHeader"/>
              <w:rPr>
                <w:rFonts w:ascii="Arial Narrow" w:hAnsi="Arial Narrow"/>
                <w:sz w:val="20"/>
                <w:szCs w:val="20"/>
              </w:rPr>
            </w:pPr>
            <w:r w:rsidRPr="0082047D">
              <w:rPr>
                <w:rFonts w:ascii="Arial Narrow" w:hAnsi="Arial Narrow"/>
                <w:sz w:val="20"/>
                <w:szCs w:val="20"/>
              </w:rPr>
              <w:t>Trial Stage</w:t>
            </w:r>
          </w:p>
        </w:tc>
        <w:tc>
          <w:tcPr>
            <w:tcW w:w="600" w:type="pct"/>
            <w:shd w:val="clear" w:color="auto" w:fill="000000" w:themeFill="text1"/>
            <w:tcMar>
              <w:left w:w="80" w:type="dxa"/>
              <w:right w:w="80" w:type="dxa"/>
            </w:tcMar>
            <w:vAlign w:val="center"/>
          </w:tcPr>
          <w:p w14:paraId="5A8403AA" w14:textId="77777777" w:rsidR="004C7F93" w:rsidRPr="0082047D" w:rsidRDefault="004C7F93" w:rsidP="0082047D">
            <w:pPr>
              <w:pStyle w:val="TableHeader"/>
              <w:rPr>
                <w:rFonts w:ascii="Arial Narrow" w:hAnsi="Arial Narrow"/>
                <w:sz w:val="20"/>
                <w:szCs w:val="20"/>
              </w:rPr>
            </w:pPr>
            <w:r w:rsidRPr="0082047D">
              <w:rPr>
                <w:rFonts w:ascii="Arial Narrow" w:hAnsi="Arial Narrow"/>
                <w:sz w:val="20"/>
                <w:szCs w:val="20"/>
              </w:rPr>
              <w:t>Intervention group (A)</w:t>
            </w:r>
          </w:p>
          <w:p w14:paraId="158D83A0" w14:textId="77777777" w:rsidR="004C7F93" w:rsidRPr="0082047D" w:rsidRDefault="004C7F93" w:rsidP="0082047D">
            <w:pPr>
              <w:pStyle w:val="TableHeader"/>
              <w:rPr>
                <w:rFonts w:ascii="Arial Narrow" w:hAnsi="Arial Narrow"/>
                <w:sz w:val="20"/>
                <w:szCs w:val="20"/>
              </w:rPr>
            </w:pPr>
            <w:r w:rsidRPr="0082047D">
              <w:rPr>
                <w:rFonts w:ascii="Arial Narrow" w:hAnsi="Arial Narrow"/>
                <w:sz w:val="20"/>
                <w:szCs w:val="20"/>
              </w:rPr>
              <w:t>Mean Change</w:t>
            </w:r>
          </w:p>
        </w:tc>
        <w:tc>
          <w:tcPr>
            <w:tcW w:w="518" w:type="pct"/>
            <w:shd w:val="clear" w:color="auto" w:fill="000000" w:themeFill="text1"/>
            <w:vAlign w:val="center"/>
          </w:tcPr>
          <w:p w14:paraId="70FF560E" w14:textId="77777777" w:rsidR="004C7F93" w:rsidRPr="0082047D" w:rsidRDefault="004C7F93" w:rsidP="0082047D">
            <w:pPr>
              <w:pStyle w:val="TableHeader"/>
              <w:rPr>
                <w:rFonts w:ascii="Arial Narrow" w:hAnsi="Arial Narrow"/>
                <w:sz w:val="20"/>
                <w:szCs w:val="20"/>
              </w:rPr>
            </w:pPr>
            <w:r w:rsidRPr="0082047D">
              <w:rPr>
                <w:rFonts w:ascii="Arial Narrow" w:hAnsi="Arial Narrow"/>
                <w:sz w:val="20"/>
                <w:szCs w:val="20"/>
              </w:rPr>
              <w:t>Intervention group (A)</w:t>
            </w:r>
          </w:p>
          <w:p w14:paraId="0E955B7D" w14:textId="77777777" w:rsidR="004C7F93" w:rsidRPr="0082047D" w:rsidRDefault="004C7F93" w:rsidP="0082047D">
            <w:pPr>
              <w:pStyle w:val="TableHeader"/>
              <w:rPr>
                <w:rFonts w:ascii="Arial Narrow" w:hAnsi="Arial Narrow"/>
                <w:sz w:val="20"/>
                <w:szCs w:val="20"/>
              </w:rPr>
            </w:pPr>
            <w:r w:rsidRPr="0082047D">
              <w:rPr>
                <w:rFonts w:ascii="Arial Narrow" w:hAnsi="Arial Narrow"/>
                <w:sz w:val="20"/>
                <w:szCs w:val="20"/>
              </w:rPr>
              <w:t xml:space="preserve">Change error (SE) </w:t>
            </w:r>
          </w:p>
        </w:tc>
        <w:tc>
          <w:tcPr>
            <w:tcW w:w="518" w:type="pct"/>
            <w:shd w:val="clear" w:color="auto" w:fill="000000" w:themeFill="text1"/>
            <w:vAlign w:val="center"/>
          </w:tcPr>
          <w:p w14:paraId="12E37C64" w14:textId="77777777" w:rsidR="004C7F93" w:rsidRPr="0082047D" w:rsidRDefault="004C7F93" w:rsidP="0082047D">
            <w:pPr>
              <w:pStyle w:val="TableHeader"/>
              <w:rPr>
                <w:rFonts w:ascii="Arial Narrow" w:hAnsi="Arial Narrow"/>
                <w:sz w:val="20"/>
                <w:szCs w:val="20"/>
              </w:rPr>
            </w:pPr>
            <w:r w:rsidRPr="0082047D">
              <w:rPr>
                <w:rFonts w:ascii="Arial Narrow" w:hAnsi="Arial Narrow"/>
                <w:sz w:val="20"/>
                <w:szCs w:val="20"/>
              </w:rPr>
              <w:t>Intervention group (A)</w:t>
            </w:r>
          </w:p>
          <w:p w14:paraId="3C27C1B9" w14:textId="77777777" w:rsidR="004C7F93" w:rsidRPr="0082047D" w:rsidRDefault="004C7F93" w:rsidP="0082047D">
            <w:pPr>
              <w:pStyle w:val="TableHeader"/>
              <w:rPr>
                <w:rFonts w:ascii="Arial Narrow" w:hAnsi="Arial Narrow"/>
                <w:sz w:val="20"/>
                <w:szCs w:val="20"/>
              </w:rPr>
            </w:pPr>
            <w:r w:rsidRPr="0082047D">
              <w:rPr>
                <w:rFonts w:ascii="Arial Narrow" w:hAnsi="Arial Narrow"/>
                <w:sz w:val="20"/>
                <w:szCs w:val="20"/>
              </w:rPr>
              <w:t>Number (n)</w:t>
            </w:r>
          </w:p>
        </w:tc>
        <w:tc>
          <w:tcPr>
            <w:tcW w:w="416" w:type="pct"/>
            <w:shd w:val="clear" w:color="auto" w:fill="000000" w:themeFill="text1"/>
            <w:tcMar>
              <w:left w:w="80" w:type="dxa"/>
              <w:right w:w="80" w:type="dxa"/>
            </w:tcMar>
            <w:vAlign w:val="center"/>
          </w:tcPr>
          <w:p w14:paraId="5C3FB54A" w14:textId="77777777" w:rsidR="004C7F93" w:rsidRPr="0082047D" w:rsidRDefault="004C7F93" w:rsidP="0082047D">
            <w:pPr>
              <w:pStyle w:val="TableHeader"/>
              <w:rPr>
                <w:rFonts w:ascii="Arial Narrow" w:hAnsi="Arial Narrow"/>
                <w:sz w:val="20"/>
                <w:szCs w:val="20"/>
              </w:rPr>
            </w:pPr>
            <w:r w:rsidRPr="0082047D">
              <w:rPr>
                <w:rFonts w:ascii="Arial Narrow" w:hAnsi="Arial Narrow"/>
                <w:sz w:val="20"/>
                <w:szCs w:val="20"/>
              </w:rPr>
              <w:t>Control Group (B)</w:t>
            </w:r>
          </w:p>
          <w:p w14:paraId="131AC4FB" w14:textId="77777777" w:rsidR="004C7F93" w:rsidRPr="0082047D" w:rsidRDefault="004C7F93" w:rsidP="0082047D">
            <w:pPr>
              <w:pStyle w:val="TableHeader"/>
              <w:rPr>
                <w:rFonts w:ascii="Arial Narrow" w:hAnsi="Arial Narrow"/>
                <w:sz w:val="20"/>
                <w:szCs w:val="20"/>
              </w:rPr>
            </w:pPr>
            <w:r w:rsidRPr="0082047D">
              <w:rPr>
                <w:rFonts w:ascii="Arial Narrow" w:hAnsi="Arial Narrow"/>
                <w:sz w:val="20"/>
                <w:szCs w:val="20"/>
              </w:rPr>
              <w:t>Mean Change</w:t>
            </w:r>
          </w:p>
        </w:tc>
        <w:tc>
          <w:tcPr>
            <w:tcW w:w="334" w:type="pct"/>
            <w:shd w:val="clear" w:color="auto" w:fill="000000" w:themeFill="text1"/>
            <w:vAlign w:val="center"/>
          </w:tcPr>
          <w:p w14:paraId="050396A5" w14:textId="77777777" w:rsidR="004C7F93" w:rsidRPr="0082047D" w:rsidRDefault="004C7F93" w:rsidP="0082047D">
            <w:pPr>
              <w:pStyle w:val="TableHeader"/>
              <w:rPr>
                <w:rFonts w:ascii="Arial Narrow" w:hAnsi="Arial Narrow"/>
                <w:sz w:val="20"/>
                <w:szCs w:val="20"/>
              </w:rPr>
            </w:pPr>
            <w:r w:rsidRPr="0082047D">
              <w:rPr>
                <w:rFonts w:ascii="Arial Narrow" w:hAnsi="Arial Narrow"/>
                <w:sz w:val="20"/>
                <w:szCs w:val="20"/>
              </w:rPr>
              <w:t>Control Group (B)</w:t>
            </w:r>
          </w:p>
          <w:p w14:paraId="75B6FA06" w14:textId="77777777" w:rsidR="004C7F93" w:rsidRPr="0082047D" w:rsidRDefault="004C7F93" w:rsidP="0082047D">
            <w:pPr>
              <w:pStyle w:val="TableHeader"/>
              <w:rPr>
                <w:rFonts w:ascii="Arial Narrow" w:hAnsi="Arial Narrow"/>
                <w:sz w:val="20"/>
                <w:szCs w:val="20"/>
              </w:rPr>
            </w:pPr>
            <w:r w:rsidRPr="0082047D">
              <w:rPr>
                <w:rFonts w:ascii="Arial Narrow" w:hAnsi="Arial Narrow"/>
                <w:sz w:val="20"/>
                <w:szCs w:val="20"/>
              </w:rPr>
              <w:t>Change error (SE)</w:t>
            </w:r>
          </w:p>
        </w:tc>
        <w:tc>
          <w:tcPr>
            <w:tcW w:w="334" w:type="pct"/>
            <w:shd w:val="clear" w:color="auto" w:fill="000000" w:themeFill="text1"/>
            <w:vAlign w:val="center"/>
          </w:tcPr>
          <w:p w14:paraId="07A2C054" w14:textId="77777777" w:rsidR="004C7F93" w:rsidRPr="0082047D" w:rsidRDefault="004C7F93" w:rsidP="0082047D">
            <w:pPr>
              <w:pStyle w:val="TableHeader"/>
              <w:rPr>
                <w:rFonts w:ascii="Arial Narrow" w:hAnsi="Arial Narrow"/>
                <w:sz w:val="20"/>
                <w:szCs w:val="20"/>
              </w:rPr>
            </w:pPr>
            <w:r w:rsidRPr="0082047D">
              <w:rPr>
                <w:rFonts w:ascii="Arial Narrow" w:hAnsi="Arial Narrow"/>
                <w:sz w:val="20"/>
                <w:szCs w:val="20"/>
              </w:rPr>
              <w:t>Control Group (B)</w:t>
            </w:r>
          </w:p>
          <w:p w14:paraId="09B90BA5" w14:textId="77777777" w:rsidR="004C7F93" w:rsidRPr="0082047D" w:rsidRDefault="004C7F93" w:rsidP="0082047D">
            <w:pPr>
              <w:pStyle w:val="TableHeader"/>
              <w:rPr>
                <w:rFonts w:ascii="Arial Narrow" w:hAnsi="Arial Narrow"/>
                <w:sz w:val="20"/>
                <w:szCs w:val="20"/>
              </w:rPr>
            </w:pPr>
            <w:r w:rsidRPr="0082047D">
              <w:rPr>
                <w:rFonts w:ascii="Arial Narrow" w:hAnsi="Arial Narrow"/>
                <w:sz w:val="20"/>
                <w:szCs w:val="20"/>
              </w:rPr>
              <w:t>number (n)</w:t>
            </w:r>
          </w:p>
        </w:tc>
        <w:tc>
          <w:tcPr>
            <w:tcW w:w="461" w:type="pct"/>
            <w:shd w:val="clear" w:color="auto" w:fill="000000" w:themeFill="text1"/>
            <w:tcMar>
              <w:left w:w="80" w:type="dxa"/>
              <w:right w:w="80" w:type="dxa"/>
            </w:tcMar>
            <w:vAlign w:val="center"/>
          </w:tcPr>
          <w:p w14:paraId="1B00641A" w14:textId="77777777" w:rsidR="004C7F93" w:rsidRPr="0082047D" w:rsidRDefault="004C7F93" w:rsidP="0082047D">
            <w:pPr>
              <w:pStyle w:val="TableHeader"/>
              <w:rPr>
                <w:rFonts w:ascii="Arial Narrow" w:hAnsi="Arial Narrow"/>
                <w:sz w:val="20"/>
                <w:szCs w:val="20"/>
              </w:rPr>
            </w:pPr>
            <w:r w:rsidRPr="0082047D">
              <w:rPr>
                <w:rFonts w:ascii="Arial Narrow" w:hAnsi="Arial Narrow"/>
                <w:sz w:val="20"/>
                <w:szCs w:val="20"/>
              </w:rPr>
              <w:t>Estimate A-B</w:t>
            </w:r>
          </w:p>
        </w:tc>
        <w:tc>
          <w:tcPr>
            <w:tcW w:w="457" w:type="pct"/>
            <w:shd w:val="clear" w:color="auto" w:fill="000000" w:themeFill="text1"/>
            <w:vAlign w:val="center"/>
          </w:tcPr>
          <w:p w14:paraId="790D04E5" w14:textId="77777777" w:rsidR="004C7F93" w:rsidRPr="0082047D" w:rsidRDefault="004C7F93" w:rsidP="0082047D">
            <w:pPr>
              <w:pStyle w:val="TableHeader"/>
              <w:rPr>
                <w:rFonts w:ascii="Arial Narrow" w:hAnsi="Arial Narrow"/>
                <w:sz w:val="20"/>
                <w:szCs w:val="20"/>
              </w:rPr>
            </w:pPr>
            <w:r w:rsidRPr="0082047D">
              <w:rPr>
                <w:rFonts w:ascii="Arial Narrow" w:hAnsi="Arial Narrow"/>
                <w:sz w:val="20"/>
                <w:szCs w:val="20"/>
              </w:rPr>
              <w:t>Estimate A-B</w:t>
            </w:r>
          </w:p>
          <w:p w14:paraId="0381C207" w14:textId="77777777" w:rsidR="004C7F93" w:rsidRPr="0082047D" w:rsidRDefault="004C7F93" w:rsidP="0082047D">
            <w:pPr>
              <w:pStyle w:val="TableHeader"/>
              <w:rPr>
                <w:rFonts w:ascii="Arial Narrow" w:hAnsi="Arial Narrow"/>
                <w:sz w:val="20"/>
                <w:szCs w:val="20"/>
              </w:rPr>
            </w:pPr>
            <w:r w:rsidRPr="0082047D">
              <w:rPr>
                <w:rFonts w:ascii="Arial Narrow" w:hAnsi="Arial Narrow"/>
                <w:sz w:val="20"/>
                <w:szCs w:val="20"/>
              </w:rPr>
              <w:t xml:space="preserve">Variation </w:t>
            </w:r>
          </w:p>
          <w:p w14:paraId="23FD2B56" w14:textId="77777777" w:rsidR="004C7F93" w:rsidRPr="0082047D" w:rsidRDefault="004C7F93" w:rsidP="0082047D">
            <w:pPr>
              <w:pStyle w:val="TableHeader"/>
              <w:rPr>
                <w:rFonts w:ascii="Arial Narrow" w:hAnsi="Arial Narrow"/>
                <w:sz w:val="20"/>
                <w:szCs w:val="20"/>
              </w:rPr>
            </w:pPr>
            <w:r w:rsidRPr="0082047D">
              <w:rPr>
                <w:rFonts w:ascii="Arial Narrow" w:hAnsi="Arial Narrow"/>
                <w:sz w:val="20"/>
                <w:szCs w:val="20"/>
              </w:rPr>
              <w:t>(95% CI)</w:t>
            </w:r>
          </w:p>
        </w:tc>
        <w:tc>
          <w:tcPr>
            <w:tcW w:w="436" w:type="pct"/>
            <w:shd w:val="clear" w:color="auto" w:fill="000000" w:themeFill="text1"/>
            <w:tcMar>
              <w:left w:w="80" w:type="dxa"/>
              <w:right w:w="80" w:type="dxa"/>
            </w:tcMar>
            <w:vAlign w:val="center"/>
          </w:tcPr>
          <w:p w14:paraId="42743CD6" w14:textId="77777777" w:rsidR="004C7F93" w:rsidRPr="0082047D" w:rsidRDefault="004C7F93" w:rsidP="0082047D">
            <w:pPr>
              <w:pStyle w:val="TableHeader"/>
              <w:rPr>
                <w:rFonts w:ascii="Arial Narrow" w:hAnsi="Arial Narrow"/>
                <w:sz w:val="20"/>
                <w:szCs w:val="20"/>
              </w:rPr>
            </w:pPr>
            <w:r w:rsidRPr="0082047D">
              <w:rPr>
                <w:rFonts w:ascii="Arial Narrow" w:hAnsi="Arial Narrow"/>
                <w:sz w:val="20"/>
                <w:szCs w:val="20"/>
              </w:rPr>
              <w:t>P-value</w:t>
            </w:r>
          </w:p>
        </w:tc>
      </w:tr>
      <w:tr w:rsidR="004C7F93" w:rsidRPr="0082047D" w14:paraId="4305F374" w14:textId="77777777" w:rsidTr="004C7F93">
        <w:trPr>
          <w:cantSplit/>
          <w:jc w:val="center"/>
        </w:trPr>
        <w:tc>
          <w:tcPr>
            <w:tcW w:w="545" w:type="pct"/>
            <w:tcBorders>
              <w:top w:val="single" w:sz="4" w:space="0" w:color="auto"/>
              <w:left w:val="single" w:sz="4" w:space="0" w:color="auto"/>
              <w:bottom w:val="nil"/>
              <w:right w:val="single" w:sz="4" w:space="0" w:color="auto"/>
            </w:tcBorders>
            <w:shd w:val="clear" w:color="auto" w:fill="FFFFFF"/>
            <w:tcMar>
              <w:left w:w="80" w:type="dxa"/>
              <w:right w:w="80" w:type="dxa"/>
            </w:tcMar>
            <w:vAlign w:val="center"/>
          </w:tcPr>
          <w:p w14:paraId="6724DDF4" w14:textId="77777777" w:rsidR="004C7F93" w:rsidRPr="0082047D" w:rsidRDefault="004C7F93" w:rsidP="0082047D">
            <w:pPr>
              <w:pStyle w:val="Tabletext1"/>
              <w:rPr>
                <w:rFonts w:ascii="Arial Narrow" w:hAnsi="Arial Narrow"/>
                <w:szCs w:val="20"/>
              </w:rPr>
            </w:pPr>
            <w:r w:rsidRPr="0082047D">
              <w:rPr>
                <w:rFonts w:ascii="Arial Narrow" w:hAnsi="Arial Narrow"/>
                <w:szCs w:val="20"/>
              </w:rPr>
              <w:t>MoCA (0-30) *</w:t>
            </w:r>
          </w:p>
        </w:tc>
        <w:tc>
          <w:tcPr>
            <w:tcW w:w="381" w:type="pct"/>
            <w:tcBorders>
              <w:left w:val="single" w:sz="4" w:space="0" w:color="auto"/>
            </w:tcBorders>
            <w:shd w:val="clear" w:color="auto" w:fill="FFFFFF"/>
            <w:tcMar>
              <w:left w:w="80" w:type="dxa"/>
              <w:right w:w="80" w:type="dxa"/>
            </w:tcMar>
            <w:vAlign w:val="center"/>
          </w:tcPr>
          <w:p w14:paraId="0C63CB76" w14:textId="77777777" w:rsidR="004C7F93" w:rsidRPr="0082047D" w:rsidRDefault="004C7F93" w:rsidP="0082047D">
            <w:pPr>
              <w:pStyle w:val="Tabletext1"/>
              <w:rPr>
                <w:rFonts w:ascii="Arial Narrow" w:hAnsi="Arial Narrow"/>
                <w:szCs w:val="20"/>
              </w:rPr>
            </w:pPr>
            <w:r w:rsidRPr="0082047D">
              <w:rPr>
                <w:rFonts w:ascii="Arial Narrow" w:hAnsi="Arial Narrow"/>
                <w:szCs w:val="20"/>
              </w:rPr>
              <w:t>6 Months</w:t>
            </w:r>
          </w:p>
        </w:tc>
        <w:tc>
          <w:tcPr>
            <w:tcW w:w="600" w:type="pct"/>
            <w:shd w:val="clear" w:color="auto" w:fill="FFFFFF"/>
            <w:tcMar>
              <w:left w:w="80" w:type="dxa"/>
              <w:right w:w="80" w:type="dxa"/>
            </w:tcMar>
            <w:vAlign w:val="center"/>
          </w:tcPr>
          <w:p w14:paraId="6B812C5B" w14:textId="77777777" w:rsidR="004C7F93" w:rsidRPr="0082047D" w:rsidRDefault="004C7F93" w:rsidP="00853EEA">
            <w:pPr>
              <w:pStyle w:val="Tabletext1"/>
              <w:jc w:val="right"/>
              <w:rPr>
                <w:rFonts w:ascii="Arial Narrow" w:hAnsi="Arial Narrow"/>
                <w:szCs w:val="20"/>
              </w:rPr>
            </w:pPr>
            <w:r w:rsidRPr="0082047D">
              <w:rPr>
                <w:rFonts w:ascii="Arial Narrow" w:hAnsi="Arial Narrow"/>
                <w:szCs w:val="20"/>
              </w:rPr>
              <w:t>-0.63</w:t>
            </w:r>
          </w:p>
        </w:tc>
        <w:tc>
          <w:tcPr>
            <w:tcW w:w="518" w:type="pct"/>
            <w:shd w:val="clear" w:color="auto" w:fill="FFFFFF"/>
            <w:vAlign w:val="center"/>
          </w:tcPr>
          <w:p w14:paraId="558F8BA1" w14:textId="77777777" w:rsidR="004C7F93" w:rsidRPr="0082047D" w:rsidRDefault="004C7F93" w:rsidP="00853EEA">
            <w:pPr>
              <w:pStyle w:val="Tabletext1"/>
              <w:jc w:val="right"/>
              <w:rPr>
                <w:rFonts w:ascii="Arial Narrow" w:hAnsi="Arial Narrow"/>
                <w:szCs w:val="20"/>
              </w:rPr>
            </w:pPr>
            <w:r w:rsidRPr="0082047D">
              <w:rPr>
                <w:rFonts w:ascii="Arial Narrow" w:hAnsi="Arial Narrow"/>
                <w:szCs w:val="20"/>
              </w:rPr>
              <w:t>4.07</w:t>
            </w:r>
          </w:p>
        </w:tc>
        <w:tc>
          <w:tcPr>
            <w:tcW w:w="518" w:type="pct"/>
            <w:shd w:val="clear" w:color="auto" w:fill="FFFFFF"/>
            <w:vAlign w:val="center"/>
          </w:tcPr>
          <w:p w14:paraId="7EEC80F7" w14:textId="77777777" w:rsidR="004C7F93" w:rsidRPr="0082047D" w:rsidRDefault="004C7F93" w:rsidP="00853EEA">
            <w:pPr>
              <w:pStyle w:val="Tabletext1"/>
              <w:jc w:val="right"/>
              <w:rPr>
                <w:rFonts w:ascii="Arial Narrow" w:hAnsi="Arial Narrow"/>
                <w:szCs w:val="20"/>
              </w:rPr>
            </w:pPr>
            <w:r w:rsidRPr="0082047D">
              <w:rPr>
                <w:rFonts w:ascii="Arial Narrow" w:hAnsi="Arial Narrow"/>
                <w:szCs w:val="20"/>
              </w:rPr>
              <w:t>101</w:t>
            </w:r>
          </w:p>
        </w:tc>
        <w:tc>
          <w:tcPr>
            <w:tcW w:w="416" w:type="pct"/>
            <w:shd w:val="clear" w:color="auto" w:fill="FFFFFF"/>
            <w:tcMar>
              <w:left w:w="80" w:type="dxa"/>
              <w:right w:w="80" w:type="dxa"/>
            </w:tcMar>
            <w:vAlign w:val="center"/>
          </w:tcPr>
          <w:p w14:paraId="521C8FFF" w14:textId="77777777" w:rsidR="004C7F93" w:rsidRPr="0082047D" w:rsidRDefault="004C7F93" w:rsidP="00853EEA">
            <w:pPr>
              <w:pStyle w:val="Tabletext1"/>
              <w:jc w:val="right"/>
              <w:rPr>
                <w:rFonts w:ascii="Arial Narrow" w:hAnsi="Arial Narrow"/>
                <w:szCs w:val="20"/>
              </w:rPr>
            </w:pPr>
            <w:r w:rsidRPr="0082047D">
              <w:rPr>
                <w:rFonts w:ascii="Arial Narrow" w:hAnsi="Arial Narrow"/>
                <w:szCs w:val="20"/>
              </w:rPr>
              <w:t>-1.46</w:t>
            </w:r>
          </w:p>
        </w:tc>
        <w:tc>
          <w:tcPr>
            <w:tcW w:w="334" w:type="pct"/>
            <w:shd w:val="clear" w:color="auto" w:fill="FFFFFF"/>
            <w:vAlign w:val="center"/>
          </w:tcPr>
          <w:p w14:paraId="2CCD04AD" w14:textId="77777777" w:rsidR="004C7F93" w:rsidRPr="0082047D" w:rsidRDefault="004C7F93" w:rsidP="00853EEA">
            <w:pPr>
              <w:pStyle w:val="Tabletext1"/>
              <w:jc w:val="right"/>
              <w:rPr>
                <w:rFonts w:ascii="Arial Narrow" w:hAnsi="Arial Narrow"/>
                <w:szCs w:val="20"/>
              </w:rPr>
            </w:pPr>
            <w:r w:rsidRPr="0082047D">
              <w:rPr>
                <w:rFonts w:ascii="Arial Narrow" w:hAnsi="Arial Narrow"/>
                <w:szCs w:val="20"/>
              </w:rPr>
              <w:t>3.73</w:t>
            </w:r>
          </w:p>
        </w:tc>
        <w:tc>
          <w:tcPr>
            <w:tcW w:w="334" w:type="pct"/>
            <w:shd w:val="clear" w:color="auto" w:fill="FFFFFF"/>
            <w:vAlign w:val="center"/>
          </w:tcPr>
          <w:p w14:paraId="50392EEC" w14:textId="77777777" w:rsidR="004C7F93" w:rsidRPr="0082047D" w:rsidRDefault="004C7F93" w:rsidP="00853EEA">
            <w:pPr>
              <w:pStyle w:val="Tabletext1"/>
              <w:jc w:val="right"/>
              <w:rPr>
                <w:rFonts w:ascii="Arial Narrow" w:hAnsi="Arial Narrow"/>
                <w:szCs w:val="20"/>
              </w:rPr>
            </w:pPr>
            <w:r w:rsidRPr="0082047D">
              <w:rPr>
                <w:rFonts w:ascii="Arial Narrow" w:hAnsi="Arial Narrow"/>
                <w:szCs w:val="20"/>
              </w:rPr>
              <w:t>111</w:t>
            </w:r>
          </w:p>
        </w:tc>
        <w:tc>
          <w:tcPr>
            <w:tcW w:w="461" w:type="pct"/>
            <w:shd w:val="clear" w:color="auto" w:fill="FFFFFF"/>
            <w:tcMar>
              <w:left w:w="80" w:type="dxa"/>
              <w:right w:w="80" w:type="dxa"/>
            </w:tcMar>
            <w:vAlign w:val="center"/>
          </w:tcPr>
          <w:p w14:paraId="3CC9F7EA" w14:textId="77777777" w:rsidR="004C7F93" w:rsidRPr="0082047D" w:rsidRDefault="004C7F93" w:rsidP="00853EEA">
            <w:pPr>
              <w:pStyle w:val="Tabletext1"/>
              <w:jc w:val="right"/>
              <w:rPr>
                <w:rFonts w:ascii="Arial Narrow" w:hAnsi="Arial Narrow"/>
                <w:szCs w:val="20"/>
              </w:rPr>
            </w:pPr>
            <w:r w:rsidRPr="0082047D">
              <w:rPr>
                <w:rFonts w:ascii="Arial Narrow" w:hAnsi="Arial Narrow"/>
                <w:szCs w:val="20"/>
              </w:rPr>
              <w:t>0.84</w:t>
            </w:r>
          </w:p>
        </w:tc>
        <w:tc>
          <w:tcPr>
            <w:tcW w:w="457" w:type="pct"/>
            <w:shd w:val="clear" w:color="auto" w:fill="FFFFFF"/>
            <w:vAlign w:val="center"/>
          </w:tcPr>
          <w:p w14:paraId="2B38A03B" w14:textId="77777777" w:rsidR="004C7F93" w:rsidRPr="0082047D" w:rsidRDefault="004C7F93" w:rsidP="00853EEA">
            <w:pPr>
              <w:pStyle w:val="Tabletext1"/>
              <w:jc w:val="right"/>
              <w:rPr>
                <w:rFonts w:ascii="Arial Narrow" w:hAnsi="Arial Narrow"/>
                <w:szCs w:val="20"/>
              </w:rPr>
            </w:pPr>
            <w:r w:rsidRPr="0082047D">
              <w:rPr>
                <w:rFonts w:ascii="Arial Narrow" w:hAnsi="Arial Narrow"/>
                <w:szCs w:val="20"/>
              </w:rPr>
              <w:t>-0.46, 2.13</w:t>
            </w:r>
          </w:p>
        </w:tc>
        <w:tc>
          <w:tcPr>
            <w:tcW w:w="436" w:type="pct"/>
            <w:shd w:val="clear" w:color="auto" w:fill="FFFFFF"/>
            <w:tcMar>
              <w:left w:w="80" w:type="dxa"/>
              <w:right w:w="80" w:type="dxa"/>
            </w:tcMar>
            <w:vAlign w:val="center"/>
          </w:tcPr>
          <w:p w14:paraId="3667B134" w14:textId="77777777" w:rsidR="004C7F93" w:rsidRPr="0082047D" w:rsidRDefault="004C7F93" w:rsidP="00853EEA">
            <w:pPr>
              <w:pStyle w:val="Tabletext1"/>
              <w:jc w:val="right"/>
              <w:rPr>
                <w:rFonts w:ascii="Arial Narrow" w:hAnsi="Arial Narrow"/>
                <w:szCs w:val="20"/>
              </w:rPr>
            </w:pPr>
            <w:r w:rsidRPr="0082047D">
              <w:rPr>
                <w:rFonts w:ascii="Arial Narrow" w:hAnsi="Arial Narrow"/>
                <w:szCs w:val="20"/>
              </w:rPr>
              <w:t>0.204</w:t>
            </w:r>
          </w:p>
        </w:tc>
      </w:tr>
      <w:tr w:rsidR="004C7F93" w:rsidRPr="0082047D" w14:paraId="0EFD1AF2" w14:textId="77777777" w:rsidTr="004C7F93">
        <w:trPr>
          <w:cantSplit/>
          <w:jc w:val="center"/>
        </w:trPr>
        <w:tc>
          <w:tcPr>
            <w:tcW w:w="545" w:type="pct"/>
            <w:tcBorders>
              <w:top w:val="nil"/>
              <w:left w:val="single" w:sz="4" w:space="0" w:color="auto"/>
              <w:bottom w:val="single" w:sz="4" w:space="0" w:color="auto"/>
              <w:right w:val="single" w:sz="4" w:space="0" w:color="auto"/>
            </w:tcBorders>
            <w:shd w:val="clear" w:color="auto" w:fill="FFFFFF"/>
            <w:tcMar>
              <w:left w:w="80" w:type="dxa"/>
              <w:right w:w="80" w:type="dxa"/>
            </w:tcMar>
            <w:vAlign w:val="center"/>
          </w:tcPr>
          <w:p w14:paraId="565981A1" w14:textId="1E580FC8" w:rsidR="004C7F93" w:rsidRPr="0082047D" w:rsidRDefault="004C7F93" w:rsidP="0082047D">
            <w:pPr>
              <w:pStyle w:val="Tabletext1"/>
              <w:rPr>
                <w:rFonts w:ascii="Arial Narrow" w:hAnsi="Arial Narrow"/>
                <w:szCs w:val="20"/>
              </w:rPr>
            </w:pPr>
          </w:p>
        </w:tc>
        <w:tc>
          <w:tcPr>
            <w:tcW w:w="381" w:type="pct"/>
            <w:tcBorders>
              <w:left w:val="single" w:sz="4" w:space="0" w:color="auto"/>
            </w:tcBorders>
            <w:shd w:val="clear" w:color="auto" w:fill="FFFFFF"/>
            <w:tcMar>
              <w:left w:w="80" w:type="dxa"/>
              <w:right w:w="80" w:type="dxa"/>
            </w:tcMar>
            <w:vAlign w:val="center"/>
          </w:tcPr>
          <w:p w14:paraId="42CEEB2F" w14:textId="77777777" w:rsidR="004C7F93" w:rsidRPr="0082047D" w:rsidRDefault="004C7F93" w:rsidP="0082047D">
            <w:pPr>
              <w:pStyle w:val="Tabletext1"/>
              <w:rPr>
                <w:rFonts w:ascii="Arial Narrow" w:hAnsi="Arial Narrow"/>
                <w:szCs w:val="20"/>
              </w:rPr>
            </w:pPr>
            <w:r w:rsidRPr="0082047D">
              <w:rPr>
                <w:rFonts w:ascii="Arial Narrow" w:hAnsi="Arial Narrow"/>
                <w:szCs w:val="20"/>
              </w:rPr>
              <w:t>12 Months</w:t>
            </w:r>
          </w:p>
        </w:tc>
        <w:tc>
          <w:tcPr>
            <w:tcW w:w="600" w:type="pct"/>
            <w:shd w:val="clear" w:color="auto" w:fill="FFFFFF"/>
            <w:tcMar>
              <w:left w:w="80" w:type="dxa"/>
              <w:right w:w="80" w:type="dxa"/>
            </w:tcMar>
            <w:vAlign w:val="center"/>
          </w:tcPr>
          <w:p w14:paraId="172140EB" w14:textId="77777777" w:rsidR="004C7F93" w:rsidRPr="0082047D" w:rsidRDefault="004C7F93" w:rsidP="00853EEA">
            <w:pPr>
              <w:pStyle w:val="Tabletext1"/>
              <w:jc w:val="right"/>
              <w:rPr>
                <w:rFonts w:ascii="Arial Narrow" w:hAnsi="Arial Narrow"/>
                <w:szCs w:val="20"/>
              </w:rPr>
            </w:pPr>
            <w:r w:rsidRPr="0082047D">
              <w:rPr>
                <w:rFonts w:ascii="Arial Narrow" w:hAnsi="Arial Narrow"/>
                <w:szCs w:val="20"/>
              </w:rPr>
              <w:t>-1.89</w:t>
            </w:r>
          </w:p>
        </w:tc>
        <w:tc>
          <w:tcPr>
            <w:tcW w:w="518" w:type="pct"/>
            <w:shd w:val="clear" w:color="auto" w:fill="FFFFFF"/>
            <w:vAlign w:val="center"/>
          </w:tcPr>
          <w:p w14:paraId="71C43EDA" w14:textId="77777777" w:rsidR="004C7F93" w:rsidRPr="0082047D" w:rsidRDefault="004C7F93" w:rsidP="00853EEA">
            <w:pPr>
              <w:pStyle w:val="Tabletext1"/>
              <w:jc w:val="right"/>
              <w:rPr>
                <w:rFonts w:ascii="Arial Narrow" w:hAnsi="Arial Narrow"/>
                <w:szCs w:val="20"/>
              </w:rPr>
            </w:pPr>
            <w:r w:rsidRPr="0082047D">
              <w:rPr>
                <w:rFonts w:ascii="Arial Narrow" w:hAnsi="Arial Narrow"/>
                <w:szCs w:val="20"/>
              </w:rPr>
              <w:t>4.87</w:t>
            </w:r>
          </w:p>
        </w:tc>
        <w:tc>
          <w:tcPr>
            <w:tcW w:w="518" w:type="pct"/>
            <w:shd w:val="clear" w:color="auto" w:fill="FFFFFF"/>
            <w:vAlign w:val="center"/>
          </w:tcPr>
          <w:p w14:paraId="10AC15FA" w14:textId="77777777" w:rsidR="004C7F93" w:rsidRPr="0082047D" w:rsidRDefault="004C7F93" w:rsidP="00853EEA">
            <w:pPr>
              <w:pStyle w:val="Tabletext1"/>
              <w:jc w:val="right"/>
              <w:rPr>
                <w:rFonts w:ascii="Arial Narrow" w:hAnsi="Arial Narrow"/>
                <w:szCs w:val="20"/>
              </w:rPr>
            </w:pPr>
            <w:r w:rsidRPr="0082047D">
              <w:rPr>
                <w:rFonts w:ascii="Arial Narrow" w:hAnsi="Arial Narrow"/>
                <w:szCs w:val="20"/>
              </w:rPr>
              <w:t>87</w:t>
            </w:r>
          </w:p>
        </w:tc>
        <w:tc>
          <w:tcPr>
            <w:tcW w:w="416" w:type="pct"/>
            <w:shd w:val="clear" w:color="auto" w:fill="FFFFFF"/>
            <w:tcMar>
              <w:left w:w="80" w:type="dxa"/>
              <w:right w:w="80" w:type="dxa"/>
            </w:tcMar>
            <w:vAlign w:val="center"/>
          </w:tcPr>
          <w:p w14:paraId="34D3D723" w14:textId="77777777" w:rsidR="004C7F93" w:rsidRPr="0082047D" w:rsidRDefault="004C7F93" w:rsidP="00853EEA">
            <w:pPr>
              <w:pStyle w:val="Tabletext1"/>
              <w:jc w:val="right"/>
              <w:rPr>
                <w:rFonts w:ascii="Arial Narrow" w:hAnsi="Arial Narrow"/>
                <w:szCs w:val="20"/>
              </w:rPr>
            </w:pPr>
            <w:r w:rsidRPr="0082047D">
              <w:rPr>
                <w:rFonts w:ascii="Arial Narrow" w:hAnsi="Arial Narrow"/>
                <w:szCs w:val="20"/>
              </w:rPr>
              <w:t>-3.16</w:t>
            </w:r>
          </w:p>
        </w:tc>
        <w:tc>
          <w:tcPr>
            <w:tcW w:w="334" w:type="pct"/>
            <w:shd w:val="clear" w:color="auto" w:fill="FFFFFF"/>
            <w:vAlign w:val="center"/>
          </w:tcPr>
          <w:p w14:paraId="3DF11FD9" w14:textId="77777777" w:rsidR="004C7F93" w:rsidRPr="0082047D" w:rsidRDefault="004C7F93" w:rsidP="00853EEA">
            <w:pPr>
              <w:pStyle w:val="Tabletext1"/>
              <w:jc w:val="right"/>
              <w:rPr>
                <w:rFonts w:ascii="Arial Narrow" w:hAnsi="Arial Narrow"/>
                <w:szCs w:val="20"/>
              </w:rPr>
            </w:pPr>
            <w:r w:rsidRPr="0082047D">
              <w:rPr>
                <w:rFonts w:ascii="Arial Narrow" w:hAnsi="Arial Narrow"/>
                <w:szCs w:val="20"/>
              </w:rPr>
              <w:t>5.88</w:t>
            </w:r>
          </w:p>
        </w:tc>
        <w:tc>
          <w:tcPr>
            <w:tcW w:w="334" w:type="pct"/>
            <w:shd w:val="clear" w:color="auto" w:fill="FFFFFF"/>
            <w:vAlign w:val="center"/>
          </w:tcPr>
          <w:p w14:paraId="665FA245" w14:textId="77777777" w:rsidR="004C7F93" w:rsidRPr="0082047D" w:rsidRDefault="004C7F93" w:rsidP="00853EEA">
            <w:pPr>
              <w:pStyle w:val="Tabletext1"/>
              <w:jc w:val="right"/>
              <w:rPr>
                <w:rFonts w:ascii="Arial Narrow" w:hAnsi="Arial Narrow"/>
                <w:szCs w:val="20"/>
              </w:rPr>
            </w:pPr>
            <w:r w:rsidRPr="0082047D">
              <w:rPr>
                <w:rFonts w:ascii="Arial Narrow" w:hAnsi="Arial Narrow"/>
                <w:szCs w:val="20"/>
              </w:rPr>
              <w:t>107</w:t>
            </w:r>
          </w:p>
        </w:tc>
        <w:tc>
          <w:tcPr>
            <w:tcW w:w="461" w:type="pct"/>
            <w:shd w:val="clear" w:color="auto" w:fill="FFFFFF"/>
            <w:tcMar>
              <w:left w:w="80" w:type="dxa"/>
              <w:right w:w="80" w:type="dxa"/>
            </w:tcMar>
            <w:vAlign w:val="center"/>
          </w:tcPr>
          <w:p w14:paraId="7DE1141E" w14:textId="77777777" w:rsidR="004C7F93" w:rsidRPr="0082047D" w:rsidRDefault="004C7F93" w:rsidP="00853EEA">
            <w:pPr>
              <w:pStyle w:val="Tabletext1"/>
              <w:jc w:val="right"/>
              <w:rPr>
                <w:rFonts w:ascii="Arial Narrow" w:hAnsi="Arial Narrow"/>
                <w:szCs w:val="20"/>
              </w:rPr>
            </w:pPr>
            <w:r w:rsidRPr="0082047D">
              <w:rPr>
                <w:rFonts w:ascii="Arial Narrow" w:hAnsi="Arial Narrow"/>
                <w:szCs w:val="20"/>
              </w:rPr>
              <w:t>1.36</w:t>
            </w:r>
          </w:p>
        </w:tc>
        <w:tc>
          <w:tcPr>
            <w:tcW w:w="457" w:type="pct"/>
            <w:shd w:val="clear" w:color="auto" w:fill="FFFFFF"/>
            <w:vAlign w:val="center"/>
          </w:tcPr>
          <w:p w14:paraId="3ECDC80C" w14:textId="77777777" w:rsidR="004C7F93" w:rsidRPr="0082047D" w:rsidRDefault="004C7F93" w:rsidP="00853EEA">
            <w:pPr>
              <w:pStyle w:val="Tabletext1"/>
              <w:jc w:val="right"/>
              <w:rPr>
                <w:rFonts w:ascii="Arial Narrow" w:hAnsi="Arial Narrow"/>
                <w:szCs w:val="20"/>
              </w:rPr>
            </w:pPr>
            <w:r w:rsidRPr="0082047D">
              <w:rPr>
                <w:rFonts w:ascii="Arial Narrow" w:hAnsi="Arial Narrow"/>
                <w:szCs w:val="20"/>
              </w:rPr>
              <w:t xml:space="preserve"> 0.01, 2.72</w:t>
            </w:r>
          </w:p>
        </w:tc>
        <w:tc>
          <w:tcPr>
            <w:tcW w:w="436" w:type="pct"/>
            <w:shd w:val="clear" w:color="auto" w:fill="FFFFFF"/>
            <w:tcMar>
              <w:left w:w="80" w:type="dxa"/>
              <w:right w:w="80" w:type="dxa"/>
            </w:tcMar>
            <w:vAlign w:val="center"/>
          </w:tcPr>
          <w:p w14:paraId="778045A7" w14:textId="77777777" w:rsidR="004C7F93" w:rsidRPr="0082047D" w:rsidRDefault="004C7F93" w:rsidP="00853EEA">
            <w:pPr>
              <w:pStyle w:val="Tabletext1"/>
              <w:jc w:val="right"/>
              <w:rPr>
                <w:rFonts w:ascii="Arial Narrow" w:hAnsi="Arial Narrow"/>
                <w:szCs w:val="20"/>
              </w:rPr>
            </w:pPr>
            <w:r w:rsidRPr="0082047D">
              <w:rPr>
                <w:rFonts w:ascii="Arial Narrow" w:hAnsi="Arial Narrow"/>
                <w:szCs w:val="20"/>
              </w:rPr>
              <w:t>0.048</w:t>
            </w:r>
          </w:p>
        </w:tc>
      </w:tr>
    </w:tbl>
    <w:p w14:paraId="5BEE600F" w14:textId="282C79F6" w:rsidR="00B9689B" w:rsidRPr="00A0710D" w:rsidRDefault="00FB7ED1" w:rsidP="00C06ACB">
      <w:pPr>
        <w:pStyle w:val="Heading3"/>
      </w:pPr>
      <w:bookmarkStart w:id="462" w:name="_Toc117758370"/>
      <w:r w:rsidRPr="00A0710D">
        <w:t>Text alternative for Figure B-8</w:t>
      </w:r>
      <w:bookmarkEnd w:id="462"/>
    </w:p>
    <w:p w14:paraId="472E9DDF" w14:textId="777245EE" w:rsidR="00FB7ED1" w:rsidRDefault="00A0710D" w:rsidP="007501B9">
      <w:pPr>
        <w:rPr>
          <w:noProof/>
        </w:rPr>
      </w:pPr>
      <w:r>
        <w:t xml:space="preserve">This </w:t>
      </w:r>
      <w:r w:rsidR="00056860" w:rsidRPr="00056860">
        <w:t xml:space="preserve">shows trend lines and statistical variation for each point plotted for the mean observed </w:t>
      </w:r>
      <w:r w:rsidR="00056860">
        <w:t>weight</w:t>
      </w:r>
      <w:r w:rsidR="00056860" w:rsidRPr="00056860">
        <w:t xml:space="preserve"> in intervention and control arms at the baseline, </w:t>
      </w:r>
      <w:proofErr w:type="gramStart"/>
      <w:r w:rsidR="00056860" w:rsidRPr="00056860">
        <w:t>6 and 12 month</w:t>
      </w:r>
      <w:proofErr w:type="gramEnd"/>
      <w:r w:rsidR="00056860" w:rsidRPr="00056860">
        <w:t xml:space="preserve"> time points. Despite randomisation, this outcome was different at baseline</w:t>
      </w:r>
      <w:r w:rsidR="007501B9">
        <w:t xml:space="preserve">. </w:t>
      </w:r>
      <w:r w:rsidR="00056860">
        <w:t>The weight of the intervention group remained relatively consistent over time. However, t</w:t>
      </w:r>
      <w:r w:rsidR="00122270" w:rsidRPr="00122270">
        <w:t xml:space="preserve">he change in weight </w:t>
      </w:r>
      <w:r w:rsidR="00056860">
        <w:t xml:space="preserve">over time between the groups </w:t>
      </w:r>
      <w:r w:rsidR="00122270" w:rsidRPr="00122270">
        <w:t>was statistically significantly different, with the control arm gaining more w</w:t>
      </w:r>
      <w:r w:rsidR="00056860">
        <w:t>eight than the intervention arm</w:t>
      </w:r>
      <w:r w:rsidR="00122270" w:rsidRPr="00122270">
        <w:t xml:space="preserve"> (1.34 kg)</w:t>
      </w:r>
      <w:r w:rsidR="007501B9">
        <w:t xml:space="preserve">. </w:t>
      </w:r>
      <w:r w:rsidR="00122270" w:rsidRPr="00A0710D">
        <w:rPr>
          <w:noProof/>
        </w:rPr>
        <w:t xml:space="preserve">Table </w:t>
      </w:r>
      <w:r w:rsidR="00122270" w:rsidRPr="00122270">
        <w:rPr>
          <w:noProof/>
        </w:rPr>
        <w:t>below shows the data for this figure:</w:t>
      </w:r>
    </w:p>
    <w:tbl>
      <w:tblPr>
        <w:tblW w:w="50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Caption w:val="Table B-6. Secondary outcomes for Intervention and control arms"/>
        <w:tblDescription w:val="The results, number of residents and statistical variation for each secondary outcome is presented in the table for each trial arm at each of the 6 and 12 month assessment points."/>
      </w:tblPr>
      <w:tblGrid>
        <w:gridCol w:w="998"/>
        <w:gridCol w:w="698"/>
        <w:gridCol w:w="1099"/>
        <w:gridCol w:w="949"/>
        <w:gridCol w:w="949"/>
        <w:gridCol w:w="762"/>
        <w:gridCol w:w="612"/>
        <w:gridCol w:w="612"/>
        <w:gridCol w:w="845"/>
        <w:gridCol w:w="837"/>
        <w:gridCol w:w="799"/>
      </w:tblGrid>
      <w:tr w:rsidR="00853EEA" w:rsidRPr="00853EEA" w14:paraId="0C775113" w14:textId="77777777" w:rsidTr="00853EEA">
        <w:trPr>
          <w:cantSplit/>
          <w:tblHeader/>
          <w:jc w:val="center"/>
        </w:trPr>
        <w:tc>
          <w:tcPr>
            <w:tcW w:w="545" w:type="pct"/>
            <w:tcBorders>
              <w:bottom w:val="single" w:sz="4" w:space="0" w:color="auto"/>
            </w:tcBorders>
            <w:shd w:val="clear" w:color="auto" w:fill="000000" w:themeFill="text1"/>
            <w:tcMar>
              <w:left w:w="80" w:type="dxa"/>
              <w:right w:w="80" w:type="dxa"/>
            </w:tcMar>
            <w:vAlign w:val="center"/>
          </w:tcPr>
          <w:p w14:paraId="63792573" w14:textId="77777777" w:rsidR="004C7F93" w:rsidRPr="00853EEA" w:rsidRDefault="004C7F93" w:rsidP="00853EEA">
            <w:pPr>
              <w:pStyle w:val="TableHeader"/>
              <w:rPr>
                <w:rFonts w:ascii="Arial Narrow" w:hAnsi="Arial Narrow"/>
                <w:sz w:val="20"/>
                <w:szCs w:val="20"/>
              </w:rPr>
            </w:pPr>
            <w:r w:rsidRPr="00853EEA">
              <w:rPr>
                <w:rFonts w:ascii="Arial Narrow" w:hAnsi="Arial Narrow"/>
                <w:sz w:val="20"/>
                <w:szCs w:val="20"/>
              </w:rPr>
              <w:t>Outcome</w:t>
            </w:r>
          </w:p>
        </w:tc>
        <w:tc>
          <w:tcPr>
            <w:tcW w:w="381" w:type="pct"/>
            <w:shd w:val="clear" w:color="auto" w:fill="000000" w:themeFill="text1"/>
            <w:tcMar>
              <w:left w:w="80" w:type="dxa"/>
              <w:right w:w="80" w:type="dxa"/>
            </w:tcMar>
            <w:vAlign w:val="center"/>
          </w:tcPr>
          <w:p w14:paraId="399E9A40" w14:textId="77777777" w:rsidR="004C7F93" w:rsidRPr="00853EEA" w:rsidRDefault="004C7F93" w:rsidP="00853EEA">
            <w:pPr>
              <w:pStyle w:val="TableHeader"/>
              <w:rPr>
                <w:rFonts w:ascii="Arial Narrow" w:hAnsi="Arial Narrow"/>
                <w:sz w:val="20"/>
                <w:szCs w:val="20"/>
              </w:rPr>
            </w:pPr>
            <w:r w:rsidRPr="00853EEA">
              <w:rPr>
                <w:rFonts w:ascii="Arial Narrow" w:hAnsi="Arial Narrow"/>
                <w:sz w:val="20"/>
                <w:szCs w:val="20"/>
              </w:rPr>
              <w:t>Trial Stage</w:t>
            </w:r>
          </w:p>
        </w:tc>
        <w:tc>
          <w:tcPr>
            <w:tcW w:w="600" w:type="pct"/>
            <w:shd w:val="clear" w:color="auto" w:fill="000000" w:themeFill="text1"/>
            <w:tcMar>
              <w:left w:w="80" w:type="dxa"/>
              <w:right w:w="80" w:type="dxa"/>
            </w:tcMar>
            <w:vAlign w:val="center"/>
          </w:tcPr>
          <w:p w14:paraId="14904B31" w14:textId="77777777" w:rsidR="004C7F93" w:rsidRPr="00853EEA" w:rsidRDefault="004C7F93" w:rsidP="00853EEA">
            <w:pPr>
              <w:pStyle w:val="TableHeader"/>
              <w:rPr>
                <w:rFonts w:ascii="Arial Narrow" w:hAnsi="Arial Narrow"/>
                <w:sz w:val="20"/>
                <w:szCs w:val="20"/>
              </w:rPr>
            </w:pPr>
            <w:r w:rsidRPr="00853EEA">
              <w:rPr>
                <w:rFonts w:ascii="Arial Narrow" w:hAnsi="Arial Narrow"/>
                <w:sz w:val="20"/>
                <w:szCs w:val="20"/>
              </w:rPr>
              <w:t>Intervention group (A)</w:t>
            </w:r>
          </w:p>
          <w:p w14:paraId="7EA14447" w14:textId="77777777" w:rsidR="004C7F93" w:rsidRPr="00853EEA" w:rsidRDefault="004C7F93" w:rsidP="00853EEA">
            <w:pPr>
              <w:pStyle w:val="TableHeader"/>
              <w:rPr>
                <w:rFonts w:ascii="Arial Narrow" w:hAnsi="Arial Narrow"/>
                <w:sz w:val="20"/>
                <w:szCs w:val="20"/>
              </w:rPr>
            </w:pPr>
            <w:r w:rsidRPr="00853EEA">
              <w:rPr>
                <w:rFonts w:ascii="Arial Narrow" w:hAnsi="Arial Narrow"/>
                <w:sz w:val="20"/>
                <w:szCs w:val="20"/>
              </w:rPr>
              <w:t>Mean Change</w:t>
            </w:r>
          </w:p>
        </w:tc>
        <w:tc>
          <w:tcPr>
            <w:tcW w:w="518" w:type="pct"/>
            <w:shd w:val="clear" w:color="auto" w:fill="000000" w:themeFill="text1"/>
            <w:vAlign w:val="center"/>
          </w:tcPr>
          <w:p w14:paraId="0BC561D0" w14:textId="77777777" w:rsidR="004C7F93" w:rsidRPr="00853EEA" w:rsidRDefault="004C7F93" w:rsidP="00853EEA">
            <w:pPr>
              <w:pStyle w:val="TableHeader"/>
              <w:rPr>
                <w:rFonts w:ascii="Arial Narrow" w:hAnsi="Arial Narrow"/>
                <w:sz w:val="20"/>
                <w:szCs w:val="20"/>
              </w:rPr>
            </w:pPr>
            <w:r w:rsidRPr="00853EEA">
              <w:rPr>
                <w:rFonts w:ascii="Arial Narrow" w:hAnsi="Arial Narrow"/>
                <w:sz w:val="20"/>
                <w:szCs w:val="20"/>
              </w:rPr>
              <w:t>Intervention group (A)</w:t>
            </w:r>
          </w:p>
          <w:p w14:paraId="2E463285" w14:textId="77777777" w:rsidR="004C7F93" w:rsidRPr="00853EEA" w:rsidRDefault="004C7F93" w:rsidP="00853EEA">
            <w:pPr>
              <w:pStyle w:val="TableHeader"/>
              <w:rPr>
                <w:rFonts w:ascii="Arial Narrow" w:hAnsi="Arial Narrow"/>
                <w:sz w:val="20"/>
                <w:szCs w:val="20"/>
              </w:rPr>
            </w:pPr>
            <w:r w:rsidRPr="00853EEA">
              <w:rPr>
                <w:rFonts w:ascii="Arial Narrow" w:hAnsi="Arial Narrow"/>
                <w:sz w:val="20"/>
                <w:szCs w:val="20"/>
              </w:rPr>
              <w:t xml:space="preserve">Change error (SE) </w:t>
            </w:r>
          </w:p>
        </w:tc>
        <w:tc>
          <w:tcPr>
            <w:tcW w:w="518" w:type="pct"/>
            <w:shd w:val="clear" w:color="auto" w:fill="000000" w:themeFill="text1"/>
            <w:vAlign w:val="center"/>
          </w:tcPr>
          <w:p w14:paraId="560CD682" w14:textId="77777777" w:rsidR="004C7F93" w:rsidRPr="00853EEA" w:rsidRDefault="004C7F93" w:rsidP="00853EEA">
            <w:pPr>
              <w:pStyle w:val="TableHeader"/>
              <w:rPr>
                <w:rFonts w:ascii="Arial Narrow" w:hAnsi="Arial Narrow"/>
                <w:sz w:val="20"/>
                <w:szCs w:val="20"/>
              </w:rPr>
            </w:pPr>
            <w:r w:rsidRPr="00853EEA">
              <w:rPr>
                <w:rFonts w:ascii="Arial Narrow" w:hAnsi="Arial Narrow"/>
                <w:sz w:val="20"/>
                <w:szCs w:val="20"/>
              </w:rPr>
              <w:t>Intervention group (A)</w:t>
            </w:r>
          </w:p>
          <w:p w14:paraId="458E09ED" w14:textId="77777777" w:rsidR="004C7F93" w:rsidRPr="00853EEA" w:rsidRDefault="004C7F93" w:rsidP="00853EEA">
            <w:pPr>
              <w:pStyle w:val="TableHeader"/>
              <w:rPr>
                <w:rFonts w:ascii="Arial Narrow" w:hAnsi="Arial Narrow"/>
                <w:sz w:val="20"/>
                <w:szCs w:val="20"/>
              </w:rPr>
            </w:pPr>
            <w:r w:rsidRPr="00853EEA">
              <w:rPr>
                <w:rFonts w:ascii="Arial Narrow" w:hAnsi="Arial Narrow"/>
                <w:sz w:val="20"/>
                <w:szCs w:val="20"/>
              </w:rPr>
              <w:t>Number (n)</w:t>
            </w:r>
          </w:p>
        </w:tc>
        <w:tc>
          <w:tcPr>
            <w:tcW w:w="416" w:type="pct"/>
            <w:shd w:val="clear" w:color="auto" w:fill="000000" w:themeFill="text1"/>
            <w:tcMar>
              <w:left w:w="80" w:type="dxa"/>
              <w:right w:w="80" w:type="dxa"/>
            </w:tcMar>
            <w:vAlign w:val="center"/>
          </w:tcPr>
          <w:p w14:paraId="751F949F" w14:textId="77777777" w:rsidR="004C7F93" w:rsidRPr="00853EEA" w:rsidRDefault="004C7F93" w:rsidP="00853EEA">
            <w:pPr>
              <w:pStyle w:val="TableHeader"/>
              <w:rPr>
                <w:rFonts w:ascii="Arial Narrow" w:hAnsi="Arial Narrow"/>
                <w:sz w:val="20"/>
                <w:szCs w:val="20"/>
              </w:rPr>
            </w:pPr>
            <w:r w:rsidRPr="00853EEA">
              <w:rPr>
                <w:rFonts w:ascii="Arial Narrow" w:hAnsi="Arial Narrow"/>
                <w:sz w:val="20"/>
                <w:szCs w:val="20"/>
              </w:rPr>
              <w:t>Control Group (B)</w:t>
            </w:r>
          </w:p>
          <w:p w14:paraId="57959B8F" w14:textId="77777777" w:rsidR="004C7F93" w:rsidRPr="00853EEA" w:rsidRDefault="004C7F93" w:rsidP="00853EEA">
            <w:pPr>
              <w:pStyle w:val="TableHeader"/>
              <w:rPr>
                <w:rFonts w:ascii="Arial Narrow" w:hAnsi="Arial Narrow"/>
                <w:sz w:val="20"/>
                <w:szCs w:val="20"/>
              </w:rPr>
            </w:pPr>
            <w:r w:rsidRPr="00853EEA">
              <w:rPr>
                <w:rFonts w:ascii="Arial Narrow" w:hAnsi="Arial Narrow"/>
                <w:sz w:val="20"/>
                <w:szCs w:val="20"/>
              </w:rPr>
              <w:t>Mean Change</w:t>
            </w:r>
          </w:p>
        </w:tc>
        <w:tc>
          <w:tcPr>
            <w:tcW w:w="334" w:type="pct"/>
            <w:shd w:val="clear" w:color="auto" w:fill="000000" w:themeFill="text1"/>
            <w:vAlign w:val="center"/>
          </w:tcPr>
          <w:p w14:paraId="217DAA46" w14:textId="77777777" w:rsidR="004C7F93" w:rsidRPr="00853EEA" w:rsidRDefault="004C7F93" w:rsidP="00853EEA">
            <w:pPr>
              <w:pStyle w:val="TableHeader"/>
              <w:rPr>
                <w:rFonts w:ascii="Arial Narrow" w:hAnsi="Arial Narrow"/>
                <w:sz w:val="20"/>
                <w:szCs w:val="20"/>
              </w:rPr>
            </w:pPr>
            <w:r w:rsidRPr="00853EEA">
              <w:rPr>
                <w:rFonts w:ascii="Arial Narrow" w:hAnsi="Arial Narrow"/>
                <w:sz w:val="20"/>
                <w:szCs w:val="20"/>
              </w:rPr>
              <w:t>Control Group (B)</w:t>
            </w:r>
          </w:p>
          <w:p w14:paraId="6CF9F36D" w14:textId="77777777" w:rsidR="004C7F93" w:rsidRPr="00853EEA" w:rsidRDefault="004C7F93" w:rsidP="00853EEA">
            <w:pPr>
              <w:pStyle w:val="TableHeader"/>
              <w:rPr>
                <w:rFonts w:ascii="Arial Narrow" w:hAnsi="Arial Narrow"/>
                <w:sz w:val="20"/>
                <w:szCs w:val="20"/>
              </w:rPr>
            </w:pPr>
            <w:r w:rsidRPr="00853EEA">
              <w:rPr>
                <w:rFonts w:ascii="Arial Narrow" w:hAnsi="Arial Narrow"/>
                <w:sz w:val="20"/>
                <w:szCs w:val="20"/>
              </w:rPr>
              <w:t>Change error (SE)</w:t>
            </w:r>
          </w:p>
        </w:tc>
        <w:tc>
          <w:tcPr>
            <w:tcW w:w="334" w:type="pct"/>
            <w:shd w:val="clear" w:color="auto" w:fill="000000" w:themeFill="text1"/>
            <w:vAlign w:val="center"/>
          </w:tcPr>
          <w:p w14:paraId="4BFC9F0C" w14:textId="77777777" w:rsidR="004C7F93" w:rsidRPr="00853EEA" w:rsidRDefault="004C7F93" w:rsidP="00853EEA">
            <w:pPr>
              <w:pStyle w:val="TableHeader"/>
              <w:rPr>
                <w:rFonts w:ascii="Arial Narrow" w:hAnsi="Arial Narrow"/>
                <w:sz w:val="20"/>
                <w:szCs w:val="20"/>
              </w:rPr>
            </w:pPr>
            <w:r w:rsidRPr="00853EEA">
              <w:rPr>
                <w:rFonts w:ascii="Arial Narrow" w:hAnsi="Arial Narrow"/>
                <w:sz w:val="20"/>
                <w:szCs w:val="20"/>
              </w:rPr>
              <w:t>Control Group (B)</w:t>
            </w:r>
          </w:p>
          <w:p w14:paraId="356E7257" w14:textId="77777777" w:rsidR="004C7F93" w:rsidRPr="00853EEA" w:rsidRDefault="004C7F93" w:rsidP="00853EEA">
            <w:pPr>
              <w:pStyle w:val="TableHeader"/>
              <w:rPr>
                <w:rFonts w:ascii="Arial Narrow" w:hAnsi="Arial Narrow"/>
                <w:sz w:val="20"/>
                <w:szCs w:val="20"/>
              </w:rPr>
            </w:pPr>
            <w:r w:rsidRPr="00853EEA">
              <w:rPr>
                <w:rFonts w:ascii="Arial Narrow" w:hAnsi="Arial Narrow"/>
                <w:sz w:val="20"/>
                <w:szCs w:val="20"/>
              </w:rPr>
              <w:t>number (n)</w:t>
            </w:r>
          </w:p>
        </w:tc>
        <w:tc>
          <w:tcPr>
            <w:tcW w:w="461" w:type="pct"/>
            <w:shd w:val="clear" w:color="auto" w:fill="000000" w:themeFill="text1"/>
            <w:tcMar>
              <w:left w:w="80" w:type="dxa"/>
              <w:right w:w="80" w:type="dxa"/>
            </w:tcMar>
            <w:vAlign w:val="center"/>
          </w:tcPr>
          <w:p w14:paraId="69254B6B" w14:textId="77777777" w:rsidR="004C7F93" w:rsidRPr="00853EEA" w:rsidRDefault="004C7F93" w:rsidP="00853EEA">
            <w:pPr>
              <w:pStyle w:val="TableHeader"/>
              <w:rPr>
                <w:rFonts w:ascii="Arial Narrow" w:hAnsi="Arial Narrow"/>
                <w:sz w:val="20"/>
                <w:szCs w:val="20"/>
              </w:rPr>
            </w:pPr>
            <w:r w:rsidRPr="00853EEA">
              <w:rPr>
                <w:rFonts w:ascii="Arial Narrow" w:hAnsi="Arial Narrow"/>
                <w:sz w:val="20"/>
                <w:szCs w:val="20"/>
              </w:rPr>
              <w:t>Estimate A-B</w:t>
            </w:r>
          </w:p>
        </w:tc>
        <w:tc>
          <w:tcPr>
            <w:tcW w:w="457" w:type="pct"/>
            <w:shd w:val="clear" w:color="auto" w:fill="000000" w:themeFill="text1"/>
            <w:vAlign w:val="center"/>
          </w:tcPr>
          <w:p w14:paraId="56CB4394" w14:textId="77777777" w:rsidR="004C7F93" w:rsidRPr="00853EEA" w:rsidRDefault="004C7F93" w:rsidP="00853EEA">
            <w:pPr>
              <w:pStyle w:val="TableHeader"/>
              <w:rPr>
                <w:rFonts w:ascii="Arial Narrow" w:hAnsi="Arial Narrow"/>
                <w:sz w:val="20"/>
                <w:szCs w:val="20"/>
              </w:rPr>
            </w:pPr>
            <w:r w:rsidRPr="00853EEA">
              <w:rPr>
                <w:rFonts w:ascii="Arial Narrow" w:hAnsi="Arial Narrow"/>
                <w:sz w:val="20"/>
                <w:szCs w:val="20"/>
              </w:rPr>
              <w:t>Estimate A-B</w:t>
            </w:r>
          </w:p>
          <w:p w14:paraId="4EEC5A55" w14:textId="77777777" w:rsidR="004C7F93" w:rsidRPr="00853EEA" w:rsidRDefault="004C7F93" w:rsidP="00853EEA">
            <w:pPr>
              <w:pStyle w:val="TableHeader"/>
              <w:rPr>
                <w:rFonts w:ascii="Arial Narrow" w:hAnsi="Arial Narrow"/>
                <w:sz w:val="20"/>
                <w:szCs w:val="20"/>
              </w:rPr>
            </w:pPr>
            <w:r w:rsidRPr="00853EEA">
              <w:rPr>
                <w:rFonts w:ascii="Arial Narrow" w:hAnsi="Arial Narrow"/>
                <w:sz w:val="20"/>
                <w:szCs w:val="20"/>
              </w:rPr>
              <w:t xml:space="preserve">Variation </w:t>
            </w:r>
          </w:p>
          <w:p w14:paraId="5C52595A" w14:textId="77777777" w:rsidR="004C7F93" w:rsidRPr="00853EEA" w:rsidRDefault="004C7F93" w:rsidP="00853EEA">
            <w:pPr>
              <w:pStyle w:val="TableHeader"/>
              <w:rPr>
                <w:rFonts w:ascii="Arial Narrow" w:hAnsi="Arial Narrow"/>
                <w:sz w:val="20"/>
                <w:szCs w:val="20"/>
              </w:rPr>
            </w:pPr>
            <w:r w:rsidRPr="00853EEA">
              <w:rPr>
                <w:rFonts w:ascii="Arial Narrow" w:hAnsi="Arial Narrow"/>
                <w:sz w:val="20"/>
                <w:szCs w:val="20"/>
              </w:rPr>
              <w:t>(95% CI)</w:t>
            </w:r>
          </w:p>
        </w:tc>
        <w:tc>
          <w:tcPr>
            <w:tcW w:w="436" w:type="pct"/>
            <w:shd w:val="clear" w:color="auto" w:fill="000000" w:themeFill="text1"/>
            <w:tcMar>
              <w:left w:w="80" w:type="dxa"/>
              <w:right w:w="80" w:type="dxa"/>
            </w:tcMar>
            <w:vAlign w:val="center"/>
          </w:tcPr>
          <w:p w14:paraId="5E3AAFCE" w14:textId="77777777" w:rsidR="004C7F93" w:rsidRPr="00853EEA" w:rsidRDefault="004C7F93" w:rsidP="00853EEA">
            <w:pPr>
              <w:pStyle w:val="TableHeader"/>
              <w:rPr>
                <w:rFonts w:ascii="Arial Narrow" w:hAnsi="Arial Narrow"/>
                <w:sz w:val="20"/>
                <w:szCs w:val="20"/>
              </w:rPr>
            </w:pPr>
            <w:r w:rsidRPr="00853EEA">
              <w:rPr>
                <w:rFonts w:ascii="Arial Narrow" w:hAnsi="Arial Narrow"/>
                <w:sz w:val="20"/>
                <w:szCs w:val="20"/>
              </w:rPr>
              <w:t>P-value</w:t>
            </w:r>
          </w:p>
        </w:tc>
      </w:tr>
      <w:tr w:rsidR="004C7F93" w:rsidRPr="00853EEA" w14:paraId="0F8D31D3" w14:textId="77777777" w:rsidTr="004C7F93">
        <w:trPr>
          <w:cantSplit/>
          <w:jc w:val="center"/>
        </w:trPr>
        <w:tc>
          <w:tcPr>
            <w:tcW w:w="545" w:type="pct"/>
            <w:tcBorders>
              <w:top w:val="single" w:sz="4" w:space="0" w:color="auto"/>
              <w:bottom w:val="nil"/>
            </w:tcBorders>
            <w:shd w:val="clear" w:color="auto" w:fill="FFFFFF"/>
            <w:tcMar>
              <w:left w:w="80" w:type="dxa"/>
              <w:right w:w="80" w:type="dxa"/>
            </w:tcMar>
            <w:vAlign w:val="center"/>
          </w:tcPr>
          <w:p w14:paraId="74CD1FCB" w14:textId="77777777" w:rsidR="004C7F93" w:rsidRPr="00853EEA" w:rsidRDefault="004C7F93" w:rsidP="00853EEA">
            <w:pPr>
              <w:pStyle w:val="Tabletext1"/>
              <w:rPr>
                <w:rFonts w:ascii="Arial Narrow" w:hAnsi="Arial Narrow"/>
                <w:szCs w:val="20"/>
              </w:rPr>
            </w:pPr>
            <w:r w:rsidRPr="00853EEA">
              <w:rPr>
                <w:rFonts w:ascii="Arial Narrow" w:hAnsi="Arial Narrow"/>
                <w:szCs w:val="20"/>
              </w:rPr>
              <w:t>Weight*</w:t>
            </w:r>
          </w:p>
        </w:tc>
        <w:tc>
          <w:tcPr>
            <w:tcW w:w="381" w:type="pct"/>
            <w:shd w:val="clear" w:color="auto" w:fill="FFFFFF"/>
            <w:tcMar>
              <w:left w:w="80" w:type="dxa"/>
              <w:right w:w="80" w:type="dxa"/>
            </w:tcMar>
            <w:vAlign w:val="center"/>
          </w:tcPr>
          <w:p w14:paraId="7C499D7D" w14:textId="77777777" w:rsidR="004C7F93" w:rsidRPr="00853EEA" w:rsidRDefault="004C7F93" w:rsidP="00853EEA">
            <w:pPr>
              <w:pStyle w:val="Tabletext1"/>
              <w:rPr>
                <w:rFonts w:ascii="Arial Narrow" w:hAnsi="Arial Narrow"/>
                <w:szCs w:val="20"/>
              </w:rPr>
            </w:pPr>
            <w:r w:rsidRPr="00853EEA">
              <w:rPr>
                <w:rFonts w:ascii="Arial Narrow" w:hAnsi="Arial Narrow"/>
                <w:szCs w:val="20"/>
              </w:rPr>
              <w:t>6 Months</w:t>
            </w:r>
          </w:p>
        </w:tc>
        <w:tc>
          <w:tcPr>
            <w:tcW w:w="600" w:type="pct"/>
            <w:shd w:val="clear" w:color="auto" w:fill="FFFFFF"/>
            <w:tcMar>
              <w:left w:w="80" w:type="dxa"/>
              <w:right w:w="80" w:type="dxa"/>
            </w:tcMar>
            <w:vAlign w:val="center"/>
          </w:tcPr>
          <w:p w14:paraId="2F2BB03C" w14:textId="77777777" w:rsidR="004C7F93" w:rsidRPr="00853EEA" w:rsidRDefault="004C7F93" w:rsidP="00853EEA">
            <w:pPr>
              <w:pStyle w:val="Tabletext1"/>
              <w:rPr>
                <w:rFonts w:ascii="Arial Narrow" w:hAnsi="Arial Narrow"/>
                <w:szCs w:val="20"/>
              </w:rPr>
            </w:pPr>
            <w:r w:rsidRPr="00853EEA">
              <w:rPr>
                <w:rFonts w:ascii="Arial Narrow" w:hAnsi="Arial Narrow"/>
                <w:szCs w:val="20"/>
              </w:rPr>
              <w:t>-0.13</w:t>
            </w:r>
          </w:p>
        </w:tc>
        <w:tc>
          <w:tcPr>
            <w:tcW w:w="518" w:type="pct"/>
            <w:shd w:val="clear" w:color="auto" w:fill="FFFFFF"/>
            <w:vAlign w:val="center"/>
          </w:tcPr>
          <w:p w14:paraId="3A14AFF6" w14:textId="77777777" w:rsidR="004C7F93" w:rsidRPr="00853EEA" w:rsidRDefault="004C7F93" w:rsidP="00853EEA">
            <w:pPr>
              <w:pStyle w:val="Tabletext1"/>
              <w:rPr>
                <w:rFonts w:ascii="Arial Narrow" w:hAnsi="Arial Narrow"/>
                <w:szCs w:val="20"/>
              </w:rPr>
            </w:pPr>
            <w:r w:rsidRPr="00853EEA">
              <w:rPr>
                <w:rFonts w:ascii="Arial Narrow" w:hAnsi="Arial Narrow"/>
                <w:szCs w:val="20"/>
              </w:rPr>
              <w:t>3.47</w:t>
            </w:r>
          </w:p>
        </w:tc>
        <w:tc>
          <w:tcPr>
            <w:tcW w:w="518" w:type="pct"/>
            <w:shd w:val="clear" w:color="auto" w:fill="FFFFFF"/>
            <w:vAlign w:val="center"/>
          </w:tcPr>
          <w:p w14:paraId="46AF32C1" w14:textId="77777777" w:rsidR="004C7F93" w:rsidRPr="00853EEA" w:rsidRDefault="004C7F93" w:rsidP="00853EEA">
            <w:pPr>
              <w:pStyle w:val="Tabletext1"/>
              <w:rPr>
                <w:rFonts w:ascii="Arial Narrow" w:hAnsi="Arial Narrow"/>
                <w:szCs w:val="20"/>
              </w:rPr>
            </w:pPr>
            <w:r w:rsidRPr="00853EEA">
              <w:rPr>
                <w:rFonts w:ascii="Arial Narrow" w:hAnsi="Arial Narrow"/>
                <w:szCs w:val="20"/>
              </w:rPr>
              <w:t>99</w:t>
            </w:r>
          </w:p>
        </w:tc>
        <w:tc>
          <w:tcPr>
            <w:tcW w:w="416" w:type="pct"/>
            <w:shd w:val="clear" w:color="auto" w:fill="FFFFFF"/>
            <w:tcMar>
              <w:left w:w="80" w:type="dxa"/>
              <w:right w:w="80" w:type="dxa"/>
            </w:tcMar>
            <w:vAlign w:val="center"/>
          </w:tcPr>
          <w:p w14:paraId="4A3AED68" w14:textId="77777777" w:rsidR="004C7F93" w:rsidRPr="00853EEA" w:rsidRDefault="004C7F93" w:rsidP="00853EEA">
            <w:pPr>
              <w:pStyle w:val="Tabletext1"/>
              <w:rPr>
                <w:rFonts w:ascii="Arial Narrow" w:hAnsi="Arial Narrow"/>
                <w:szCs w:val="20"/>
              </w:rPr>
            </w:pPr>
            <w:r w:rsidRPr="00853EEA">
              <w:rPr>
                <w:rFonts w:ascii="Arial Narrow" w:hAnsi="Arial Narrow"/>
                <w:szCs w:val="20"/>
              </w:rPr>
              <w:t>1.14</w:t>
            </w:r>
          </w:p>
        </w:tc>
        <w:tc>
          <w:tcPr>
            <w:tcW w:w="334" w:type="pct"/>
            <w:shd w:val="clear" w:color="auto" w:fill="FFFFFF"/>
            <w:vAlign w:val="center"/>
          </w:tcPr>
          <w:p w14:paraId="51B279B5" w14:textId="77777777" w:rsidR="004C7F93" w:rsidRPr="00853EEA" w:rsidRDefault="004C7F93" w:rsidP="00853EEA">
            <w:pPr>
              <w:pStyle w:val="Tabletext1"/>
              <w:rPr>
                <w:rFonts w:ascii="Arial Narrow" w:hAnsi="Arial Narrow"/>
                <w:szCs w:val="20"/>
              </w:rPr>
            </w:pPr>
            <w:r w:rsidRPr="00853EEA">
              <w:rPr>
                <w:rFonts w:ascii="Arial Narrow" w:hAnsi="Arial Narrow"/>
                <w:szCs w:val="20"/>
              </w:rPr>
              <w:t>4.10</w:t>
            </w:r>
          </w:p>
        </w:tc>
        <w:tc>
          <w:tcPr>
            <w:tcW w:w="334" w:type="pct"/>
            <w:shd w:val="clear" w:color="auto" w:fill="FFFFFF"/>
            <w:vAlign w:val="center"/>
          </w:tcPr>
          <w:p w14:paraId="46F4072B" w14:textId="77777777" w:rsidR="004C7F93" w:rsidRPr="00853EEA" w:rsidRDefault="004C7F93" w:rsidP="00853EEA">
            <w:pPr>
              <w:pStyle w:val="Tabletext1"/>
              <w:rPr>
                <w:rFonts w:ascii="Arial Narrow" w:hAnsi="Arial Narrow"/>
                <w:szCs w:val="20"/>
              </w:rPr>
            </w:pPr>
            <w:r w:rsidRPr="00853EEA">
              <w:rPr>
                <w:rFonts w:ascii="Arial Narrow" w:hAnsi="Arial Narrow"/>
                <w:szCs w:val="20"/>
              </w:rPr>
              <w:t>114</w:t>
            </w:r>
          </w:p>
        </w:tc>
        <w:tc>
          <w:tcPr>
            <w:tcW w:w="461" w:type="pct"/>
            <w:shd w:val="clear" w:color="auto" w:fill="FFFFFF"/>
            <w:tcMar>
              <w:left w:w="80" w:type="dxa"/>
              <w:right w:w="80" w:type="dxa"/>
            </w:tcMar>
            <w:vAlign w:val="center"/>
          </w:tcPr>
          <w:p w14:paraId="1AC3E479" w14:textId="77777777" w:rsidR="004C7F93" w:rsidRPr="00853EEA" w:rsidRDefault="004C7F93" w:rsidP="00853EEA">
            <w:pPr>
              <w:pStyle w:val="Tabletext1"/>
              <w:rPr>
                <w:rFonts w:ascii="Arial Narrow" w:hAnsi="Arial Narrow"/>
                <w:szCs w:val="20"/>
              </w:rPr>
            </w:pPr>
            <w:r w:rsidRPr="00853EEA">
              <w:rPr>
                <w:rFonts w:ascii="Arial Narrow" w:hAnsi="Arial Narrow"/>
                <w:szCs w:val="20"/>
              </w:rPr>
              <w:t>-1.31</w:t>
            </w:r>
          </w:p>
        </w:tc>
        <w:tc>
          <w:tcPr>
            <w:tcW w:w="457" w:type="pct"/>
            <w:shd w:val="clear" w:color="auto" w:fill="FFFFFF"/>
            <w:vAlign w:val="center"/>
          </w:tcPr>
          <w:p w14:paraId="6820C65A" w14:textId="77777777" w:rsidR="004C7F93" w:rsidRPr="00853EEA" w:rsidRDefault="004C7F93" w:rsidP="00853EEA">
            <w:pPr>
              <w:pStyle w:val="Tabletext1"/>
              <w:rPr>
                <w:rFonts w:ascii="Arial Narrow" w:hAnsi="Arial Narrow"/>
                <w:szCs w:val="20"/>
              </w:rPr>
            </w:pPr>
            <w:r w:rsidRPr="00853EEA">
              <w:rPr>
                <w:rFonts w:ascii="Arial Narrow" w:hAnsi="Arial Narrow"/>
                <w:szCs w:val="20"/>
              </w:rPr>
              <w:t xml:space="preserve"> -2.54, -0.07</w:t>
            </w:r>
          </w:p>
        </w:tc>
        <w:tc>
          <w:tcPr>
            <w:tcW w:w="436" w:type="pct"/>
            <w:shd w:val="clear" w:color="auto" w:fill="FFFFFF"/>
            <w:tcMar>
              <w:left w:w="80" w:type="dxa"/>
              <w:right w:w="80" w:type="dxa"/>
            </w:tcMar>
            <w:vAlign w:val="center"/>
          </w:tcPr>
          <w:p w14:paraId="4C666713" w14:textId="77777777" w:rsidR="004C7F93" w:rsidRPr="00853EEA" w:rsidRDefault="004C7F93" w:rsidP="00853EEA">
            <w:pPr>
              <w:pStyle w:val="Tabletext1"/>
              <w:rPr>
                <w:rFonts w:ascii="Arial Narrow" w:hAnsi="Arial Narrow"/>
                <w:szCs w:val="20"/>
              </w:rPr>
            </w:pPr>
            <w:r w:rsidRPr="00853EEA">
              <w:rPr>
                <w:rFonts w:ascii="Arial Narrow" w:hAnsi="Arial Narrow"/>
                <w:szCs w:val="20"/>
              </w:rPr>
              <w:t>0.039</w:t>
            </w:r>
          </w:p>
        </w:tc>
      </w:tr>
      <w:tr w:rsidR="004C7F93" w:rsidRPr="00853EEA" w14:paraId="1423E142" w14:textId="77777777" w:rsidTr="004C7F93">
        <w:trPr>
          <w:cantSplit/>
          <w:jc w:val="center"/>
        </w:trPr>
        <w:tc>
          <w:tcPr>
            <w:tcW w:w="545" w:type="pct"/>
            <w:tcBorders>
              <w:top w:val="nil"/>
              <w:bottom w:val="single" w:sz="4" w:space="0" w:color="auto"/>
            </w:tcBorders>
            <w:shd w:val="clear" w:color="auto" w:fill="FFFFFF"/>
            <w:tcMar>
              <w:left w:w="80" w:type="dxa"/>
              <w:right w:w="80" w:type="dxa"/>
            </w:tcMar>
            <w:vAlign w:val="center"/>
          </w:tcPr>
          <w:p w14:paraId="36BD3109" w14:textId="33622E0B" w:rsidR="004C7F93" w:rsidRPr="00853EEA" w:rsidRDefault="004C7F93" w:rsidP="00853EEA">
            <w:pPr>
              <w:pStyle w:val="Tabletext1"/>
              <w:rPr>
                <w:rFonts w:ascii="Arial Narrow" w:hAnsi="Arial Narrow"/>
                <w:b/>
                <w:szCs w:val="20"/>
              </w:rPr>
            </w:pPr>
          </w:p>
        </w:tc>
        <w:tc>
          <w:tcPr>
            <w:tcW w:w="381" w:type="pct"/>
            <w:shd w:val="clear" w:color="auto" w:fill="FFFFFF"/>
            <w:tcMar>
              <w:left w:w="80" w:type="dxa"/>
              <w:right w:w="80" w:type="dxa"/>
            </w:tcMar>
            <w:vAlign w:val="center"/>
          </w:tcPr>
          <w:p w14:paraId="130F07C1" w14:textId="77777777" w:rsidR="004C7F93" w:rsidRPr="00853EEA" w:rsidRDefault="004C7F93" w:rsidP="00853EEA">
            <w:pPr>
              <w:pStyle w:val="Tabletext1"/>
              <w:rPr>
                <w:rFonts w:ascii="Arial Narrow" w:hAnsi="Arial Narrow"/>
                <w:szCs w:val="20"/>
              </w:rPr>
            </w:pPr>
            <w:r w:rsidRPr="00853EEA">
              <w:rPr>
                <w:rFonts w:ascii="Arial Narrow" w:hAnsi="Arial Narrow"/>
                <w:szCs w:val="20"/>
              </w:rPr>
              <w:t>12 Months</w:t>
            </w:r>
          </w:p>
        </w:tc>
        <w:tc>
          <w:tcPr>
            <w:tcW w:w="600" w:type="pct"/>
            <w:shd w:val="clear" w:color="auto" w:fill="FFFFFF"/>
            <w:tcMar>
              <w:left w:w="80" w:type="dxa"/>
              <w:right w:w="80" w:type="dxa"/>
            </w:tcMar>
            <w:vAlign w:val="center"/>
          </w:tcPr>
          <w:p w14:paraId="42A936A7" w14:textId="77777777" w:rsidR="004C7F93" w:rsidRPr="00853EEA" w:rsidRDefault="004C7F93" w:rsidP="00853EEA">
            <w:pPr>
              <w:pStyle w:val="Tabletext1"/>
              <w:rPr>
                <w:rFonts w:ascii="Arial Narrow" w:hAnsi="Arial Narrow"/>
                <w:szCs w:val="20"/>
              </w:rPr>
            </w:pPr>
            <w:r w:rsidRPr="00853EEA">
              <w:rPr>
                <w:rFonts w:ascii="Arial Narrow" w:hAnsi="Arial Narrow"/>
                <w:szCs w:val="20"/>
              </w:rPr>
              <w:t>-0.21</w:t>
            </w:r>
          </w:p>
        </w:tc>
        <w:tc>
          <w:tcPr>
            <w:tcW w:w="518" w:type="pct"/>
            <w:shd w:val="clear" w:color="auto" w:fill="FFFFFF"/>
            <w:vAlign w:val="center"/>
          </w:tcPr>
          <w:p w14:paraId="70A27FB4" w14:textId="77777777" w:rsidR="004C7F93" w:rsidRPr="00853EEA" w:rsidRDefault="004C7F93" w:rsidP="00853EEA">
            <w:pPr>
              <w:pStyle w:val="Tabletext1"/>
              <w:rPr>
                <w:rFonts w:ascii="Arial Narrow" w:hAnsi="Arial Narrow"/>
                <w:szCs w:val="20"/>
              </w:rPr>
            </w:pPr>
            <w:r w:rsidRPr="00853EEA">
              <w:rPr>
                <w:rFonts w:ascii="Arial Narrow" w:hAnsi="Arial Narrow"/>
                <w:szCs w:val="20"/>
              </w:rPr>
              <w:t>5.57</w:t>
            </w:r>
          </w:p>
        </w:tc>
        <w:tc>
          <w:tcPr>
            <w:tcW w:w="518" w:type="pct"/>
            <w:shd w:val="clear" w:color="auto" w:fill="FFFFFF"/>
            <w:vAlign w:val="center"/>
          </w:tcPr>
          <w:p w14:paraId="250A10D5" w14:textId="77777777" w:rsidR="004C7F93" w:rsidRPr="00853EEA" w:rsidRDefault="004C7F93" w:rsidP="00853EEA">
            <w:pPr>
              <w:pStyle w:val="Tabletext1"/>
              <w:rPr>
                <w:rFonts w:ascii="Arial Narrow" w:hAnsi="Arial Narrow"/>
                <w:szCs w:val="20"/>
              </w:rPr>
            </w:pPr>
            <w:r w:rsidRPr="00853EEA">
              <w:rPr>
                <w:rFonts w:ascii="Arial Narrow" w:hAnsi="Arial Narrow"/>
                <w:szCs w:val="20"/>
              </w:rPr>
              <w:t>96</w:t>
            </w:r>
          </w:p>
        </w:tc>
        <w:tc>
          <w:tcPr>
            <w:tcW w:w="416" w:type="pct"/>
            <w:shd w:val="clear" w:color="auto" w:fill="FFFFFF"/>
            <w:tcMar>
              <w:left w:w="80" w:type="dxa"/>
              <w:right w:w="80" w:type="dxa"/>
            </w:tcMar>
            <w:vAlign w:val="center"/>
          </w:tcPr>
          <w:p w14:paraId="0E347959" w14:textId="77777777" w:rsidR="004C7F93" w:rsidRPr="00853EEA" w:rsidRDefault="004C7F93" w:rsidP="00853EEA">
            <w:pPr>
              <w:pStyle w:val="Tabletext1"/>
              <w:rPr>
                <w:rFonts w:ascii="Arial Narrow" w:hAnsi="Arial Narrow"/>
                <w:szCs w:val="20"/>
              </w:rPr>
            </w:pPr>
            <w:r w:rsidRPr="00853EEA">
              <w:rPr>
                <w:rFonts w:ascii="Arial Narrow" w:hAnsi="Arial Narrow"/>
                <w:szCs w:val="20"/>
              </w:rPr>
              <w:t>0.85</w:t>
            </w:r>
          </w:p>
        </w:tc>
        <w:tc>
          <w:tcPr>
            <w:tcW w:w="334" w:type="pct"/>
            <w:shd w:val="clear" w:color="auto" w:fill="FFFFFF"/>
            <w:vAlign w:val="center"/>
          </w:tcPr>
          <w:p w14:paraId="0E200721" w14:textId="77777777" w:rsidR="004C7F93" w:rsidRPr="00853EEA" w:rsidRDefault="004C7F93" w:rsidP="00853EEA">
            <w:pPr>
              <w:pStyle w:val="Tabletext1"/>
              <w:rPr>
                <w:rFonts w:ascii="Arial Narrow" w:hAnsi="Arial Narrow"/>
                <w:szCs w:val="20"/>
              </w:rPr>
            </w:pPr>
            <w:r w:rsidRPr="00853EEA">
              <w:rPr>
                <w:rFonts w:ascii="Arial Narrow" w:hAnsi="Arial Narrow"/>
                <w:szCs w:val="20"/>
              </w:rPr>
              <w:t>5.22</w:t>
            </w:r>
          </w:p>
        </w:tc>
        <w:tc>
          <w:tcPr>
            <w:tcW w:w="334" w:type="pct"/>
            <w:shd w:val="clear" w:color="auto" w:fill="FFFFFF"/>
            <w:vAlign w:val="center"/>
          </w:tcPr>
          <w:p w14:paraId="7DBE2E83" w14:textId="77777777" w:rsidR="004C7F93" w:rsidRPr="00853EEA" w:rsidRDefault="004C7F93" w:rsidP="00853EEA">
            <w:pPr>
              <w:pStyle w:val="Tabletext1"/>
              <w:rPr>
                <w:rFonts w:ascii="Arial Narrow" w:hAnsi="Arial Narrow"/>
                <w:szCs w:val="20"/>
              </w:rPr>
            </w:pPr>
            <w:r w:rsidRPr="00853EEA">
              <w:rPr>
                <w:rFonts w:ascii="Arial Narrow" w:hAnsi="Arial Narrow"/>
                <w:szCs w:val="20"/>
              </w:rPr>
              <w:t>108</w:t>
            </w:r>
          </w:p>
        </w:tc>
        <w:tc>
          <w:tcPr>
            <w:tcW w:w="461" w:type="pct"/>
            <w:shd w:val="clear" w:color="auto" w:fill="FFFFFF"/>
            <w:tcMar>
              <w:left w:w="80" w:type="dxa"/>
              <w:right w:w="80" w:type="dxa"/>
            </w:tcMar>
            <w:vAlign w:val="center"/>
          </w:tcPr>
          <w:p w14:paraId="040B5A45" w14:textId="77777777" w:rsidR="004C7F93" w:rsidRPr="00853EEA" w:rsidRDefault="004C7F93" w:rsidP="00853EEA">
            <w:pPr>
              <w:pStyle w:val="Tabletext1"/>
              <w:rPr>
                <w:rFonts w:ascii="Arial Narrow" w:hAnsi="Arial Narrow"/>
                <w:szCs w:val="20"/>
              </w:rPr>
            </w:pPr>
            <w:r w:rsidRPr="00853EEA">
              <w:rPr>
                <w:rFonts w:ascii="Arial Narrow" w:hAnsi="Arial Narrow"/>
                <w:szCs w:val="20"/>
              </w:rPr>
              <w:t>-1.34</w:t>
            </w:r>
          </w:p>
        </w:tc>
        <w:tc>
          <w:tcPr>
            <w:tcW w:w="457" w:type="pct"/>
            <w:shd w:val="clear" w:color="auto" w:fill="FFFFFF"/>
            <w:vAlign w:val="center"/>
          </w:tcPr>
          <w:p w14:paraId="4292B426" w14:textId="77777777" w:rsidR="004C7F93" w:rsidRPr="00853EEA" w:rsidRDefault="004C7F93" w:rsidP="00853EEA">
            <w:pPr>
              <w:pStyle w:val="Tabletext1"/>
              <w:rPr>
                <w:rFonts w:ascii="Arial Narrow" w:hAnsi="Arial Narrow"/>
                <w:szCs w:val="20"/>
              </w:rPr>
            </w:pPr>
            <w:r w:rsidRPr="00853EEA">
              <w:rPr>
                <w:rFonts w:ascii="Arial Narrow" w:hAnsi="Arial Narrow"/>
                <w:szCs w:val="20"/>
              </w:rPr>
              <w:t xml:space="preserve"> -2.60, -0.09</w:t>
            </w:r>
          </w:p>
        </w:tc>
        <w:tc>
          <w:tcPr>
            <w:tcW w:w="436" w:type="pct"/>
            <w:shd w:val="clear" w:color="auto" w:fill="FFFFFF"/>
            <w:tcMar>
              <w:left w:w="80" w:type="dxa"/>
              <w:right w:w="80" w:type="dxa"/>
            </w:tcMar>
            <w:vAlign w:val="center"/>
          </w:tcPr>
          <w:p w14:paraId="111600A8" w14:textId="77777777" w:rsidR="004C7F93" w:rsidRPr="00853EEA" w:rsidRDefault="004C7F93" w:rsidP="00853EEA">
            <w:pPr>
              <w:pStyle w:val="Tabletext1"/>
              <w:rPr>
                <w:rFonts w:ascii="Arial Narrow" w:hAnsi="Arial Narrow"/>
                <w:szCs w:val="20"/>
              </w:rPr>
            </w:pPr>
            <w:r w:rsidRPr="00853EEA">
              <w:rPr>
                <w:rFonts w:ascii="Arial Narrow" w:hAnsi="Arial Narrow"/>
                <w:szCs w:val="20"/>
              </w:rPr>
              <w:t>0.035</w:t>
            </w:r>
          </w:p>
        </w:tc>
      </w:tr>
    </w:tbl>
    <w:p w14:paraId="77A21AF7" w14:textId="0EAE4D20" w:rsidR="00FB7ED1" w:rsidRDefault="00612340" w:rsidP="007501B9">
      <w:hyperlink w:anchor="_Adverse_events" w:history="1">
        <w:r w:rsidR="00FB7ED1" w:rsidRPr="00C73E62">
          <w:rPr>
            <w:rStyle w:val="Hyperlink"/>
          </w:rPr>
          <w:t xml:space="preserve">Return to Section B </w:t>
        </w:r>
        <w:r w:rsidR="00C73E62" w:rsidRPr="00C73E62">
          <w:rPr>
            <w:rStyle w:val="Hyperlink"/>
          </w:rPr>
          <w:t>– Secondary outcomes – adverse events</w:t>
        </w:r>
      </w:hyperlink>
    </w:p>
    <w:p w14:paraId="5FF6168F" w14:textId="12DBFDE2" w:rsidR="00FB7ED1" w:rsidRDefault="00030572" w:rsidP="00897C5B">
      <w:pPr>
        <w:pStyle w:val="Heading2"/>
      </w:pPr>
      <w:bookmarkStart w:id="463" w:name="_G.11._Text_alternative"/>
      <w:bookmarkStart w:id="464" w:name="_Toc117758371"/>
      <w:bookmarkEnd w:id="463"/>
      <w:r>
        <w:t>I.</w:t>
      </w:r>
      <w:r w:rsidR="001B0A44">
        <w:t>12</w:t>
      </w:r>
      <w:r w:rsidR="00FB7ED1">
        <w:t>.</w:t>
      </w:r>
      <w:r w:rsidR="00DF0E59">
        <w:tab/>
      </w:r>
      <w:r w:rsidR="00FB7ED1">
        <w:t>Text alternative for Figure B-9</w:t>
      </w:r>
      <w:bookmarkEnd w:id="464"/>
    </w:p>
    <w:p w14:paraId="1F1DDE25" w14:textId="08DD171A" w:rsidR="00FB7ED1" w:rsidRDefault="00056860" w:rsidP="007501B9">
      <w:r w:rsidRPr="00056860">
        <w:t xml:space="preserve">Figure is a pie chart illustrating the proportion and types of </w:t>
      </w:r>
      <w:r>
        <w:t>adverse events</w:t>
      </w:r>
      <w:r w:rsidRPr="00056860">
        <w:t xml:space="preserve"> that were experienced by residents throughout the trial. The relative proportions of the </w:t>
      </w:r>
      <w:r w:rsidR="006D6BA4">
        <w:t xml:space="preserve">12 </w:t>
      </w:r>
      <w:r w:rsidRPr="00056860">
        <w:t>types of problems</w:t>
      </w:r>
      <w:r w:rsidR="006D6BA4">
        <w:t xml:space="preserve"> classified</w:t>
      </w:r>
      <w:r w:rsidRPr="00056860">
        <w:t xml:space="preserve"> from larges to smallest were as follows:</w:t>
      </w:r>
    </w:p>
    <w:p w14:paraId="31CDAC6B" w14:textId="0F3ACC6F" w:rsidR="006D6BA4" w:rsidRDefault="006D6BA4" w:rsidP="00853EEA">
      <w:pPr>
        <w:pStyle w:val="ListNumber"/>
        <w:numPr>
          <w:ilvl w:val="0"/>
          <w:numId w:val="43"/>
        </w:numPr>
      </w:pPr>
      <w:r>
        <w:t>Fall or fracture</w:t>
      </w:r>
    </w:p>
    <w:p w14:paraId="5DC1862E" w14:textId="57896045" w:rsidR="006D6BA4" w:rsidRDefault="006D6BA4" w:rsidP="00853EEA">
      <w:pPr>
        <w:pStyle w:val="ListNumber"/>
        <w:numPr>
          <w:ilvl w:val="0"/>
          <w:numId w:val="43"/>
        </w:numPr>
      </w:pPr>
      <w:r>
        <w:t>Bleeding or bruising</w:t>
      </w:r>
    </w:p>
    <w:p w14:paraId="4C3F26B6" w14:textId="1FA2C7E9" w:rsidR="006D6BA4" w:rsidRDefault="006D6BA4" w:rsidP="00853EEA">
      <w:pPr>
        <w:pStyle w:val="ListNumber"/>
        <w:numPr>
          <w:ilvl w:val="0"/>
          <w:numId w:val="43"/>
        </w:numPr>
      </w:pPr>
      <w:r>
        <w:t>Other</w:t>
      </w:r>
    </w:p>
    <w:p w14:paraId="42DBF569" w14:textId="6195229B" w:rsidR="006D6BA4" w:rsidRDefault="006D6BA4" w:rsidP="00853EEA">
      <w:pPr>
        <w:pStyle w:val="ListNumber"/>
        <w:numPr>
          <w:ilvl w:val="0"/>
          <w:numId w:val="43"/>
        </w:numPr>
      </w:pPr>
      <w:r>
        <w:t>Gastroenteritis, vomiting, and nausea</w:t>
      </w:r>
    </w:p>
    <w:p w14:paraId="315D720C" w14:textId="1C8092ED" w:rsidR="006D6BA4" w:rsidRDefault="006D6BA4" w:rsidP="00853EEA">
      <w:pPr>
        <w:pStyle w:val="ListNumber"/>
        <w:numPr>
          <w:ilvl w:val="0"/>
          <w:numId w:val="43"/>
        </w:numPr>
      </w:pPr>
      <w:r>
        <w:t>Coughing</w:t>
      </w:r>
    </w:p>
    <w:p w14:paraId="0B913E81" w14:textId="0CA89DFE" w:rsidR="006D6BA4" w:rsidRDefault="006D6BA4" w:rsidP="00853EEA">
      <w:pPr>
        <w:pStyle w:val="ListNumber"/>
        <w:numPr>
          <w:ilvl w:val="0"/>
          <w:numId w:val="43"/>
        </w:numPr>
      </w:pPr>
      <w:r>
        <w:t>Constipation (new case only)</w:t>
      </w:r>
    </w:p>
    <w:p w14:paraId="54F80835" w14:textId="0E222AB7" w:rsidR="006D6BA4" w:rsidRDefault="006D6BA4" w:rsidP="00853EEA">
      <w:pPr>
        <w:pStyle w:val="ListNumber"/>
        <w:numPr>
          <w:ilvl w:val="0"/>
          <w:numId w:val="43"/>
        </w:numPr>
      </w:pPr>
      <w:r>
        <w:t>Urticaria</w:t>
      </w:r>
    </w:p>
    <w:p w14:paraId="751E8C9A" w14:textId="7453FC04" w:rsidR="006D6BA4" w:rsidRDefault="006D6BA4" w:rsidP="00853EEA">
      <w:pPr>
        <w:pStyle w:val="ListNumber"/>
        <w:numPr>
          <w:ilvl w:val="0"/>
          <w:numId w:val="43"/>
        </w:numPr>
      </w:pPr>
      <w:r>
        <w:lastRenderedPageBreak/>
        <w:t>Confusion or delirium</w:t>
      </w:r>
    </w:p>
    <w:p w14:paraId="794E8D72" w14:textId="0D3EF163" w:rsidR="006D6BA4" w:rsidRDefault="006D6BA4" w:rsidP="00853EEA">
      <w:pPr>
        <w:pStyle w:val="ListNumber"/>
        <w:numPr>
          <w:ilvl w:val="0"/>
          <w:numId w:val="43"/>
        </w:numPr>
      </w:pPr>
      <w:r>
        <w:t>Indigestion or heat burn</w:t>
      </w:r>
    </w:p>
    <w:p w14:paraId="42BF1B3C" w14:textId="7169ACCA" w:rsidR="006D6BA4" w:rsidRDefault="006D6BA4" w:rsidP="00853EEA">
      <w:pPr>
        <w:pStyle w:val="ListNumber"/>
        <w:numPr>
          <w:ilvl w:val="0"/>
          <w:numId w:val="43"/>
        </w:numPr>
      </w:pPr>
      <w:r>
        <w:t>Dizziness</w:t>
      </w:r>
    </w:p>
    <w:p w14:paraId="7E16B1FF" w14:textId="4B2D8DD4" w:rsidR="006D6BA4" w:rsidRDefault="006D6BA4" w:rsidP="00853EEA">
      <w:pPr>
        <w:pStyle w:val="ListNumber"/>
        <w:numPr>
          <w:ilvl w:val="0"/>
          <w:numId w:val="43"/>
        </w:numPr>
      </w:pPr>
      <w:r>
        <w:t>Faecal incontinence (new case only)</w:t>
      </w:r>
    </w:p>
    <w:p w14:paraId="2596A27D" w14:textId="4BA4288D" w:rsidR="006D6BA4" w:rsidRDefault="006D6BA4" w:rsidP="00853EEA">
      <w:pPr>
        <w:pStyle w:val="ListNumber"/>
        <w:numPr>
          <w:ilvl w:val="0"/>
          <w:numId w:val="43"/>
        </w:numPr>
      </w:pPr>
      <w:r>
        <w:t>Urinary incontinence (new case only)</w:t>
      </w:r>
    </w:p>
    <w:p w14:paraId="5ACF60F8" w14:textId="11E187FB" w:rsidR="00C73E62" w:rsidRDefault="00612340" w:rsidP="007501B9">
      <w:hyperlink w:anchor="_Adverse_events" w:history="1">
        <w:r w:rsidR="00C73E62" w:rsidRPr="00C73E62">
          <w:rPr>
            <w:rStyle w:val="Hyperlink"/>
          </w:rPr>
          <w:t>Return to Section B</w:t>
        </w:r>
      </w:hyperlink>
      <w:r w:rsidR="00C73E62">
        <w:t xml:space="preserve"> </w:t>
      </w:r>
      <w:r w:rsidR="007D6A65">
        <w:t>–</w:t>
      </w:r>
      <w:r w:rsidR="00C73E62">
        <w:t xml:space="preserve"> </w:t>
      </w:r>
    </w:p>
    <w:p w14:paraId="6A986A5D" w14:textId="5E9802A3" w:rsidR="007D6A65" w:rsidRDefault="00030572" w:rsidP="00897C5B">
      <w:pPr>
        <w:pStyle w:val="Heading2"/>
      </w:pPr>
      <w:bookmarkStart w:id="465" w:name="_Alternative_Text_for"/>
      <w:bookmarkStart w:id="466" w:name="_Toc117758372"/>
      <w:bookmarkEnd w:id="465"/>
      <w:r>
        <w:t>I.</w:t>
      </w:r>
      <w:r w:rsidR="001B0A44">
        <w:t>13.</w:t>
      </w:r>
      <w:r w:rsidR="00DF0E59">
        <w:tab/>
      </w:r>
      <w:r w:rsidR="007D6A65" w:rsidRPr="007D6A65">
        <w:t>Alternative Text for Figure APP C-1</w:t>
      </w:r>
      <w:bookmarkEnd w:id="466"/>
    </w:p>
    <w:p w14:paraId="2FFCDDA2" w14:textId="77777777" w:rsidR="007D6A65" w:rsidRPr="0002472D" w:rsidRDefault="007D6A65" w:rsidP="007501B9">
      <w:r w:rsidRPr="0002472D">
        <w:t xml:space="preserve">The figure shows the layout of the MID assessment report. The table below identifies each item </w:t>
      </w:r>
      <w:r>
        <w:t xml:space="preserve">shown </w:t>
      </w:r>
      <w:r w:rsidRPr="0002472D">
        <w:t xml:space="preserve">in the report, its </w:t>
      </w:r>
      <w:proofErr w:type="gramStart"/>
      <w:r w:rsidRPr="0002472D">
        <w:t>interpretation</w:t>
      </w:r>
      <w:proofErr w:type="gramEnd"/>
      <w:r w:rsidRPr="0002472D">
        <w:t xml:space="preserve"> and any action that the pharmacist should take:</w:t>
      </w:r>
    </w:p>
    <w:tbl>
      <w:tblPr>
        <w:tblStyle w:val="ListTable3"/>
        <w:tblW w:w="0" w:type="auto"/>
        <w:tblLook w:val="04A0" w:firstRow="1" w:lastRow="0" w:firstColumn="1" w:lastColumn="0" w:noHBand="0" w:noVBand="1"/>
        <w:tblCaption w:val="Outline of the data fields for the MID assessment report"/>
        <w:tblDescription w:val="Outline of what data (and sources of data) should be reviewed as part of the MID assessment"/>
      </w:tblPr>
      <w:tblGrid>
        <w:gridCol w:w="1981"/>
        <w:gridCol w:w="2883"/>
        <w:gridCol w:w="4152"/>
      </w:tblGrid>
      <w:tr w:rsidR="007D6A65" w:rsidRPr="00853EEA" w14:paraId="00470A4B" w14:textId="77777777" w:rsidTr="00853EEA">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0" w:type="auto"/>
          </w:tcPr>
          <w:p w14:paraId="12CF5A42" w14:textId="77777777" w:rsidR="007D6A65" w:rsidRPr="00853EEA" w:rsidRDefault="007D6A65" w:rsidP="00853EEA">
            <w:pPr>
              <w:pStyle w:val="TableHeader"/>
              <w:rPr>
                <w:b/>
                <w:bCs w:val="0"/>
              </w:rPr>
            </w:pPr>
            <w:bookmarkStart w:id="467" w:name="Title_7"/>
            <w:bookmarkEnd w:id="467"/>
            <w:r w:rsidRPr="00853EEA">
              <w:rPr>
                <w:b/>
                <w:bCs w:val="0"/>
              </w:rPr>
              <w:t>Item</w:t>
            </w:r>
          </w:p>
        </w:tc>
        <w:tc>
          <w:tcPr>
            <w:tcW w:w="0" w:type="auto"/>
          </w:tcPr>
          <w:p w14:paraId="37C6579D" w14:textId="77777777" w:rsidR="007D6A65" w:rsidRPr="00853EEA" w:rsidRDefault="007D6A65" w:rsidP="00853EEA">
            <w:pPr>
              <w:pStyle w:val="TableHeader"/>
              <w:cnfStyle w:val="100000000000" w:firstRow="1" w:lastRow="0" w:firstColumn="0" w:lastColumn="0" w:oddVBand="0" w:evenVBand="0" w:oddHBand="0" w:evenHBand="0" w:firstRowFirstColumn="0" w:firstRowLastColumn="0" w:lastRowFirstColumn="0" w:lastRowLastColumn="0"/>
              <w:rPr>
                <w:b/>
                <w:bCs w:val="0"/>
              </w:rPr>
            </w:pPr>
            <w:r w:rsidRPr="00853EEA">
              <w:rPr>
                <w:b/>
                <w:bCs w:val="0"/>
              </w:rPr>
              <w:t>Interpretation</w:t>
            </w:r>
          </w:p>
        </w:tc>
        <w:tc>
          <w:tcPr>
            <w:tcW w:w="0" w:type="auto"/>
          </w:tcPr>
          <w:p w14:paraId="4F1C005F" w14:textId="77777777" w:rsidR="007D6A65" w:rsidRPr="00853EEA" w:rsidRDefault="007D6A65" w:rsidP="00853EEA">
            <w:pPr>
              <w:pStyle w:val="TableHeader"/>
              <w:cnfStyle w:val="100000000000" w:firstRow="1" w:lastRow="0" w:firstColumn="0" w:lastColumn="0" w:oddVBand="0" w:evenVBand="0" w:oddHBand="0" w:evenHBand="0" w:firstRowFirstColumn="0" w:firstRowLastColumn="0" w:lastRowFirstColumn="0" w:lastRowLastColumn="0"/>
              <w:rPr>
                <w:b/>
                <w:bCs w:val="0"/>
              </w:rPr>
            </w:pPr>
            <w:r w:rsidRPr="00853EEA">
              <w:rPr>
                <w:b/>
                <w:bCs w:val="0"/>
              </w:rPr>
              <w:t>Action</w:t>
            </w:r>
          </w:p>
        </w:tc>
      </w:tr>
      <w:tr w:rsidR="007D6A65" w:rsidRPr="007D6A65" w14:paraId="339C38F0" w14:textId="77777777" w:rsidTr="00853EE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40628130" w14:textId="77777777" w:rsidR="007D6A65" w:rsidRPr="007D6A65" w:rsidRDefault="007D6A65" w:rsidP="00853EEA">
            <w:pPr>
              <w:pStyle w:val="Tabletext1"/>
            </w:pPr>
            <w:r w:rsidRPr="007D6A65">
              <w:t>Patient name</w:t>
            </w:r>
          </w:p>
        </w:tc>
        <w:tc>
          <w:tcPr>
            <w:tcW w:w="0" w:type="auto"/>
          </w:tcPr>
          <w:p w14:paraId="1E02F325" w14:textId="77777777" w:rsidR="007D6A65" w:rsidRPr="007D6A65" w:rsidRDefault="007D6A65" w:rsidP="00853EEA">
            <w:pPr>
              <w:pStyle w:val="Tabletext1"/>
              <w:cnfStyle w:val="000000100000" w:firstRow="0" w:lastRow="0" w:firstColumn="0" w:lastColumn="0" w:oddVBand="0" w:evenVBand="0" w:oddHBand="1" w:evenHBand="0" w:firstRowFirstColumn="0" w:firstRowLastColumn="0" w:lastRowFirstColumn="0" w:lastRowLastColumn="0"/>
            </w:pPr>
            <w:r w:rsidRPr="007D6A65">
              <w:t>For participant interview</w:t>
            </w:r>
          </w:p>
        </w:tc>
        <w:tc>
          <w:tcPr>
            <w:tcW w:w="0" w:type="auto"/>
          </w:tcPr>
          <w:p w14:paraId="72369919" w14:textId="77777777" w:rsidR="007D6A65" w:rsidRPr="007D6A65" w:rsidRDefault="007D6A65" w:rsidP="00853EEA">
            <w:pPr>
              <w:pStyle w:val="Tabletext1"/>
              <w:cnfStyle w:val="000000100000" w:firstRow="0" w:lastRow="0" w:firstColumn="0" w:lastColumn="0" w:oddVBand="0" w:evenVBand="0" w:oddHBand="1" w:evenHBand="0" w:firstRowFirstColumn="0" w:firstRowLastColumn="0" w:lastRowFirstColumn="0" w:lastRowLastColumn="0"/>
            </w:pPr>
            <w:r w:rsidRPr="007D6A65">
              <w:t>Nil</w:t>
            </w:r>
          </w:p>
        </w:tc>
      </w:tr>
      <w:tr w:rsidR="007D6A65" w:rsidRPr="007D6A65" w14:paraId="41C40C05" w14:textId="77777777" w:rsidTr="00853EEA">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0B41158C" w14:textId="77777777" w:rsidR="007D6A65" w:rsidRPr="007D6A65" w:rsidRDefault="007D6A65" w:rsidP="00853EEA">
            <w:pPr>
              <w:pStyle w:val="Tabletext1"/>
            </w:pPr>
            <w:r w:rsidRPr="007D6A65">
              <w:t>Room number</w:t>
            </w:r>
          </w:p>
        </w:tc>
        <w:tc>
          <w:tcPr>
            <w:tcW w:w="0" w:type="auto"/>
          </w:tcPr>
          <w:p w14:paraId="5AE464D7" w14:textId="77777777" w:rsidR="007D6A65" w:rsidRPr="007D6A65" w:rsidRDefault="007D6A65" w:rsidP="00853EEA">
            <w:pPr>
              <w:pStyle w:val="Tabletext1"/>
              <w:cnfStyle w:val="000000000000" w:firstRow="0" w:lastRow="0" w:firstColumn="0" w:lastColumn="0" w:oddVBand="0" w:evenVBand="0" w:oddHBand="0" w:evenHBand="0" w:firstRowFirstColumn="0" w:firstRowLastColumn="0" w:lastRowFirstColumn="0" w:lastRowLastColumn="0"/>
            </w:pPr>
            <w:r w:rsidRPr="007D6A65">
              <w:t>For participant interview</w:t>
            </w:r>
          </w:p>
        </w:tc>
        <w:tc>
          <w:tcPr>
            <w:tcW w:w="0" w:type="auto"/>
          </w:tcPr>
          <w:p w14:paraId="06FD62CD" w14:textId="77777777" w:rsidR="007D6A65" w:rsidRPr="007D6A65" w:rsidRDefault="007D6A65" w:rsidP="00853EEA">
            <w:pPr>
              <w:pStyle w:val="Tabletext1"/>
              <w:cnfStyle w:val="000000000000" w:firstRow="0" w:lastRow="0" w:firstColumn="0" w:lastColumn="0" w:oddVBand="0" w:evenVBand="0" w:oddHBand="0" w:evenHBand="0" w:firstRowFirstColumn="0" w:firstRowLastColumn="0" w:lastRowFirstColumn="0" w:lastRowLastColumn="0"/>
              <w:rPr>
                <w:color w:val="000000"/>
              </w:rPr>
            </w:pPr>
            <w:r w:rsidRPr="007D6A65">
              <w:t>Nil</w:t>
            </w:r>
          </w:p>
        </w:tc>
      </w:tr>
      <w:tr w:rsidR="007D6A65" w:rsidRPr="007D6A65" w14:paraId="488613F9" w14:textId="77777777" w:rsidTr="00853EE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190DE27A" w14:textId="77777777" w:rsidR="007D6A65" w:rsidRPr="007D6A65" w:rsidRDefault="007D6A65" w:rsidP="00853EEA">
            <w:pPr>
              <w:pStyle w:val="Tabletext1"/>
            </w:pPr>
            <w:r w:rsidRPr="007D6A65">
              <w:t>Assessment date</w:t>
            </w:r>
          </w:p>
        </w:tc>
        <w:tc>
          <w:tcPr>
            <w:tcW w:w="0" w:type="auto"/>
          </w:tcPr>
          <w:p w14:paraId="44B620D0" w14:textId="77777777" w:rsidR="007D6A65" w:rsidRPr="007D6A65" w:rsidRDefault="007D6A65" w:rsidP="00853EEA">
            <w:pPr>
              <w:pStyle w:val="Tabletext1"/>
              <w:cnfStyle w:val="000000100000" w:firstRow="0" w:lastRow="0" w:firstColumn="0" w:lastColumn="0" w:oddVBand="0" w:evenVBand="0" w:oddHBand="1" w:evenHBand="0" w:firstRowFirstColumn="0" w:firstRowLastColumn="0" w:lastRowFirstColumn="0" w:lastRowLastColumn="0"/>
            </w:pPr>
            <w:r w:rsidRPr="007D6A65">
              <w:t>Blank (Pharmacist to fill in)</w:t>
            </w:r>
          </w:p>
        </w:tc>
        <w:tc>
          <w:tcPr>
            <w:tcW w:w="0" w:type="auto"/>
          </w:tcPr>
          <w:p w14:paraId="1A1591C6" w14:textId="77777777" w:rsidR="007D6A65" w:rsidRPr="007D6A65" w:rsidRDefault="007D6A65" w:rsidP="00853EEA">
            <w:pPr>
              <w:pStyle w:val="Tabletext1"/>
              <w:cnfStyle w:val="000000100000" w:firstRow="0" w:lastRow="0" w:firstColumn="0" w:lastColumn="0" w:oddVBand="0" w:evenVBand="0" w:oddHBand="1" w:evenHBand="0" w:firstRowFirstColumn="0" w:firstRowLastColumn="0" w:lastRowFirstColumn="0" w:lastRowLastColumn="0"/>
            </w:pPr>
            <w:r w:rsidRPr="007D6A65">
              <w:t>Record date of assessment</w:t>
            </w:r>
          </w:p>
        </w:tc>
      </w:tr>
      <w:tr w:rsidR="007D6A65" w:rsidRPr="007D6A65" w14:paraId="63373FDF" w14:textId="77777777" w:rsidTr="00853EEA">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5AB91664" w14:textId="77777777" w:rsidR="007D6A65" w:rsidRPr="007D6A65" w:rsidRDefault="007D6A65" w:rsidP="00853EEA">
            <w:pPr>
              <w:pStyle w:val="Tabletext1"/>
            </w:pPr>
            <w:r w:rsidRPr="007D6A65">
              <w:t>Demographic</w:t>
            </w:r>
          </w:p>
        </w:tc>
        <w:tc>
          <w:tcPr>
            <w:tcW w:w="0" w:type="auto"/>
          </w:tcPr>
          <w:p w14:paraId="099CD97E" w14:textId="77777777" w:rsidR="007D6A65" w:rsidRPr="007D6A65" w:rsidRDefault="007D6A65" w:rsidP="00853EEA">
            <w:pPr>
              <w:pStyle w:val="Tabletext1"/>
              <w:cnfStyle w:val="000000000000" w:firstRow="0" w:lastRow="0" w:firstColumn="0" w:lastColumn="0" w:oddVBand="0" w:evenVBand="0" w:oddHBand="0" w:evenHBand="0" w:firstRowFirstColumn="0" w:firstRowLastColumn="0" w:lastRowFirstColumn="0" w:lastRowLastColumn="0"/>
            </w:pPr>
            <w:r w:rsidRPr="007D6A65">
              <w:t>For pharmacists’ information (DOB, RACF entry date and GP name)</w:t>
            </w:r>
          </w:p>
        </w:tc>
        <w:tc>
          <w:tcPr>
            <w:tcW w:w="0" w:type="auto"/>
          </w:tcPr>
          <w:p w14:paraId="61505E1C" w14:textId="77777777" w:rsidR="007D6A65" w:rsidRPr="007D6A65" w:rsidRDefault="007D6A65" w:rsidP="00853EEA">
            <w:pPr>
              <w:pStyle w:val="Tabletext1"/>
              <w:cnfStyle w:val="000000000000" w:firstRow="0" w:lastRow="0" w:firstColumn="0" w:lastColumn="0" w:oddVBand="0" w:evenVBand="0" w:oddHBand="0" w:evenHBand="0" w:firstRowFirstColumn="0" w:firstRowLastColumn="0" w:lastRowFirstColumn="0" w:lastRowLastColumn="0"/>
              <w:rPr>
                <w:color w:val="000000"/>
              </w:rPr>
            </w:pPr>
            <w:r w:rsidRPr="007D6A65">
              <w:t>Nil</w:t>
            </w:r>
          </w:p>
        </w:tc>
      </w:tr>
      <w:tr w:rsidR="007D6A65" w:rsidRPr="007D6A65" w14:paraId="299EFB6A" w14:textId="77777777" w:rsidTr="00853EE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599A36D6" w14:textId="77777777" w:rsidR="007D6A65" w:rsidRPr="007D6A65" w:rsidRDefault="007D6A65" w:rsidP="00853EEA">
            <w:pPr>
              <w:pStyle w:val="Tabletext1"/>
            </w:pPr>
            <w:r w:rsidRPr="007D6A65">
              <w:t>Availability/ Notes</w:t>
            </w:r>
          </w:p>
        </w:tc>
        <w:tc>
          <w:tcPr>
            <w:tcW w:w="0" w:type="auto"/>
          </w:tcPr>
          <w:p w14:paraId="0C368E01" w14:textId="77777777" w:rsidR="007D6A65" w:rsidRPr="007D6A65" w:rsidRDefault="007D6A65" w:rsidP="00853EEA">
            <w:pPr>
              <w:pStyle w:val="Tabletext1"/>
              <w:cnfStyle w:val="000000100000" w:firstRow="0" w:lastRow="0" w:firstColumn="0" w:lastColumn="0" w:oddVBand="0" w:evenVBand="0" w:oddHBand="1" w:evenHBand="0" w:firstRowFirstColumn="0" w:firstRowLastColumn="0" w:lastRowFirstColumn="0" w:lastRowLastColumn="0"/>
              <w:rPr>
                <w:color w:val="000000"/>
              </w:rPr>
            </w:pPr>
            <w:r w:rsidRPr="007D6A65">
              <w:t>Blank (Pharmacist to fill in)</w:t>
            </w:r>
          </w:p>
        </w:tc>
        <w:tc>
          <w:tcPr>
            <w:tcW w:w="0" w:type="auto"/>
          </w:tcPr>
          <w:p w14:paraId="23F2832C" w14:textId="77777777" w:rsidR="007D6A65" w:rsidRPr="007D6A65" w:rsidRDefault="007D6A65" w:rsidP="00853EEA">
            <w:pPr>
              <w:pStyle w:val="Tabletext1"/>
              <w:cnfStyle w:val="000000100000" w:firstRow="0" w:lastRow="0" w:firstColumn="0" w:lastColumn="0" w:oddVBand="0" w:evenVBand="0" w:oddHBand="1" w:evenHBand="0" w:firstRowFirstColumn="0" w:firstRowLastColumn="0" w:lastRowFirstColumn="0" w:lastRowLastColumn="0"/>
            </w:pPr>
            <w:r w:rsidRPr="007D6A65">
              <w:t>Please fill this in if there are certain times or days that are never suitable for an intervention session to allow you to plan any future follow up sessions.</w:t>
            </w:r>
          </w:p>
        </w:tc>
      </w:tr>
      <w:tr w:rsidR="007D6A65" w:rsidRPr="007D6A65" w14:paraId="4120D0E9" w14:textId="77777777" w:rsidTr="00853EEA">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531FCF79" w14:textId="77777777" w:rsidR="007D6A65" w:rsidRPr="007D6A65" w:rsidRDefault="007D6A65" w:rsidP="00853EEA">
            <w:pPr>
              <w:pStyle w:val="Tabletext1"/>
            </w:pPr>
            <w:r w:rsidRPr="007D6A65">
              <w:t>Existing condition list</w:t>
            </w:r>
          </w:p>
        </w:tc>
        <w:tc>
          <w:tcPr>
            <w:tcW w:w="0" w:type="auto"/>
          </w:tcPr>
          <w:p w14:paraId="0667371E" w14:textId="77777777" w:rsidR="007D6A65" w:rsidRPr="007D6A65" w:rsidRDefault="007D6A65" w:rsidP="00853EEA">
            <w:pPr>
              <w:pStyle w:val="Tabletext1"/>
              <w:cnfStyle w:val="000000000000" w:firstRow="0" w:lastRow="0" w:firstColumn="0" w:lastColumn="0" w:oddVBand="0" w:evenVBand="0" w:oddHBand="0" w:evenHBand="0" w:firstRowFirstColumn="0" w:firstRowLastColumn="0" w:lastRowFirstColumn="0" w:lastRowLastColumn="0"/>
            </w:pPr>
            <w:r w:rsidRPr="007D6A65">
              <w:t xml:space="preserve"> Blank (Pharmacist to fill in)</w:t>
            </w:r>
          </w:p>
        </w:tc>
        <w:tc>
          <w:tcPr>
            <w:tcW w:w="0" w:type="auto"/>
          </w:tcPr>
          <w:p w14:paraId="40BA2B6D" w14:textId="77777777" w:rsidR="007D6A65" w:rsidRPr="007D6A65" w:rsidRDefault="007D6A65" w:rsidP="00853EEA">
            <w:pPr>
              <w:pStyle w:val="Tabletext1"/>
              <w:cnfStyle w:val="000000000000" w:firstRow="0" w:lastRow="0" w:firstColumn="0" w:lastColumn="0" w:oddVBand="0" w:evenVBand="0" w:oddHBand="0" w:evenHBand="0" w:firstRowFirstColumn="0" w:firstRowLastColumn="0" w:lastRowFirstColumn="0" w:lastRowLastColumn="0"/>
              <w:rPr>
                <w:color w:val="000000"/>
              </w:rPr>
            </w:pPr>
            <w:r w:rsidRPr="007D6A65">
              <w:t>Record comorbidities, allergies etc.</w:t>
            </w:r>
          </w:p>
        </w:tc>
      </w:tr>
      <w:tr w:rsidR="007D6A65" w:rsidRPr="007D6A65" w14:paraId="5FE7AB50" w14:textId="77777777" w:rsidTr="00853EE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22FB4C18" w14:textId="77777777" w:rsidR="007D6A65" w:rsidRPr="007D6A65" w:rsidRDefault="007D6A65" w:rsidP="00853EEA">
            <w:pPr>
              <w:pStyle w:val="Tabletext1"/>
            </w:pPr>
            <w:r w:rsidRPr="007D6A65">
              <w:t>Action required from previous session</w:t>
            </w:r>
          </w:p>
        </w:tc>
        <w:tc>
          <w:tcPr>
            <w:tcW w:w="0" w:type="auto"/>
          </w:tcPr>
          <w:p w14:paraId="1DA2F935" w14:textId="77777777" w:rsidR="007D6A65" w:rsidRPr="007D6A65" w:rsidRDefault="007D6A65" w:rsidP="00853EEA">
            <w:pPr>
              <w:pStyle w:val="Tabletext1"/>
              <w:cnfStyle w:val="000000100000" w:firstRow="0" w:lastRow="0" w:firstColumn="0" w:lastColumn="0" w:oddVBand="0" w:evenVBand="0" w:oddHBand="1" w:evenHBand="0" w:firstRowFirstColumn="0" w:firstRowLastColumn="0" w:lastRowFirstColumn="0" w:lastRowLastColumn="0"/>
            </w:pPr>
            <w:r w:rsidRPr="007D6A65">
              <w:t>Blank (Pharmacist to fill in)</w:t>
            </w:r>
          </w:p>
        </w:tc>
        <w:tc>
          <w:tcPr>
            <w:tcW w:w="0" w:type="auto"/>
          </w:tcPr>
          <w:p w14:paraId="103F1A7B" w14:textId="029D1DF7" w:rsidR="007D6A65" w:rsidRPr="007D6A65" w:rsidRDefault="007D6A65" w:rsidP="00853EEA">
            <w:pPr>
              <w:pStyle w:val="ListBullet"/>
              <w:cnfStyle w:val="000000100000" w:firstRow="0" w:lastRow="0" w:firstColumn="0" w:lastColumn="0" w:oddVBand="0" w:evenVBand="0" w:oddHBand="1" w:evenHBand="0" w:firstRowFirstColumn="0" w:firstRowLastColumn="0" w:lastRowFirstColumn="0" w:lastRowLastColumn="0"/>
            </w:pPr>
            <w:r w:rsidRPr="00853EEA">
              <w:rPr>
                <w:sz w:val="20"/>
                <w:szCs w:val="22"/>
              </w:rPr>
              <w:t>implement and monitor any previous actions.</w:t>
            </w:r>
          </w:p>
        </w:tc>
      </w:tr>
      <w:tr w:rsidR="007D6A65" w:rsidRPr="007D6A65" w14:paraId="37DAFD0D" w14:textId="77777777" w:rsidTr="00853EEA">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55A3F29B" w14:textId="77777777" w:rsidR="007D6A65" w:rsidRPr="007D6A65" w:rsidRDefault="007D6A65" w:rsidP="00853EEA">
            <w:pPr>
              <w:pStyle w:val="Tabletext1"/>
            </w:pPr>
            <w:r w:rsidRPr="007D6A65">
              <w:t>Current problem list/Potential adverse events</w:t>
            </w:r>
          </w:p>
        </w:tc>
        <w:tc>
          <w:tcPr>
            <w:tcW w:w="0" w:type="auto"/>
          </w:tcPr>
          <w:p w14:paraId="0D9EF649" w14:textId="77777777" w:rsidR="007D6A65" w:rsidRPr="007D6A65" w:rsidRDefault="007D6A65" w:rsidP="00853EEA">
            <w:pPr>
              <w:pStyle w:val="Tabletext1"/>
              <w:cnfStyle w:val="000000000000" w:firstRow="0" w:lastRow="0" w:firstColumn="0" w:lastColumn="0" w:oddVBand="0" w:evenVBand="0" w:oddHBand="0" w:evenHBand="0" w:firstRowFirstColumn="0" w:firstRowLastColumn="0" w:lastRowFirstColumn="0" w:lastRowLastColumn="0"/>
            </w:pPr>
            <w:r w:rsidRPr="007D6A65">
              <w:t>Blank (Pharmacist to fill in)</w:t>
            </w:r>
          </w:p>
        </w:tc>
        <w:tc>
          <w:tcPr>
            <w:tcW w:w="0" w:type="auto"/>
          </w:tcPr>
          <w:p w14:paraId="265AF70F" w14:textId="547B6742" w:rsidR="007D6A65" w:rsidRPr="00853EEA" w:rsidRDefault="007D6A65" w:rsidP="00853EEA">
            <w:pPr>
              <w:pStyle w:val="ListBullet"/>
              <w:cnfStyle w:val="000000000000" w:firstRow="0" w:lastRow="0" w:firstColumn="0" w:lastColumn="0" w:oddVBand="0" w:evenVBand="0" w:oddHBand="0" w:evenHBand="0" w:firstRowFirstColumn="0" w:firstRowLastColumn="0" w:lastRowFirstColumn="0" w:lastRowLastColumn="0"/>
              <w:rPr>
                <w:sz w:val="20"/>
                <w:szCs w:val="22"/>
              </w:rPr>
            </w:pPr>
            <w:r w:rsidRPr="00853EEA">
              <w:rPr>
                <w:sz w:val="20"/>
                <w:szCs w:val="22"/>
              </w:rPr>
              <w:t>List any new conditions/problems affecting the participant since the last visit.</w:t>
            </w:r>
          </w:p>
          <w:p w14:paraId="0AC4B832" w14:textId="1F87BC44" w:rsidR="007D6A65" w:rsidRPr="007D6A65" w:rsidRDefault="007D6A65" w:rsidP="00853EEA">
            <w:pPr>
              <w:pStyle w:val="ListBullet"/>
              <w:cnfStyle w:val="000000000000" w:firstRow="0" w:lastRow="0" w:firstColumn="0" w:lastColumn="0" w:oddVBand="0" w:evenVBand="0" w:oddHBand="0" w:evenHBand="0" w:firstRowFirstColumn="0" w:firstRowLastColumn="0" w:lastRowFirstColumn="0" w:lastRowLastColumn="0"/>
            </w:pPr>
            <w:r w:rsidRPr="00853EEA">
              <w:rPr>
                <w:sz w:val="20"/>
                <w:szCs w:val="22"/>
              </w:rPr>
              <w:t>List any adverse events and dates noted in the resident care record</w:t>
            </w:r>
            <w:r w:rsidRPr="007D6A65">
              <w:t xml:space="preserve"> </w:t>
            </w:r>
          </w:p>
        </w:tc>
      </w:tr>
      <w:tr w:rsidR="007D6A65" w:rsidRPr="007D6A65" w14:paraId="67FAD398" w14:textId="77777777" w:rsidTr="00853EE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672ABFFA" w14:textId="77777777" w:rsidR="007D6A65" w:rsidRPr="007D6A65" w:rsidRDefault="007D6A65" w:rsidP="00853EEA">
            <w:pPr>
              <w:pStyle w:val="Tabletext1"/>
            </w:pPr>
            <w:r w:rsidRPr="007D6A65">
              <w:t>Recent relevant lab results</w:t>
            </w:r>
          </w:p>
        </w:tc>
        <w:tc>
          <w:tcPr>
            <w:tcW w:w="0" w:type="auto"/>
          </w:tcPr>
          <w:p w14:paraId="6E13B501" w14:textId="77777777" w:rsidR="007D6A65" w:rsidRPr="007D6A65" w:rsidRDefault="007D6A65" w:rsidP="00853EEA">
            <w:pPr>
              <w:pStyle w:val="Tabletext1"/>
              <w:cnfStyle w:val="000000100000" w:firstRow="0" w:lastRow="0" w:firstColumn="0" w:lastColumn="0" w:oddVBand="0" w:evenVBand="0" w:oddHBand="1" w:evenHBand="0" w:firstRowFirstColumn="0" w:firstRowLastColumn="0" w:lastRowFirstColumn="0" w:lastRowLastColumn="0"/>
            </w:pPr>
            <w:r w:rsidRPr="007D6A65">
              <w:t>Important lab results to help pharmacists assess participants’ conditions and medicines</w:t>
            </w:r>
          </w:p>
        </w:tc>
        <w:tc>
          <w:tcPr>
            <w:tcW w:w="0" w:type="auto"/>
          </w:tcPr>
          <w:p w14:paraId="0513E9BE" w14:textId="77777777" w:rsidR="007D6A65" w:rsidRPr="007D6A65" w:rsidRDefault="007D6A65" w:rsidP="00853EEA">
            <w:pPr>
              <w:pStyle w:val="Tabletext1"/>
              <w:cnfStyle w:val="000000100000" w:firstRow="0" w:lastRow="0" w:firstColumn="0" w:lastColumn="0" w:oddVBand="0" w:evenVBand="0" w:oddHBand="1" w:evenHBand="0" w:firstRowFirstColumn="0" w:firstRowLastColumn="0" w:lastRowFirstColumn="0" w:lastRowLastColumn="0"/>
            </w:pPr>
            <w:r w:rsidRPr="007D6A65">
              <w:t>Key in any other lab results (and date the test was done) the pharmacists think will be important (</w:t>
            </w:r>
            <w:proofErr w:type="gramStart"/>
            <w:r w:rsidRPr="007D6A65">
              <w:t>e.g.</w:t>
            </w:r>
            <w:proofErr w:type="gramEnd"/>
            <w:r w:rsidRPr="007D6A65">
              <w:t xml:space="preserve"> potassium, HbA1c)</w:t>
            </w:r>
          </w:p>
        </w:tc>
      </w:tr>
      <w:tr w:rsidR="007D6A65" w:rsidRPr="007D6A65" w14:paraId="6B4E8211" w14:textId="77777777" w:rsidTr="00853EEA">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1C94698E" w14:textId="77777777" w:rsidR="007D6A65" w:rsidRPr="007D6A65" w:rsidRDefault="007D6A65" w:rsidP="00853EEA">
            <w:pPr>
              <w:pStyle w:val="Tabletext1"/>
            </w:pPr>
            <w:r w:rsidRPr="007D6A65">
              <w:t>Medication</w:t>
            </w:r>
          </w:p>
        </w:tc>
        <w:tc>
          <w:tcPr>
            <w:tcW w:w="0" w:type="auto"/>
          </w:tcPr>
          <w:p w14:paraId="04A21F51" w14:textId="77777777" w:rsidR="007D6A65" w:rsidRPr="007D6A65" w:rsidRDefault="007D6A65" w:rsidP="00853EEA">
            <w:pPr>
              <w:pStyle w:val="Tabletext1"/>
              <w:cnfStyle w:val="000000000000" w:firstRow="0" w:lastRow="0" w:firstColumn="0" w:lastColumn="0" w:oddVBand="0" w:evenVBand="0" w:oddHBand="0" w:evenHBand="0" w:firstRowFirstColumn="0" w:firstRowLastColumn="0" w:lastRowFirstColumn="0" w:lastRowLastColumn="0"/>
            </w:pPr>
            <w:r w:rsidRPr="007D6A65">
              <w:t>- Medication list collected during any previous review (may be blank). Pharmacist to fill in new medicines</w:t>
            </w:r>
          </w:p>
          <w:p w14:paraId="5A9818C7" w14:textId="77777777" w:rsidR="007D6A65" w:rsidRPr="007D6A65" w:rsidRDefault="007D6A65" w:rsidP="00853EEA">
            <w:pPr>
              <w:pStyle w:val="Tabletext1"/>
              <w:cnfStyle w:val="000000000000" w:firstRow="0" w:lastRow="0" w:firstColumn="0" w:lastColumn="0" w:oddVBand="0" w:evenVBand="0" w:oddHBand="0" w:evenHBand="0" w:firstRowFirstColumn="0" w:firstRowLastColumn="0" w:lastRowFirstColumn="0" w:lastRowLastColumn="0"/>
            </w:pPr>
            <w:r w:rsidRPr="007D6A65">
              <w:t>- Regular medicines listed first, prn medicines shaded in grey</w:t>
            </w:r>
          </w:p>
        </w:tc>
        <w:tc>
          <w:tcPr>
            <w:tcW w:w="0" w:type="auto"/>
          </w:tcPr>
          <w:p w14:paraId="17FB6688" w14:textId="033F67FF" w:rsidR="007D6A65" w:rsidRPr="00853EEA" w:rsidRDefault="007D6A65" w:rsidP="00853EEA">
            <w:pPr>
              <w:pStyle w:val="ListBullet"/>
              <w:cnfStyle w:val="000000000000" w:firstRow="0" w:lastRow="0" w:firstColumn="0" w:lastColumn="0" w:oddVBand="0" w:evenVBand="0" w:oddHBand="0" w:evenHBand="0" w:firstRowFirstColumn="0" w:firstRowLastColumn="0" w:lastRowFirstColumn="0" w:lastRowLastColumn="0"/>
              <w:rPr>
                <w:sz w:val="20"/>
                <w:szCs w:val="22"/>
              </w:rPr>
            </w:pPr>
            <w:r w:rsidRPr="00853EEA">
              <w:rPr>
                <w:sz w:val="20"/>
                <w:szCs w:val="22"/>
              </w:rPr>
              <w:t>Please cross reference with condition to ensure completeness</w:t>
            </w:r>
          </w:p>
          <w:p w14:paraId="229939E3" w14:textId="2CECFBC9" w:rsidR="007D6A65" w:rsidRPr="00853EEA" w:rsidRDefault="007D6A65" w:rsidP="00853EEA">
            <w:pPr>
              <w:pStyle w:val="ListBullet"/>
              <w:cnfStyle w:val="000000000000" w:firstRow="0" w:lastRow="0" w:firstColumn="0" w:lastColumn="0" w:oddVBand="0" w:evenVBand="0" w:oddHBand="0" w:evenHBand="0" w:firstRowFirstColumn="0" w:firstRowLastColumn="0" w:lastRowFirstColumn="0" w:lastRowLastColumn="0"/>
              <w:rPr>
                <w:sz w:val="20"/>
                <w:szCs w:val="22"/>
              </w:rPr>
            </w:pPr>
            <w:r w:rsidRPr="00853EEA">
              <w:rPr>
                <w:sz w:val="20"/>
                <w:szCs w:val="22"/>
              </w:rPr>
              <w:t>Record any change in medicines, including medicine name, formulation, route, frequency, start date/cease date, number of prn doses administered</w:t>
            </w:r>
          </w:p>
        </w:tc>
      </w:tr>
      <w:tr w:rsidR="007D6A65" w:rsidRPr="007D6A65" w14:paraId="759FDAFD" w14:textId="77777777" w:rsidTr="00853EE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3DE0C6C1" w14:textId="77777777" w:rsidR="007D6A65" w:rsidRPr="007D6A65" w:rsidRDefault="007D6A65" w:rsidP="00853EEA">
            <w:pPr>
              <w:pStyle w:val="Tabletext1"/>
            </w:pPr>
            <w:r w:rsidRPr="007D6A65">
              <w:t>Cognitive assessment scores</w:t>
            </w:r>
          </w:p>
        </w:tc>
        <w:tc>
          <w:tcPr>
            <w:tcW w:w="0" w:type="auto"/>
          </w:tcPr>
          <w:p w14:paraId="7335A843" w14:textId="77777777" w:rsidR="007D6A65" w:rsidRPr="007D6A65" w:rsidRDefault="007D6A65" w:rsidP="00853EEA">
            <w:pPr>
              <w:pStyle w:val="Tabletext1"/>
              <w:cnfStyle w:val="000000100000" w:firstRow="0" w:lastRow="0" w:firstColumn="0" w:lastColumn="0" w:oddVBand="0" w:evenVBand="0" w:oddHBand="1" w:evenHBand="0" w:firstRowFirstColumn="0" w:firstRowLastColumn="0" w:lastRowFirstColumn="0" w:lastRowLastColumn="0"/>
            </w:pPr>
            <w:r w:rsidRPr="007D6A65">
              <w:t>- Blank (Pharmacist to fill in)</w:t>
            </w:r>
          </w:p>
          <w:p w14:paraId="6C84FD7C" w14:textId="77777777" w:rsidR="007D6A65" w:rsidRPr="007D6A65" w:rsidRDefault="007D6A65" w:rsidP="00853EEA">
            <w:pPr>
              <w:pStyle w:val="Tabletext1"/>
              <w:cnfStyle w:val="000000100000" w:firstRow="0" w:lastRow="0" w:firstColumn="0" w:lastColumn="0" w:oddVBand="0" w:evenVBand="0" w:oddHBand="1" w:evenHBand="0" w:firstRowFirstColumn="0" w:firstRowLastColumn="0" w:lastRowFirstColumn="0" w:lastRowLastColumn="0"/>
            </w:pPr>
            <w:r w:rsidRPr="007D6A65">
              <w:t>- Subsequent scores are listed in chronological order</w:t>
            </w:r>
          </w:p>
        </w:tc>
        <w:tc>
          <w:tcPr>
            <w:tcW w:w="0" w:type="auto"/>
          </w:tcPr>
          <w:p w14:paraId="44FD74A9" w14:textId="6DE0B8A9" w:rsidR="007D6A65" w:rsidRPr="00853EEA" w:rsidRDefault="007D6A65" w:rsidP="00853EEA">
            <w:pPr>
              <w:pStyle w:val="ListBullet"/>
              <w:cnfStyle w:val="000000100000" w:firstRow="0" w:lastRow="0" w:firstColumn="0" w:lastColumn="0" w:oddVBand="0" w:evenVBand="0" w:oddHBand="1" w:evenHBand="0" w:firstRowFirstColumn="0" w:firstRowLastColumn="0" w:lastRowFirstColumn="0" w:lastRowLastColumn="0"/>
              <w:rPr>
                <w:sz w:val="20"/>
                <w:szCs w:val="22"/>
              </w:rPr>
            </w:pPr>
            <w:r w:rsidRPr="00853EEA">
              <w:rPr>
                <w:sz w:val="20"/>
                <w:szCs w:val="22"/>
              </w:rPr>
              <w:t>Enter the total score in the next blank row</w:t>
            </w:r>
          </w:p>
          <w:p w14:paraId="4A713F8D" w14:textId="1A492555" w:rsidR="007D6A65" w:rsidRPr="00853EEA" w:rsidRDefault="007D6A65" w:rsidP="00853EEA">
            <w:pPr>
              <w:pStyle w:val="ListBullet"/>
              <w:cnfStyle w:val="000000100000" w:firstRow="0" w:lastRow="0" w:firstColumn="0" w:lastColumn="0" w:oddVBand="0" w:evenVBand="0" w:oddHBand="1" w:evenHBand="0" w:firstRowFirstColumn="0" w:firstRowLastColumn="0" w:lastRowFirstColumn="0" w:lastRowLastColumn="0"/>
              <w:rPr>
                <w:sz w:val="20"/>
                <w:szCs w:val="22"/>
              </w:rPr>
            </w:pPr>
            <w:r w:rsidRPr="00853EEA">
              <w:rPr>
                <w:sz w:val="20"/>
                <w:szCs w:val="22"/>
              </w:rPr>
              <w:lastRenderedPageBreak/>
              <w:t>Determine if the change is clinically significant. If yes, could this be due to medicine change or new condition</w:t>
            </w:r>
          </w:p>
        </w:tc>
      </w:tr>
      <w:tr w:rsidR="007D6A65" w:rsidRPr="007D6A65" w14:paraId="133BE2DC" w14:textId="77777777" w:rsidTr="00853EEA">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10A102CA" w14:textId="77777777" w:rsidR="007D6A65" w:rsidRPr="007D6A65" w:rsidRDefault="007D6A65" w:rsidP="00853EEA">
            <w:pPr>
              <w:pStyle w:val="Tabletext1"/>
            </w:pPr>
            <w:r w:rsidRPr="007D6A65">
              <w:lastRenderedPageBreak/>
              <w:t>Weight</w:t>
            </w:r>
          </w:p>
        </w:tc>
        <w:tc>
          <w:tcPr>
            <w:tcW w:w="0" w:type="auto"/>
          </w:tcPr>
          <w:p w14:paraId="0BF4C1FF" w14:textId="77777777" w:rsidR="007D6A65" w:rsidRPr="007D6A65" w:rsidRDefault="007D6A65" w:rsidP="00853EEA">
            <w:pPr>
              <w:pStyle w:val="Tabletext1"/>
              <w:cnfStyle w:val="000000000000" w:firstRow="0" w:lastRow="0" w:firstColumn="0" w:lastColumn="0" w:oddVBand="0" w:evenVBand="0" w:oddHBand="0" w:evenHBand="0" w:firstRowFirstColumn="0" w:firstRowLastColumn="0" w:lastRowFirstColumn="0" w:lastRowLastColumn="0"/>
            </w:pPr>
            <w:r w:rsidRPr="007D6A65">
              <w:t>Blank (Pharmacist to fill in)- Subsequent weight measurements are listed in chronological order</w:t>
            </w:r>
          </w:p>
        </w:tc>
        <w:tc>
          <w:tcPr>
            <w:tcW w:w="0" w:type="auto"/>
          </w:tcPr>
          <w:p w14:paraId="47C31978" w14:textId="146C26F0" w:rsidR="007D6A65" w:rsidRPr="00853EEA" w:rsidRDefault="007D6A65" w:rsidP="00853EEA">
            <w:pPr>
              <w:pStyle w:val="ListBullet"/>
              <w:cnfStyle w:val="000000000000" w:firstRow="0" w:lastRow="0" w:firstColumn="0" w:lastColumn="0" w:oddVBand="0" w:evenVBand="0" w:oddHBand="0" w:evenHBand="0" w:firstRowFirstColumn="0" w:firstRowLastColumn="0" w:lastRowFirstColumn="0" w:lastRowLastColumn="0"/>
              <w:rPr>
                <w:sz w:val="20"/>
                <w:szCs w:val="22"/>
              </w:rPr>
            </w:pPr>
            <w:r w:rsidRPr="00853EEA">
              <w:rPr>
                <w:sz w:val="20"/>
                <w:szCs w:val="22"/>
              </w:rPr>
              <w:t>Enter the weight (in the resident card record) in the next blank row</w:t>
            </w:r>
          </w:p>
          <w:p w14:paraId="22B4F586" w14:textId="72B3A3C5" w:rsidR="007D6A65" w:rsidRPr="00853EEA" w:rsidRDefault="007D6A65" w:rsidP="00853EEA">
            <w:pPr>
              <w:pStyle w:val="ListBullet"/>
              <w:cnfStyle w:val="000000000000" w:firstRow="0" w:lastRow="0" w:firstColumn="0" w:lastColumn="0" w:oddVBand="0" w:evenVBand="0" w:oddHBand="0" w:evenHBand="0" w:firstRowFirstColumn="0" w:firstRowLastColumn="0" w:lastRowFirstColumn="0" w:lastRowLastColumn="0"/>
              <w:rPr>
                <w:sz w:val="20"/>
                <w:szCs w:val="22"/>
              </w:rPr>
            </w:pPr>
            <w:r w:rsidRPr="00853EEA">
              <w:rPr>
                <w:sz w:val="20"/>
                <w:szCs w:val="22"/>
              </w:rPr>
              <w:t>Determine if the change is due to changes in appetite (care record or interview), if change could be due to medicine change or new condition</w:t>
            </w:r>
          </w:p>
        </w:tc>
      </w:tr>
      <w:tr w:rsidR="007D6A65" w:rsidRPr="007D6A65" w14:paraId="725E2EAE" w14:textId="77777777" w:rsidTr="00853EE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7B7AC8D7" w14:textId="77777777" w:rsidR="007D6A65" w:rsidRPr="007D6A65" w:rsidRDefault="007D6A65" w:rsidP="00853EEA">
            <w:pPr>
              <w:pStyle w:val="Tabletext1"/>
            </w:pPr>
            <w:r w:rsidRPr="007D6A65">
              <w:t>Grip strength</w:t>
            </w:r>
          </w:p>
        </w:tc>
        <w:tc>
          <w:tcPr>
            <w:tcW w:w="0" w:type="auto"/>
          </w:tcPr>
          <w:p w14:paraId="3077E5C7" w14:textId="77777777" w:rsidR="007D6A65" w:rsidRPr="007D6A65" w:rsidRDefault="007D6A65" w:rsidP="00853EEA">
            <w:pPr>
              <w:pStyle w:val="Tabletext1"/>
              <w:cnfStyle w:val="000000100000" w:firstRow="0" w:lastRow="0" w:firstColumn="0" w:lastColumn="0" w:oddVBand="0" w:evenVBand="0" w:oddHBand="1" w:evenHBand="0" w:firstRowFirstColumn="0" w:firstRowLastColumn="0" w:lastRowFirstColumn="0" w:lastRowLastColumn="0"/>
            </w:pPr>
            <w:r w:rsidRPr="007D6A65">
              <w:t>Blank (Pharmacist to fill in)- Subsequent measurements are listed in chronological order</w:t>
            </w:r>
          </w:p>
        </w:tc>
        <w:tc>
          <w:tcPr>
            <w:tcW w:w="0" w:type="auto"/>
          </w:tcPr>
          <w:p w14:paraId="02B6DEEF" w14:textId="054D085F" w:rsidR="007D6A65" w:rsidRPr="00853EEA" w:rsidRDefault="007D6A65" w:rsidP="00853EEA">
            <w:pPr>
              <w:pStyle w:val="ListBullet"/>
              <w:cnfStyle w:val="000000100000" w:firstRow="0" w:lastRow="0" w:firstColumn="0" w:lastColumn="0" w:oddVBand="0" w:evenVBand="0" w:oddHBand="1" w:evenHBand="0" w:firstRowFirstColumn="0" w:firstRowLastColumn="0" w:lastRowFirstColumn="0" w:lastRowLastColumn="0"/>
              <w:rPr>
                <w:sz w:val="20"/>
                <w:szCs w:val="22"/>
              </w:rPr>
            </w:pPr>
            <w:r w:rsidRPr="00853EEA">
              <w:rPr>
                <w:sz w:val="20"/>
                <w:szCs w:val="22"/>
              </w:rPr>
              <w:t>Undertake assessment at each session.</w:t>
            </w:r>
          </w:p>
          <w:p w14:paraId="3C932FEC" w14:textId="0B32D009" w:rsidR="007D6A65" w:rsidRPr="00853EEA" w:rsidRDefault="007D6A65" w:rsidP="00853EEA">
            <w:pPr>
              <w:pStyle w:val="ListBullet"/>
              <w:cnfStyle w:val="000000100000" w:firstRow="0" w:lastRow="0" w:firstColumn="0" w:lastColumn="0" w:oddVBand="0" w:evenVBand="0" w:oddHBand="1" w:evenHBand="0" w:firstRowFirstColumn="0" w:firstRowLastColumn="0" w:lastRowFirstColumn="0" w:lastRowLastColumn="0"/>
              <w:rPr>
                <w:sz w:val="20"/>
                <w:szCs w:val="22"/>
              </w:rPr>
            </w:pPr>
            <w:r w:rsidRPr="00853EEA">
              <w:rPr>
                <w:sz w:val="20"/>
                <w:szCs w:val="22"/>
              </w:rPr>
              <w:t>Enter the values in the next blank row.</w:t>
            </w:r>
          </w:p>
          <w:p w14:paraId="75A233F2" w14:textId="0C05AE65" w:rsidR="007D6A65" w:rsidRPr="00853EEA" w:rsidRDefault="007D6A65" w:rsidP="00853EEA">
            <w:pPr>
              <w:pStyle w:val="ListBullet"/>
              <w:cnfStyle w:val="000000100000" w:firstRow="0" w:lastRow="0" w:firstColumn="0" w:lastColumn="0" w:oddVBand="0" w:evenVBand="0" w:oddHBand="1" w:evenHBand="0" w:firstRowFirstColumn="0" w:firstRowLastColumn="0" w:lastRowFirstColumn="0" w:lastRowLastColumn="0"/>
              <w:rPr>
                <w:sz w:val="20"/>
                <w:szCs w:val="22"/>
              </w:rPr>
            </w:pPr>
            <w:r w:rsidRPr="00853EEA">
              <w:rPr>
                <w:sz w:val="20"/>
                <w:szCs w:val="22"/>
              </w:rPr>
              <w:t>Select the best of 3 measurements for data interpretation</w:t>
            </w:r>
          </w:p>
          <w:p w14:paraId="6AAFB922" w14:textId="554CD504" w:rsidR="007D6A65" w:rsidRPr="00853EEA" w:rsidRDefault="007D6A65" w:rsidP="00853EEA">
            <w:pPr>
              <w:pStyle w:val="ListBullet"/>
              <w:cnfStyle w:val="000000100000" w:firstRow="0" w:lastRow="0" w:firstColumn="0" w:lastColumn="0" w:oddVBand="0" w:evenVBand="0" w:oddHBand="1" w:evenHBand="0" w:firstRowFirstColumn="0" w:firstRowLastColumn="0" w:lastRowFirstColumn="0" w:lastRowLastColumn="0"/>
              <w:rPr>
                <w:sz w:val="20"/>
                <w:szCs w:val="22"/>
              </w:rPr>
            </w:pPr>
            <w:r w:rsidRPr="00853EEA">
              <w:rPr>
                <w:sz w:val="20"/>
                <w:szCs w:val="22"/>
              </w:rPr>
              <w:t>Determine if the change is clinically significant. If yes, could this be due to medicine change or new condition</w:t>
            </w:r>
          </w:p>
        </w:tc>
      </w:tr>
      <w:tr w:rsidR="007D6A65" w:rsidRPr="007D6A65" w14:paraId="4626FC6B" w14:textId="77777777" w:rsidTr="00853EEA">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2231C78B" w14:textId="77777777" w:rsidR="007D6A65" w:rsidRPr="007D6A65" w:rsidRDefault="007D6A65" w:rsidP="00853EEA">
            <w:pPr>
              <w:pStyle w:val="Tabletext1"/>
            </w:pPr>
            <w:r w:rsidRPr="007D6A65">
              <w:t>Subjective findings</w:t>
            </w:r>
          </w:p>
        </w:tc>
        <w:tc>
          <w:tcPr>
            <w:tcW w:w="0" w:type="auto"/>
          </w:tcPr>
          <w:p w14:paraId="6AC0DC8F" w14:textId="77777777" w:rsidR="007D6A65" w:rsidRPr="007D6A65" w:rsidRDefault="007D6A65" w:rsidP="00853EEA">
            <w:pPr>
              <w:pStyle w:val="Tabletext1"/>
              <w:cnfStyle w:val="000000000000" w:firstRow="0" w:lastRow="0" w:firstColumn="0" w:lastColumn="0" w:oddVBand="0" w:evenVBand="0" w:oddHBand="0" w:evenHBand="0" w:firstRowFirstColumn="0" w:firstRowLastColumn="0" w:lastRowFirstColumn="0" w:lastRowLastColumn="0"/>
            </w:pPr>
            <w:r w:rsidRPr="007D6A65">
              <w:t>Blank (Pharmacist to fill in)</w:t>
            </w:r>
          </w:p>
        </w:tc>
        <w:tc>
          <w:tcPr>
            <w:tcW w:w="0" w:type="auto"/>
          </w:tcPr>
          <w:p w14:paraId="03DA5B94" w14:textId="0BE646C6" w:rsidR="007D6A65" w:rsidRPr="007D6A65" w:rsidRDefault="007D6A65" w:rsidP="00853EEA">
            <w:pPr>
              <w:pStyle w:val="ListBullet"/>
              <w:cnfStyle w:val="000000000000" w:firstRow="0" w:lastRow="0" w:firstColumn="0" w:lastColumn="0" w:oddVBand="0" w:evenVBand="0" w:oddHBand="0" w:evenHBand="0" w:firstRowFirstColumn="0" w:firstRowLastColumn="0" w:lastRowFirstColumn="0" w:lastRowLastColumn="0"/>
            </w:pPr>
            <w:r w:rsidRPr="007D6A65">
              <w:t>Enter any notes and observations that have not been captured in the above fields</w:t>
            </w:r>
          </w:p>
          <w:p w14:paraId="6AF7F961" w14:textId="6873C363" w:rsidR="007D6A65" w:rsidRPr="007D6A65" w:rsidRDefault="007D6A65" w:rsidP="00853EEA">
            <w:pPr>
              <w:pStyle w:val="ListBullet"/>
              <w:cnfStyle w:val="000000000000" w:firstRow="0" w:lastRow="0" w:firstColumn="0" w:lastColumn="0" w:oddVBand="0" w:evenVBand="0" w:oddHBand="0" w:evenHBand="0" w:firstRowFirstColumn="0" w:firstRowLastColumn="0" w:lastRowFirstColumn="0" w:lastRowLastColumn="0"/>
            </w:pPr>
            <w:r w:rsidRPr="007D6A65">
              <w:t>Collate subjective information (</w:t>
            </w:r>
            <w:proofErr w:type="gramStart"/>
            <w:r w:rsidRPr="007D6A65">
              <w:t>e.g.</w:t>
            </w:r>
            <w:proofErr w:type="gramEnd"/>
            <w:r w:rsidRPr="007D6A65">
              <w:t xml:space="preserve"> patient interview, progress notes) to help with overall evaluation</w:t>
            </w:r>
          </w:p>
        </w:tc>
      </w:tr>
      <w:tr w:rsidR="007D6A65" w:rsidRPr="007D6A65" w14:paraId="0232C8FE" w14:textId="77777777" w:rsidTr="00853EE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60AE6A36" w14:textId="77777777" w:rsidR="007D6A65" w:rsidRPr="007D6A65" w:rsidRDefault="007D6A65" w:rsidP="00853EEA">
            <w:pPr>
              <w:pStyle w:val="Tabletext1"/>
            </w:pPr>
            <w:r w:rsidRPr="007D6A65">
              <w:t>Objective findings</w:t>
            </w:r>
          </w:p>
        </w:tc>
        <w:tc>
          <w:tcPr>
            <w:tcW w:w="0" w:type="auto"/>
          </w:tcPr>
          <w:p w14:paraId="1E2D958D" w14:textId="77777777" w:rsidR="007D6A65" w:rsidRPr="007D6A65" w:rsidRDefault="007D6A65" w:rsidP="00853EEA">
            <w:pPr>
              <w:pStyle w:val="Tabletext1"/>
              <w:cnfStyle w:val="000000100000" w:firstRow="0" w:lastRow="0" w:firstColumn="0" w:lastColumn="0" w:oddVBand="0" w:evenVBand="0" w:oddHBand="1" w:evenHBand="0" w:firstRowFirstColumn="0" w:firstRowLastColumn="0" w:lastRowFirstColumn="0" w:lastRowLastColumn="0"/>
            </w:pPr>
            <w:r w:rsidRPr="007D6A65">
              <w:t>Blank (Pharmacist to fill in)</w:t>
            </w:r>
          </w:p>
        </w:tc>
        <w:tc>
          <w:tcPr>
            <w:tcW w:w="0" w:type="auto"/>
          </w:tcPr>
          <w:p w14:paraId="55CF0655" w14:textId="45B15891" w:rsidR="007D6A65" w:rsidRPr="00853EEA" w:rsidRDefault="007D6A65" w:rsidP="00853EEA">
            <w:pPr>
              <w:pStyle w:val="ListBullet"/>
              <w:cnfStyle w:val="000000100000" w:firstRow="0" w:lastRow="0" w:firstColumn="0" w:lastColumn="0" w:oddVBand="0" w:evenVBand="0" w:oddHBand="1" w:evenHBand="0" w:firstRowFirstColumn="0" w:firstRowLastColumn="0" w:lastRowFirstColumn="0" w:lastRowLastColumn="0"/>
              <w:rPr>
                <w:sz w:val="20"/>
                <w:szCs w:val="22"/>
              </w:rPr>
            </w:pPr>
            <w:r w:rsidRPr="00853EEA">
              <w:rPr>
                <w:sz w:val="20"/>
                <w:szCs w:val="22"/>
              </w:rPr>
              <w:t>Collate objective information (</w:t>
            </w:r>
            <w:proofErr w:type="gramStart"/>
            <w:r w:rsidRPr="00853EEA">
              <w:rPr>
                <w:sz w:val="20"/>
                <w:szCs w:val="22"/>
              </w:rPr>
              <w:t>e.g.</w:t>
            </w:r>
            <w:proofErr w:type="gramEnd"/>
            <w:r w:rsidRPr="00853EEA">
              <w:rPr>
                <w:sz w:val="20"/>
                <w:szCs w:val="22"/>
              </w:rPr>
              <w:t xml:space="preserve"> lab report, grip strength) to help with overall evaluation</w:t>
            </w:r>
          </w:p>
        </w:tc>
      </w:tr>
      <w:tr w:rsidR="007D6A65" w:rsidRPr="007D6A65" w14:paraId="09323D32" w14:textId="77777777" w:rsidTr="00853EEA">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71557124" w14:textId="77777777" w:rsidR="007D6A65" w:rsidRPr="007D6A65" w:rsidRDefault="007D6A65" w:rsidP="00853EEA">
            <w:pPr>
              <w:pStyle w:val="Tabletext1"/>
            </w:pPr>
            <w:r w:rsidRPr="007D6A65">
              <w:t>Overall evaluation</w:t>
            </w:r>
          </w:p>
        </w:tc>
        <w:tc>
          <w:tcPr>
            <w:tcW w:w="0" w:type="auto"/>
          </w:tcPr>
          <w:p w14:paraId="75E26D1C" w14:textId="77777777" w:rsidR="007D6A65" w:rsidRPr="007D6A65" w:rsidRDefault="007D6A65" w:rsidP="00853EEA">
            <w:pPr>
              <w:pStyle w:val="Tabletext1"/>
              <w:cnfStyle w:val="000000000000" w:firstRow="0" w:lastRow="0" w:firstColumn="0" w:lastColumn="0" w:oddVBand="0" w:evenVBand="0" w:oddHBand="0" w:evenHBand="0" w:firstRowFirstColumn="0" w:firstRowLastColumn="0" w:lastRowFirstColumn="0" w:lastRowLastColumn="0"/>
            </w:pPr>
            <w:r w:rsidRPr="007D6A65">
              <w:t>Blank (Pharmacist to fill in)</w:t>
            </w:r>
          </w:p>
        </w:tc>
        <w:tc>
          <w:tcPr>
            <w:tcW w:w="0" w:type="auto"/>
          </w:tcPr>
          <w:p w14:paraId="0A80C5D5" w14:textId="77777777" w:rsidR="007D6A65" w:rsidRPr="007D6A65" w:rsidRDefault="007D6A65" w:rsidP="00853EEA">
            <w:pPr>
              <w:pStyle w:val="Tabletext1"/>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p>
        </w:tc>
      </w:tr>
      <w:tr w:rsidR="007D6A65" w:rsidRPr="007D6A65" w14:paraId="60443D2C" w14:textId="77777777" w:rsidTr="00853EE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67625F35" w14:textId="77777777" w:rsidR="007D6A65" w:rsidRPr="007D6A65" w:rsidRDefault="007D6A65" w:rsidP="00853EEA">
            <w:pPr>
              <w:pStyle w:val="Tabletext1"/>
            </w:pPr>
            <w:r w:rsidRPr="007D6A65">
              <w:t>Emergency and hospital visit notes</w:t>
            </w:r>
          </w:p>
        </w:tc>
        <w:tc>
          <w:tcPr>
            <w:tcW w:w="0" w:type="auto"/>
          </w:tcPr>
          <w:p w14:paraId="43EB6F5C" w14:textId="77777777" w:rsidR="007D6A65" w:rsidRPr="007D6A65" w:rsidRDefault="007D6A65" w:rsidP="00853EEA">
            <w:pPr>
              <w:pStyle w:val="Tabletext1"/>
              <w:cnfStyle w:val="000000100000" w:firstRow="0" w:lastRow="0" w:firstColumn="0" w:lastColumn="0" w:oddVBand="0" w:evenVBand="0" w:oddHBand="1" w:evenHBand="0" w:firstRowFirstColumn="0" w:firstRowLastColumn="0" w:lastRowFirstColumn="0" w:lastRowLastColumn="0"/>
            </w:pPr>
            <w:r w:rsidRPr="007D6A65">
              <w:t>Blank (Pharmacist to fill in)</w:t>
            </w:r>
          </w:p>
        </w:tc>
        <w:tc>
          <w:tcPr>
            <w:tcW w:w="0" w:type="auto"/>
          </w:tcPr>
          <w:p w14:paraId="3A1C06F8" w14:textId="77777777" w:rsidR="007D6A65" w:rsidRPr="007D6A65" w:rsidRDefault="007D6A65" w:rsidP="00853EEA">
            <w:pPr>
              <w:pStyle w:val="Tabletext1"/>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r>
      <w:tr w:rsidR="007D6A65" w:rsidRPr="007D6A65" w14:paraId="27B66D2C" w14:textId="77777777" w:rsidTr="00853EEA">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34EB9C19" w14:textId="77777777" w:rsidR="007D6A65" w:rsidRPr="007D6A65" w:rsidRDefault="007D6A65" w:rsidP="00853EEA">
            <w:pPr>
              <w:pStyle w:val="Tabletext1"/>
            </w:pPr>
            <w:r w:rsidRPr="007D6A65">
              <w:t>Actions</w:t>
            </w:r>
          </w:p>
        </w:tc>
        <w:tc>
          <w:tcPr>
            <w:tcW w:w="0" w:type="auto"/>
          </w:tcPr>
          <w:p w14:paraId="4DD04020" w14:textId="77777777" w:rsidR="007D6A65" w:rsidRPr="007D6A65" w:rsidRDefault="007D6A65" w:rsidP="00853EEA">
            <w:pPr>
              <w:pStyle w:val="Tabletext1"/>
              <w:cnfStyle w:val="000000000000" w:firstRow="0" w:lastRow="0" w:firstColumn="0" w:lastColumn="0" w:oddVBand="0" w:evenVBand="0" w:oddHBand="0" w:evenHBand="0" w:firstRowFirstColumn="0" w:firstRowLastColumn="0" w:lastRowFirstColumn="0" w:lastRowLastColumn="0"/>
            </w:pPr>
            <w:r w:rsidRPr="007D6A65">
              <w:t>Blank (Pharmacist to fill in)</w:t>
            </w:r>
          </w:p>
        </w:tc>
        <w:tc>
          <w:tcPr>
            <w:tcW w:w="0" w:type="auto"/>
          </w:tcPr>
          <w:p w14:paraId="4938EBAF" w14:textId="77777777" w:rsidR="007D6A65" w:rsidRPr="007D6A65" w:rsidRDefault="007D6A65" w:rsidP="00853EEA">
            <w:pPr>
              <w:pStyle w:val="Tabletext1"/>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p>
        </w:tc>
      </w:tr>
      <w:tr w:rsidR="007D6A65" w:rsidRPr="007D6A65" w14:paraId="1695798F" w14:textId="77777777" w:rsidTr="00853EE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1C86E73C" w14:textId="77777777" w:rsidR="007D6A65" w:rsidRPr="007D6A65" w:rsidRDefault="007D6A65" w:rsidP="00853EEA">
            <w:pPr>
              <w:pStyle w:val="Tabletext1"/>
            </w:pPr>
            <w:r w:rsidRPr="007D6A65">
              <w:t>Pharmacist session notes</w:t>
            </w:r>
          </w:p>
        </w:tc>
        <w:tc>
          <w:tcPr>
            <w:tcW w:w="0" w:type="auto"/>
          </w:tcPr>
          <w:p w14:paraId="7E61AFC0" w14:textId="77777777" w:rsidR="007D6A65" w:rsidRPr="007D6A65" w:rsidRDefault="007D6A65" w:rsidP="00853EEA">
            <w:pPr>
              <w:pStyle w:val="Tabletext1"/>
              <w:cnfStyle w:val="000000100000" w:firstRow="0" w:lastRow="0" w:firstColumn="0" w:lastColumn="0" w:oddVBand="0" w:evenVBand="0" w:oddHBand="1" w:evenHBand="0" w:firstRowFirstColumn="0" w:firstRowLastColumn="0" w:lastRowFirstColumn="0" w:lastRowLastColumn="0"/>
            </w:pPr>
            <w:r w:rsidRPr="007D6A65">
              <w:t>Prepopulated from findings from previous session</w:t>
            </w:r>
          </w:p>
        </w:tc>
        <w:tc>
          <w:tcPr>
            <w:tcW w:w="0" w:type="auto"/>
          </w:tcPr>
          <w:p w14:paraId="04A0597B" w14:textId="77777777" w:rsidR="007D6A65" w:rsidRPr="007D6A65" w:rsidRDefault="007D6A65" w:rsidP="00853EEA">
            <w:pPr>
              <w:pStyle w:val="Tabletext1"/>
              <w:cnfStyle w:val="000000100000" w:firstRow="0" w:lastRow="0" w:firstColumn="0" w:lastColumn="0" w:oddVBand="0" w:evenVBand="0" w:oddHBand="1" w:evenHBand="0" w:firstRowFirstColumn="0" w:firstRowLastColumn="0" w:lastRowFirstColumn="0" w:lastRowLastColumn="0"/>
            </w:pPr>
            <w:r w:rsidRPr="007D6A65">
              <w:t>NIL</w:t>
            </w:r>
          </w:p>
        </w:tc>
      </w:tr>
    </w:tbl>
    <w:p w14:paraId="6BC48D17" w14:textId="28AA92DB" w:rsidR="007D6A65" w:rsidRDefault="00612340" w:rsidP="007501B9">
      <w:pPr>
        <w:rPr>
          <w:rStyle w:val="Hyperlink"/>
        </w:rPr>
      </w:pPr>
      <w:hyperlink w:anchor="_C.2_Statistical_analysis" w:history="1">
        <w:r w:rsidR="007D6A65" w:rsidRPr="007D6A65">
          <w:rPr>
            <w:rStyle w:val="Hyperlink"/>
          </w:rPr>
          <w:t>Return to main text</w:t>
        </w:r>
      </w:hyperlink>
    </w:p>
    <w:p w14:paraId="4E606FE8" w14:textId="0D411520" w:rsidR="00270A3F" w:rsidRDefault="00270A3F" w:rsidP="007501B9">
      <w:pPr>
        <w:rPr>
          <w:rFonts w:asciiTheme="majorHAnsi" w:eastAsiaTheme="majorEastAsia" w:hAnsiTheme="majorHAnsi" w:cstheme="majorBidi"/>
          <w:color w:val="262626" w:themeColor="text1" w:themeTint="D9"/>
          <w:sz w:val="32"/>
          <w:szCs w:val="32"/>
        </w:rPr>
      </w:pPr>
      <w:bookmarkStart w:id="468" w:name="_G.14._Alternative_Text"/>
      <w:bookmarkEnd w:id="468"/>
      <w:r>
        <w:br w:type="page"/>
      </w:r>
    </w:p>
    <w:p w14:paraId="4A4BD07E" w14:textId="08AA0B9F" w:rsidR="006C0851" w:rsidRPr="006A0103" w:rsidRDefault="008F59A8" w:rsidP="00391CFD">
      <w:pPr>
        <w:pStyle w:val="Heading1"/>
      </w:pPr>
      <w:bookmarkStart w:id="469" w:name="_Toc117758373"/>
      <w:r w:rsidRPr="006A0103">
        <w:lastRenderedPageBreak/>
        <w:t>References</w:t>
      </w:r>
      <w:bookmarkEnd w:id="393"/>
      <w:bookmarkEnd w:id="394"/>
      <w:bookmarkEnd w:id="469"/>
    </w:p>
    <w:p w14:paraId="4BCE2A52" w14:textId="77777777" w:rsidR="00EB6EA4" w:rsidRPr="00EB6EA4" w:rsidRDefault="0054605B" w:rsidP="00EB6EA4">
      <w:pPr>
        <w:pStyle w:val="EndNoteBibliography"/>
        <w:spacing w:after="0"/>
      </w:pPr>
      <w:r w:rsidRPr="006A0103">
        <w:fldChar w:fldCharType="begin"/>
      </w:r>
      <w:r w:rsidRPr="006A0103">
        <w:instrText xml:space="preserve"> ADDIN EN.REFLIST </w:instrText>
      </w:r>
      <w:r w:rsidRPr="006A0103">
        <w:fldChar w:fldCharType="separate"/>
      </w:r>
      <w:bookmarkStart w:id="470" w:name="_ENREF_1"/>
      <w:r w:rsidR="00EB6EA4" w:rsidRPr="00EB6EA4">
        <w:t>1.</w:t>
      </w:r>
      <w:r w:rsidR="00EB6EA4" w:rsidRPr="00EB6EA4">
        <w:tab/>
        <w:t>Parry S, Chow M, Batchelor F, Fary RE. Physical activity and sedentary behaviour in a residential aged care facility. Australasian journal on ageing. 2019;38(1):E12-E8.</w:t>
      </w:r>
      <w:bookmarkEnd w:id="470"/>
    </w:p>
    <w:p w14:paraId="7E3ABC47" w14:textId="6F60917D" w:rsidR="00EB6EA4" w:rsidRPr="00EB6EA4" w:rsidRDefault="00EB6EA4" w:rsidP="00EB6EA4">
      <w:pPr>
        <w:pStyle w:val="EndNoteBibliography"/>
        <w:spacing w:after="0"/>
      </w:pPr>
      <w:bookmarkStart w:id="471" w:name="_ENREF_2"/>
      <w:r w:rsidRPr="00EB6EA4">
        <w:t>2.</w:t>
      </w:r>
      <w:r w:rsidRPr="00EB6EA4">
        <w:tab/>
        <w:t xml:space="preserve">6th Community Pharmacy Agreement. Residential medication management review and QUM  [Available from: </w:t>
      </w:r>
      <w:hyperlink r:id="rId64" w:history="1">
        <w:r w:rsidRPr="00EB6EA4">
          <w:rPr>
            <w:rStyle w:val="Hyperlink"/>
          </w:rPr>
          <w:t>http://6cpa.com.au/medication-management-programs/residential-medication-management-review/</w:t>
        </w:r>
      </w:hyperlink>
      <w:r w:rsidRPr="00EB6EA4">
        <w:t>.</w:t>
      </w:r>
      <w:bookmarkEnd w:id="471"/>
    </w:p>
    <w:p w14:paraId="324F3686" w14:textId="77777777" w:rsidR="00EB6EA4" w:rsidRPr="00EB6EA4" w:rsidRDefault="00EB6EA4" w:rsidP="00EB6EA4">
      <w:pPr>
        <w:pStyle w:val="EndNoteBibliography"/>
        <w:spacing w:after="0"/>
      </w:pPr>
      <w:bookmarkStart w:id="472" w:name="_ENREF_3"/>
      <w:r w:rsidRPr="00EB6EA4">
        <w:t>3.</w:t>
      </w:r>
      <w:r w:rsidRPr="00EB6EA4">
        <w:tab/>
        <w:t>Pharmacy Programs Administrator. Residential Medication Management Review and Quality Use of Medicines. 2019.</w:t>
      </w:r>
      <w:bookmarkEnd w:id="472"/>
    </w:p>
    <w:p w14:paraId="64ABF788" w14:textId="77777777" w:rsidR="00EB6EA4" w:rsidRPr="00EB6EA4" w:rsidRDefault="00EB6EA4" w:rsidP="00EB6EA4">
      <w:pPr>
        <w:pStyle w:val="EndNoteBibliography"/>
        <w:spacing w:after="0"/>
      </w:pPr>
      <w:bookmarkStart w:id="473" w:name="_ENREF_4"/>
      <w:r w:rsidRPr="00EB6EA4">
        <w:t>4.</w:t>
      </w:r>
      <w:r w:rsidRPr="00EB6EA4">
        <w:tab/>
        <w:t>Al-Jumaili AA, Doucette WR. A Systems Approach to Identify Factors Influencing Adverse Drug Events in Nursing Homes. J Am Geriatr Soc. 2018;66(7):1420-7.</w:t>
      </w:r>
      <w:bookmarkEnd w:id="473"/>
    </w:p>
    <w:p w14:paraId="5BD08C7A" w14:textId="77777777" w:rsidR="00EB6EA4" w:rsidRPr="00EB6EA4" w:rsidRDefault="00EB6EA4" w:rsidP="00EB6EA4">
      <w:pPr>
        <w:pStyle w:val="EndNoteBibliography"/>
        <w:spacing w:after="0"/>
      </w:pPr>
      <w:bookmarkStart w:id="474" w:name="_ENREF_5"/>
      <w:r w:rsidRPr="00EB6EA4">
        <w:t>5.</w:t>
      </w:r>
      <w:r w:rsidRPr="00EB6EA4">
        <w:tab/>
        <w:t>Tenhunen ML, Smithers B, Tucker B. Identifying Medication-Related Adverse Drug Events in Nursing Facilities in East Texas. Consult Pharm. 2016;31(8):436-9.</w:t>
      </w:r>
      <w:bookmarkEnd w:id="474"/>
    </w:p>
    <w:p w14:paraId="198D79C8" w14:textId="77777777" w:rsidR="00EB6EA4" w:rsidRPr="00EB6EA4" w:rsidRDefault="00EB6EA4" w:rsidP="00EB6EA4">
      <w:pPr>
        <w:pStyle w:val="EndNoteBibliography"/>
        <w:spacing w:after="0"/>
      </w:pPr>
      <w:bookmarkStart w:id="475" w:name="_ENREF_6"/>
      <w:r w:rsidRPr="00EB6EA4">
        <w:t>6.</w:t>
      </w:r>
      <w:r w:rsidRPr="00EB6EA4">
        <w:tab/>
        <w:t>Handler SM, Wright RM, Ruby CM, Hanlon JT. Epidemiology of medication-related adverse events in nursing homes. Am J Geriatr Pharmacother. 2006;4(3):264-72.</w:t>
      </w:r>
      <w:bookmarkEnd w:id="475"/>
    </w:p>
    <w:p w14:paraId="43019B6E" w14:textId="77777777" w:rsidR="00EB6EA4" w:rsidRPr="00EB6EA4" w:rsidRDefault="00EB6EA4" w:rsidP="00EB6EA4">
      <w:pPr>
        <w:pStyle w:val="EndNoteBibliography"/>
        <w:spacing w:after="0"/>
      </w:pPr>
      <w:bookmarkStart w:id="476" w:name="_ENREF_7"/>
      <w:r w:rsidRPr="00EB6EA4">
        <w:t>7.</w:t>
      </w:r>
      <w:r w:rsidRPr="00EB6EA4">
        <w:tab/>
        <w:t>Kapoor A, Field T, Handler S, Fisher K, Saphirak C, Crawford S, et al. Adverse Events in Long-term Care Residents Transitioning From Hospital Back to Nursing Home. JAMA Intern Med. 2019.</w:t>
      </w:r>
      <w:bookmarkEnd w:id="476"/>
    </w:p>
    <w:p w14:paraId="14496216" w14:textId="77777777" w:rsidR="00EB6EA4" w:rsidRPr="00EB6EA4" w:rsidRDefault="00EB6EA4" w:rsidP="00EB6EA4">
      <w:pPr>
        <w:pStyle w:val="EndNoteBibliography"/>
        <w:spacing w:after="0"/>
      </w:pPr>
      <w:bookmarkStart w:id="477" w:name="_ENREF_8"/>
      <w:r w:rsidRPr="00EB6EA4">
        <w:t>8.</w:t>
      </w:r>
      <w:r w:rsidRPr="00EB6EA4">
        <w:tab/>
        <w:t>Gurwitz JH, Field TS, Avorn J, McCormick D, Jain S, Eckler M, et al. Incidence and preventability of adverse drug events in nursing homes. Am J Med. 2000;109(2):87-94.</w:t>
      </w:r>
      <w:bookmarkEnd w:id="477"/>
    </w:p>
    <w:p w14:paraId="60E9FB4E" w14:textId="77777777" w:rsidR="00EB6EA4" w:rsidRPr="00EB6EA4" w:rsidRDefault="00EB6EA4" w:rsidP="00EB6EA4">
      <w:pPr>
        <w:pStyle w:val="EndNoteBibliography"/>
        <w:spacing w:after="0"/>
      </w:pPr>
      <w:bookmarkStart w:id="478" w:name="_ENREF_9"/>
      <w:r w:rsidRPr="00EB6EA4">
        <w:t>9.</w:t>
      </w:r>
      <w:r w:rsidRPr="00EB6EA4">
        <w:tab/>
        <w:t>Lim R, Ellett LMK, Widagdo IS, Pratt NL, Roughead EE. Analysis of anticholinergic and sedative medicine effects on physical function, cognitive function, appetite and frailty: a cross-sectional study in Australia. BMJ open. 2019;9(9):e029221.</w:t>
      </w:r>
      <w:bookmarkEnd w:id="478"/>
    </w:p>
    <w:p w14:paraId="3302FF12" w14:textId="77777777" w:rsidR="00EB6EA4" w:rsidRPr="00EB6EA4" w:rsidRDefault="00EB6EA4" w:rsidP="00EB6EA4">
      <w:pPr>
        <w:pStyle w:val="EndNoteBibliography"/>
        <w:spacing w:after="0"/>
      </w:pPr>
      <w:bookmarkStart w:id="479" w:name="_ENREF_10"/>
      <w:r w:rsidRPr="00EB6EA4">
        <w:t>10.</w:t>
      </w:r>
      <w:r w:rsidRPr="00EB6EA4">
        <w:tab/>
        <w:t>Dent E, Kowal P, Hoogendijk EO. Frailty measurement in research and clinical practice: A review. Eur J Intern Med. 2016;31:3-10.</w:t>
      </w:r>
      <w:bookmarkEnd w:id="479"/>
    </w:p>
    <w:p w14:paraId="0AED4A6A" w14:textId="77777777" w:rsidR="00EB6EA4" w:rsidRPr="00EB6EA4" w:rsidRDefault="00EB6EA4" w:rsidP="00EB6EA4">
      <w:pPr>
        <w:pStyle w:val="EndNoteBibliography"/>
        <w:spacing w:after="0"/>
      </w:pPr>
      <w:bookmarkStart w:id="480" w:name="_ENREF_11"/>
      <w:r w:rsidRPr="00EB6EA4">
        <w:t>11.</w:t>
      </w:r>
      <w:r w:rsidRPr="00EB6EA4">
        <w:tab/>
        <w:t>Bennett A, Gnjidic D, Gillett M, Carroll P, Matthews S, Johnell K, et al. Prevalence and impact of fall-risk-increasing drugs, polypharmacy, and drug-drug interactions in robust versus frail hospitalised falls patients: a prospective cohort study. Drugs Aging. 2014;31(3):225-32.</w:t>
      </w:r>
      <w:bookmarkEnd w:id="480"/>
    </w:p>
    <w:p w14:paraId="0FD75390" w14:textId="77777777" w:rsidR="00EB6EA4" w:rsidRPr="00EB6EA4" w:rsidRDefault="00EB6EA4" w:rsidP="00EB6EA4">
      <w:pPr>
        <w:pStyle w:val="EndNoteBibliography"/>
        <w:spacing w:after="0"/>
      </w:pPr>
      <w:bookmarkStart w:id="481" w:name="_ENREF_12"/>
      <w:r w:rsidRPr="00EB6EA4">
        <w:t>12.</w:t>
      </w:r>
      <w:r w:rsidRPr="00EB6EA4">
        <w:tab/>
        <w:t>Herr M, Robine JM, Pinot J, Arvieu JJ, Ankri J. Polypharmacy and frailty: prevalence, relationship, and impact on mortality in a French sample of 2350 old people. Pharmacoepidemiol Drug Saf. 2015;24(6):637-46.</w:t>
      </w:r>
      <w:bookmarkEnd w:id="481"/>
    </w:p>
    <w:p w14:paraId="4B90F393" w14:textId="77777777" w:rsidR="00EB6EA4" w:rsidRPr="00EB6EA4" w:rsidRDefault="00EB6EA4" w:rsidP="00EB6EA4">
      <w:pPr>
        <w:pStyle w:val="EndNoteBibliography"/>
        <w:spacing w:after="0"/>
      </w:pPr>
      <w:bookmarkStart w:id="482" w:name="_ENREF_13"/>
      <w:r w:rsidRPr="00EB6EA4">
        <w:t>13.</w:t>
      </w:r>
      <w:r w:rsidRPr="00EB6EA4">
        <w:tab/>
        <w:t>Gnjidic D, Hilmer SN, Blyth FM, Naganathan V, Cumming RG, Handelsman DJ, et al. High-risk prescribing and incidence of frailty among older community-dwelling men. Clin Pharmacol Ther. 2012;91(3):521-8.</w:t>
      </w:r>
      <w:bookmarkEnd w:id="482"/>
    </w:p>
    <w:p w14:paraId="4C1824C5" w14:textId="77777777" w:rsidR="00EB6EA4" w:rsidRPr="00EB6EA4" w:rsidRDefault="00EB6EA4" w:rsidP="00EB6EA4">
      <w:pPr>
        <w:pStyle w:val="EndNoteBibliography"/>
        <w:spacing w:after="0"/>
      </w:pPr>
      <w:bookmarkStart w:id="483" w:name="_ENREF_14"/>
      <w:r w:rsidRPr="00EB6EA4">
        <w:t>14.</w:t>
      </w:r>
      <w:r w:rsidRPr="00EB6EA4">
        <w:tab/>
        <w:t>Clegg A, Young J, Iliffe S, Rikkert MO, Rockwood K. Frailty in elderly people. The Lancet. 2013;381(9868):752-62.</w:t>
      </w:r>
      <w:bookmarkEnd w:id="483"/>
    </w:p>
    <w:p w14:paraId="437F89FB" w14:textId="77777777" w:rsidR="00EB6EA4" w:rsidRPr="00EB6EA4" w:rsidRDefault="00EB6EA4" w:rsidP="00EB6EA4">
      <w:pPr>
        <w:pStyle w:val="EndNoteBibliography"/>
        <w:spacing w:after="0"/>
      </w:pPr>
      <w:bookmarkStart w:id="484" w:name="_ENREF_15"/>
      <w:r w:rsidRPr="00EB6EA4">
        <w:t>15.</w:t>
      </w:r>
      <w:r w:rsidRPr="00EB6EA4">
        <w:tab/>
        <w:t>Widagdo IS, Pratt N, Russell M, Roughead EE. Predictive performance of four frailty measures in an older Australian population. Age Ageing. 2015;44(6):967-72.</w:t>
      </w:r>
      <w:bookmarkEnd w:id="484"/>
    </w:p>
    <w:p w14:paraId="7260C0CE" w14:textId="77777777" w:rsidR="00EB6EA4" w:rsidRPr="00EB6EA4" w:rsidRDefault="00EB6EA4" w:rsidP="00EB6EA4">
      <w:pPr>
        <w:pStyle w:val="EndNoteBibliography"/>
        <w:spacing w:after="0"/>
      </w:pPr>
      <w:bookmarkStart w:id="485" w:name="_ENREF_16"/>
      <w:r w:rsidRPr="00EB6EA4">
        <w:t>16.</w:t>
      </w:r>
      <w:r w:rsidRPr="00EB6EA4">
        <w:tab/>
        <w:t>Jamsen KM, Bell JS, Hilmer SN, Kirkpatrick CM, Ilomaki J, Le Couteur D, et al. Effects of Changes in Number of Medications and Drug Burden Index Exposure on Transitions Between Frailty States and Death: The Concord Health and Ageing in Men Project Cohort Study. J Am Geriatr Soc. 2016;64(1):89-95.</w:t>
      </w:r>
      <w:bookmarkEnd w:id="485"/>
    </w:p>
    <w:p w14:paraId="731EE27F" w14:textId="77777777" w:rsidR="00EB6EA4" w:rsidRPr="00EB6EA4" w:rsidRDefault="00EB6EA4" w:rsidP="00EB6EA4">
      <w:pPr>
        <w:pStyle w:val="EndNoteBibliography"/>
        <w:spacing w:after="0"/>
      </w:pPr>
      <w:bookmarkStart w:id="486" w:name="_ENREF_17"/>
      <w:r w:rsidRPr="00EB6EA4">
        <w:lastRenderedPageBreak/>
        <w:t>17.</w:t>
      </w:r>
      <w:r w:rsidRPr="00EB6EA4">
        <w:tab/>
        <w:t>Cullinan S, O'Mahony D, O'Sullivan D, Byrne S. Use of a frailty index to identify potentially inappropriate prescribing and adverse drug reaction risks in older patients. Age Ageing. 2016;45(1):115-20.</w:t>
      </w:r>
      <w:bookmarkEnd w:id="486"/>
    </w:p>
    <w:p w14:paraId="5A399E0E" w14:textId="2A095BDF" w:rsidR="00EB6EA4" w:rsidRPr="00EB6EA4" w:rsidRDefault="00EB6EA4" w:rsidP="00EB6EA4">
      <w:pPr>
        <w:pStyle w:val="EndNoteBibliography"/>
        <w:spacing w:after="0"/>
      </w:pPr>
      <w:bookmarkStart w:id="487" w:name="_ENREF_18"/>
      <w:r w:rsidRPr="00EB6EA4">
        <w:t>18.</w:t>
      </w:r>
      <w:r w:rsidRPr="00EB6EA4">
        <w:tab/>
        <w:t xml:space="preserve">Australian Government Department of Health. Psychogeriatric Assessment Scales (PAS) User Guide 2016 [updated 12 December 2016. Available from: </w:t>
      </w:r>
      <w:hyperlink r:id="rId65" w:history="1">
        <w:r w:rsidRPr="00EB6EA4">
          <w:rPr>
            <w:rStyle w:val="Hyperlink"/>
          </w:rPr>
          <w:t>https://agedcare.health.gov.au/aged-care-funding/residential-care-subsidy/basic-subsidy-amount-aged-care-funding-instrument/psychogeriatric-assessment-scales-pas-user-guide</w:t>
        </w:r>
      </w:hyperlink>
      <w:r w:rsidRPr="00EB6EA4">
        <w:t>.</w:t>
      </w:r>
      <w:bookmarkEnd w:id="487"/>
    </w:p>
    <w:p w14:paraId="3931963D" w14:textId="77777777" w:rsidR="00EB6EA4" w:rsidRPr="00EB6EA4" w:rsidRDefault="00EB6EA4" w:rsidP="00EB6EA4">
      <w:pPr>
        <w:pStyle w:val="EndNoteBibliography"/>
        <w:spacing w:after="0"/>
      </w:pPr>
      <w:bookmarkStart w:id="488" w:name="_ENREF_19"/>
      <w:r w:rsidRPr="00EB6EA4">
        <w:t>19.</w:t>
      </w:r>
      <w:r w:rsidRPr="00EB6EA4">
        <w:tab/>
        <w:t>Liberati A, Altman DG, Tetzlaff J, Mulrow C, Gøtzsche PC, Ioannidis JP, et al. The PRISMA statement for reporting systematic reviews and meta-analyses of studies that evaluate health care interventions: explanation and elaboration. Journal of clinical epidemiology. 2009;62(10):e1-e34.</w:t>
      </w:r>
      <w:bookmarkEnd w:id="488"/>
    </w:p>
    <w:p w14:paraId="17874CD6" w14:textId="77777777" w:rsidR="00EB6EA4" w:rsidRPr="00EB6EA4" w:rsidRDefault="00EB6EA4" w:rsidP="00EB6EA4">
      <w:pPr>
        <w:pStyle w:val="EndNoteBibliography"/>
        <w:spacing w:after="0"/>
      </w:pPr>
      <w:bookmarkStart w:id="489" w:name="_ENREF_20"/>
      <w:r w:rsidRPr="00EB6EA4">
        <w:t>20.</w:t>
      </w:r>
      <w:r w:rsidRPr="00EB6EA4">
        <w:tab/>
        <w:t>Frankenthal D, Lerman Y, Kalendaryev E, Lerman Y. Intervention with the screening tool of older persons potentially inappropriate prescriptions/screening tool to alert doctors to right treatment criteria in elderly residents of a chronic geriatric facility: a randomized clinical trial. Journal of the American Geriatrics Society. 2014;62(9):1658-65.</w:t>
      </w:r>
      <w:bookmarkEnd w:id="489"/>
    </w:p>
    <w:p w14:paraId="2D010FDC" w14:textId="77777777" w:rsidR="00EB6EA4" w:rsidRPr="00EB6EA4" w:rsidRDefault="00EB6EA4" w:rsidP="00EB6EA4">
      <w:pPr>
        <w:pStyle w:val="EndNoteBibliography"/>
        <w:spacing w:after="0"/>
      </w:pPr>
      <w:bookmarkStart w:id="490" w:name="_ENREF_21"/>
      <w:r w:rsidRPr="00EB6EA4">
        <w:t>21.</w:t>
      </w:r>
      <w:r w:rsidRPr="00EB6EA4">
        <w:tab/>
        <w:t>Furniss L, Burns A, Craig SK, Scobie S, Cooke J, Faragher B. Effects of a pharmacist's medication review in nursing homes. Randomised controlled trial. Br J Psychiatry. 2000;176:563-7.</w:t>
      </w:r>
      <w:bookmarkEnd w:id="490"/>
    </w:p>
    <w:p w14:paraId="7A0E71EB" w14:textId="77777777" w:rsidR="00EB6EA4" w:rsidRPr="00EB6EA4" w:rsidRDefault="00EB6EA4" w:rsidP="00EB6EA4">
      <w:pPr>
        <w:pStyle w:val="EndNoteBibliography"/>
        <w:spacing w:after="0"/>
      </w:pPr>
      <w:bookmarkStart w:id="491" w:name="_ENREF_22"/>
      <w:r w:rsidRPr="00EB6EA4">
        <w:t>22.</w:t>
      </w:r>
      <w:r w:rsidRPr="00EB6EA4">
        <w:tab/>
        <w:t>Lapane KL, Hughes CM, Daiello LA, Cameron KA, Feinberg J. Effect of a pharmacist‐led multicomponent intervention focusing on the medication monitoring phase to prevent potential adverse drug events in nursing homes. Journal of the American Geriatrics Society. 2011;59(7):1238-45.</w:t>
      </w:r>
      <w:bookmarkEnd w:id="491"/>
    </w:p>
    <w:p w14:paraId="459DBAE1" w14:textId="77777777" w:rsidR="00EB6EA4" w:rsidRPr="00EB6EA4" w:rsidRDefault="00EB6EA4" w:rsidP="00EB6EA4">
      <w:pPr>
        <w:pStyle w:val="EndNoteBibliography"/>
        <w:spacing w:after="0"/>
      </w:pPr>
      <w:bookmarkStart w:id="492" w:name="_ENREF_23"/>
      <w:r w:rsidRPr="00EB6EA4">
        <w:t>23.</w:t>
      </w:r>
      <w:r w:rsidRPr="00EB6EA4">
        <w:tab/>
        <w:t>Patterson SM, Hughes CM, Crealey G, Cardwell C, Lapane KL. An evaluation of an adapted US model of pharmaceutical care to improve psychoactive prescribing for nursing home residents in Northern Ireland (Fleetwood Northern Ireland study). Journal of the American Geriatrics Society. 2010;58(1):44-53.</w:t>
      </w:r>
      <w:bookmarkEnd w:id="492"/>
    </w:p>
    <w:p w14:paraId="4738255E" w14:textId="77777777" w:rsidR="00EB6EA4" w:rsidRPr="00EB6EA4" w:rsidRDefault="00EB6EA4" w:rsidP="00EB6EA4">
      <w:pPr>
        <w:pStyle w:val="EndNoteBibliography"/>
        <w:spacing w:after="0"/>
      </w:pPr>
      <w:bookmarkStart w:id="493" w:name="_ENREF_24"/>
      <w:r w:rsidRPr="00EB6EA4">
        <w:t>24.</w:t>
      </w:r>
      <w:r w:rsidRPr="00EB6EA4">
        <w:tab/>
        <w:t>Potter K, Flicker L, Page A, Etherton-Beer C. Deprescribing in Frail Older People: A Randomised Controlled Trial. PLoS One. 2016;11(3):e0149984.</w:t>
      </w:r>
      <w:bookmarkEnd w:id="493"/>
    </w:p>
    <w:p w14:paraId="08F7F33D" w14:textId="77777777" w:rsidR="00EB6EA4" w:rsidRPr="00EB6EA4" w:rsidRDefault="00EB6EA4" w:rsidP="00EB6EA4">
      <w:pPr>
        <w:pStyle w:val="EndNoteBibliography"/>
        <w:spacing w:after="0"/>
      </w:pPr>
      <w:bookmarkStart w:id="494" w:name="_ENREF_25"/>
      <w:r w:rsidRPr="00EB6EA4">
        <w:t>25.</w:t>
      </w:r>
      <w:r w:rsidRPr="00EB6EA4">
        <w:tab/>
        <w:t>Zermansky AG, Alldred DP, Petty DR, Raynor DK, Freemantle N, Eastaugh J, et al. Clinical medication review by a pharmacist of elderly people living in care homes--randomised controlled trial. Age and ageing. 2006;35(6):586-91.</w:t>
      </w:r>
      <w:bookmarkEnd w:id="494"/>
    </w:p>
    <w:p w14:paraId="1B2C584A" w14:textId="77777777" w:rsidR="00EB6EA4" w:rsidRPr="00EB6EA4" w:rsidRDefault="00EB6EA4" w:rsidP="00EB6EA4">
      <w:pPr>
        <w:pStyle w:val="EndNoteBibliography"/>
        <w:spacing w:after="0"/>
      </w:pPr>
      <w:bookmarkStart w:id="495" w:name="_ENREF_26"/>
      <w:r w:rsidRPr="00EB6EA4">
        <w:t>26.</w:t>
      </w:r>
      <w:r w:rsidRPr="00EB6EA4">
        <w:tab/>
        <w:t>Crotty M, Whitehead C, Rowett D, Halbert J, Weller D, Finucane P, et al. An outreach intervention to implement evidence based practice in residential care: a randomized controlled trial [ISRCTN67855475]. BMC Health Services Research. 2004;4(1):1-6.</w:t>
      </w:r>
      <w:bookmarkEnd w:id="495"/>
    </w:p>
    <w:p w14:paraId="457961C6" w14:textId="77777777" w:rsidR="00EB6EA4" w:rsidRPr="00EB6EA4" w:rsidRDefault="00EB6EA4" w:rsidP="00EB6EA4">
      <w:pPr>
        <w:pStyle w:val="EndNoteBibliography"/>
        <w:spacing w:after="0"/>
      </w:pPr>
      <w:bookmarkStart w:id="496" w:name="_ENREF_27"/>
      <w:r w:rsidRPr="00EB6EA4">
        <w:t>27.</w:t>
      </w:r>
      <w:r w:rsidRPr="00EB6EA4">
        <w:tab/>
        <w:t>García-Gollarte F, Baleriola-Júlvez J, Ferrero-López I, Cuenllas-Díaz Á, Cruz-Jentoft AJ. An educational intervention on drug use in nursing homes improves health outcomes resource utilization and reduces inappropriate drug prescription. Journal of the American Medical Directors Association. 2014;15(12):885-91.</w:t>
      </w:r>
      <w:bookmarkEnd w:id="496"/>
    </w:p>
    <w:p w14:paraId="7D18A382" w14:textId="77777777" w:rsidR="00EB6EA4" w:rsidRPr="00EB6EA4" w:rsidRDefault="00EB6EA4" w:rsidP="00EB6EA4">
      <w:pPr>
        <w:pStyle w:val="EndNoteBibliography"/>
        <w:spacing w:after="0"/>
      </w:pPr>
      <w:bookmarkStart w:id="497" w:name="_ENREF_28"/>
      <w:r w:rsidRPr="00EB6EA4">
        <w:t>28.</w:t>
      </w:r>
      <w:r w:rsidRPr="00EB6EA4">
        <w:tab/>
        <w:t>Gurwitz JH, Field TS, Rochon P, Judge J, Harrold LR, Bell CM, et al. Effect of computerized provider order entry with clinical decision support on adverse drug events in the long‐term care setting. Journal of the American Geriatrics Society. 2008;56(12):2225-33.</w:t>
      </w:r>
      <w:bookmarkEnd w:id="497"/>
    </w:p>
    <w:p w14:paraId="3F03AAD4" w14:textId="77777777" w:rsidR="00EB6EA4" w:rsidRPr="00EB6EA4" w:rsidRDefault="00EB6EA4" w:rsidP="00EB6EA4">
      <w:pPr>
        <w:pStyle w:val="EndNoteBibliography"/>
        <w:spacing w:after="0"/>
      </w:pPr>
      <w:bookmarkStart w:id="498" w:name="_ENREF_29"/>
      <w:r w:rsidRPr="00EB6EA4">
        <w:t>29.</w:t>
      </w:r>
      <w:r w:rsidRPr="00EB6EA4">
        <w:tab/>
        <w:t xml:space="preserve">Kersten H, Molden E, Tolo IK, Skovlund E, Engedal K, Wyller TB. Cognitive effects of reducing anticholinergic drug burden in a frail elderly population: a randomized </w:t>
      </w:r>
      <w:r w:rsidRPr="00EB6EA4">
        <w:lastRenderedPageBreak/>
        <w:t>controlled trial. Journals of Gerontology Series A: Biomedical Sciences and Medical Sciences. 2013;68(3):271-8.</w:t>
      </w:r>
      <w:bookmarkEnd w:id="498"/>
    </w:p>
    <w:p w14:paraId="7BBAE163" w14:textId="77777777" w:rsidR="00EB6EA4" w:rsidRPr="00EB6EA4" w:rsidRDefault="00EB6EA4" w:rsidP="00EB6EA4">
      <w:pPr>
        <w:pStyle w:val="EndNoteBibliography"/>
        <w:spacing w:after="0"/>
      </w:pPr>
      <w:bookmarkStart w:id="499" w:name="_ENREF_30"/>
      <w:r w:rsidRPr="00EB6EA4">
        <w:t>30.</w:t>
      </w:r>
      <w:r w:rsidRPr="00EB6EA4">
        <w:tab/>
        <w:t>Roberts MS, Stokes JA, King MA, Lynne TA, Purdie DM, Glasziou PP, et al. Outcomes of a randomized controlled trial of a clinical pharmacy intervention in 52 nursing homes. British journal of clinical pharmacology. 2001;51(3):257-65.</w:t>
      </w:r>
      <w:bookmarkEnd w:id="499"/>
    </w:p>
    <w:p w14:paraId="12B78B34" w14:textId="77777777" w:rsidR="00EB6EA4" w:rsidRPr="00EB6EA4" w:rsidRDefault="00EB6EA4" w:rsidP="00EB6EA4">
      <w:pPr>
        <w:pStyle w:val="EndNoteBibliography"/>
        <w:spacing w:after="0"/>
      </w:pPr>
      <w:bookmarkStart w:id="500" w:name="_ENREF_31"/>
      <w:r w:rsidRPr="00EB6EA4">
        <w:t>31.</w:t>
      </w:r>
      <w:r w:rsidRPr="00EB6EA4">
        <w:tab/>
        <w:t>Rovner BW, Steele CD, Shmuely Y, Folstein MF. A randomized trial of dementia care in nursing homes. Journal of the American Geriatrics Society. 1996;44(1):7-13.</w:t>
      </w:r>
      <w:bookmarkEnd w:id="500"/>
    </w:p>
    <w:p w14:paraId="60F1DE38" w14:textId="77777777" w:rsidR="00EB6EA4" w:rsidRPr="00EB6EA4" w:rsidRDefault="00EB6EA4" w:rsidP="00EB6EA4">
      <w:pPr>
        <w:pStyle w:val="EndNoteBibliography"/>
        <w:spacing w:after="0"/>
      </w:pPr>
      <w:bookmarkStart w:id="501" w:name="_ENREF_32"/>
      <w:r w:rsidRPr="00EB6EA4">
        <w:t>32.</w:t>
      </w:r>
      <w:r w:rsidRPr="00EB6EA4">
        <w:tab/>
        <w:t>Abrahamsen B, Hansen RN, Rossing C. For which patient subgroups are there positive outcomes from a medication review? A systematic review. Pharmacy Practice. 2020;18(4):1-8.</w:t>
      </w:r>
      <w:bookmarkEnd w:id="501"/>
    </w:p>
    <w:p w14:paraId="4CC1CA79" w14:textId="77777777" w:rsidR="00EB6EA4" w:rsidRPr="00EB6EA4" w:rsidRDefault="00EB6EA4" w:rsidP="00EB6EA4">
      <w:pPr>
        <w:pStyle w:val="EndNoteBibliography"/>
        <w:spacing w:after="0"/>
      </w:pPr>
      <w:bookmarkStart w:id="502" w:name="_ENREF_33"/>
      <w:r w:rsidRPr="00EB6EA4">
        <w:t>33.</w:t>
      </w:r>
      <w:r w:rsidRPr="00EB6EA4">
        <w:tab/>
        <w:t>Juola AL, Bjorkman MP, Pylkkanen S, Finne-Soveri H, Soini H, Kautiainen H, et al. Nurse Education to Reduce Harmful Medication Use in Assisted Living Facilities: Effects of a Randomized Controlled Trial on Falls and Cognition. Drugs Aging. 2015;32(11):947-55.</w:t>
      </w:r>
      <w:bookmarkEnd w:id="502"/>
    </w:p>
    <w:p w14:paraId="2E657353" w14:textId="77777777" w:rsidR="00EB6EA4" w:rsidRPr="00EB6EA4" w:rsidRDefault="00EB6EA4" w:rsidP="00EB6EA4">
      <w:pPr>
        <w:pStyle w:val="EndNoteBibliography"/>
        <w:spacing w:after="0"/>
      </w:pPr>
      <w:bookmarkStart w:id="503" w:name="_ENREF_34"/>
      <w:r w:rsidRPr="00EB6EA4">
        <w:t>34.</w:t>
      </w:r>
      <w:r w:rsidRPr="00EB6EA4">
        <w:tab/>
        <w:t>Pitkälä KH, Juola AL, Kautiainen H, Soini H, Finne-Soveri UH, Bell JS, et al. Education to reduce potentially harmful medication use among residents of assisted living facilities: a randomized controlled trial. J Am Med Dir Assoc. 2014;15(12):892-8.</w:t>
      </w:r>
      <w:bookmarkEnd w:id="503"/>
    </w:p>
    <w:p w14:paraId="608C4FA5" w14:textId="77777777" w:rsidR="00EB6EA4" w:rsidRPr="00EB6EA4" w:rsidRDefault="00EB6EA4" w:rsidP="00EB6EA4">
      <w:pPr>
        <w:pStyle w:val="EndNoteBibliography"/>
        <w:spacing w:after="0"/>
      </w:pPr>
      <w:bookmarkStart w:id="504" w:name="_ENREF_35"/>
      <w:r w:rsidRPr="00EB6EA4">
        <w:t>35.</w:t>
      </w:r>
      <w:r w:rsidRPr="00EB6EA4">
        <w:tab/>
        <w:t>Tappen RM, Newman D, Huckfeldt P, Yang Z, Engstrom G, Wolf DG, et al. Evaluation of nursing facility resident safety during implementation of the interact quality improvement program. Journal of the American Medical Directors Association. 2018;19(10):907-13. e1.</w:t>
      </w:r>
      <w:bookmarkEnd w:id="504"/>
    </w:p>
    <w:p w14:paraId="0E210DAC" w14:textId="77777777" w:rsidR="00EB6EA4" w:rsidRPr="00EB6EA4" w:rsidRDefault="00EB6EA4" w:rsidP="00EB6EA4">
      <w:pPr>
        <w:pStyle w:val="EndNoteBibliography"/>
        <w:spacing w:after="0"/>
      </w:pPr>
      <w:bookmarkStart w:id="505" w:name="_ENREF_36"/>
      <w:r w:rsidRPr="00EB6EA4">
        <w:t>36.</w:t>
      </w:r>
      <w:r w:rsidRPr="00EB6EA4">
        <w:tab/>
        <w:t>Lim R, Bereznicki L, Corlis M, Ellett LMK, Kang AC, Merlin T, et al. Reducing medicine-induced deterioration and adverse reactions (ReMInDAR) trial: study protocol for a randomised controlled trial in residential aged-care facilities assessing frailty as the primary outcome. BMJ open. 2020;10(4):e032851.</w:t>
      </w:r>
      <w:bookmarkEnd w:id="505"/>
    </w:p>
    <w:p w14:paraId="68D01223" w14:textId="77777777" w:rsidR="00EB6EA4" w:rsidRPr="00EB6EA4" w:rsidRDefault="00EB6EA4" w:rsidP="00EB6EA4">
      <w:pPr>
        <w:pStyle w:val="EndNoteBibliography"/>
        <w:spacing w:after="0"/>
      </w:pPr>
      <w:bookmarkStart w:id="506" w:name="_ENREF_37"/>
      <w:r w:rsidRPr="00EB6EA4">
        <w:t>37.</w:t>
      </w:r>
      <w:r w:rsidRPr="00EB6EA4">
        <w:tab/>
        <w:t>World Medical Association. World Medical Association Declaration of Helsinki: ethical principles for medical research involving human subjects. JAMA. 2013;310(20):2191-4.</w:t>
      </w:r>
      <w:bookmarkEnd w:id="506"/>
    </w:p>
    <w:p w14:paraId="1009B3F7" w14:textId="70D9F081" w:rsidR="00EB6EA4" w:rsidRPr="00EB6EA4" w:rsidRDefault="00EB6EA4" w:rsidP="00EB6EA4">
      <w:pPr>
        <w:pStyle w:val="EndNoteBibliography"/>
        <w:spacing w:after="0"/>
      </w:pPr>
      <w:bookmarkStart w:id="507" w:name="_ENREF_38"/>
      <w:r w:rsidRPr="00EB6EA4">
        <w:t>38.</w:t>
      </w:r>
      <w:r w:rsidRPr="00EB6EA4">
        <w:tab/>
        <w:t xml:space="preserve">National Health and Medical Research Council. National Statement of Ethical Conduct in Human Research 2007 [Available from: </w:t>
      </w:r>
      <w:hyperlink r:id="rId66" w:history="1">
        <w:r w:rsidRPr="00EB6EA4">
          <w:rPr>
            <w:rStyle w:val="Hyperlink"/>
          </w:rPr>
          <w:t>https://www.nhmrc.gov.au/guidelines-publications/e72</w:t>
        </w:r>
      </w:hyperlink>
      <w:r w:rsidRPr="00EB6EA4">
        <w:t>.</w:t>
      </w:r>
      <w:bookmarkEnd w:id="507"/>
    </w:p>
    <w:p w14:paraId="574E0A1D" w14:textId="77777777" w:rsidR="00EB6EA4" w:rsidRPr="00EB6EA4" w:rsidRDefault="00EB6EA4" w:rsidP="00EB6EA4">
      <w:pPr>
        <w:pStyle w:val="EndNoteBibliography"/>
        <w:spacing w:after="0"/>
      </w:pPr>
      <w:bookmarkStart w:id="508" w:name="_ENREF_39"/>
      <w:r w:rsidRPr="00EB6EA4">
        <w:t>39.</w:t>
      </w:r>
      <w:r w:rsidRPr="00EB6EA4">
        <w:tab/>
        <w:t>Yeh Y-C, Liu C-L, Peng L-N, Lin M-H, Chen L-K. Potential benefits of reducing medication-related anticholinergic burden for demented older adults: A prospective cohort study. Geriatrics &amp; Gerontology International. 2013;13(3):694-700.</w:t>
      </w:r>
      <w:bookmarkEnd w:id="508"/>
    </w:p>
    <w:p w14:paraId="62E12657" w14:textId="77777777" w:rsidR="00EB6EA4" w:rsidRPr="00EB6EA4" w:rsidRDefault="00EB6EA4" w:rsidP="00EB6EA4">
      <w:pPr>
        <w:pStyle w:val="EndNoteBibliography"/>
        <w:spacing w:after="0"/>
      </w:pPr>
      <w:bookmarkStart w:id="509" w:name="_ENREF_40"/>
      <w:r w:rsidRPr="00EB6EA4">
        <w:t>40.</w:t>
      </w:r>
      <w:r w:rsidRPr="00EB6EA4">
        <w:tab/>
        <w:t>Kersten H, Molden E, Tolo IK, Skovlund E, Engedal K, Wyller TB. Cognitive effects of reducing anticholinergic drug burden in a frail elderly population: a randomized controlled trial. J Gerontol A Biol Sci Med Sci. 2013;68(3):271-8.</w:t>
      </w:r>
      <w:bookmarkEnd w:id="509"/>
    </w:p>
    <w:p w14:paraId="028D62C3" w14:textId="77777777" w:rsidR="00EB6EA4" w:rsidRPr="00EB6EA4" w:rsidRDefault="00EB6EA4" w:rsidP="00EB6EA4">
      <w:pPr>
        <w:pStyle w:val="EndNoteBibliography"/>
        <w:spacing w:after="0"/>
      </w:pPr>
      <w:bookmarkStart w:id="510" w:name="_ENREF_41"/>
      <w:r w:rsidRPr="00EB6EA4">
        <w:t>41.</w:t>
      </w:r>
      <w:r w:rsidRPr="00EB6EA4">
        <w:tab/>
        <w:t>Mitnitski A, Song X, Skoog I, Broe GA, Cox JL, Grunfeld E, et al. Relative fitness and frailty of elderly men and women in developed countries and their relationship with mortality. J Am Geriatr Soc. 2005;53(12):2184-9.</w:t>
      </w:r>
      <w:bookmarkEnd w:id="510"/>
    </w:p>
    <w:p w14:paraId="30C2DD35" w14:textId="0EBFF32B" w:rsidR="00EB6EA4" w:rsidRPr="00EB6EA4" w:rsidRDefault="00EB6EA4" w:rsidP="00EB6EA4">
      <w:pPr>
        <w:pStyle w:val="EndNoteBibliography"/>
        <w:spacing w:after="0"/>
      </w:pPr>
      <w:bookmarkStart w:id="511" w:name="_ENREF_42"/>
      <w:r w:rsidRPr="00EB6EA4">
        <w:t>42.</w:t>
      </w:r>
      <w:r w:rsidRPr="00EB6EA4">
        <w:tab/>
        <w:t xml:space="preserve">Australian Institue of Health and Welfare. Dementia overview 2018 [Available from: </w:t>
      </w:r>
      <w:hyperlink r:id="rId67" w:history="1">
        <w:r w:rsidRPr="00EB6EA4">
          <w:rPr>
            <w:rStyle w:val="Hyperlink"/>
          </w:rPr>
          <w:t>https://www.aihw.gov.au/reports-data/health-conditions-disability-deaths/dementia/overview</w:t>
        </w:r>
      </w:hyperlink>
      <w:r w:rsidRPr="00EB6EA4">
        <w:t>.</w:t>
      </w:r>
      <w:bookmarkEnd w:id="511"/>
    </w:p>
    <w:p w14:paraId="6500DEF3" w14:textId="77777777" w:rsidR="00EB6EA4" w:rsidRPr="00EB6EA4" w:rsidRDefault="00EB6EA4" w:rsidP="00EB6EA4">
      <w:pPr>
        <w:pStyle w:val="EndNoteBibliography"/>
        <w:spacing w:after="0"/>
      </w:pPr>
      <w:bookmarkStart w:id="512" w:name="_ENREF_43"/>
      <w:r w:rsidRPr="00EB6EA4">
        <w:t>43.</w:t>
      </w:r>
      <w:r w:rsidRPr="00EB6EA4">
        <w:tab/>
        <w:t>Zhang X, Dou Q, Zhang W, Wang C, Xie X, Yang Y, et al. Frailty as a predictor of all-cause mortality among older nursing home residents: a systematic review and meta-analysis. Journal of the American Medical Directors Association. 2019;20(6):657-63. e4.</w:t>
      </w:r>
      <w:bookmarkEnd w:id="512"/>
    </w:p>
    <w:p w14:paraId="2AE6A748" w14:textId="77777777" w:rsidR="00EB6EA4" w:rsidRPr="00EB6EA4" w:rsidRDefault="00EB6EA4" w:rsidP="00EB6EA4">
      <w:pPr>
        <w:pStyle w:val="EndNoteBibliography"/>
        <w:spacing w:after="0"/>
      </w:pPr>
      <w:bookmarkStart w:id="513" w:name="_ENREF_44"/>
      <w:r w:rsidRPr="00EB6EA4">
        <w:lastRenderedPageBreak/>
        <w:t>44.</w:t>
      </w:r>
      <w:r w:rsidRPr="00EB6EA4">
        <w:tab/>
        <w:t>Colebatch BPharm MClin Pharm KA, Marley MD MBChB J, Doecke C, Miles BSc H, Gilbert BPharm PhD A. Evaluation of a patient event report monitoring system. Pharmacoepidemiology and drug safety. 2000;9(6):491-9.</w:t>
      </w:r>
      <w:bookmarkEnd w:id="513"/>
    </w:p>
    <w:p w14:paraId="15B7D756" w14:textId="77777777" w:rsidR="00EB6EA4" w:rsidRPr="00EB6EA4" w:rsidRDefault="00EB6EA4" w:rsidP="00EB6EA4">
      <w:pPr>
        <w:pStyle w:val="EndNoteBibliography"/>
        <w:spacing w:after="0"/>
      </w:pPr>
      <w:bookmarkStart w:id="514" w:name="_ENREF_45"/>
      <w:r w:rsidRPr="00EB6EA4">
        <w:t>45.</w:t>
      </w:r>
      <w:r w:rsidRPr="00EB6EA4">
        <w:tab/>
        <w:t>Nasreddine ZS, Phillips NA, Bedirian V, Charbonneau S, Whitehead V, Collin I, et al. The Montreal Cognitive Assessment, MoCA: a brief screening tool for mild cognitive impairment. J Am Geriatr Soc. 2005;53(4):695-9.</w:t>
      </w:r>
      <w:bookmarkEnd w:id="514"/>
    </w:p>
    <w:p w14:paraId="2FED16FF" w14:textId="77777777" w:rsidR="00EB6EA4" w:rsidRPr="00EB6EA4" w:rsidRDefault="00EB6EA4" w:rsidP="00EB6EA4">
      <w:pPr>
        <w:pStyle w:val="EndNoteBibliography"/>
        <w:spacing w:after="0"/>
      </w:pPr>
      <w:bookmarkStart w:id="515" w:name="_ENREF_46"/>
      <w:r w:rsidRPr="00EB6EA4">
        <w:t>46.</w:t>
      </w:r>
      <w:r w:rsidRPr="00EB6EA4">
        <w:tab/>
        <w:t>Widagdo IS, Pratt N, Russell M, Roughead EE. Construct Validity of Four Frailty Measures in an Older Australian Population: A Rasch Analysis. J Frailty Aging. 2016;5(2):78-81.</w:t>
      </w:r>
      <w:bookmarkEnd w:id="515"/>
    </w:p>
    <w:p w14:paraId="2398C534" w14:textId="77777777" w:rsidR="00EB6EA4" w:rsidRPr="00EB6EA4" w:rsidRDefault="00EB6EA4" w:rsidP="00EB6EA4">
      <w:pPr>
        <w:pStyle w:val="EndNoteBibliography"/>
        <w:spacing w:after="0"/>
      </w:pPr>
      <w:bookmarkStart w:id="516" w:name="_ENREF_47"/>
      <w:r w:rsidRPr="00EB6EA4">
        <w:t>47.</w:t>
      </w:r>
      <w:r w:rsidRPr="00EB6EA4">
        <w:tab/>
        <w:t>Chin APMJ, Dekker JM, Feskens EJ, Schouten EG, Kromhout D. How to select a frail elderly population? A comparison of three working definitions. Journal of clinical epidemiology. 1999;52(11):1015-21.</w:t>
      </w:r>
      <w:bookmarkEnd w:id="516"/>
    </w:p>
    <w:p w14:paraId="4C813DC9" w14:textId="77777777" w:rsidR="00EB6EA4" w:rsidRPr="00EB6EA4" w:rsidRDefault="00EB6EA4" w:rsidP="00EB6EA4">
      <w:pPr>
        <w:pStyle w:val="EndNoteBibliography"/>
        <w:spacing w:after="0"/>
      </w:pPr>
      <w:bookmarkStart w:id="517" w:name="_ENREF_48"/>
      <w:r w:rsidRPr="00EB6EA4">
        <w:t>48.</w:t>
      </w:r>
      <w:r w:rsidRPr="00EB6EA4">
        <w:tab/>
        <w:t>Rockwood K, Stadnyk K, MacKnight C, McDowell I, Hebert R, Hogan DB. A brief clinical instrument to classify frailty in elderly people. Lancet (London, England). 1999;353(9148):205-6.</w:t>
      </w:r>
      <w:bookmarkEnd w:id="517"/>
    </w:p>
    <w:p w14:paraId="5CD63C06" w14:textId="77777777" w:rsidR="00EB6EA4" w:rsidRPr="00EB6EA4" w:rsidRDefault="00EB6EA4" w:rsidP="00EB6EA4">
      <w:pPr>
        <w:pStyle w:val="EndNoteBibliography"/>
        <w:spacing w:after="0"/>
      </w:pPr>
      <w:bookmarkStart w:id="518" w:name="_ENREF_49"/>
      <w:r w:rsidRPr="00EB6EA4">
        <w:t>49.</w:t>
      </w:r>
      <w:r w:rsidRPr="00EB6EA4">
        <w:tab/>
        <w:t>Fried LP, Tangen CM, Walston J, Newman AB, Hirsch C, Gottdiener J, et al. Frailty in older adults: evidence for a phenotype. The journals of gerontology Series A, Biological sciences and medical sciences. 2001;56(3):M146-56.</w:t>
      </w:r>
      <w:bookmarkEnd w:id="518"/>
    </w:p>
    <w:p w14:paraId="5F4A03DE" w14:textId="77777777" w:rsidR="00EB6EA4" w:rsidRPr="00EB6EA4" w:rsidRDefault="00EB6EA4" w:rsidP="00EB6EA4">
      <w:pPr>
        <w:pStyle w:val="EndNoteBibliography"/>
        <w:spacing w:after="0"/>
      </w:pPr>
      <w:bookmarkStart w:id="519" w:name="_ENREF_50"/>
      <w:r w:rsidRPr="00EB6EA4">
        <w:t>50.</w:t>
      </w:r>
      <w:r w:rsidRPr="00EB6EA4">
        <w:tab/>
        <w:t>Saliba D, Elliott M, Rubenstein LZ, Solomon DH, Young RT, Kamberg CJ, et al. The Vulnerable Elders Survey: a tool for identifying vulnerable older people in the community. Journal of the American Geriatrics Society. 2001;49(12):1691-9.</w:t>
      </w:r>
      <w:bookmarkEnd w:id="519"/>
    </w:p>
    <w:p w14:paraId="79AF1E49" w14:textId="77777777" w:rsidR="00EB6EA4" w:rsidRPr="00EB6EA4" w:rsidRDefault="00EB6EA4" w:rsidP="00EB6EA4">
      <w:pPr>
        <w:pStyle w:val="EndNoteBibliography"/>
        <w:spacing w:after="0"/>
      </w:pPr>
      <w:bookmarkStart w:id="520" w:name="_ENREF_51"/>
      <w:r w:rsidRPr="00EB6EA4">
        <w:t>51.</w:t>
      </w:r>
      <w:r w:rsidRPr="00EB6EA4">
        <w:tab/>
        <w:t>Rockwood K, Song X, MacKnight C, Bergman H, Hogan DB, McDowell I, et al. A global clinical measure of fitness and frailty in elderly people. CMAJ. 2005;173(5):489-95.</w:t>
      </w:r>
      <w:bookmarkEnd w:id="520"/>
    </w:p>
    <w:p w14:paraId="20332249" w14:textId="77777777" w:rsidR="00EB6EA4" w:rsidRPr="00EB6EA4" w:rsidRDefault="00EB6EA4" w:rsidP="00EB6EA4">
      <w:pPr>
        <w:pStyle w:val="EndNoteBibliography"/>
        <w:spacing w:after="0"/>
      </w:pPr>
      <w:bookmarkStart w:id="521" w:name="_ENREF_52"/>
      <w:r w:rsidRPr="00EB6EA4">
        <w:t>52.</w:t>
      </w:r>
      <w:r w:rsidRPr="00EB6EA4">
        <w:tab/>
        <w:t>Scarcella P, Liotta G, Marazzi MC, Carbini R, Palombi L. Analysis of survival in a sample of elderly patients from Ragusa, Italy on the basis of a primary care level multidimensional evaluation. Archives of gerontology and geriatrics. 2005;40(2):147-56.</w:t>
      </w:r>
      <w:bookmarkEnd w:id="521"/>
    </w:p>
    <w:p w14:paraId="5E5FCD19" w14:textId="77777777" w:rsidR="00EB6EA4" w:rsidRPr="00EB6EA4" w:rsidRDefault="00EB6EA4" w:rsidP="00EB6EA4">
      <w:pPr>
        <w:pStyle w:val="EndNoteBibliography"/>
        <w:spacing w:after="0"/>
      </w:pPr>
      <w:bookmarkStart w:id="522" w:name="_ENREF_53"/>
      <w:r w:rsidRPr="00EB6EA4">
        <w:t>53.</w:t>
      </w:r>
      <w:r w:rsidRPr="00EB6EA4">
        <w:tab/>
        <w:t>Ravaglia G, Forti P, Lucicesare A, Pisacane N, Rietti E, Patterson C. Development of an easy prognostic score for frailty outcomes in the aged. Age and ageing. 2008;37(2):161-6.</w:t>
      </w:r>
      <w:bookmarkEnd w:id="522"/>
    </w:p>
    <w:p w14:paraId="6136D433" w14:textId="77777777" w:rsidR="00EB6EA4" w:rsidRPr="00EB6EA4" w:rsidRDefault="00EB6EA4" w:rsidP="00EB6EA4">
      <w:pPr>
        <w:pStyle w:val="EndNoteBibliography"/>
        <w:spacing w:after="0"/>
      </w:pPr>
      <w:bookmarkStart w:id="523" w:name="_ENREF_54"/>
      <w:r w:rsidRPr="00EB6EA4">
        <w:t>54.</w:t>
      </w:r>
      <w:r w:rsidRPr="00EB6EA4">
        <w:tab/>
        <w:t>Guilley E, Ghisletta P, Armi F, Berchtold A, d'Epinay CL, Michel J-P, et al. Dynamics of Frailty and ADL Dependence in a Five-Year Longitudinal Study of Octogenarians. Research on Aging. 2008;30(3):299-317.</w:t>
      </w:r>
      <w:bookmarkEnd w:id="523"/>
    </w:p>
    <w:p w14:paraId="04F9D6CC" w14:textId="77777777" w:rsidR="00EB6EA4" w:rsidRPr="00EB6EA4" w:rsidRDefault="00EB6EA4" w:rsidP="00EB6EA4">
      <w:pPr>
        <w:pStyle w:val="EndNoteBibliography"/>
        <w:spacing w:after="0"/>
      </w:pPr>
      <w:bookmarkStart w:id="524" w:name="_ENREF_55"/>
      <w:r w:rsidRPr="00EB6EA4">
        <w:t>55.</w:t>
      </w:r>
      <w:r w:rsidRPr="00EB6EA4">
        <w:tab/>
        <w:t>Kiely DK, Cupples LA, Lipsitz LA. Validation and comparison of two frailty indexes: The MOBILIZE Boston Study. Journal of the American Geriatrics Society. 2009;57(9):1532-9.</w:t>
      </w:r>
      <w:bookmarkEnd w:id="524"/>
    </w:p>
    <w:p w14:paraId="575BDF4B" w14:textId="77777777" w:rsidR="00EB6EA4" w:rsidRPr="00EB6EA4" w:rsidRDefault="00EB6EA4" w:rsidP="00EB6EA4">
      <w:pPr>
        <w:pStyle w:val="EndNoteBibliography"/>
        <w:spacing w:after="0"/>
      </w:pPr>
      <w:bookmarkStart w:id="525" w:name="_ENREF_56"/>
      <w:r w:rsidRPr="00EB6EA4">
        <w:t>56.</w:t>
      </w:r>
      <w:r w:rsidRPr="00EB6EA4">
        <w:tab/>
        <w:t>Armstrong JJ, Stolee P, Hirdes JP, Poss JW. Examining three frailty conceptualizations in their ability to predict negative outcomes for home-care clients. Age and ageing. 2010;39(6):755-8.</w:t>
      </w:r>
      <w:bookmarkEnd w:id="525"/>
    </w:p>
    <w:p w14:paraId="564F5E00" w14:textId="77777777" w:rsidR="00EB6EA4" w:rsidRPr="00EB6EA4" w:rsidRDefault="00EB6EA4" w:rsidP="00EB6EA4">
      <w:pPr>
        <w:pStyle w:val="EndNoteBibliography"/>
        <w:spacing w:after="0"/>
      </w:pPr>
      <w:bookmarkStart w:id="526" w:name="_ENREF_57"/>
      <w:r w:rsidRPr="00EB6EA4">
        <w:t>57.</w:t>
      </w:r>
      <w:r w:rsidRPr="00EB6EA4">
        <w:tab/>
        <w:t>Hyde Z, Flicker L, Almeida OP, Hankey GJ, McCaul KA, Chubb SA, et al. Low free testosterone predicts frailty in older men: the health in men study. J Clin Endocrinol Metab. 2010;95(7):3165-72.</w:t>
      </w:r>
      <w:bookmarkEnd w:id="526"/>
    </w:p>
    <w:p w14:paraId="25AA5623" w14:textId="77777777" w:rsidR="00EB6EA4" w:rsidRPr="00EB6EA4" w:rsidRDefault="00EB6EA4" w:rsidP="00EB6EA4">
      <w:pPr>
        <w:pStyle w:val="EndNoteBibliography"/>
        <w:spacing w:after="0"/>
      </w:pPr>
      <w:bookmarkStart w:id="527" w:name="_ENREF_58"/>
      <w:r w:rsidRPr="00EB6EA4">
        <w:t>58.</w:t>
      </w:r>
      <w:r w:rsidRPr="00EB6EA4">
        <w:tab/>
        <w:t>Bouillon K, Kivimaki M, Hamer M, Sabia S, Fransson EI, Singh-Manoux A, et al. Measures of frailty in population-based studies: an overview. BMC geriatrics. 2013;13:64.</w:t>
      </w:r>
      <w:bookmarkEnd w:id="527"/>
    </w:p>
    <w:p w14:paraId="3749037F" w14:textId="77777777" w:rsidR="00EB6EA4" w:rsidRPr="00EB6EA4" w:rsidRDefault="00EB6EA4" w:rsidP="00EB6EA4">
      <w:pPr>
        <w:pStyle w:val="EndNoteBibliography"/>
        <w:spacing w:after="0"/>
      </w:pPr>
      <w:bookmarkStart w:id="528" w:name="_ENREF_59"/>
      <w:r w:rsidRPr="00EB6EA4">
        <w:lastRenderedPageBreak/>
        <w:t>59.</w:t>
      </w:r>
      <w:r w:rsidRPr="00EB6EA4">
        <w:tab/>
        <w:t>Ahmed S, de Jager C, Wilcock G. A comparison of screening tools for the assessment of mild cognitive impairment: preliminary findings. Neurocase. 2012;18(4):336-51.</w:t>
      </w:r>
      <w:bookmarkEnd w:id="528"/>
    </w:p>
    <w:p w14:paraId="3C3631D3" w14:textId="77777777" w:rsidR="00EB6EA4" w:rsidRPr="00EB6EA4" w:rsidRDefault="00EB6EA4" w:rsidP="00EB6EA4">
      <w:pPr>
        <w:pStyle w:val="EndNoteBibliography"/>
        <w:spacing w:after="0"/>
      </w:pPr>
      <w:bookmarkStart w:id="529" w:name="_ENREF_60"/>
      <w:r w:rsidRPr="00EB6EA4">
        <w:t>60.</w:t>
      </w:r>
      <w:r w:rsidRPr="00EB6EA4">
        <w:tab/>
        <w:t>Esliger DW, Rowlands AV, Hurst TL, Catt M, Murray P, Eston RG. Validation of the GENEA Accelerometer. Med Sci Sports Exerc. 2011;43(6):1085-93.</w:t>
      </w:r>
      <w:bookmarkEnd w:id="529"/>
    </w:p>
    <w:p w14:paraId="24226D5B" w14:textId="77777777" w:rsidR="00EB6EA4" w:rsidRPr="00EB6EA4" w:rsidRDefault="00EB6EA4" w:rsidP="00EB6EA4">
      <w:pPr>
        <w:pStyle w:val="EndNoteBibliography"/>
        <w:spacing w:after="0"/>
      </w:pPr>
      <w:bookmarkStart w:id="530" w:name="_ENREF_61"/>
      <w:r w:rsidRPr="00EB6EA4">
        <w:t>61.</w:t>
      </w:r>
      <w:r w:rsidRPr="00EB6EA4">
        <w:tab/>
        <w:t>Pavey TG, Gomersall SR, Clark BK, Brown WJ. The validity of the GENEActiv wrist-worn accelerometer for measuring adult sedentary time in free living. J Sci Med Sport. 2016;19(5):395-9.</w:t>
      </w:r>
      <w:bookmarkEnd w:id="530"/>
    </w:p>
    <w:p w14:paraId="11883C39" w14:textId="77777777" w:rsidR="00EB6EA4" w:rsidRPr="00EB6EA4" w:rsidRDefault="00EB6EA4" w:rsidP="00EB6EA4">
      <w:pPr>
        <w:pStyle w:val="EndNoteBibliography"/>
        <w:spacing w:after="0"/>
      </w:pPr>
      <w:bookmarkStart w:id="531" w:name="_ENREF_62"/>
      <w:r w:rsidRPr="00EB6EA4">
        <w:t>62.</w:t>
      </w:r>
      <w:r w:rsidRPr="00EB6EA4">
        <w:tab/>
        <w:t>Fraysse F, Post D, Eston R, Kasai D, Rowlands AV, Parfitt G. Physical activity intensity cut-points for wrist-worn GENEActiv in older adults. Frontiers in Sports and Active Living. 2020;2.</w:t>
      </w:r>
      <w:bookmarkEnd w:id="531"/>
    </w:p>
    <w:p w14:paraId="68E9F455" w14:textId="77777777" w:rsidR="00EB6EA4" w:rsidRPr="00EB6EA4" w:rsidRDefault="00EB6EA4" w:rsidP="00EB6EA4">
      <w:pPr>
        <w:pStyle w:val="EndNoteBibliography"/>
        <w:spacing w:after="0"/>
      </w:pPr>
      <w:bookmarkStart w:id="532" w:name="_ENREF_63"/>
      <w:r w:rsidRPr="00EB6EA4">
        <w:t>63.</w:t>
      </w:r>
      <w:r w:rsidRPr="00EB6EA4">
        <w:tab/>
        <w:t>Cruz-Jentoft AJ, Bahat G, Bauer J, Boirie Y, Bruyère O, Cederholm T, et al. Sarcopenia: revised European consensus on definition and diagnosis. Age and Ageing. 2019;48(1):16-31.</w:t>
      </w:r>
      <w:bookmarkEnd w:id="532"/>
    </w:p>
    <w:p w14:paraId="67583650" w14:textId="77777777" w:rsidR="00EB6EA4" w:rsidRPr="00EB6EA4" w:rsidRDefault="00EB6EA4" w:rsidP="00EB6EA4">
      <w:pPr>
        <w:pStyle w:val="EndNoteBibliography"/>
        <w:spacing w:after="0"/>
      </w:pPr>
      <w:bookmarkStart w:id="533" w:name="_ENREF_64"/>
      <w:r w:rsidRPr="00EB6EA4">
        <w:t>64.</w:t>
      </w:r>
      <w:r w:rsidRPr="00EB6EA4">
        <w:tab/>
        <w:t>Roush JR, Gombold KL, Bay RC. Normative grip strength values in males and females, ages 50 to 89 years old. Internet Journal of Allied Health Sciences and Practice. 2017;16(1):7.</w:t>
      </w:r>
      <w:bookmarkEnd w:id="533"/>
    </w:p>
    <w:p w14:paraId="275B2BB0" w14:textId="77777777" w:rsidR="00EB6EA4" w:rsidRPr="00EB6EA4" w:rsidRDefault="00EB6EA4" w:rsidP="00EB6EA4">
      <w:pPr>
        <w:pStyle w:val="EndNoteBibliography"/>
        <w:spacing w:after="0"/>
      </w:pPr>
      <w:bookmarkStart w:id="534" w:name="_ENREF_65"/>
      <w:r w:rsidRPr="00EB6EA4">
        <w:t>65.</w:t>
      </w:r>
      <w:r w:rsidRPr="00EB6EA4">
        <w:tab/>
        <w:t>Villafane JH, Valdes K, Bertozzi L, Negrini S. Minimal Clinically Important Difference of Grip and Pinch Strength in Women With Thumb Carpometacarpal Osteoarthritis When Compared to Healthy Subjects. Rehabil Nurs. 2014.</w:t>
      </w:r>
      <w:bookmarkEnd w:id="534"/>
    </w:p>
    <w:p w14:paraId="4C343B55" w14:textId="77777777" w:rsidR="00EB6EA4" w:rsidRPr="00EB6EA4" w:rsidRDefault="00EB6EA4" w:rsidP="00EB6EA4">
      <w:pPr>
        <w:pStyle w:val="EndNoteBibliography"/>
        <w:spacing w:after="0"/>
      </w:pPr>
      <w:bookmarkStart w:id="535" w:name="_ENREF_66"/>
      <w:r w:rsidRPr="00EB6EA4">
        <w:t>66.</w:t>
      </w:r>
      <w:r w:rsidRPr="00EB6EA4">
        <w:tab/>
        <w:t>Rabin R, de Charro F. EQ-5D: a measure of health status from the EuroQol Group. Ann Med. 2001;33(5):337-43.</w:t>
      </w:r>
      <w:bookmarkEnd w:id="535"/>
    </w:p>
    <w:p w14:paraId="2BB339B6" w14:textId="77777777" w:rsidR="00EB6EA4" w:rsidRPr="00EB6EA4" w:rsidRDefault="00EB6EA4" w:rsidP="00EB6EA4">
      <w:pPr>
        <w:pStyle w:val="EndNoteBibliography"/>
        <w:spacing w:after="0"/>
      </w:pPr>
      <w:bookmarkStart w:id="536" w:name="_ENREF_67"/>
      <w:r w:rsidRPr="00EB6EA4">
        <w:t>67.</w:t>
      </w:r>
      <w:r w:rsidRPr="00EB6EA4">
        <w:tab/>
        <w:t>Van Hout B, Janssen M, Feng Y-S, Kohlmann T, Busschbach J, Golicki D, et al. Interim scoring for the EQ-5D-5L: mapping the EQ-5D-5L to EQ-5D-3L value sets. Value in health. 2012;15(5):708-15.</w:t>
      </w:r>
      <w:bookmarkEnd w:id="536"/>
    </w:p>
    <w:p w14:paraId="119FE241" w14:textId="77777777" w:rsidR="00EB6EA4" w:rsidRPr="00EB6EA4" w:rsidRDefault="00EB6EA4" w:rsidP="00EB6EA4">
      <w:pPr>
        <w:pStyle w:val="EndNoteBibliography"/>
        <w:spacing w:after="0"/>
      </w:pPr>
      <w:bookmarkStart w:id="537" w:name="_ENREF_68"/>
      <w:r w:rsidRPr="00EB6EA4">
        <w:t>68.</w:t>
      </w:r>
      <w:r w:rsidRPr="00EB6EA4">
        <w:tab/>
        <w:t>Williams M, Peterson GM, Tenni PC, Bindoff IK, Stafford AC. DOCUMENT: a system for classifying drug-related problems in community pharmacy. International journal of clinical pharmacy. 2012;34(1):43-52.</w:t>
      </w:r>
      <w:bookmarkEnd w:id="537"/>
    </w:p>
    <w:p w14:paraId="5857A7F7" w14:textId="77777777" w:rsidR="00EB6EA4" w:rsidRPr="00EB6EA4" w:rsidRDefault="00EB6EA4" w:rsidP="00EB6EA4">
      <w:pPr>
        <w:pStyle w:val="EndNoteBibliography"/>
        <w:spacing w:after="0"/>
      </w:pPr>
      <w:bookmarkStart w:id="538" w:name="_ENREF_69"/>
      <w:r w:rsidRPr="00EB6EA4">
        <w:t>69.</w:t>
      </w:r>
      <w:r w:rsidRPr="00EB6EA4">
        <w:tab/>
        <w:t>Hepler CD, Strand LM. Opportunities and responsibilities in pharmaceutical care. American journal of hospital pharmacy. 1990;47(3):533-43.</w:t>
      </w:r>
      <w:bookmarkEnd w:id="538"/>
    </w:p>
    <w:p w14:paraId="120819BC" w14:textId="70165F37" w:rsidR="00EB6EA4" w:rsidRPr="00EB6EA4" w:rsidRDefault="00EB6EA4" w:rsidP="00EB6EA4">
      <w:pPr>
        <w:pStyle w:val="EndNoteBibliography"/>
        <w:spacing w:after="0"/>
      </w:pPr>
      <w:bookmarkStart w:id="539" w:name="_ENREF_70"/>
      <w:r w:rsidRPr="00EB6EA4">
        <w:t>70.</w:t>
      </w:r>
      <w:r w:rsidRPr="00EB6EA4">
        <w:tab/>
        <w:t xml:space="preserve">PCNE D. Classification System 2006: Available from: </w:t>
      </w:r>
      <w:hyperlink r:id="rId68" w:history="1">
        <w:r w:rsidRPr="00EB6EA4">
          <w:rPr>
            <w:rStyle w:val="Hyperlink"/>
          </w:rPr>
          <w:t>http://www</w:t>
        </w:r>
      </w:hyperlink>
      <w:r w:rsidRPr="00EB6EA4">
        <w:t>. pcne. org/sig/drp/documents/drp. PCNE% 20classification% 20V5.1.</w:t>
      </w:r>
      <w:bookmarkEnd w:id="539"/>
    </w:p>
    <w:p w14:paraId="537012FC" w14:textId="77777777" w:rsidR="00EB6EA4" w:rsidRPr="00EB6EA4" w:rsidRDefault="00EB6EA4" w:rsidP="00EB6EA4">
      <w:pPr>
        <w:pStyle w:val="EndNoteBibliography"/>
        <w:spacing w:after="0"/>
      </w:pPr>
      <w:bookmarkStart w:id="540" w:name="_ENREF_71"/>
      <w:r w:rsidRPr="00EB6EA4">
        <w:t>71.</w:t>
      </w:r>
      <w:r w:rsidRPr="00EB6EA4">
        <w:tab/>
        <w:t>Cohen J. A coefficient of agreement for nominal scales. Educational and psychological measurement. 1960;20(1):37-46.</w:t>
      </w:r>
      <w:bookmarkEnd w:id="540"/>
    </w:p>
    <w:p w14:paraId="31F765E4" w14:textId="77777777" w:rsidR="00EB6EA4" w:rsidRPr="00EB6EA4" w:rsidRDefault="00EB6EA4" w:rsidP="00EB6EA4">
      <w:pPr>
        <w:pStyle w:val="EndNoteBibliography"/>
        <w:spacing w:after="0"/>
      </w:pPr>
      <w:bookmarkStart w:id="541" w:name="_ENREF_72"/>
      <w:r w:rsidRPr="00EB6EA4">
        <w:t>72.</w:t>
      </w:r>
      <w:r w:rsidRPr="00EB6EA4">
        <w:tab/>
        <w:t>Friendly M, Meyer D. Discrete data analysis with R: visualization and modeling techniques for categorical and count data: CRC Press; 2015.</w:t>
      </w:r>
      <w:bookmarkEnd w:id="541"/>
    </w:p>
    <w:p w14:paraId="15356159" w14:textId="77777777" w:rsidR="00EB6EA4" w:rsidRPr="00EB6EA4" w:rsidRDefault="00EB6EA4" w:rsidP="00EB6EA4">
      <w:pPr>
        <w:pStyle w:val="EndNoteBibliography"/>
        <w:spacing w:after="0"/>
      </w:pPr>
      <w:bookmarkStart w:id="542" w:name="_ENREF_73"/>
      <w:r w:rsidRPr="00EB6EA4">
        <w:t>73.</w:t>
      </w:r>
      <w:r w:rsidRPr="00EB6EA4">
        <w:tab/>
        <w:t>Naranjo CA, Busto U, Sellers EM, Sandor P, Ruiz I, Roberts E, et al. A method for estimating the probability of adverse drug reactions. Clinical Pharmacology &amp; Therapeutics. 1981;30(2):239-45.</w:t>
      </w:r>
      <w:bookmarkEnd w:id="542"/>
    </w:p>
    <w:p w14:paraId="406BDA23" w14:textId="77777777" w:rsidR="00EB6EA4" w:rsidRPr="00EB6EA4" w:rsidRDefault="00EB6EA4" w:rsidP="00EB6EA4">
      <w:pPr>
        <w:pStyle w:val="EndNoteBibliography"/>
        <w:spacing w:after="0"/>
      </w:pPr>
      <w:bookmarkStart w:id="543" w:name="_ENREF_74"/>
      <w:r w:rsidRPr="00EB6EA4">
        <w:t>74.</w:t>
      </w:r>
      <w:r w:rsidRPr="00EB6EA4">
        <w:tab/>
        <w:t>Schumock G, Thornton J. Focusing on the preventability of adverse drug reactions. Hospital pharmacy. 1992;27(6):538-.</w:t>
      </w:r>
      <w:bookmarkEnd w:id="543"/>
    </w:p>
    <w:p w14:paraId="2DB53A52" w14:textId="3E0188A2" w:rsidR="00EB6EA4" w:rsidRPr="00EB6EA4" w:rsidRDefault="00EB6EA4" w:rsidP="00EB6EA4">
      <w:pPr>
        <w:pStyle w:val="EndNoteBibliography"/>
        <w:spacing w:after="0"/>
      </w:pPr>
      <w:bookmarkStart w:id="544" w:name="_ENREF_75"/>
      <w:r w:rsidRPr="00EB6EA4">
        <w:t>75.</w:t>
      </w:r>
      <w:r w:rsidRPr="00EB6EA4">
        <w:tab/>
        <w:t xml:space="preserve">Flinders Centre for Ageing Studies. ALSA: The Australian Longitudinal Study of Ageing 2016 [updated 2016 April 6. Available from: </w:t>
      </w:r>
      <w:hyperlink r:id="rId69" w:history="1">
        <w:r w:rsidRPr="00EB6EA4">
          <w:rPr>
            <w:rStyle w:val="Hyperlink"/>
          </w:rPr>
          <w:t>http://www.flinders.edu.au/sabs/fcas/alsa/</w:t>
        </w:r>
      </w:hyperlink>
      <w:r w:rsidRPr="00EB6EA4">
        <w:t>.</w:t>
      </w:r>
      <w:bookmarkEnd w:id="544"/>
    </w:p>
    <w:p w14:paraId="76A5C1C8" w14:textId="77777777" w:rsidR="00EB6EA4" w:rsidRPr="00EB6EA4" w:rsidRDefault="00EB6EA4" w:rsidP="00EB6EA4">
      <w:pPr>
        <w:pStyle w:val="EndNoteBibliography"/>
        <w:spacing w:after="0"/>
      </w:pPr>
      <w:bookmarkStart w:id="545" w:name="_ENREF_76"/>
      <w:r w:rsidRPr="00EB6EA4">
        <w:lastRenderedPageBreak/>
        <w:t>76.</w:t>
      </w:r>
      <w:r w:rsidRPr="00EB6EA4">
        <w:tab/>
        <w:t>Runciman WB, Roughead EE, Semple SJ, Adams RJ. Adverse drug events and medication errors in Australia. Int J Qual Health Care. 2003;15 Suppl 1:i49-59.</w:t>
      </w:r>
      <w:bookmarkEnd w:id="545"/>
    </w:p>
    <w:p w14:paraId="66D5340F" w14:textId="77777777" w:rsidR="00EB6EA4" w:rsidRPr="00EB6EA4" w:rsidRDefault="00EB6EA4" w:rsidP="00EB6EA4">
      <w:pPr>
        <w:pStyle w:val="EndNoteBibliography"/>
        <w:spacing w:after="0"/>
      </w:pPr>
      <w:bookmarkStart w:id="546" w:name="_ENREF_77"/>
      <w:r w:rsidRPr="00EB6EA4">
        <w:t>77.</w:t>
      </w:r>
      <w:r w:rsidRPr="00EB6EA4">
        <w:tab/>
        <w:t>Theou O, Sluggett JK, Bell JS, Lalic S, Cooper T, Robson L, et al. Frailty, Hospitalization, and Mortality in Residential Aged Care. The Journals of Gerontology: Series A. 2018;73(8):1090-6.</w:t>
      </w:r>
      <w:bookmarkEnd w:id="546"/>
    </w:p>
    <w:p w14:paraId="225DE028" w14:textId="77777777" w:rsidR="00EB6EA4" w:rsidRPr="00EB6EA4" w:rsidRDefault="00EB6EA4" w:rsidP="00EB6EA4">
      <w:pPr>
        <w:pStyle w:val="EndNoteBibliography"/>
        <w:spacing w:after="0"/>
      </w:pPr>
      <w:bookmarkStart w:id="547" w:name="_ENREF_78"/>
      <w:r w:rsidRPr="00EB6EA4">
        <w:t>78.</w:t>
      </w:r>
      <w:r w:rsidRPr="00EB6EA4">
        <w:tab/>
        <w:t>Goldstein H, Healy MJ. The graphical presentation of a collection of means. Journal of the Royal Statistical Society: Series A (Statistics in Society). 1995;158(1):175-7.</w:t>
      </w:r>
      <w:bookmarkEnd w:id="547"/>
    </w:p>
    <w:p w14:paraId="0AA73D12" w14:textId="77777777" w:rsidR="00EB6EA4" w:rsidRPr="00EB6EA4" w:rsidRDefault="00EB6EA4" w:rsidP="00EB6EA4">
      <w:pPr>
        <w:pStyle w:val="EndNoteBibliography"/>
        <w:spacing w:after="0"/>
      </w:pPr>
      <w:bookmarkStart w:id="548" w:name="_ENREF_79"/>
      <w:r w:rsidRPr="00EB6EA4">
        <w:t>79.</w:t>
      </w:r>
      <w:r w:rsidRPr="00EB6EA4">
        <w:tab/>
        <w:t>Krishnan K, Rossetti H, Hynan LS, Carter K, Falkowski J, Lacritz L, et al. Changes in Montreal Cognitive Assessment scores over time. Assessment. 2017;24(6):772-7.</w:t>
      </w:r>
      <w:bookmarkEnd w:id="548"/>
    </w:p>
    <w:p w14:paraId="5F54D31A" w14:textId="77777777" w:rsidR="00EB6EA4" w:rsidRPr="00EB6EA4" w:rsidRDefault="00EB6EA4" w:rsidP="00EB6EA4">
      <w:pPr>
        <w:pStyle w:val="EndNoteBibliography"/>
        <w:spacing w:after="0"/>
      </w:pPr>
      <w:bookmarkStart w:id="549" w:name="_ENREF_80"/>
      <w:r w:rsidRPr="00EB6EA4">
        <w:t>80.</w:t>
      </w:r>
      <w:r w:rsidRPr="00EB6EA4">
        <w:tab/>
        <w:t>Wolowacz SE, Briggs A, Belozeroff V, Clarke P, Doward L, Goeree R, et al. Estimating health-state utility for economic models in clinical studies: an ISPOR good research practices task force report. Value in Health. 2016;19(6):704-19.</w:t>
      </w:r>
      <w:bookmarkEnd w:id="549"/>
    </w:p>
    <w:p w14:paraId="52F90F6A" w14:textId="77777777" w:rsidR="00EB6EA4" w:rsidRPr="00EB6EA4" w:rsidRDefault="00EB6EA4" w:rsidP="00EB6EA4">
      <w:pPr>
        <w:pStyle w:val="EndNoteBibliography"/>
        <w:spacing w:after="0"/>
      </w:pPr>
      <w:bookmarkStart w:id="550" w:name="_ENREF_81"/>
      <w:r w:rsidRPr="00EB6EA4">
        <w:t>81.</w:t>
      </w:r>
      <w:r w:rsidRPr="00EB6EA4">
        <w:tab/>
        <w:t>Kripke DF, Garfinkel L, Wingard DL, Klauber MR, Marler MR. Mortality associated with sleep duration and insomnia. Archives of general psychiatry. 2002;59(2):131-6.</w:t>
      </w:r>
      <w:bookmarkEnd w:id="550"/>
    </w:p>
    <w:p w14:paraId="79D73B82" w14:textId="77777777" w:rsidR="00EB6EA4" w:rsidRPr="00EB6EA4" w:rsidRDefault="00EB6EA4" w:rsidP="00EB6EA4">
      <w:pPr>
        <w:pStyle w:val="EndNoteBibliography"/>
        <w:spacing w:after="0"/>
      </w:pPr>
      <w:bookmarkStart w:id="551" w:name="_ENREF_82"/>
      <w:r w:rsidRPr="00EB6EA4">
        <w:t>82.</w:t>
      </w:r>
      <w:r w:rsidRPr="00EB6EA4">
        <w:tab/>
        <w:t>Theou O, Blodgett JM, Godin J, Rockwood K. Association between sedentary time and mortality across levels of frailty. Cmaj. 2017;189(33):E1056-E64.</w:t>
      </w:r>
      <w:bookmarkEnd w:id="551"/>
    </w:p>
    <w:p w14:paraId="24DF6FB2" w14:textId="77777777" w:rsidR="00EB6EA4" w:rsidRPr="00EB6EA4" w:rsidRDefault="00EB6EA4" w:rsidP="00EB6EA4">
      <w:pPr>
        <w:pStyle w:val="EndNoteBibliography"/>
        <w:spacing w:after="0"/>
      </w:pPr>
      <w:bookmarkStart w:id="552" w:name="_ENREF_83"/>
      <w:r w:rsidRPr="00EB6EA4">
        <w:t>83.</w:t>
      </w:r>
      <w:r w:rsidRPr="00EB6EA4">
        <w:tab/>
        <w:t>Song J, Lindquist LA, Chang RW, Semanik PA, Ehrlich-Jones LS, Lee J, et al. Sedentary behavior as a risk factor for physical frailty independent of moderate activity: results from the osteoarthritis initiative. American journal of public health. 2015;105(7):1439-45.</w:t>
      </w:r>
      <w:bookmarkEnd w:id="552"/>
    </w:p>
    <w:p w14:paraId="5462BA17" w14:textId="77777777" w:rsidR="00EB6EA4" w:rsidRPr="00EB6EA4" w:rsidRDefault="00EB6EA4" w:rsidP="00EB6EA4">
      <w:pPr>
        <w:pStyle w:val="EndNoteBibliography"/>
        <w:spacing w:after="0"/>
      </w:pPr>
      <w:bookmarkStart w:id="553" w:name="_ENREF_84"/>
      <w:r w:rsidRPr="00EB6EA4">
        <w:t>84.</w:t>
      </w:r>
      <w:r w:rsidRPr="00EB6EA4">
        <w:tab/>
        <w:t>Mankowski RT, Anton SD, Axtell R, Chen SH, Fielding RA, Glynn NW, et al. Device‐measured physical activity as a predictor of disability in mobility‐limited older adults. Journal of the American Geriatrics Society. 2017;65(10):2251-6.</w:t>
      </w:r>
      <w:bookmarkEnd w:id="553"/>
    </w:p>
    <w:p w14:paraId="21E730C7" w14:textId="77777777" w:rsidR="00EB6EA4" w:rsidRPr="00EB6EA4" w:rsidRDefault="00EB6EA4" w:rsidP="00EB6EA4">
      <w:pPr>
        <w:pStyle w:val="EndNoteBibliography"/>
        <w:spacing w:after="0"/>
      </w:pPr>
      <w:bookmarkStart w:id="554" w:name="_ENREF_85"/>
      <w:r w:rsidRPr="00EB6EA4">
        <w:t>85.</w:t>
      </w:r>
      <w:r w:rsidRPr="00EB6EA4">
        <w:tab/>
        <w:t>Jefferis BJ, Parsons TJ, Sartini C, Ash S, Lennon LT, Papacosta O, et al. Objectively measured physical activity, sedentary behaviour and all-cause mortality in older men: does volume of activity matter more than pattern of accumulation? British Journal of Sports Medicine. 2019;53(16):1013-20.</w:t>
      </w:r>
      <w:bookmarkEnd w:id="554"/>
    </w:p>
    <w:p w14:paraId="51BA2FB5" w14:textId="77777777" w:rsidR="00EB6EA4" w:rsidRPr="00EB6EA4" w:rsidRDefault="00EB6EA4" w:rsidP="00EB6EA4">
      <w:pPr>
        <w:pStyle w:val="EndNoteBibliography"/>
        <w:spacing w:after="0"/>
      </w:pPr>
      <w:bookmarkStart w:id="555" w:name="_ENREF_86"/>
      <w:r w:rsidRPr="00EB6EA4">
        <w:t>86.</w:t>
      </w:r>
      <w:r w:rsidRPr="00EB6EA4">
        <w:tab/>
        <w:t>Jódar‐Sánchez F, Martín JJ, López del Amo MP, García L, Araújo‐Santos JM, Epstein D. Cost–Utility Analysis of a Pharmacotherapy Follow‐Up for Elderly Nursing Home Residents in Spain. Journal of the American Geriatrics Society. 2014;62(7):1272-80.</w:t>
      </w:r>
      <w:bookmarkEnd w:id="555"/>
    </w:p>
    <w:p w14:paraId="3963AE0A" w14:textId="77777777" w:rsidR="00EB6EA4" w:rsidRPr="00EB6EA4" w:rsidRDefault="00EB6EA4" w:rsidP="00EB6EA4">
      <w:pPr>
        <w:pStyle w:val="EndNoteBibliography"/>
        <w:spacing w:after="0"/>
      </w:pPr>
      <w:bookmarkStart w:id="556" w:name="_ENREF_87"/>
      <w:r w:rsidRPr="00EB6EA4">
        <w:t>87.</w:t>
      </w:r>
      <w:r w:rsidRPr="00EB6EA4">
        <w:tab/>
        <w:t>Zermansky AG, Alldred DP, Petty DR, Raynor DK, Freemantle N, Eastaugh J, et al. Clinical medication review by a pharmacist of elderly people living in care homes—randomised controlled trial. Age and ageing. 2006;35(6):586-91.</w:t>
      </w:r>
      <w:bookmarkEnd w:id="556"/>
    </w:p>
    <w:p w14:paraId="377BA754" w14:textId="77777777" w:rsidR="00EB6EA4" w:rsidRPr="00EB6EA4" w:rsidRDefault="00EB6EA4" w:rsidP="00EB6EA4">
      <w:pPr>
        <w:pStyle w:val="EndNoteBibliography"/>
        <w:spacing w:after="0"/>
      </w:pPr>
      <w:bookmarkStart w:id="557" w:name="_ENREF_88"/>
      <w:r w:rsidRPr="00EB6EA4">
        <w:t>88.</w:t>
      </w:r>
      <w:r w:rsidRPr="00EB6EA4">
        <w:tab/>
        <w:t>Brulhart MI, Wermeille JP. Multidisciplinary medication review: evaluation of a pharmaceutical care model for nursing homes. International journal of clinical pharmacy. 2011;33(3):549-57.</w:t>
      </w:r>
      <w:bookmarkEnd w:id="557"/>
    </w:p>
    <w:p w14:paraId="31917E88" w14:textId="77777777" w:rsidR="00EB6EA4" w:rsidRPr="00EB6EA4" w:rsidRDefault="00EB6EA4" w:rsidP="00EB6EA4">
      <w:pPr>
        <w:pStyle w:val="EndNoteBibliography"/>
        <w:spacing w:after="0"/>
      </w:pPr>
      <w:bookmarkStart w:id="558" w:name="_ENREF_89"/>
      <w:r w:rsidRPr="00EB6EA4">
        <w:t>89.</w:t>
      </w:r>
      <w:r w:rsidRPr="00EB6EA4">
        <w:tab/>
        <w:t>Furniss L, Burns A, Craig SKL, Scobie S, Cooke J, Faragher B. Effects of a pharmacist's medication review in nursing homes: Randomised controlled trial. The British Journal of Psychiatry. 2000;176(6):563-7.</w:t>
      </w:r>
      <w:bookmarkEnd w:id="558"/>
    </w:p>
    <w:p w14:paraId="49F9AE64" w14:textId="77777777" w:rsidR="00EB6EA4" w:rsidRPr="00EB6EA4" w:rsidRDefault="00EB6EA4" w:rsidP="00EB6EA4">
      <w:pPr>
        <w:pStyle w:val="EndNoteBibliography"/>
        <w:spacing w:after="0"/>
      </w:pPr>
      <w:bookmarkStart w:id="559" w:name="_ENREF_90"/>
      <w:r w:rsidRPr="00EB6EA4">
        <w:t>90.</w:t>
      </w:r>
      <w:r w:rsidRPr="00EB6EA4">
        <w:tab/>
        <w:t>Roberts MS, Stokes JA, King MA, Lynne TA, Purdie DM, Glasziou PP, et al. Outcomes of a randomized controlled trial of a clinical pharmacy intervention in 52 nursing homes. British journal of clinical pharmacology. 2001;51(3):257-65.</w:t>
      </w:r>
      <w:bookmarkEnd w:id="559"/>
    </w:p>
    <w:p w14:paraId="50123AB6" w14:textId="77777777" w:rsidR="00EB6EA4" w:rsidRPr="00EB6EA4" w:rsidRDefault="00EB6EA4" w:rsidP="00EB6EA4">
      <w:pPr>
        <w:pStyle w:val="EndNoteBibliography"/>
        <w:spacing w:after="0"/>
      </w:pPr>
      <w:bookmarkStart w:id="560" w:name="_ENREF_91"/>
      <w:r w:rsidRPr="00EB6EA4">
        <w:t>91.</w:t>
      </w:r>
      <w:r w:rsidRPr="00EB6EA4">
        <w:tab/>
        <w:t>Chia HS, Ho JAH, Lim BD. Pharmacist review and its impact on Singapore nursing homes. Singapore medical journal. 2015;56(9):493.</w:t>
      </w:r>
      <w:bookmarkEnd w:id="560"/>
    </w:p>
    <w:p w14:paraId="76D53093" w14:textId="77777777" w:rsidR="00EB6EA4" w:rsidRPr="00EB6EA4" w:rsidRDefault="00EB6EA4" w:rsidP="00EB6EA4">
      <w:pPr>
        <w:pStyle w:val="EndNoteBibliography"/>
        <w:spacing w:after="0"/>
      </w:pPr>
      <w:bookmarkStart w:id="561" w:name="_ENREF_92"/>
      <w:r w:rsidRPr="00EB6EA4">
        <w:lastRenderedPageBreak/>
        <w:t>92.</w:t>
      </w:r>
      <w:r w:rsidRPr="00EB6EA4">
        <w:tab/>
        <w:t>Christensen D, Trygstad T, Sullivan R, Garmise J, Wegner SE. A pharmacy management intervention for optimizing drug therapy for nursing home patients. The American journal of geriatric pharmacotherapy. 2004;2(4):248-56.</w:t>
      </w:r>
      <w:bookmarkEnd w:id="561"/>
    </w:p>
    <w:p w14:paraId="28B0FE0E" w14:textId="77777777" w:rsidR="00EB6EA4" w:rsidRPr="00EB6EA4" w:rsidRDefault="00EB6EA4" w:rsidP="00EB6EA4">
      <w:pPr>
        <w:pStyle w:val="EndNoteBibliography"/>
        <w:spacing w:after="0"/>
      </w:pPr>
      <w:bookmarkStart w:id="562" w:name="_ENREF_93"/>
      <w:r w:rsidRPr="00EB6EA4">
        <w:t>93.</w:t>
      </w:r>
      <w:r w:rsidRPr="00EB6EA4">
        <w:tab/>
        <w:t>HigginsJPT A, Sterne J. Chapter 8: Assessing risk of bias in included studies. Cochrane handbook for systematic reviews of interventions version. 2011;5(0):243-96.</w:t>
      </w:r>
      <w:bookmarkEnd w:id="562"/>
    </w:p>
    <w:p w14:paraId="0209631E" w14:textId="77777777" w:rsidR="00EB6EA4" w:rsidRPr="00EB6EA4" w:rsidRDefault="00EB6EA4" w:rsidP="00EB6EA4">
      <w:pPr>
        <w:pStyle w:val="EndNoteBibliography"/>
        <w:spacing w:after="0"/>
      </w:pPr>
      <w:bookmarkStart w:id="563" w:name="_ENREF_94"/>
      <w:r w:rsidRPr="00EB6EA4">
        <w:t>94.</w:t>
      </w:r>
      <w:r w:rsidRPr="00EB6EA4">
        <w:tab/>
        <w:t>Andrews JS, Desai U, Kirson NY, Zichlin ML, Ball DE, Matthews BR. Disease severity and minimal clinically important differences in clinical outcome assessments for Alzheimer's disease clinical trials. Alzheimer's &amp; Dementia: Translational Research &amp; Clinical Interventions. 2019;5:354-63.</w:t>
      </w:r>
      <w:bookmarkEnd w:id="563"/>
    </w:p>
    <w:p w14:paraId="1F5DDB0F" w14:textId="77777777" w:rsidR="00EB6EA4" w:rsidRPr="00EB6EA4" w:rsidRDefault="00EB6EA4" w:rsidP="00EB6EA4">
      <w:pPr>
        <w:pStyle w:val="EndNoteBibliography"/>
      </w:pPr>
      <w:bookmarkStart w:id="564" w:name="_ENREF_95"/>
      <w:r w:rsidRPr="00EB6EA4">
        <w:t>95.</w:t>
      </w:r>
      <w:r w:rsidRPr="00EB6EA4">
        <w:tab/>
        <w:t>Chiba Y, VanderWeele TJ. A simple method for principal strata effects when the outcome has been truncated due to death. American journal of epidemiology. 2011;173(7):745-51.</w:t>
      </w:r>
      <w:bookmarkEnd w:id="564"/>
    </w:p>
    <w:p w14:paraId="3C8E28D5" w14:textId="604DAFCB" w:rsidR="002E287B" w:rsidRPr="00183E4D" w:rsidRDefault="0054605B" w:rsidP="00531AF3">
      <w:pPr>
        <w:pStyle w:val="References"/>
        <w:ind w:left="0" w:firstLine="0"/>
      </w:pPr>
      <w:r w:rsidRPr="006A0103">
        <w:fldChar w:fldCharType="end"/>
      </w:r>
    </w:p>
    <w:sectPr w:rsidR="002E287B" w:rsidRPr="00183E4D" w:rsidSect="009E46A1">
      <w:headerReference w:type="even" r:id="rId70"/>
      <w:headerReference w:type="default" r:id="rId71"/>
      <w:footerReference w:type="even" r:id="rId72"/>
      <w:headerReference w:type="first" r:id="rId73"/>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77CAF8" w14:textId="77777777" w:rsidR="007D621B" w:rsidRDefault="007D621B" w:rsidP="00391CFD">
      <w:r>
        <w:separator/>
      </w:r>
    </w:p>
    <w:p w14:paraId="24457DEC" w14:textId="77777777" w:rsidR="007D621B" w:rsidRDefault="007D621B" w:rsidP="00391CFD"/>
  </w:endnote>
  <w:endnote w:type="continuationSeparator" w:id="0">
    <w:p w14:paraId="6258A151" w14:textId="77777777" w:rsidR="007D621B" w:rsidRDefault="007D621B" w:rsidP="00391CFD">
      <w:r>
        <w:continuationSeparator/>
      </w:r>
    </w:p>
    <w:p w14:paraId="5F42BB4E" w14:textId="77777777" w:rsidR="007D621B" w:rsidRDefault="007D621B" w:rsidP="00391C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Humanist 77 7 BT">
    <w:altName w:val="Calibri"/>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horndale AMT">
    <w:charset w:val="00"/>
    <w:family w:val="roman"/>
    <w:pitch w:val="variable"/>
    <w:sig w:usb0="00002A87" w:usb1="C0000000" w:usb2="00000008" w:usb3="00000000" w:csb0="000000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94B47" w14:textId="030DE10C" w:rsidR="007D621B" w:rsidRPr="00557469" w:rsidRDefault="007D621B">
    <w:pPr>
      <w:pStyle w:val="Footer"/>
      <w:jc w:val="right"/>
      <w:rPr>
        <w: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A09E2" w14:textId="1E4D20F3" w:rsidR="007D621B" w:rsidRPr="00C843FF" w:rsidRDefault="007D621B" w:rsidP="00391CFD">
    <w:pPr>
      <w:pStyle w:val="Footer"/>
    </w:pPr>
    <w:r>
      <w:rPr>
        <w:rStyle w:val="PageNumber"/>
        <w:rFonts w:ascii="Arial" w:hAnsi="Arial"/>
        <w:sz w:val="20"/>
      </w:rPr>
      <w:t xml:space="preserve"> Page </w:t>
    </w:r>
    <w:r w:rsidRPr="000B0364">
      <w:rPr>
        <w:rStyle w:val="PageNumber"/>
        <w:rFonts w:ascii="Arial" w:hAnsi="Arial"/>
        <w:b w:val="0"/>
        <w:sz w:val="20"/>
      </w:rPr>
      <w:fldChar w:fldCharType="begin"/>
    </w:r>
    <w:r w:rsidRPr="000B0364">
      <w:rPr>
        <w:rStyle w:val="PageNumber"/>
        <w:rFonts w:ascii="Arial" w:hAnsi="Arial"/>
        <w:sz w:val="20"/>
      </w:rPr>
      <w:instrText xml:space="preserve"> PAGE </w:instrText>
    </w:r>
    <w:r w:rsidRPr="000B0364">
      <w:rPr>
        <w:rStyle w:val="PageNumber"/>
        <w:rFonts w:ascii="Arial" w:hAnsi="Arial"/>
        <w:b w:val="0"/>
        <w:sz w:val="20"/>
      </w:rPr>
      <w:fldChar w:fldCharType="separate"/>
    </w:r>
    <w:r>
      <w:rPr>
        <w:rStyle w:val="PageNumber"/>
        <w:rFonts w:ascii="Arial" w:hAnsi="Arial"/>
        <w:noProof/>
        <w:sz w:val="20"/>
      </w:rPr>
      <w:t>iv</w:t>
    </w:r>
    <w:r w:rsidRPr="000B0364">
      <w:rPr>
        <w:rStyle w:val="PageNumber"/>
        <w:rFonts w:ascii="Arial" w:hAnsi="Arial"/>
        <w:b w:val="0"/>
        <w:sz w:val="20"/>
      </w:rPr>
      <w:fldChar w:fldCharType="end"/>
    </w:r>
    <w:r>
      <w:rPr>
        <w:rStyle w:val="PageNumber"/>
        <w:rFonts w:ascii="Arial" w:hAnsi="Arial"/>
        <w:sz w:val="20"/>
      </w:rPr>
      <w:t xml:space="preserve"> of </w:t>
    </w:r>
    <w:r w:rsidRPr="00894FB1">
      <w:rPr>
        <w:rStyle w:val="PageNumber"/>
        <w:rFonts w:ascii="Arial" w:hAnsi="Arial"/>
        <w:b w:val="0"/>
        <w:sz w:val="20"/>
      </w:rPr>
      <w:fldChar w:fldCharType="begin"/>
    </w:r>
    <w:r w:rsidRPr="00894FB1">
      <w:rPr>
        <w:rStyle w:val="PageNumber"/>
        <w:rFonts w:ascii="Arial" w:hAnsi="Arial"/>
        <w:sz w:val="20"/>
      </w:rPr>
      <w:instrText xml:space="preserve"> NUMPAGES </w:instrText>
    </w:r>
    <w:r w:rsidRPr="00894FB1">
      <w:rPr>
        <w:rStyle w:val="PageNumber"/>
        <w:rFonts w:ascii="Arial" w:hAnsi="Arial"/>
        <w:b w:val="0"/>
        <w:sz w:val="20"/>
      </w:rPr>
      <w:fldChar w:fldCharType="separate"/>
    </w:r>
    <w:r>
      <w:rPr>
        <w:rStyle w:val="PageNumber"/>
        <w:rFonts w:ascii="Arial" w:hAnsi="Arial"/>
        <w:noProof/>
        <w:sz w:val="20"/>
      </w:rPr>
      <w:t>150</w:t>
    </w:r>
    <w:r w:rsidRPr="00894FB1">
      <w:rPr>
        <w:rStyle w:val="PageNumber"/>
        <w:rFonts w:ascii="Arial" w:hAnsi="Arial"/>
        <w:b w:val="0"/>
        <w:sz w:val="20"/>
      </w:rPr>
      <w:fldChar w:fldCharType="end"/>
    </w:r>
    <w:r>
      <w:rPr>
        <w:rStyle w:val="PageNumber"/>
        <w:rFonts w:ascii="Arial" w:hAnsi="Arial"/>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1415D" w14:textId="73561185" w:rsidR="007D621B" w:rsidRPr="00C843FF" w:rsidRDefault="007D621B" w:rsidP="00391CFD">
    <w:pPr>
      <w:pStyle w:val="Footer"/>
      <w:rPr>
        <w:rStyle w:val="PageNumber"/>
        <w:rFonts w:ascii="Arial" w:hAnsi="Arial"/>
        <w:sz w:val="20"/>
      </w:rPr>
    </w:pPr>
    <w:proofErr w:type="spellStart"/>
    <w:r w:rsidRPr="00A80366">
      <w:t>ReMInDAR</w:t>
    </w:r>
    <w:proofErr w:type="spellEnd"/>
    <w:r w:rsidRPr="00A80366">
      <w:t xml:space="preserve"> -</w:t>
    </w:r>
    <w:r>
      <w:t xml:space="preserve"> </w:t>
    </w:r>
    <w:r w:rsidRPr="00A80366">
      <w:t xml:space="preserve">Reducing </w:t>
    </w:r>
    <w:r>
      <w:t>Medicine-induced</w:t>
    </w:r>
    <w:r w:rsidRPr="00A80366">
      <w:t xml:space="preserve"> Deterioration and Adverse Reactions Trial</w:t>
    </w:r>
    <w:r w:rsidR="0033621F">
      <w:t xml:space="preserve"> </w:t>
    </w:r>
    <w:r>
      <w:t xml:space="preserve">– MSAC </w:t>
    </w:r>
    <w:r w:rsidRPr="00A80366">
      <w:rPr>
        <w:rFonts w:ascii="Arial Bold" w:hAnsi="Arial Bold"/>
      </w:rPr>
      <w:t>SBA</w:t>
    </w:r>
    <w:r>
      <w:t xml:space="preserve"> TBC – Commercial in confidence</w:t>
    </w:r>
    <w:r w:rsidRPr="00C843FF">
      <w:rPr>
        <w:rStyle w:val="PageNumber"/>
        <w:rFonts w:ascii="Arial" w:hAnsi="Arial"/>
        <w:sz w:val="20"/>
      </w:rPr>
      <w:tab/>
    </w:r>
    <w:r w:rsidRPr="00C843FF">
      <w:rPr>
        <w:rStyle w:val="PageNumber"/>
        <w:rFonts w:ascii="Arial" w:hAnsi="Arial"/>
        <w:sz w:val="20"/>
      </w:rPr>
      <w:fldChar w:fldCharType="begin"/>
    </w:r>
    <w:r w:rsidRPr="00C843FF">
      <w:rPr>
        <w:rStyle w:val="PageNumber"/>
        <w:rFonts w:ascii="Arial" w:hAnsi="Arial"/>
        <w:sz w:val="20"/>
      </w:rPr>
      <w:instrText xml:space="preserve"> PAGE </w:instrText>
    </w:r>
    <w:r w:rsidRPr="00C843FF">
      <w:rPr>
        <w:rStyle w:val="PageNumber"/>
        <w:rFonts w:ascii="Arial" w:hAnsi="Arial"/>
        <w:sz w:val="20"/>
      </w:rPr>
      <w:fldChar w:fldCharType="separate"/>
    </w:r>
    <w:r w:rsidR="00F462B9">
      <w:rPr>
        <w:rStyle w:val="PageNumber"/>
        <w:rFonts w:ascii="Arial" w:hAnsi="Arial"/>
        <w:noProof/>
        <w:sz w:val="20"/>
      </w:rPr>
      <w:t>137</w:t>
    </w:r>
    <w:r w:rsidRPr="00C843FF">
      <w:rPr>
        <w:rStyle w:val="PageNumber"/>
        <w:rFonts w:ascii="Arial" w:hAnsi="Arial"/>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C8DF7" w14:textId="64D8E01D" w:rsidR="007D621B" w:rsidRPr="00F568FA" w:rsidRDefault="007D621B" w:rsidP="00391CFD">
    <w:pPr>
      <w:pStyle w:val="Footer"/>
      <w:rPr>
        <w:rStyle w:val="PageNumber"/>
        <w:rFonts w:ascii="Arial" w:hAnsi="Arial"/>
        <w:b w:val="0"/>
        <w:sz w:val="20"/>
      </w:rPr>
    </w:pPr>
    <w:r w:rsidRPr="00F568FA">
      <w:rPr>
        <w:rStyle w:val="PageNumber"/>
        <w:rFonts w:ascii="Arial" w:hAnsi="Arial"/>
        <w:snapToGrid w:val="0"/>
        <w:sz w:val="20"/>
      </w:rPr>
      <w:t xml:space="preserve">Page </w:t>
    </w:r>
    <w:r w:rsidRPr="00F568FA">
      <w:rPr>
        <w:rStyle w:val="PageNumber"/>
        <w:rFonts w:ascii="Arial" w:hAnsi="Arial"/>
        <w:b w:val="0"/>
        <w:snapToGrid w:val="0"/>
        <w:sz w:val="20"/>
      </w:rPr>
      <w:fldChar w:fldCharType="begin"/>
    </w:r>
    <w:r w:rsidRPr="00F568FA">
      <w:rPr>
        <w:rStyle w:val="PageNumber"/>
        <w:rFonts w:ascii="Arial" w:hAnsi="Arial"/>
        <w:snapToGrid w:val="0"/>
        <w:sz w:val="20"/>
      </w:rPr>
      <w:instrText xml:space="preserve"> PAGE </w:instrText>
    </w:r>
    <w:r w:rsidRPr="00F568FA">
      <w:rPr>
        <w:rStyle w:val="PageNumber"/>
        <w:rFonts w:ascii="Arial" w:hAnsi="Arial"/>
        <w:b w:val="0"/>
        <w:snapToGrid w:val="0"/>
        <w:sz w:val="20"/>
      </w:rPr>
      <w:fldChar w:fldCharType="separate"/>
    </w:r>
    <w:r>
      <w:rPr>
        <w:rStyle w:val="PageNumber"/>
        <w:rFonts w:ascii="Arial" w:hAnsi="Arial"/>
        <w:noProof/>
        <w:snapToGrid w:val="0"/>
        <w:sz w:val="20"/>
      </w:rPr>
      <w:t>82</w:t>
    </w:r>
    <w:r w:rsidRPr="00F568FA">
      <w:rPr>
        <w:rStyle w:val="PageNumber"/>
        <w:rFonts w:ascii="Arial" w:hAnsi="Arial"/>
        <w:b w:val="0"/>
        <w:snapToGrid w:val="0"/>
        <w:sz w:val="20"/>
      </w:rPr>
      <w:fldChar w:fldCharType="end"/>
    </w:r>
    <w:r w:rsidRPr="00F568FA">
      <w:rPr>
        <w:rStyle w:val="PageNumber"/>
        <w:rFonts w:ascii="Arial" w:hAnsi="Arial"/>
        <w:snapToGrid w:val="0"/>
        <w:sz w:val="20"/>
      </w:rPr>
      <w:t xml:space="preserve"> of </w:t>
    </w:r>
    <w:r w:rsidRPr="00F568FA">
      <w:rPr>
        <w:rStyle w:val="PageNumber"/>
        <w:rFonts w:ascii="Arial" w:hAnsi="Arial"/>
        <w:b w:val="0"/>
        <w:snapToGrid w:val="0"/>
        <w:sz w:val="20"/>
      </w:rPr>
      <w:fldChar w:fldCharType="begin"/>
    </w:r>
    <w:r w:rsidRPr="00F568FA">
      <w:rPr>
        <w:rStyle w:val="PageNumber"/>
        <w:rFonts w:ascii="Arial" w:hAnsi="Arial"/>
        <w:snapToGrid w:val="0"/>
        <w:sz w:val="20"/>
      </w:rPr>
      <w:instrText xml:space="preserve"> NUMPAGES </w:instrText>
    </w:r>
    <w:r w:rsidRPr="00F568FA">
      <w:rPr>
        <w:rStyle w:val="PageNumber"/>
        <w:rFonts w:ascii="Arial" w:hAnsi="Arial"/>
        <w:b w:val="0"/>
        <w:snapToGrid w:val="0"/>
        <w:sz w:val="20"/>
      </w:rPr>
      <w:fldChar w:fldCharType="separate"/>
    </w:r>
    <w:r>
      <w:rPr>
        <w:rStyle w:val="PageNumber"/>
        <w:rFonts w:ascii="Arial" w:hAnsi="Arial"/>
        <w:noProof/>
        <w:snapToGrid w:val="0"/>
        <w:sz w:val="20"/>
      </w:rPr>
      <w:t>150</w:t>
    </w:r>
    <w:r w:rsidRPr="00F568FA">
      <w:rPr>
        <w:rStyle w:val="PageNumber"/>
        <w:rFonts w:ascii="Arial" w:hAnsi="Arial"/>
        <w:b w:val="0"/>
        <w:snapToGrid w:val="0"/>
        <w:sz w:val="20"/>
      </w:rPr>
      <w:fldChar w:fldCharType="end"/>
    </w:r>
    <w:r>
      <w:rPr>
        <w:rStyle w:val="PageNumber"/>
        <w:rFonts w:ascii="Arial" w:hAnsi="Arial"/>
        <w:sz w:val="20"/>
      </w:rPr>
      <w:t xml:space="preserve">   </w:t>
    </w:r>
    <w:r w:rsidRPr="00F568FA">
      <w:rPr>
        <w:rStyle w:val="PageNumber"/>
        <w:rFonts w:ascii="Arial" w:hAnsi="Arial"/>
        <w:sz w:val="20"/>
      </w:rPr>
      <w:t xml:space="preserve">Version No. XX DD/MM/YYYY </w:t>
    </w:r>
    <w:r>
      <w:rPr>
        <w:rStyle w:val="PageNumber"/>
        <w:rFonts w:ascii="Arial" w:hAnsi="Arial"/>
        <w:sz w:val="20"/>
      </w:rPr>
      <w:tab/>
    </w:r>
    <w:r w:rsidRPr="00014EC1">
      <w:rPr>
        <w:rStyle w:val="PageNumber"/>
        <w:rFonts w:ascii="Arial" w:hAnsi="Arial"/>
        <w:sz w:val="20"/>
      </w:rPr>
      <w:t>Application Name &amp; No.</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E83D6" w14:textId="77777777" w:rsidR="007D621B" w:rsidRDefault="007D621B" w:rsidP="00391CFD">
    <w:pPr>
      <w:pStyle w:val="Footer"/>
    </w:pPr>
    <w:r>
      <w:rPr>
        <w:rStyle w:val="PageNumber"/>
        <w:bCs/>
      </w:rPr>
      <w:fldChar w:fldCharType="begin"/>
    </w:r>
    <w:r>
      <w:rPr>
        <w:rStyle w:val="PageNumber"/>
        <w:bCs/>
      </w:rPr>
      <w:instrText xml:space="preserve"> PAGE </w:instrText>
    </w:r>
    <w:r>
      <w:rPr>
        <w:rStyle w:val="PageNumber"/>
        <w:bCs/>
      </w:rPr>
      <w:fldChar w:fldCharType="separate"/>
    </w:r>
    <w:r>
      <w:rPr>
        <w:rStyle w:val="PageNumber"/>
        <w:bCs/>
        <w:noProof/>
      </w:rPr>
      <w:t>42</w:t>
    </w:r>
    <w:r>
      <w:rPr>
        <w:rStyle w:val="PageNumber"/>
        <w:bCs/>
      </w:rPr>
      <w:fldChar w:fldCharType="end"/>
    </w:r>
    <w:r>
      <w:rPr>
        <w:rStyle w:val="PageNumber"/>
      </w:rPr>
      <w:tab/>
      <w:t>Vertebroplasty and kyphoplasty</w:t>
    </w:r>
    <w:r>
      <w:rPr>
        <w:vanish/>
        <w:color w:val="0000FF"/>
      </w:rPr>
      <w:t>&lt;Name of application&gt;</w:t>
    </w:r>
  </w:p>
  <w:p w14:paraId="283BB223" w14:textId="77777777" w:rsidR="007D621B" w:rsidRDefault="007D621B" w:rsidP="00391CFD"/>
  <w:p w14:paraId="1B610112" w14:textId="77777777" w:rsidR="007D621B" w:rsidRDefault="007D621B"/>
  <w:p w14:paraId="67AECDDB" w14:textId="77777777" w:rsidR="007D621B" w:rsidRDefault="007D621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2943CA" w14:textId="77777777" w:rsidR="007D621B" w:rsidRDefault="007D621B" w:rsidP="00391CFD">
      <w:r>
        <w:separator/>
      </w:r>
    </w:p>
    <w:p w14:paraId="71D697CC" w14:textId="77777777" w:rsidR="007D621B" w:rsidRDefault="007D621B" w:rsidP="00391CFD"/>
  </w:footnote>
  <w:footnote w:type="continuationSeparator" w:id="0">
    <w:p w14:paraId="46386C36" w14:textId="77777777" w:rsidR="007D621B" w:rsidRDefault="007D621B" w:rsidP="00391CFD">
      <w:r>
        <w:continuationSeparator/>
      </w:r>
    </w:p>
    <w:p w14:paraId="533D94BF" w14:textId="77777777" w:rsidR="007D621B" w:rsidRDefault="007D621B" w:rsidP="00391CFD"/>
  </w:footnote>
  <w:footnote w:id="1">
    <w:p w14:paraId="5A3B3119" w14:textId="7C9A2C2E" w:rsidR="007D621B" w:rsidRPr="00C7369F" w:rsidRDefault="007D621B" w:rsidP="00C7369F">
      <w:pPr>
        <w:pStyle w:val="FootnoteText"/>
        <w:spacing w:after="0"/>
        <w:contextualSpacing/>
      </w:pPr>
      <w:r>
        <w:rPr>
          <w:rStyle w:val="FootnoteReference"/>
        </w:rPr>
        <w:footnoteRef/>
      </w:r>
      <w:r>
        <w:t xml:space="preserve"> </w:t>
      </w:r>
      <w:r w:rsidRPr="00C7369F">
        <w:t>https://itt.abs.gov.au/itt/r.jsp?ABSMaps</w:t>
      </w:r>
    </w:p>
  </w:footnote>
  <w:footnote w:id="2">
    <w:p w14:paraId="2F3074B6" w14:textId="30C0A7C8" w:rsidR="007D621B" w:rsidRPr="00C7369F" w:rsidRDefault="007D621B" w:rsidP="00D92F9C">
      <w:pPr>
        <w:pStyle w:val="FootnoteText"/>
        <w:spacing w:after="0"/>
        <w:contextualSpacing/>
        <w:rPr>
          <w:lang w:val="en-US"/>
        </w:rPr>
      </w:pPr>
      <w:r>
        <w:rPr>
          <w:rStyle w:val="FootnoteReference"/>
        </w:rPr>
        <w:footnoteRef/>
      </w:r>
      <w:r w:rsidRPr="00C7369F">
        <w:t>https://webarchive.nla.gov.au/awa/20191107022039/https://agedcare.health.gov.au/funding/schedule-of-subsidies-and-supplements-from-20-september-2018</w:t>
      </w:r>
    </w:p>
  </w:footnote>
  <w:footnote w:id="3">
    <w:p w14:paraId="70FA387D" w14:textId="4D4F3FBE" w:rsidR="007D621B" w:rsidRPr="00C7369F" w:rsidRDefault="007D621B" w:rsidP="00D92F9C">
      <w:pPr>
        <w:pStyle w:val="FootnoteText"/>
        <w:spacing w:after="0"/>
        <w:contextualSpacing/>
        <w:rPr>
          <w:lang w:val="en-US"/>
        </w:rPr>
      </w:pPr>
      <w:r>
        <w:rPr>
          <w:rStyle w:val="FootnoteReference"/>
        </w:rPr>
        <w:footnoteRef/>
      </w:r>
      <w:r w:rsidRPr="00C7369F">
        <w:t>https://www.abs.gov.au/ausstats/abs@.nsf/Lookup/by%20Subject/2033.0.55.001~2016~Main%20Features~IRSD%20Interactive%20Map~15</w:t>
      </w:r>
    </w:p>
  </w:footnote>
  <w:footnote w:id="4">
    <w:p w14:paraId="3FDD7B86" w14:textId="77777777" w:rsidR="007D621B" w:rsidRDefault="007D621B" w:rsidP="00BB74AC">
      <w:pPr>
        <w:pStyle w:val="FootnoteText"/>
      </w:pPr>
      <w:r>
        <w:rPr>
          <w:rStyle w:val="FootnoteReference"/>
        </w:rPr>
        <w:footnoteRef/>
      </w:r>
      <w:r>
        <w:t xml:space="preserve"> </w:t>
      </w:r>
      <w:r w:rsidRPr="00F5238C">
        <w:t xml:space="preserve">Available at </w:t>
      </w:r>
      <w:hyperlink r:id="rId1" w:history="1">
        <w:r w:rsidRPr="0038332E">
          <w:rPr>
            <w:rStyle w:val="Hyperlink"/>
          </w:rPr>
          <w:t>https://www.ihpa.gov.au/publications/national-efficient-price-determination-2019-20</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E1643" w14:textId="1E277BDD" w:rsidR="001D06E6" w:rsidRDefault="001D06E6">
    <w:pPr>
      <w:pStyle w:val="Header"/>
    </w:pPr>
    <w:r>
      <w:rPr>
        <w:noProof/>
        <w:color w:val="000000"/>
        <w:lang w:eastAsia="en-AU"/>
      </w:rPr>
      <w:drawing>
        <wp:anchor distT="0" distB="0" distL="114300" distR="114300" simplePos="0" relativeHeight="251663360" behindDoc="0" locked="0" layoutInCell="1" allowOverlap="1" wp14:anchorId="6BC77CCA" wp14:editId="56CFC8B6">
          <wp:simplePos x="0" y="0"/>
          <wp:positionH relativeFrom="margin">
            <wp:posOffset>3575344</wp:posOffset>
          </wp:positionH>
          <wp:positionV relativeFrom="margin">
            <wp:posOffset>-821799</wp:posOffset>
          </wp:positionV>
          <wp:extent cx="2150745" cy="1075690"/>
          <wp:effectExtent l="0" t="0" r="0" b="0"/>
          <wp:wrapSquare wrapText="bothSides"/>
          <wp:docPr id="5" name="Picture 5" descr="University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University of South Australia logo"/>
                  <pic:cNvPicPr/>
                </pic:nvPicPr>
                <pic:blipFill>
                  <a:blip r:embed="rId1">
                    <a:extLst>
                      <a:ext uri="{28A0092B-C50C-407E-A947-70E740481C1C}">
                        <a14:useLocalDpi xmlns:a14="http://schemas.microsoft.com/office/drawing/2010/main" val="0"/>
                      </a:ext>
                    </a:extLst>
                  </a:blip>
                  <a:stretch>
                    <a:fillRect/>
                  </a:stretch>
                </pic:blipFill>
                <pic:spPr>
                  <a:xfrm>
                    <a:off x="0" y="0"/>
                    <a:ext cx="2150745" cy="1075690"/>
                  </a:xfrm>
                  <a:prstGeom prst="rect">
                    <a:avLst/>
                  </a:prstGeom>
                </pic:spPr>
              </pic:pic>
            </a:graphicData>
          </a:graphic>
          <wp14:sizeRelH relativeFrom="margin">
            <wp14:pctWidth>0</wp14:pctWidth>
          </wp14:sizeRelH>
          <wp14:sizeRelV relativeFrom="margin">
            <wp14:pctHeight>0</wp14:pctHeight>
          </wp14:sizeRelV>
        </wp:anchor>
      </w:drawing>
    </w:r>
    <w:r w:rsidRPr="001D06E6">
      <w:rPr>
        <w:noProof/>
        <w:color w:val="000000"/>
        <w:lang w:eastAsia="en-AU"/>
      </w:rPr>
      <w:drawing>
        <wp:anchor distT="0" distB="0" distL="114300" distR="114300" simplePos="0" relativeHeight="251662336" behindDoc="1" locked="0" layoutInCell="1" allowOverlap="1" wp14:anchorId="2F070FE3" wp14:editId="2B16FD13">
          <wp:simplePos x="0" y="0"/>
          <wp:positionH relativeFrom="page">
            <wp:posOffset>47625</wp:posOffset>
          </wp:positionH>
          <wp:positionV relativeFrom="page">
            <wp:align>top</wp:align>
          </wp:positionV>
          <wp:extent cx="7559245" cy="10692675"/>
          <wp:effectExtent l="0" t="0" r="381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59245" cy="10692675"/>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B560F" w14:textId="77777777" w:rsidR="007D621B" w:rsidRDefault="007D621B" w:rsidP="00391CF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0A766" w14:textId="77777777" w:rsidR="007D621B" w:rsidRDefault="00612340" w:rsidP="00391CFD">
    <w:pPr>
      <w:pStyle w:val="Header"/>
    </w:pPr>
    <w:r>
      <w:rPr>
        <w:noProof/>
      </w:rPr>
      <w:pict w14:anchorId="28D746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56508" o:spid="_x0000_s2050" type="#_x0000_t136" style="position:absolute;margin-left:0;margin-top:0;width:412.2pt;height:247.3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p w14:paraId="263BDB0D" w14:textId="77777777" w:rsidR="007D621B" w:rsidRDefault="007D621B" w:rsidP="00391CFD"/>
  <w:p w14:paraId="29EA6D1F" w14:textId="77777777" w:rsidR="007D621B" w:rsidRDefault="007D621B"/>
  <w:p w14:paraId="727AD168" w14:textId="77777777" w:rsidR="007D621B" w:rsidRDefault="007D621B"/>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E725D" w14:textId="77777777" w:rsidR="007D621B" w:rsidRDefault="007D621B"/>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93DBC" w14:textId="77777777" w:rsidR="007D621B" w:rsidRDefault="00612340" w:rsidP="00391CFD">
    <w:pPr>
      <w:pStyle w:val="Header"/>
    </w:pPr>
    <w:r>
      <w:rPr>
        <w:noProof/>
      </w:rPr>
      <w:pict w14:anchorId="65CA1B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56507" o:spid="_x0000_s2049" type="#_x0000_t136" style="position:absolute;margin-left:0;margin-top:0;width:412.2pt;height:247.3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FCB38" w14:textId="77777777" w:rsidR="007D621B" w:rsidRDefault="007D621B" w:rsidP="00391C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495FD" w14:textId="77777777" w:rsidR="007D621B" w:rsidRDefault="007D621B" w:rsidP="00391CF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418E8" w14:textId="77777777" w:rsidR="007D621B" w:rsidRDefault="007D621B" w:rsidP="00391CF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0800D" w14:textId="77777777" w:rsidR="007D621B" w:rsidRDefault="007D621B" w:rsidP="00391CF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12B4F" w14:textId="77777777" w:rsidR="007D621B" w:rsidRDefault="007D621B" w:rsidP="00391CF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A9798" w14:textId="77777777" w:rsidR="007D621B" w:rsidRDefault="007D621B" w:rsidP="00391CF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C59C7" w14:textId="77777777" w:rsidR="007D621B" w:rsidRDefault="007D621B" w:rsidP="00391CF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9ECC9" w14:textId="77777777" w:rsidR="007D621B" w:rsidRDefault="007D621B" w:rsidP="00391C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DC4F39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2C4031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3347E34"/>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23FCCC28"/>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379017C4"/>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B192D18A"/>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323A2736"/>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98D80A62"/>
    <w:lvl w:ilvl="0">
      <w:start w:val="1"/>
      <w:numFmt w:val="decimal"/>
      <w:pStyle w:val="ListNumber"/>
      <w:lvlText w:val="%1."/>
      <w:lvlJc w:val="left"/>
      <w:pPr>
        <w:tabs>
          <w:tab w:val="num" w:pos="360"/>
        </w:tabs>
        <w:ind w:left="360" w:hanging="360"/>
      </w:pPr>
    </w:lvl>
  </w:abstractNum>
  <w:abstractNum w:abstractNumId="8" w15:restartNumberingAfterBreak="0">
    <w:nsid w:val="03114FCA"/>
    <w:multiLevelType w:val="hybridMultilevel"/>
    <w:tmpl w:val="76DC74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3311526"/>
    <w:multiLevelType w:val="hybridMultilevel"/>
    <w:tmpl w:val="0810A4A8"/>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5C7646F"/>
    <w:multiLevelType w:val="hybridMultilevel"/>
    <w:tmpl w:val="5FAA5DFC"/>
    <w:lvl w:ilvl="0" w:tplc="1B40EA38">
      <w:start w:val="1"/>
      <w:numFmt w:val="decimal"/>
      <w:pStyle w:val="Heading3-SectionA1"/>
      <w:lvlText w:val="A.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63839F7"/>
    <w:multiLevelType w:val="hybridMultilevel"/>
    <w:tmpl w:val="EBD04BB2"/>
    <w:lvl w:ilvl="0" w:tplc="7E4CD064">
      <w:start w:val="1"/>
      <w:numFmt w:val="decimal"/>
      <w:pStyle w:val="Heading3-SectionB3"/>
      <w:lvlText w:val="B.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8264A86"/>
    <w:multiLevelType w:val="hybridMultilevel"/>
    <w:tmpl w:val="4F40BE4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8C47AA7"/>
    <w:multiLevelType w:val="hybridMultilevel"/>
    <w:tmpl w:val="3B26935A"/>
    <w:lvl w:ilvl="0" w:tplc="0C090011">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14" w15:restartNumberingAfterBreak="0">
    <w:nsid w:val="0A4F3529"/>
    <w:multiLevelType w:val="hybridMultilevel"/>
    <w:tmpl w:val="27A2DD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B045312"/>
    <w:multiLevelType w:val="hybridMultilevel"/>
    <w:tmpl w:val="54FE2416"/>
    <w:lvl w:ilvl="0" w:tplc="1C44CAE4">
      <w:start w:val="1"/>
      <w:numFmt w:val="decimal"/>
      <w:pStyle w:val="Heading2-SectionF"/>
      <w:lvlText w:val="F.%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0CC2257A"/>
    <w:multiLevelType w:val="hybridMultilevel"/>
    <w:tmpl w:val="FEAEEA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2113B42"/>
    <w:multiLevelType w:val="singleLevel"/>
    <w:tmpl w:val="56CEB106"/>
    <w:lvl w:ilvl="0">
      <w:start w:val="1"/>
      <w:numFmt w:val="bullet"/>
      <w:pStyle w:val="Dash"/>
      <w:lvlText w:val="–"/>
      <w:lvlJc w:val="left"/>
      <w:pPr>
        <w:tabs>
          <w:tab w:val="num" w:pos="1800"/>
        </w:tabs>
        <w:ind w:left="1800" w:hanging="360"/>
      </w:pPr>
      <w:rPr>
        <w:rFonts w:ascii="Times New Roman" w:hAnsi="Times New Roman" w:hint="default"/>
        <w:sz w:val="20"/>
      </w:rPr>
    </w:lvl>
  </w:abstractNum>
  <w:abstractNum w:abstractNumId="18" w15:restartNumberingAfterBreak="0">
    <w:nsid w:val="13363506"/>
    <w:multiLevelType w:val="hybridMultilevel"/>
    <w:tmpl w:val="3116632A"/>
    <w:lvl w:ilvl="0" w:tplc="E96C518A">
      <w:start w:val="1"/>
      <w:numFmt w:val="bullet"/>
      <w:pStyle w:val="ListBullet"/>
      <w:lvlText w:val=""/>
      <w:lvlJc w:val="left"/>
      <w:pPr>
        <w:ind w:left="36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8DE28E9"/>
    <w:multiLevelType w:val="hybridMultilevel"/>
    <w:tmpl w:val="D53E6544"/>
    <w:lvl w:ilvl="0" w:tplc="37201A6E">
      <w:start w:val="1"/>
      <w:numFmt w:val="bullet"/>
      <w:pStyle w:val="ListQuotes"/>
      <w:lvlText w:val=""/>
      <w:lvlJc w:val="left"/>
      <w:pPr>
        <w:ind w:left="1021" w:hanging="360"/>
      </w:pPr>
      <w:rPr>
        <w:rFonts w:ascii="Wingdings" w:hAnsi="Wingdings" w:hint="default"/>
        <w:color w:val="5B9BD5" w:themeColor="accent1"/>
      </w:rPr>
    </w:lvl>
    <w:lvl w:ilvl="1" w:tplc="0C090003">
      <w:start w:val="1"/>
      <w:numFmt w:val="bullet"/>
      <w:lvlText w:val="o"/>
      <w:lvlJc w:val="left"/>
      <w:pPr>
        <w:ind w:left="1741" w:hanging="360"/>
      </w:pPr>
      <w:rPr>
        <w:rFonts w:ascii="Courier New" w:hAnsi="Courier New" w:cs="Courier New" w:hint="default"/>
      </w:rPr>
    </w:lvl>
    <w:lvl w:ilvl="2" w:tplc="0C090005">
      <w:start w:val="1"/>
      <w:numFmt w:val="bullet"/>
      <w:lvlText w:val=""/>
      <w:lvlJc w:val="left"/>
      <w:pPr>
        <w:ind w:left="2461" w:hanging="360"/>
      </w:pPr>
      <w:rPr>
        <w:rFonts w:ascii="Wingdings" w:hAnsi="Wingdings" w:hint="default"/>
      </w:rPr>
    </w:lvl>
    <w:lvl w:ilvl="3" w:tplc="0C090001">
      <w:start w:val="1"/>
      <w:numFmt w:val="bullet"/>
      <w:lvlText w:val=""/>
      <w:lvlJc w:val="left"/>
      <w:pPr>
        <w:ind w:left="3181" w:hanging="360"/>
      </w:pPr>
      <w:rPr>
        <w:rFonts w:ascii="Symbol" w:hAnsi="Symbol" w:hint="default"/>
      </w:rPr>
    </w:lvl>
    <w:lvl w:ilvl="4" w:tplc="0C090003">
      <w:start w:val="1"/>
      <w:numFmt w:val="bullet"/>
      <w:lvlText w:val="o"/>
      <w:lvlJc w:val="left"/>
      <w:pPr>
        <w:ind w:left="3901" w:hanging="360"/>
      </w:pPr>
      <w:rPr>
        <w:rFonts w:ascii="Courier New" w:hAnsi="Courier New" w:cs="Courier New" w:hint="default"/>
      </w:rPr>
    </w:lvl>
    <w:lvl w:ilvl="5" w:tplc="0C090005">
      <w:start w:val="1"/>
      <w:numFmt w:val="bullet"/>
      <w:lvlText w:val=""/>
      <w:lvlJc w:val="left"/>
      <w:pPr>
        <w:ind w:left="4621" w:hanging="360"/>
      </w:pPr>
      <w:rPr>
        <w:rFonts w:ascii="Wingdings" w:hAnsi="Wingdings" w:hint="default"/>
      </w:rPr>
    </w:lvl>
    <w:lvl w:ilvl="6" w:tplc="0C090001">
      <w:start w:val="1"/>
      <w:numFmt w:val="bullet"/>
      <w:lvlText w:val=""/>
      <w:lvlJc w:val="left"/>
      <w:pPr>
        <w:ind w:left="5341" w:hanging="360"/>
      </w:pPr>
      <w:rPr>
        <w:rFonts w:ascii="Symbol" w:hAnsi="Symbol" w:hint="default"/>
      </w:rPr>
    </w:lvl>
    <w:lvl w:ilvl="7" w:tplc="0C090003">
      <w:start w:val="1"/>
      <w:numFmt w:val="bullet"/>
      <w:lvlText w:val="o"/>
      <w:lvlJc w:val="left"/>
      <w:pPr>
        <w:ind w:left="6061" w:hanging="360"/>
      </w:pPr>
      <w:rPr>
        <w:rFonts w:ascii="Courier New" w:hAnsi="Courier New" w:cs="Courier New" w:hint="default"/>
      </w:rPr>
    </w:lvl>
    <w:lvl w:ilvl="8" w:tplc="0C090005">
      <w:start w:val="1"/>
      <w:numFmt w:val="bullet"/>
      <w:lvlText w:val=""/>
      <w:lvlJc w:val="left"/>
      <w:pPr>
        <w:ind w:left="6781" w:hanging="360"/>
      </w:pPr>
      <w:rPr>
        <w:rFonts w:ascii="Wingdings" w:hAnsi="Wingdings" w:hint="default"/>
      </w:rPr>
    </w:lvl>
  </w:abstractNum>
  <w:abstractNum w:abstractNumId="20" w15:restartNumberingAfterBreak="0">
    <w:nsid w:val="1A6C6A01"/>
    <w:multiLevelType w:val="hybridMultilevel"/>
    <w:tmpl w:val="F8E85E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B542C8D"/>
    <w:multiLevelType w:val="hybridMultilevel"/>
    <w:tmpl w:val="CC90301C"/>
    <w:lvl w:ilvl="0" w:tplc="4EE05960">
      <w:start w:val="1"/>
      <w:numFmt w:val="decimal"/>
      <w:pStyle w:val="Heading3-SectionB7"/>
      <w:lvlText w:val="B.7.%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20A07EC"/>
    <w:multiLevelType w:val="singleLevel"/>
    <w:tmpl w:val="FC24B238"/>
    <w:lvl w:ilvl="0">
      <w:start w:val="1"/>
      <w:numFmt w:val="decimal"/>
      <w:pStyle w:val="ESNumberedSectionHeading"/>
      <w:lvlText w:val="A.%1"/>
      <w:lvlJc w:val="left"/>
      <w:pPr>
        <w:ind w:left="644" w:hanging="360"/>
      </w:pPr>
      <w:rPr>
        <w:rFonts w:ascii="Calibri" w:hAnsi="Calibri" w:hint="default"/>
        <w:b/>
        <w:i w:val="0"/>
        <w:color w:val="auto"/>
        <w:sz w:val="24"/>
      </w:rPr>
    </w:lvl>
  </w:abstractNum>
  <w:abstractNum w:abstractNumId="23" w15:restartNumberingAfterBreak="0">
    <w:nsid w:val="2297262B"/>
    <w:multiLevelType w:val="hybridMultilevel"/>
    <w:tmpl w:val="B7B06910"/>
    <w:lvl w:ilvl="0" w:tplc="F4120CF8">
      <w:start w:val="1"/>
      <w:numFmt w:val="decimal"/>
      <w:pStyle w:val="Heading3-SectionB5"/>
      <w:lvlText w:val="B.5.%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237C0EE4"/>
    <w:multiLevelType w:val="multilevel"/>
    <w:tmpl w:val="FEE071C8"/>
    <w:styleLink w:val="ESSectionheading-numbered"/>
    <w:lvl w:ilvl="0">
      <w:start w:val="1"/>
      <w:numFmt w:val="none"/>
      <w:lvlText w:val="A.1"/>
      <w:lvlJc w:val="left"/>
      <w:pPr>
        <w:ind w:left="1134" w:hanging="1134"/>
      </w:pPr>
      <w:rPr>
        <w:rFonts w:ascii="Calibri" w:hAnsi="Calibri" w:hint="default"/>
        <w:b/>
        <w:i w:val="0"/>
        <w:color w:val="auto"/>
        <w:sz w:val="24"/>
      </w:rPr>
    </w:lvl>
    <w:lvl w:ilvl="1">
      <w:start w:val="1"/>
      <w:numFmt w:val="decimal"/>
      <w:lvlText w:val="B.%2."/>
      <w:lvlJc w:val="left"/>
      <w:pPr>
        <w:ind w:left="1417" w:hanging="1134"/>
      </w:pPr>
      <w:rPr>
        <w:rFonts w:ascii="Calibri" w:hAnsi="Calibri"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25" w15:restartNumberingAfterBreak="0">
    <w:nsid w:val="24E40194"/>
    <w:multiLevelType w:val="hybridMultilevel"/>
    <w:tmpl w:val="5F604C2E"/>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2AE13558"/>
    <w:multiLevelType w:val="hybridMultilevel"/>
    <w:tmpl w:val="3FA29B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E826D2D"/>
    <w:multiLevelType w:val="hybridMultilevel"/>
    <w:tmpl w:val="88AE0C34"/>
    <w:lvl w:ilvl="0" w:tplc="62908B62">
      <w:start w:val="1"/>
      <w:numFmt w:val="decimal"/>
      <w:pStyle w:val="Heading2-SectionE"/>
      <w:lvlText w:val="E.%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1140A89"/>
    <w:multiLevelType w:val="hybridMultilevel"/>
    <w:tmpl w:val="944CB7CC"/>
    <w:lvl w:ilvl="0" w:tplc="4C247B6C">
      <w:start w:val="1"/>
      <w:numFmt w:val="decimal"/>
      <w:pStyle w:val="Style5"/>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9" w15:restartNumberingAfterBreak="0">
    <w:nsid w:val="34CD50FD"/>
    <w:multiLevelType w:val="hybridMultilevel"/>
    <w:tmpl w:val="D27455A2"/>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0" w15:restartNumberingAfterBreak="0">
    <w:nsid w:val="48A06A23"/>
    <w:multiLevelType w:val="hybridMultilevel"/>
    <w:tmpl w:val="60A8724A"/>
    <w:lvl w:ilvl="0" w:tplc="F950FF76">
      <w:start w:val="1"/>
      <w:numFmt w:val="decimal"/>
      <w:pStyle w:val="Heading2-SectionD"/>
      <w:lvlText w:val="D.%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DB0282B"/>
    <w:multiLevelType w:val="hybridMultilevel"/>
    <w:tmpl w:val="A1107268"/>
    <w:lvl w:ilvl="0" w:tplc="9E34B2EA">
      <w:start w:val="1"/>
      <w:numFmt w:val="decimal"/>
      <w:pStyle w:val="Heading2-SectionC"/>
      <w:lvlText w:val="C.%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4E7D457A"/>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515A25B9"/>
    <w:multiLevelType w:val="hybridMultilevel"/>
    <w:tmpl w:val="7966E316"/>
    <w:lvl w:ilvl="0" w:tplc="6A0E0424">
      <w:start w:val="1"/>
      <w:numFmt w:val="decimal"/>
      <w:pStyle w:val="Heading3-SectionA3"/>
      <w:lvlText w:val="A.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B620C0E"/>
    <w:multiLevelType w:val="hybridMultilevel"/>
    <w:tmpl w:val="FB103EFE"/>
    <w:lvl w:ilvl="0" w:tplc="2358292E">
      <w:start w:val="1"/>
      <w:numFmt w:val="decimal"/>
      <w:pStyle w:val="Heading3-SectionB6"/>
      <w:lvlText w:val="B.6.%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D903835"/>
    <w:multiLevelType w:val="singleLevel"/>
    <w:tmpl w:val="48C4148A"/>
    <w:lvl w:ilvl="0">
      <w:numFmt w:val="bullet"/>
      <w:pStyle w:val="Bullet"/>
      <w:lvlText w:val=""/>
      <w:lvlJc w:val="left"/>
      <w:pPr>
        <w:tabs>
          <w:tab w:val="num" w:pos="1440"/>
        </w:tabs>
        <w:ind w:left="1440" w:hanging="720"/>
      </w:pPr>
      <w:rPr>
        <w:rFonts w:ascii="Symbol" w:hAnsi="Symbol" w:hint="default"/>
        <w:sz w:val="22"/>
      </w:rPr>
    </w:lvl>
  </w:abstractNum>
  <w:abstractNum w:abstractNumId="36" w15:restartNumberingAfterBreak="0">
    <w:nsid w:val="614E490C"/>
    <w:multiLevelType w:val="hybridMultilevel"/>
    <w:tmpl w:val="17F2FE9E"/>
    <w:lvl w:ilvl="0" w:tplc="D144B96A">
      <w:start w:val="1"/>
      <w:numFmt w:val="decimal"/>
      <w:pStyle w:val="Heading2-SectionB"/>
      <w:lvlText w:val="B.%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27B5341"/>
    <w:multiLevelType w:val="hybridMultilevel"/>
    <w:tmpl w:val="0D70E0AA"/>
    <w:lvl w:ilvl="0" w:tplc="7D989CD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2EB147C"/>
    <w:multiLevelType w:val="hybridMultilevel"/>
    <w:tmpl w:val="619630AA"/>
    <w:lvl w:ilvl="0" w:tplc="3F0E528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4BB32BE"/>
    <w:multiLevelType w:val="hybridMultilevel"/>
    <w:tmpl w:val="2788D6C6"/>
    <w:lvl w:ilvl="0" w:tplc="B0DA2C7E">
      <w:start w:val="1"/>
      <w:numFmt w:val="decimal"/>
      <w:pStyle w:val="MainBodySectionHeading-numbered"/>
      <w:lvlText w:val="A.%1"/>
      <w:lvlJc w:val="left"/>
      <w:pPr>
        <w:ind w:left="720" w:hanging="360"/>
      </w:pPr>
      <w:rPr>
        <w:rFonts w:ascii="Calibri" w:hAnsi="Calibri" w:hint="default"/>
        <w:b/>
        <w:i w:val="0"/>
        <w:color w:val="auto"/>
        <w:sz w:val="28"/>
      </w:rPr>
    </w:lvl>
    <w:lvl w:ilvl="1" w:tplc="3412F0B6" w:tentative="1">
      <w:start w:val="1"/>
      <w:numFmt w:val="lowerLetter"/>
      <w:lvlText w:val="%2."/>
      <w:lvlJc w:val="left"/>
      <w:pPr>
        <w:ind w:left="1440" w:hanging="360"/>
      </w:pPr>
    </w:lvl>
    <w:lvl w:ilvl="2" w:tplc="0A2C92E8" w:tentative="1">
      <w:start w:val="1"/>
      <w:numFmt w:val="lowerRoman"/>
      <w:lvlText w:val="%3."/>
      <w:lvlJc w:val="right"/>
      <w:pPr>
        <w:ind w:left="2160" w:hanging="180"/>
      </w:pPr>
    </w:lvl>
    <w:lvl w:ilvl="3" w:tplc="51E06328" w:tentative="1">
      <w:start w:val="1"/>
      <w:numFmt w:val="decimal"/>
      <w:lvlText w:val="%4."/>
      <w:lvlJc w:val="left"/>
      <w:pPr>
        <w:ind w:left="2880" w:hanging="360"/>
      </w:pPr>
    </w:lvl>
    <w:lvl w:ilvl="4" w:tplc="55121EB0" w:tentative="1">
      <w:start w:val="1"/>
      <w:numFmt w:val="lowerLetter"/>
      <w:lvlText w:val="%5."/>
      <w:lvlJc w:val="left"/>
      <w:pPr>
        <w:ind w:left="3600" w:hanging="360"/>
      </w:pPr>
    </w:lvl>
    <w:lvl w:ilvl="5" w:tplc="C0BC6618" w:tentative="1">
      <w:start w:val="1"/>
      <w:numFmt w:val="lowerRoman"/>
      <w:lvlText w:val="%6."/>
      <w:lvlJc w:val="right"/>
      <w:pPr>
        <w:ind w:left="4320" w:hanging="180"/>
      </w:pPr>
    </w:lvl>
    <w:lvl w:ilvl="6" w:tplc="2C762004" w:tentative="1">
      <w:start w:val="1"/>
      <w:numFmt w:val="decimal"/>
      <w:lvlText w:val="%7."/>
      <w:lvlJc w:val="left"/>
      <w:pPr>
        <w:ind w:left="5040" w:hanging="360"/>
      </w:pPr>
    </w:lvl>
    <w:lvl w:ilvl="7" w:tplc="AAE0D5E4" w:tentative="1">
      <w:start w:val="1"/>
      <w:numFmt w:val="lowerLetter"/>
      <w:lvlText w:val="%8."/>
      <w:lvlJc w:val="left"/>
      <w:pPr>
        <w:ind w:left="5760" w:hanging="360"/>
      </w:pPr>
    </w:lvl>
    <w:lvl w:ilvl="8" w:tplc="37CCD67A" w:tentative="1">
      <w:start w:val="1"/>
      <w:numFmt w:val="lowerRoman"/>
      <w:lvlText w:val="%9."/>
      <w:lvlJc w:val="right"/>
      <w:pPr>
        <w:ind w:left="6480" w:hanging="180"/>
      </w:pPr>
    </w:lvl>
  </w:abstractNum>
  <w:abstractNum w:abstractNumId="40" w15:restartNumberingAfterBreak="0">
    <w:nsid w:val="6C252901"/>
    <w:multiLevelType w:val="multilevel"/>
    <w:tmpl w:val="96DE4D28"/>
    <w:lvl w:ilvl="0">
      <w:start w:val="1"/>
      <w:numFmt w:val="decimal"/>
      <w:pStyle w:val="Heading2-SectionA"/>
      <w:lvlText w:val="A.%1."/>
      <w:lvlJc w:val="left"/>
      <w:pPr>
        <w:ind w:left="360" w:hanging="360"/>
      </w:pPr>
      <w:rPr>
        <w:rFonts w:hint="default"/>
        <w:b/>
        <w:i w:val="0"/>
        <w:color w:val="358189"/>
        <w:sz w:val="36"/>
        <w:szCs w:val="36"/>
      </w:rPr>
    </w:lvl>
    <w:lvl w:ilvl="1">
      <w:start w:val="1"/>
      <w:numFmt w:val="decimal"/>
      <w:lvlText w:val="%2."/>
      <w:lvlJc w:val="left"/>
      <w:pPr>
        <w:ind w:left="1701" w:hanging="737"/>
      </w:pPr>
      <w:rPr>
        <w:rFonts w:ascii="Calibri" w:hAnsi="Calibri" w:hint="default"/>
        <w:b/>
        <w:i w:val="0"/>
        <w:sz w:val="24"/>
      </w:rPr>
    </w:lvl>
    <w:lvl w:ilvl="2">
      <w:start w:val="1"/>
      <w:numFmt w:val="decimal"/>
      <w:lvlText w:val="B.%3."/>
      <w:lvlJc w:val="left"/>
      <w:pPr>
        <w:ind w:left="1134" w:hanging="1134"/>
      </w:pPr>
      <w:rPr>
        <w:rFonts w:ascii="Calibri" w:hAnsi="Calibri" w:hint="default"/>
        <w:b/>
        <w:i w:val="0"/>
        <w:sz w:val="24"/>
      </w:rPr>
    </w:lvl>
    <w:lvl w:ilvl="3">
      <w:start w:val="1"/>
      <w:numFmt w:val="decimal"/>
      <w:lvlText w:val="%4."/>
      <w:lvlJc w:val="left"/>
      <w:pPr>
        <w:ind w:left="1134" w:hanging="170"/>
      </w:pPr>
      <w:rPr>
        <w:rFonts w:ascii="Calibri" w:hAnsi="Calibri" w:hint="default"/>
        <w:b/>
        <w:i w:val="0"/>
        <w:sz w:val="24"/>
      </w:rPr>
    </w:lvl>
    <w:lvl w:ilvl="4">
      <w:start w:val="1"/>
      <w:numFmt w:val="decimal"/>
      <w:lvlText w:val="C.%5."/>
      <w:lvlJc w:val="left"/>
      <w:pPr>
        <w:ind w:left="1134" w:hanging="1134"/>
      </w:pPr>
      <w:rPr>
        <w:rFonts w:ascii="Calibri" w:hAnsi="Calibri" w:hint="default"/>
        <w:b/>
        <w:i w:val="0"/>
        <w:sz w:val="24"/>
      </w:rPr>
    </w:lvl>
    <w:lvl w:ilvl="5">
      <w:start w:val="1"/>
      <w:numFmt w:val="decimal"/>
      <w:lvlText w:val="%6"/>
      <w:lvlJc w:val="left"/>
      <w:pPr>
        <w:ind w:left="1134" w:hanging="170"/>
      </w:pPr>
      <w:rPr>
        <w:rFonts w:ascii="Calibri" w:hAnsi="Calibri" w:hint="default"/>
        <w:b/>
        <w:i w:val="0"/>
        <w:color w:val="auto"/>
        <w:sz w:val="24"/>
      </w:rPr>
    </w:lvl>
    <w:lvl w:ilvl="6">
      <w:start w:val="1"/>
      <w:numFmt w:val="decimal"/>
      <w:lvlText w:val="D.%7"/>
      <w:lvlJc w:val="left"/>
      <w:pPr>
        <w:ind w:left="1134" w:hanging="1134"/>
      </w:pPr>
      <w:rPr>
        <w:rFonts w:ascii="Calibri" w:hAnsi="Calibri" w:hint="default"/>
        <w:b/>
        <w:i w:val="0"/>
        <w:color w:val="auto"/>
        <w:sz w:val="24"/>
      </w:rPr>
    </w:lvl>
    <w:lvl w:ilvl="7">
      <w:start w:val="1"/>
      <w:numFmt w:val="decimal"/>
      <w:lvlText w:val="%8"/>
      <w:lvlJc w:val="left"/>
      <w:pPr>
        <w:ind w:left="1134" w:hanging="170"/>
      </w:pPr>
      <w:rPr>
        <w:rFonts w:ascii="Calibri" w:hAnsi="Calibri" w:hint="default"/>
        <w:b/>
        <w:i w:val="0"/>
        <w:color w:val="auto"/>
        <w:sz w:val="24"/>
      </w:rPr>
    </w:lvl>
    <w:lvl w:ilvl="8">
      <w:start w:val="1"/>
      <w:numFmt w:val="decimal"/>
      <w:lvlText w:val="E.%9"/>
      <w:lvlJc w:val="left"/>
      <w:pPr>
        <w:ind w:left="1134" w:hanging="1134"/>
      </w:pPr>
      <w:rPr>
        <w:rFonts w:ascii="Calibri" w:hAnsi="Calibri" w:hint="default"/>
        <w:b/>
        <w:i w:val="0"/>
        <w:color w:val="auto"/>
        <w:sz w:val="24"/>
      </w:rPr>
    </w:lvl>
  </w:abstractNum>
  <w:abstractNum w:abstractNumId="41" w15:restartNumberingAfterBreak="0">
    <w:nsid w:val="6CF8287E"/>
    <w:multiLevelType w:val="hybridMultilevel"/>
    <w:tmpl w:val="818E8992"/>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34A270A"/>
    <w:multiLevelType w:val="hybridMultilevel"/>
    <w:tmpl w:val="19867E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B7C29A6"/>
    <w:multiLevelType w:val="hybridMultilevel"/>
    <w:tmpl w:val="079060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D200C70"/>
    <w:multiLevelType w:val="multilevel"/>
    <w:tmpl w:val="37B0CA18"/>
    <w:lvl w:ilvl="0">
      <w:start w:val="1"/>
      <w:numFmt w:val="none"/>
      <w:pStyle w:val="ESSectionHeading-numbered0"/>
      <w:lvlText w:val="A.1"/>
      <w:lvlJc w:val="left"/>
      <w:pPr>
        <w:ind w:left="1134" w:hanging="1134"/>
      </w:pPr>
      <w:rPr>
        <w:rFonts w:ascii="Calibri" w:hAnsi="Calibri" w:hint="default"/>
        <w:b/>
        <w:i w:val="0"/>
        <w:color w:val="auto"/>
        <w:sz w:val="24"/>
      </w:rPr>
    </w:lvl>
    <w:lvl w:ilvl="1">
      <w:start w:val="2"/>
      <w:numFmt w:val="decimal"/>
      <w:lvlText w:val="B.%2"/>
      <w:lvlJc w:val="left"/>
      <w:pPr>
        <w:ind w:left="1134" w:hanging="1134"/>
      </w:pPr>
      <w:rPr>
        <w:rFonts w:ascii="Calibri" w:hAnsi="Calibri" w:hint="default"/>
        <w:b/>
        <w:i w:val="0"/>
        <w:color w:val="auto"/>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45" w15:restartNumberingAfterBreak="0">
    <w:nsid w:val="7F181516"/>
    <w:multiLevelType w:val="hybridMultilevel"/>
    <w:tmpl w:val="FF9EE7EA"/>
    <w:lvl w:ilvl="0" w:tplc="99525AAE">
      <w:start w:val="1"/>
      <w:numFmt w:val="decimal"/>
      <w:pStyle w:val="Nnumberedlist"/>
      <w:lvlText w:val="%1."/>
      <w:lvlJc w:val="left"/>
      <w:pPr>
        <w:tabs>
          <w:tab w:val="num" w:pos="1440"/>
        </w:tabs>
        <w:ind w:left="1440" w:hanging="360"/>
      </w:pPr>
    </w:lvl>
    <w:lvl w:ilvl="1" w:tplc="389C2200" w:tentative="1">
      <w:start w:val="1"/>
      <w:numFmt w:val="lowerLetter"/>
      <w:lvlText w:val="%2."/>
      <w:lvlJc w:val="left"/>
      <w:pPr>
        <w:tabs>
          <w:tab w:val="num" w:pos="2160"/>
        </w:tabs>
        <w:ind w:left="2160" w:hanging="360"/>
      </w:pPr>
    </w:lvl>
    <w:lvl w:ilvl="2" w:tplc="C3F8B188" w:tentative="1">
      <w:start w:val="1"/>
      <w:numFmt w:val="lowerRoman"/>
      <w:lvlText w:val="%3."/>
      <w:lvlJc w:val="right"/>
      <w:pPr>
        <w:tabs>
          <w:tab w:val="num" w:pos="2880"/>
        </w:tabs>
        <w:ind w:left="2880" w:hanging="180"/>
      </w:pPr>
    </w:lvl>
    <w:lvl w:ilvl="3" w:tplc="391E97F0" w:tentative="1">
      <w:start w:val="1"/>
      <w:numFmt w:val="decimal"/>
      <w:lvlText w:val="%4."/>
      <w:lvlJc w:val="left"/>
      <w:pPr>
        <w:tabs>
          <w:tab w:val="num" w:pos="3600"/>
        </w:tabs>
        <w:ind w:left="3600" w:hanging="360"/>
      </w:pPr>
    </w:lvl>
    <w:lvl w:ilvl="4" w:tplc="4F42265E" w:tentative="1">
      <w:start w:val="1"/>
      <w:numFmt w:val="lowerLetter"/>
      <w:lvlText w:val="%5."/>
      <w:lvlJc w:val="left"/>
      <w:pPr>
        <w:tabs>
          <w:tab w:val="num" w:pos="4320"/>
        </w:tabs>
        <w:ind w:left="4320" w:hanging="360"/>
      </w:pPr>
    </w:lvl>
    <w:lvl w:ilvl="5" w:tplc="30546058" w:tentative="1">
      <w:start w:val="1"/>
      <w:numFmt w:val="lowerRoman"/>
      <w:lvlText w:val="%6."/>
      <w:lvlJc w:val="right"/>
      <w:pPr>
        <w:tabs>
          <w:tab w:val="num" w:pos="5040"/>
        </w:tabs>
        <w:ind w:left="5040" w:hanging="180"/>
      </w:pPr>
    </w:lvl>
    <w:lvl w:ilvl="6" w:tplc="6E10F0C6" w:tentative="1">
      <w:start w:val="1"/>
      <w:numFmt w:val="decimal"/>
      <w:lvlText w:val="%7."/>
      <w:lvlJc w:val="left"/>
      <w:pPr>
        <w:tabs>
          <w:tab w:val="num" w:pos="5760"/>
        </w:tabs>
        <w:ind w:left="5760" w:hanging="360"/>
      </w:pPr>
    </w:lvl>
    <w:lvl w:ilvl="7" w:tplc="70B07B9C" w:tentative="1">
      <w:start w:val="1"/>
      <w:numFmt w:val="lowerLetter"/>
      <w:lvlText w:val="%8."/>
      <w:lvlJc w:val="left"/>
      <w:pPr>
        <w:tabs>
          <w:tab w:val="num" w:pos="6480"/>
        </w:tabs>
        <w:ind w:left="6480" w:hanging="360"/>
      </w:pPr>
    </w:lvl>
    <w:lvl w:ilvl="8" w:tplc="9BF48AAC" w:tentative="1">
      <w:start w:val="1"/>
      <w:numFmt w:val="lowerRoman"/>
      <w:lvlText w:val="%9."/>
      <w:lvlJc w:val="right"/>
      <w:pPr>
        <w:tabs>
          <w:tab w:val="num" w:pos="7200"/>
        </w:tabs>
        <w:ind w:left="7200" w:hanging="180"/>
      </w:pPr>
    </w:lvl>
  </w:abstractNum>
  <w:num w:numId="1">
    <w:abstractNumId w:val="35"/>
  </w:num>
  <w:num w:numId="2">
    <w:abstractNumId w:val="17"/>
  </w:num>
  <w:num w:numId="3">
    <w:abstractNumId w:val="45"/>
  </w:num>
  <w:num w:numId="4">
    <w:abstractNumId w:val="39"/>
  </w:num>
  <w:num w:numId="5">
    <w:abstractNumId w:val="24"/>
  </w:num>
  <w:num w:numId="6">
    <w:abstractNumId w:val="44"/>
  </w:num>
  <w:num w:numId="7">
    <w:abstractNumId w:val="22"/>
  </w:num>
  <w:num w:numId="8">
    <w:abstractNumId w:val="40"/>
  </w:num>
  <w:num w:numId="9">
    <w:abstractNumId w:val="19"/>
  </w:num>
  <w:num w:numId="10">
    <w:abstractNumId w:val="28"/>
  </w:num>
  <w:num w:numId="11">
    <w:abstractNumId w:val="12"/>
  </w:num>
  <w:num w:numId="12">
    <w:abstractNumId w:val="13"/>
  </w:num>
  <w:num w:numId="13">
    <w:abstractNumId w:val="43"/>
  </w:num>
  <w:num w:numId="14">
    <w:abstractNumId w:val="38"/>
  </w:num>
  <w:num w:numId="15">
    <w:abstractNumId w:val="16"/>
  </w:num>
  <w:num w:numId="16">
    <w:abstractNumId w:val="37"/>
  </w:num>
  <w:num w:numId="17">
    <w:abstractNumId w:val="42"/>
  </w:num>
  <w:num w:numId="18">
    <w:abstractNumId w:val="26"/>
  </w:num>
  <w:num w:numId="19">
    <w:abstractNumId w:val="14"/>
  </w:num>
  <w:num w:numId="20">
    <w:abstractNumId w:val="18"/>
  </w:num>
  <w:num w:numId="21">
    <w:abstractNumId w:val="29"/>
  </w:num>
  <w:num w:numId="22">
    <w:abstractNumId w:val="41"/>
  </w:num>
  <w:num w:numId="23">
    <w:abstractNumId w:val="9"/>
  </w:num>
  <w:num w:numId="24">
    <w:abstractNumId w:val="20"/>
  </w:num>
  <w:num w:numId="25">
    <w:abstractNumId w:val="8"/>
  </w:num>
  <w:num w:numId="26">
    <w:abstractNumId w:val="36"/>
  </w:num>
  <w:num w:numId="27">
    <w:abstractNumId w:val="31"/>
  </w:num>
  <w:num w:numId="28">
    <w:abstractNumId w:val="30"/>
  </w:num>
  <w:num w:numId="29">
    <w:abstractNumId w:val="27"/>
  </w:num>
  <w:num w:numId="30">
    <w:abstractNumId w:val="15"/>
  </w:num>
  <w:num w:numId="31">
    <w:abstractNumId w:val="10"/>
  </w:num>
  <w:num w:numId="32">
    <w:abstractNumId w:val="33"/>
  </w:num>
  <w:num w:numId="33">
    <w:abstractNumId w:val="11"/>
  </w:num>
  <w:num w:numId="34">
    <w:abstractNumId w:val="23"/>
  </w:num>
  <w:num w:numId="35">
    <w:abstractNumId w:val="34"/>
  </w:num>
  <w:num w:numId="36">
    <w:abstractNumId w:val="25"/>
  </w:num>
  <w:num w:numId="37">
    <w:abstractNumId w:val="21"/>
  </w:num>
  <w:num w:numId="38">
    <w:abstractNumId w:val="7"/>
  </w:num>
  <w:num w:numId="39">
    <w:abstractNumId w:val="32"/>
  </w:num>
  <w:num w:numId="40">
    <w:abstractNumId w:val="7"/>
    <w:lvlOverride w:ilvl="0">
      <w:startOverride w:val="1"/>
    </w:lvlOverride>
  </w:num>
  <w:num w:numId="41">
    <w:abstractNumId w:val="7"/>
    <w:lvlOverride w:ilvl="0">
      <w:startOverride w:val="1"/>
    </w:lvlOverride>
  </w:num>
  <w:num w:numId="42">
    <w:abstractNumId w:val="7"/>
    <w:lvlOverride w:ilvl="0">
      <w:startOverride w:val="1"/>
    </w:lvlOverride>
  </w:num>
  <w:num w:numId="43">
    <w:abstractNumId w:val="7"/>
    <w:lvlOverride w:ilvl="0">
      <w:startOverride w:val="1"/>
    </w:lvlOverride>
  </w:num>
  <w:num w:numId="44">
    <w:abstractNumId w:val="6"/>
  </w:num>
  <w:num w:numId="45">
    <w:abstractNumId w:val="5"/>
  </w:num>
  <w:num w:numId="46">
    <w:abstractNumId w:val="4"/>
  </w:num>
  <w:num w:numId="47">
    <w:abstractNumId w:val="3"/>
  </w:num>
  <w:num w:numId="48">
    <w:abstractNumId w:val="2"/>
  </w:num>
  <w:num w:numId="49">
    <w:abstractNumId w:val="1"/>
  </w:num>
  <w:num w:numId="50">
    <w:abstractNumId w:val="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90"/>
  <w:displayBackgroundShape/>
  <w:embedSystemFonts/>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displayHorizontalDrawingGridEvery w:val="0"/>
  <w:displayVerticalDrawingGridEvery w:val="0"/>
  <w:doNotUseMarginsForDrawingGridOrigin/>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Vancouver&lt;/Style&gt;&lt;LeftDelim&gt;{&lt;/LeftDelim&gt;&lt;RightDelim&gt;}&lt;/RightDelim&gt;&lt;FontName&gt;Tahoma&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9s5z5ped05vxdnede99vfsxhtzavzdzs2d5r&quot;&gt;ReMInDAR_Endnote&lt;record-ids&gt;&lt;item&gt;3&lt;/item&gt;&lt;item&gt;9&lt;/item&gt;&lt;item&gt;10&lt;/item&gt;&lt;item&gt;11&lt;/item&gt;&lt;item&gt;12&lt;/item&gt;&lt;item&gt;13&lt;/item&gt;&lt;item&gt;14&lt;/item&gt;&lt;item&gt;15&lt;/item&gt;&lt;item&gt;16&lt;/item&gt;&lt;item&gt;17&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4&lt;/item&gt;&lt;item&gt;48&lt;/item&gt;&lt;item&gt;56&lt;/item&gt;&lt;item&gt;58&lt;/item&gt;&lt;item&gt;59&lt;/item&gt;&lt;item&gt;60&lt;/item&gt;&lt;item&gt;61&lt;/item&gt;&lt;item&gt;62&lt;/item&gt;&lt;item&gt;63&lt;/item&gt;&lt;item&gt;64&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3&lt;/item&gt;&lt;/record-ids&gt;&lt;/item&gt;&lt;/Libraries&gt;"/>
  </w:docVars>
  <w:rsids>
    <w:rsidRoot w:val="00640EBD"/>
    <w:rsid w:val="000006B5"/>
    <w:rsid w:val="00000B9C"/>
    <w:rsid w:val="00000BEB"/>
    <w:rsid w:val="00000C42"/>
    <w:rsid w:val="00000FA9"/>
    <w:rsid w:val="00000FAA"/>
    <w:rsid w:val="0000127D"/>
    <w:rsid w:val="0000136D"/>
    <w:rsid w:val="0000190C"/>
    <w:rsid w:val="00001C3C"/>
    <w:rsid w:val="00001E31"/>
    <w:rsid w:val="00001F98"/>
    <w:rsid w:val="0000226A"/>
    <w:rsid w:val="0000228D"/>
    <w:rsid w:val="00002552"/>
    <w:rsid w:val="000029F2"/>
    <w:rsid w:val="00003287"/>
    <w:rsid w:val="00003796"/>
    <w:rsid w:val="0000430A"/>
    <w:rsid w:val="00004D16"/>
    <w:rsid w:val="00005109"/>
    <w:rsid w:val="00005257"/>
    <w:rsid w:val="0000536A"/>
    <w:rsid w:val="000055D4"/>
    <w:rsid w:val="000056FA"/>
    <w:rsid w:val="00006627"/>
    <w:rsid w:val="00006641"/>
    <w:rsid w:val="00006961"/>
    <w:rsid w:val="000069A7"/>
    <w:rsid w:val="00006C74"/>
    <w:rsid w:val="000070F9"/>
    <w:rsid w:val="000078F6"/>
    <w:rsid w:val="00007948"/>
    <w:rsid w:val="00007A44"/>
    <w:rsid w:val="00007A4C"/>
    <w:rsid w:val="00007BE0"/>
    <w:rsid w:val="00007D81"/>
    <w:rsid w:val="00007DC0"/>
    <w:rsid w:val="0001015B"/>
    <w:rsid w:val="000106F7"/>
    <w:rsid w:val="0001085B"/>
    <w:rsid w:val="0001088E"/>
    <w:rsid w:val="000108EE"/>
    <w:rsid w:val="000109F3"/>
    <w:rsid w:val="00010BF8"/>
    <w:rsid w:val="00010FB8"/>
    <w:rsid w:val="000111D2"/>
    <w:rsid w:val="0001135D"/>
    <w:rsid w:val="00011550"/>
    <w:rsid w:val="00011758"/>
    <w:rsid w:val="00011772"/>
    <w:rsid w:val="00012EA4"/>
    <w:rsid w:val="00012EA6"/>
    <w:rsid w:val="0001307B"/>
    <w:rsid w:val="000130D3"/>
    <w:rsid w:val="000133F9"/>
    <w:rsid w:val="0001344B"/>
    <w:rsid w:val="000134C1"/>
    <w:rsid w:val="0001357B"/>
    <w:rsid w:val="00013791"/>
    <w:rsid w:val="0001388D"/>
    <w:rsid w:val="00013934"/>
    <w:rsid w:val="000139D1"/>
    <w:rsid w:val="000139EB"/>
    <w:rsid w:val="00013B46"/>
    <w:rsid w:val="00013EA0"/>
    <w:rsid w:val="00013FA1"/>
    <w:rsid w:val="00014736"/>
    <w:rsid w:val="00014917"/>
    <w:rsid w:val="000149C2"/>
    <w:rsid w:val="00014A66"/>
    <w:rsid w:val="00014D6D"/>
    <w:rsid w:val="00014EC1"/>
    <w:rsid w:val="00015282"/>
    <w:rsid w:val="000155E6"/>
    <w:rsid w:val="0001563F"/>
    <w:rsid w:val="000156F4"/>
    <w:rsid w:val="00015787"/>
    <w:rsid w:val="00015C26"/>
    <w:rsid w:val="00015E03"/>
    <w:rsid w:val="000160B3"/>
    <w:rsid w:val="00016333"/>
    <w:rsid w:val="0001667E"/>
    <w:rsid w:val="00016792"/>
    <w:rsid w:val="0001695D"/>
    <w:rsid w:val="00016FDF"/>
    <w:rsid w:val="000171FD"/>
    <w:rsid w:val="00017B2B"/>
    <w:rsid w:val="00017D44"/>
    <w:rsid w:val="000208A2"/>
    <w:rsid w:val="00020A61"/>
    <w:rsid w:val="00020C59"/>
    <w:rsid w:val="00020F15"/>
    <w:rsid w:val="00021072"/>
    <w:rsid w:val="00021FDC"/>
    <w:rsid w:val="0002230A"/>
    <w:rsid w:val="0002265C"/>
    <w:rsid w:val="00022FCD"/>
    <w:rsid w:val="000236CF"/>
    <w:rsid w:val="00023792"/>
    <w:rsid w:val="0002446C"/>
    <w:rsid w:val="00024819"/>
    <w:rsid w:val="00024E73"/>
    <w:rsid w:val="0002581D"/>
    <w:rsid w:val="00025D96"/>
    <w:rsid w:val="00025F1A"/>
    <w:rsid w:val="000266AD"/>
    <w:rsid w:val="000268E9"/>
    <w:rsid w:val="0002695E"/>
    <w:rsid w:val="00026D2F"/>
    <w:rsid w:val="00026D6A"/>
    <w:rsid w:val="00027055"/>
    <w:rsid w:val="0002707D"/>
    <w:rsid w:val="00027329"/>
    <w:rsid w:val="0002749F"/>
    <w:rsid w:val="00027611"/>
    <w:rsid w:val="00027B53"/>
    <w:rsid w:val="00027DDF"/>
    <w:rsid w:val="00027F1B"/>
    <w:rsid w:val="0003006B"/>
    <w:rsid w:val="000303D8"/>
    <w:rsid w:val="00030572"/>
    <w:rsid w:val="00030C76"/>
    <w:rsid w:val="00030E6F"/>
    <w:rsid w:val="00030FB4"/>
    <w:rsid w:val="000311A8"/>
    <w:rsid w:val="00031330"/>
    <w:rsid w:val="0003136E"/>
    <w:rsid w:val="000313F3"/>
    <w:rsid w:val="000314E2"/>
    <w:rsid w:val="00031A2C"/>
    <w:rsid w:val="000321D9"/>
    <w:rsid w:val="0003260D"/>
    <w:rsid w:val="00033E27"/>
    <w:rsid w:val="000340BA"/>
    <w:rsid w:val="00034296"/>
    <w:rsid w:val="00034AE9"/>
    <w:rsid w:val="00034CFE"/>
    <w:rsid w:val="0003587F"/>
    <w:rsid w:val="0003595E"/>
    <w:rsid w:val="00035FF2"/>
    <w:rsid w:val="00036221"/>
    <w:rsid w:val="0003639B"/>
    <w:rsid w:val="00036427"/>
    <w:rsid w:val="0003669F"/>
    <w:rsid w:val="000368B9"/>
    <w:rsid w:val="00036954"/>
    <w:rsid w:val="00036F0B"/>
    <w:rsid w:val="000373D6"/>
    <w:rsid w:val="000373E8"/>
    <w:rsid w:val="000374D5"/>
    <w:rsid w:val="00037729"/>
    <w:rsid w:val="00037B2B"/>
    <w:rsid w:val="00040305"/>
    <w:rsid w:val="000406B4"/>
    <w:rsid w:val="00040D41"/>
    <w:rsid w:val="00040DD2"/>
    <w:rsid w:val="0004109F"/>
    <w:rsid w:val="0004165A"/>
    <w:rsid w:val="00041867"/>
    <w:rsid w:val="00041ADB"/>
    <w:rsid w:val="00041B23"/>
    <w:rsid w:val="00041C6F"/>
    <w:rsid w:val="00041F2B"/>
    <w:rsid w:val="000424B4"/>
    <w:rsid w:val="000427F8"/>
    <w:rsid w:val="00043293"/>
    <w:rsid w:val="0004349F"/>
    <w:rsid w:val="00043C04"/>
    <w:rsid w:val="00043D32"/>
    <w:rsid w:val="0004468B"/>
    <w:rsid w:val="00044B7A"/>
    <w:rsid w:val="0004536B"/>
    <w:rsid w:val="00045471"/>
    <w:rsid w:val="00045C50"/>
    <w:rsid w:val="0004642F"/>
    <w:rsid w:val="000464C3"/>
    <w:rsid w:val="00046E1D"/>
    <w:rsid w:val="000473DD"/>
    <w:rsid w:val="00047426"/>
    <w:rsid w:val="00050356"/>
    <w:rsid w:val="000508A4"/>
    <w:rsid w:val="00050DAA"/>
    <w:rsid w:val="00051060"/>
    <w:rsid w:val="00051085"/>
    <w:rsid w:val="000512A0"/>
    <w:rsid w:val="0005156D"/>
    <w:rsid w:val="00051666"/>
    <w:rsid w:val="00051A96"/>
    <w:rsid w:val="0005232D"/>
    <w:rsid w:val="00052434"/>
    <w:rsid w:val="0005272E"/>
    <w:rsid w:val="00052741"/>
    <w:rsid w:val="0005281F"/>
    <w:rsid w:val="0005287C"/>
    <w:rsid w:val="00052935"/>
    <w:rsid w:val="00052E3F"/>
    <w:rsid w:val="00052FBC"/>
    <w:rsid w:val="00053A89"/>
    <w:rsid w:val="000546ED"/>
    <w:rsid w:val="00054C69"/>
    <w:rsid w:val="000554AA"/>
    <w:rsid w:val="0005577A"/>
    <w:rsid w:val="00055998"/>
    <w:rsid w:val="00055E08"/>
    <w:rsid w:val="00056684"/>
    <w:rsid w:val="00056860"/>
    <w:rsid w:val="00056BE2"/>
    <w:rsid w:val="00056DC4"/>
    <w:rsid w:val="00056ED1"/>
    <w:rsid w:val="00057834"/>
    <w:rsid w:val="00057F86"/>
    <w:rsid w:val="00057FD3"/>
    <w:rsid w:val="00060079"/>
    <w:rsid w:val="00060875"/>
    <w:rsid w:val="000608FD"/>
    <w:rsid w:val="000609A2"/>
    <w:rsid w:val="00060B82"/>
    <w:rsid w:val="00060E4F"/>
    <w:rsid w:val="00060E70"/>
    <w:rsid w:val="000613E7"/>
    <w:rsid w:val="00061A1C"/>
    <w:rsid w:val="00061AF5"/>
    <w:rsid w:val="00061DB6"/>
    <w:rsid w:val="00062064"/>
    <w:rsid w:val="000625F7"/>
    <w:rsid w:val="000627D2"/>
    <w:rsid w:val="00062F2F"/>
    <w:rsid w:val="0006306E"/>
    <w:rsid w:val="00063167"/>
    <w:rsid w:val="00063255"/>
    <w:rsid w:val="00063311"/>
    <w:rsid w:val="00063667"/>
    <w:rsid w:val="0006384B"/>
    <w:rsid w:val="00063A3A"/>
    <w:rsid w:val="00063C88"/>
    <w:rsid w:val="00063CC4"/>
    <w:rsid w:val="00063F44"/>
    <w:rsid w:val="00063FE3"/>
    <w:rsid w:val="0006406E"/>
    <w:rsid w:val="0006420B"/>
    <w:rsid w:val="0006422B"/>
    <w:rsid w:val="000650CB"/>
    <w:rsid w:val="0006531D"/>
    <w:rsid w:val="00065CD5"/>
    <w:rsid w:val="00065DD7"/>
    <w:rsid w:val="00066CD5"/>
    <w:rsid w:val="00066F5D"/>
    <w:rsid w:val="00067BF6"/>
    <w:rsid w:val="00070B84"/>
    <w:rsid w:val="00071530"/>
    <w:rsid w:val="000715CB"/>
    <w:rsid w:val="00071963"/>
    <w:rsid w:val="00071B67"/>
    <w:rsid w:val="00071BA0"/>
    <w:rsid w:val="00072199"/>
    <w:rsid w:val="0007284B"/>
    <w:rsid w:val="00072A22"/>
    <w:rsid w:val="00072DC0"/>
    <w:rsid w:val="00073235"/>
    <w:rsid w:val="00073267"/>
    <w:rsid w:val="00073339"/>
    <w:rsid w:val="00073376"/>
    <w:rsid w:val="00073636"/>
    <w:rsid w:val="0007379A"/>
    <w:rsid w:val="00073882"/>
    <w:rsid w:val="000739E5"/>
    <w:rsid w:val="00073A8D"/>
    <w:rsid w:val="00073EC5"/>
    <w:rsid w:val="00074ABF"/>
    <w:rsid w:val="00074F92"/>
    <w:rsid w:val="00075773"/>
    <w:rsid w:val="00075A7C"/>
    <w:rsid w:val="00075C24"/>
    <w:rsid w:val="00076108"/>
    <w:rsid w:val="000768BB"/>
    <w:rsid w:val="00076A45"/>
    <w:rsid w:val="00076A70"/>
    <w:rsid w:val="00076F32"/>
    <w:rsid w:val="00077247"/>
    <w:rsid w:val="000774DB"/>
    <w:rsid w:val="00077880"/>
    <w:rsid w:val="0008033F"/>
    <w:rsid w:val="00080706"/>
    <w:rsid w:val="00080986"/>
    <w:rsid w:val="000809D5"/>
    <w:rsid w:val="00080CF9"/>
    <w:rsid w:val="0008168D"/>
    <w:rsid w:val="000821BD"/>
    <w:rsid w:val="000822EA"/>
    <w:rsid w:val="0008260B"/>
    <w:rsid w:val="0008261B"/>
    <w:rsid w:val="00082712"/>
    <w:rsid w:val="00082977"/>
    <w:rsid w:val="00082C5A"/>
    <w:rsid w:val="00082CDD"/>
    <w:rsid w:val="00082E66"/>
    <w:rsid w:val="00082EC5"/>
    <w:rsid w:val="00083498"/>
    <w:rsid w:val="0008367E"/>
    <w:rsid w:val="000838C2"/>
    <w:rsid w:val="00084CE9"/>
    <w:rsid w:val="00084F83"/>
    <w:rsid w:val="00085282"/>
    <w:rsid w:val="00085400"/>
    <w:rsid w:val="00085883"/>
    <w:rsid w:val="00085981"/>
    <w:rsid w:val="00085C31"/>
    <w:rsid w:val="0008612D"/>
    <w:rsid w:val="000861FA"/>
    <w:rsid w:val="00086491"/>
    <w:rsid w:val="000868BD"/>
    <w:rsid w:val="000869F6"/>
    <w:rsid w:val="00086D44"/>
    <w:rsid w:val="00086DB8"/>
    <w:rsid w:val="000878D8"/>
    <w:rsid w:val="00087F4E"/>
    <w:rsid w:val="00090330"/>
    <w:rsid w:val="000903F9"/>
    <w:rsid w:val="000905F4"/>
    <w:rsid w:val="00090904"/>
    <w:rsid w:val="00090AA3"/>
    <w:rsid w:val="00090BD2"/>
    <w:rsid w:val="00090DDE"/>
    <w:rsid w:val="00090EF8"/>
    <w:rsid w:val="00091296"/>
    <w:rsid w:val="00091667"/>
    <w:rsid w:val="000917C7"/>
    <w:rsid w:val="00091989"/>
    <w:rsid w:val="00091A2F"/>
    <w:rsid w:val="00092116"/>
    <w:rsid w:val="00092A35"/>
    <w:rsid w:val="00092CFA"/>
    <w:rsid w:val="000933E6"/>
    <w:rsid w:val="000937B3"/>
    <w:rsid w:val="0009386C"/>
    <w:rsid w:val="00093921"/>
    <w:rsid w:val="000939B9"/>
    <w:rsid w:val="00093C9A"/>
    <w:rsid w:val="00093CE9"/>
    <w:rsid w:val="00093DC4"/>
    <w:rsid w:val="00093EE9"/>
    <w:rsid w:val="000947FA"/>
    <w:rsid w:val="00094977"/>
    <w:rsid w:val="00094DBD"/>
    <w:rsid w:val="00095674"/>
    <w:rsid w:val="00096AAE"/>
    <w:rsid w:val="00096B0D"/>
    <w:rsid w:val="00096B92"/>
    <w:rsid w:val="00096BD5"/>
    <w:rsid w:val="00096EBE"/>
    <w:rsid w:val="000973D8"/>
    <w:rsid w:val="00097AAC"/>
    <w:rsid w:val="000A0146"/>
    <w:rsid w:val="000A051D"/>
    <w:rsid w:val="000A0790"/>
    <w:rsid w:val="000A07CB"/>
    <w:rsid w:val="000A0C9C"/>
    <w:rsid w:val="000A0D18"/>
    <w:rsid w:val="000A0DBB"/>
    <w:rsid w:val="000A1298"/>
    <w:rsid w:val="000A13F7"/>
    <w:rsid w:val="000A1508"/>
    <w:rsid w:val="000A1599"/>
    <w:rsid w:val="000A1D85"/>
    <w:rsid w:val="000A2278"/>
    <w:rsid w:val="000A2445"/>
    <w:rsid w:val="000A272A"/>
    <w:rsid w:val="000A2C9E"/>
    <w:rsid w:val="000A375A"/>
    <w:rsid w:val="000A39F4"/>
    <w:rsid w:val="000A3AAF"/>
    <w:rsid w:val="000A3E60"/>
    <w:rsid w:val="000A3F8D"/>
    <w:rsid w:val="000A4DF3"/>
    <w:rsid w:val="000A5006"/>
    <w:rsid w:val="000A546E"/>
    <w:rsid w:val="000A54AD"/>
    <w:rsid w:val="000A55B4"/>
    <w:rsid w:val="000A5CE8"/>
    <w:rsid w:val="000A5DB5"/>
    <w:rsid w:val="000A612B"/>
    <w:rsid w:val="000A6C01"/>
    <w:rsid w:val="000A7356"/>
    <w:rsid w:val="000A77C8"/>
    <w:rsid w:val="000A7943"/>
    <w:rsid w:val="000A7D0A"/>
    <w:rsid w:val="000B0364"/>
    <w:rsid w:val="000B06C4"/>
    <w:rsid w:val="000B0993"/>
    <w:rsid w:val="000B0F0F"/>
    <w:rsid w:val="000B1434"/>
    <w:rsid w:val="000B15BA"/>
    <w:rsid w:val="000B164F"/>
    <w:rsid w:val="000B1F48"/>
    <w:rsid w:val="000B1F56"/>
    <w:rsid w:val="000B21CB"/>
    <w:rsid w:val="000B23EA"/>
    <w:rsid w:val="000B2675"/>
    <w:rsid w:val="000B274D"/>
    <w:rsid w:val="000B2DCA"/>
    <w:rsid w:val="000B2E4B"/>
    <w:rsid w:val="000B30A2"/>
    <w:rsid w:val="000B3610"/>
    <w:rsid w:val="000B3CA5"/>
    <w:rsid w:val="000B41FA"/>
    <w:rsid w:val="000B4253"/>
    <w:rsid w:val="000B4A87"/>
    <w:rsid w:val="000B4BDC"/>
    <w:rsid w:val="000B4CAD"/>
    <w:rsid w:val="000B508C"/>
    <w:rsid w:val="000B525C"/>
    <w:rsid w:val="000B5C7B"/>
    <w:rsid w:val="000B5C82"/>
    <w:rsid w:val="000B5D81"/>
    <w:rsid w:val="000B63E1"/>
    <w:rsid w:val="000B688F"/>
    <w:rsid w:val="000B73AB"/>
    <w:rsid w:val="000B7A2F"/>
    <w:rsid w:val="000B7B78"/>
    <w:rsid w:val="000B7DFE"/>
    <w:rsid w:val="000B7EE2"/>
    <w:rsid w:val="000B7EE7"/>
    <w:rsid w:val="000B7F5D"/>
    <w:rsid w:val="000C006A"/>
    <w:rsid w:val="000C0364"/>
    <w:rsid w:val="000C0493"/>
    <w:rsid w:val="000C04C1"/>
    <w:rsid w:val="000C0684"/>
    <w:rsid w:val="000C10BA"/>
    <w:rsid w:val="000C14EF"/>
    <w:rsid w:val="000C1599"/>
    <w:rsid w:val="000C15F3"/>
    <w:rsid w:val="000C1714"/>
    <w:rsid w:val="000C1747"/>
    <w:rsid w:val="000C1AFE"/>
    <w:rsid w:val="000C226B"/>
    <w:rsid w:val="000C32A4"/>
    <w:rsid w:val="000C3C05"/>
    <w:rsid w:val="000C3CDE"/>
    <w:rsid w:val="000C4137"/>
    <w:rsid w:val="000C4404"/>
    <w:rsid w:val="000C44CA"/>
    <w:rsid w:val="000C53B8"/>
    <w:rsid w:val="000C5752"/>
    <w:rsid w:val="000C5A70"/>
    <w:rsid w:val="000C5C1E"/>
    <w:rsid w:val="000C5D0A"/>
    <w:rsid w:val="000C5F36"/>
    <w:rsid w:val="000C61C5"/>
    <w:rsid w:val="000C651F"/>
    <w:rsid w:val="000C65BB"/>
    <w:rsid w:val="000C6D10"/>
    <w:rsid w:val="000C769F"/>
    <w:rsid w:val="000C7C44"/>
    <w:rsid w:val="000C7F6A"/>
    <w:rsid w:val="000D0128"/>
    <w:rsid w:val="000D04F4"/>
    <w:rsid w:val="000D0784"/>
    <w:rsid w:val="000D1300"/>
    <w:rsid w:val="000D13CD"/>
    <w:rsid w:val="000D180A"/>
    <w:rsid w:val="000D186C"/>
    <w:rsid w:val="000D18A2"/>
    <w:rsid w:val="000D1C4C"/>
    <w:rsid w:val="000D2D78"/>
    <w:rsid w:val="000D2D89"/>
    <w:rsid w:val="000D2E96"/>
    <w:rsid w:val="000D2EB6"/>
    <w:rsid w:val="000D3016"/>
    <w:rsid w:val="000D3024"/>
    <w:rsid w:val="000D328F"/>
    <w:rsid w:val="000D3317"/>
    <w:rsid w:val="000D33CE"/>
    <w:rsid w:val="000D34EB"/>
    <w:rsid w:val="000D3AD0"/>
    <w:rsid w:val="000D3B89"/>
    <w:rsid w:val="000D3E93"/>
    <w:rsid w:val="000D4203"/>
    <w:rsid w:val="000D4324"/>
    <w:rsid w:val="000D4515"/>
    <w:rsid w:val="000D4AB6"/>
    <w:rsid w:val="000D4D6A"/>
    <w:rsid w:val="000D4DFE"/>
    <w:rsid w:val="000D4F8C"/>
    <w:rsid w:val="000D4FCE"/>
    <w:rsid w:val="000D50CD"/>
    <w:rsid w:val="000D5236"/>
    <w:rsid w:val="000D5A53"/>
    <w:rsid w:val="000D5AF8"/>
    <w:rsid w:val="000D60AA"/>
    <w:rsid w:val="000D63E0"/>
    <w:rsid w:val="000D6684"/>
    <w:rsid w:val="000D6840"/>
    <w:rsid w:val="000D708E"/>
    <w:rsid w:val="000E02D8"/>
    <w:rsid w:val="000E073C"/>
    <w:rsid w:val="000E09A4"/>
    <w:rsid w:val="000E0B6A"/>
    <w:rsid w:val="000E0D09"/>
    <w:rsid w:val="000E125E"/>
    <w:rsid w:val="000E1439"/>
    <w:rsid w:val="000E145B"/>
    <w:rsid w:val="000E1520"/>
    <w:rsid w:val="000E160C"/>
    <w:rsid w:val="000E1C9D"/>
    <w:rsid w:val="000E1D12"/>
    <w:rsid w:val="000E21A2"/>
    <w:rsid w:val="000E2864"/>
    <w:rsid w:val="000E2B85"/>
    <w:rsid w:val="000E362B"/>
    <w:rsid w:val="000E398C"/>
    <w:rsid w:val="000E3D82"/>
    <w:rsid w:val="000E425B"/>
    <w:rsid w:val="000E455E"/>
    <w:rsid w:val="000E4D70"/>
    <w:rsid w:val="000E50DC"/>
    <w:rsid w:val="000E551B"/>
    <w:rsid w:val="000E5E5C"/>
    <w:rsid w:val="000E5EAC"/>
    <w:rsid w:val="000E6179"/>
    <w:rsid w:val="000E63DD"/>
    <w:rsid w:val="000E6784"/>
    <w:rsid w:val="000E6891"/>
    <w:rsid w:val="000E6A1B"/>
    <w:rsid w:val="000E6C55"/>
    <w:rsid w:val="000E7851"/>
    <w:rsid w:val="000E7969"/>
    <w:rsid w:val="000E7A82"/>
    <w:rsid w:val="000E7AC3"/>
    <w:rsid w:val="000E7B84"/>
    <w:rsid w:val="000E7E95"/>
    <w:rsid w:val="000E7EE5"/>
    <w:rsid w:val="000F0975"/>
    <w:rsid w:val="000F0C54"/>
    <w:rsid w:val="000F0D08"/>
    <w:rsid w:val="000F1FA8"/>
    <w:rsid w:val="000F204E"/>
    <w:rsid w:val="000F219E"/>
    <w:rsid w:val="000F236B"/>
    <w:rsid w:val="000F285B"/>
    <w:rsid w:val="000F397B"/>
    <w:rsid w:val="000F3B50"/>
    <w:rsid w:val="000F3E39"/>
    <w:rsid w:val="000F4509"/>
    <w:rsid w:val="000F4CB0"/>
    <w:rsid w:val="000F4D7B"/>
    <w:rsid w:val="000F5008"/>
    <w:rsid w:val="000F508A"/>
    <w:rsid w:val="000F50C5"/>
    <w:rsid w:val="000F55B4"/>
    <w:rsid w:val="000F5FC9"/>
    <w:rsid w:val="000F640C"/>
    <w:rsid w:val="000F66F8"/>
    <w:rsid w:val="000F6918"/>
    <w:rsid w:val="000F6D1C"/>
    <w:rsid w:val="000F7361"/>
    <w:rsid w:val="000F76EF"/>
    <w:rsid w:val="000F7A58"/>
    <w:rsid w:val="000F7C32"/>
    <w:rsid w:val="000F7FD2"/>
    <w:rsid w:val="00100186"/>
    <w:rsid w:val="001001F0"/>
    <w:rsid w:val="00100281"/>
    <w:rsid w:val="00100570"/>
    <w:rsid w:val="001005AA"/>
    <w:rsid w:val="00101162"/>
    <w:rsid w:val="00101616"/>
    <w:rsid w:val="001019F6"/>
    <w:rsid w:val="00101DAF"/>
    <w:rsid w:val="00101EA6"/>
    <w:rsid w:val="001024C0"/>
    <w:rsid w:val="001024FE"/>
    <w:rsid w:val="0010271E"/>
    <w:rsid w:val="00102752"/>
    <w:rsid w:val="00102ACE"/>
    <w:rsid w:val="00102C26"/>
    <w:rsid w:val="00103282"/>
    <w:rsid w:val="00103470"/>
    <w:rsid w:val="0010377A"/>
    <w:rsid w:val="00103FE2"/>
    <w:rsid w:val="0010407C"/>
    <w:rsid w:val="001042DB"/>
    <w:rsid w:val="001044BF"/>
    <w:rsid w:val="001047AE"/>
    <w:rsid w:val="001053AD"/>
    <w:rsid w:val="001059C5"/>
    <w:rsid w:val="0010618E"/>
    <w:rsid w:val="001064DF"/>
    <w:rsid w:val="001064E2"/>
    <w:rsid w:val="00106705"/>
    <w:rsid w:val="00106850"/>
    <w:rsid w:val="00106CAC"/>
    <w:rsid w:val="00106D47"/>
    <w:rsid w:val="00106D5A"/>
    <w:rsid w:val="00107317"/>
    <w:rsid w:val="001076DD"/>
    <w:rsid w:val="00107E45"/>
    <w:rsid w:val="001105DE"/>
    <w:rsid w:val="001106E0"/>
    <w:rsid w:val="00110763"/>
    <w:rsid w:val="00110A0A"/>
    <w:rsid w:val="00110A66"/>
    <w:rsid w:val="0011120F"/>
    <w:rsid w:val="00111444"/>
    <w:rsid w:val="00111A9D"/>
    <w:rsid w:val="00111F2B"/>
    <w:rsid w:val="00111FD8"/>
    <w:rsid w:val="00112049"/>
    <w:rsid w:val="0011266C"/>
    <w:rsid w:val="00112EE6"/>
    <w:rsid w:val="0011319C"/>
    <w:rsid w:val="001131C7"/>
    <w:rsid w:val="001134B2"/>
    <w:rsid w:val="001140D8"/>
    <w:rsid w:val="00114341"/>
    <w:rsid w:val="00114A80"/>
    <w:rsid w:val="00114A88"/>
    <w:rsid w:val="00114D42"/>
    <w:rsid w:val="0011532F"/>
    <w:rsid w:val="0011582C"/>
    <w:rsid w:val="001158F0"/>
    <w:rsid w:val="00116F9A"/>
    <w:rsid w:val="00116FF7"/>
    <w:rsid w:val="00117291"/>
    <w:rsid w:val="00117514"/>
    <w:rsid w:val="001176B4"/>
    <w:rsid w:val="001176E9"/>
    <w:rsid w:val="001178D8"/>
    <w:rsid w:val="00117C27"/>
    <w:rsid w:val="00117D72"/>
    <w:rsid w:val="001203AE"/>
    <w:rsid w:val="00120EA6"/>
    <w:rsid w:val="001214B2"/>
    <w:rsid w:val="001214FB"/>
    <w:rsid w:val="001217CB"/>
    <w:rsid w:val="00121E37"/>
    <w:rsid w:val="00122253"/>
    <w:rsid w:val="00122270"/>
    <w:rsid w:val="00122BFE"/>
    <w:rsid w:val="0012306C"/>
    <w:rsid w:val="00123707"/>
    <w:rsid w:val="00123994"/>
    <w:rsid w:val="001246F3"/>
    <w:rsid w:val="00124B78"/>
    <w:rsid w:val="00124D5D"/>
    <w:rsid w:val="00124EA4"/>
    <w:rsid w:val="00125441"/>
    <w:rsid w:val="00125879"/>
    <w:rsid w:val="00125C85"/>
    <w:rsid w:val="00125D53"/>
    <w:rsid w:val="00125FE7"/>
    <w:rsid w:val="0012607A"/>
    <w:rsid w:val="00126943"/>
    <w:rsid w:val="00126DE3"/>
    <w:rsid w:val="00126EFA"/>
    <w:rsid w:val="00127363"/>
    <w:rsid w:val="001273C4"/>
    <w:rsid w:val="00127CA9"/>
    <w:rsid w:val="001302CC"/>
    <w:rsid w:val="0013042C"/>
    <w:rsid w:val="00130648"/>
    <w:rsid w:val="00130AD5"/>
    <w:rsid w:val="00130D24"/>
    <w:rsid w:val="0013111A"/>
    <w:rsid w:val="00131140"/>
    <w:rsid w:val="00131895"/>
    <w:rsid w:val="001320D4"/>
    <w:rsid w:val="001324EC"/>
    <w:rsid w:val="00133128"/>
    <w:rsid w:val="001333E5"/>
    <w:rsid w:val="00133825"/>
    <w:rsid w:val="00133A8D"/>
    <w:rsid w:val="001341F5"/>
    <w:rsid w:val="0013468D"/>
    <w:rsid w:val="001346B4"/>
    <w:rsid w:val="001349E0"/>
    <w:rsid w:val="00134B2E"/>
    <w:rsid w:val="001353E6"/>
    <w:rsid w:val="00135585"/>
    <w:rsid w:val="001358F1"/>
    <w:rsid w:val="00135E02"/>
    <w:rsid w:val="0013708B"/>
    <w:rsid w:val="001372D7"/>
    <w:rsid w:val="00137928"/>
    <w:rsid w:val="00137B1B"/>
    <w:rsid w:val="00137CA8"/>
    <w:rsid w:val="00137F23"/>
    <w:rsid w:val="00140185"/>
    <w:rsid w:val="00140573"/>
    <w:rsid w:val="00140654"/>
    <w:rsid w:val="00140C12"/>
    <w:rsid w:val="00140D15"/>
    <w:rsid w:val="00140E14"/>
    <w:rsid w:val="00140F50"/>
    <w:rsid w:val="00141210"/>
    <w:rsid w:val="001412E5"/>
    <w:rsid w:val="001415B8"/>
    <w:rsid w:val="00141744"/>
    <w:rsid w:val="0014188E"/>
    <w:rsid w:val="00141D60"/>
    <w:rsid w:val="00141EFE"/>
    <w:rsid w:val="0014200D"/>
    <w:rsid w:val="00142285"/>
    <w:rsid w:val="0014254D"/>
    <w:rsid w:val="001425A9"/>
    <w:rsid w:val="001428F3"/>
    <w:rsid w:val="001429FA"/>
    <w:rsid w:val="00142BE7"/>
    <w:rsid w:val="00142F3B"/>
    <w:rsid w:val="00142FAB"/>
    <w:rsid w:val="00143063"/>
    <w:rsid w:val="001431A4"/>
    <w:rsid w:val="001433BE"/>
    <w:rsid w:val="00143A51"/>
    <w:rsid w:val="00143A58"/>
    <w:rsid w:val="00143DB1"/>
    <w:rsid w:val="00143DDC"/>
    <w:rsid w:val="001442F1"/>
    <w:rsid w:val="00144996"/>
    <w:rsid w:val="0014499A"/>
    <w:rsid w:val="00144A0B"/>
    <w:rsid w:val="00144A42"/>
    <w:rsid w:val="00144D58"/>
    <w:rsid w:val="0014524F"/>
    <w:rsid w:val="00145259"/>
    <w:rsid w:val="00145798"/>
    <w:rsid w:val="001458BC"/>
    <w:rsid w:val="00145A91"/>
    <w:rsid w:val="00145AE0"/>
    <w:rsid w:val="001465EA"/>
    <w:rsid w:val="00146708"/>
    <w:rsid w:val="00146BFB"/>
    <w:rsid w:val="00146C81"/>
    <w:rsid w:val="00146CD6"/>
    <w:rsid w:val="00146D94"/>
    <w:rsid w:val="0014710C"/>
    <w:rsid w:val="0014750D"/>
    <w:rsid w:val="001479B1"/>
    <w:rsid w:val="00147B5D"/>
    <w:rsid w:val="00147BE1"/>
    <w:rsid w:val="00147BFF"/>
    <w:rsid w:val="00147FB2"/>
    <w:rsid w:val="00150300"/>
    <w:rsid w:val="0015033A"/>
    <w:rsid w:val="001503B1"/>
    <w:rsid w:val="00150675"/>
    <w:rsid w:val="00151ABF"/>
    <w:rsid w:val="00151D89"/>
    <w:rsid w:val="00152100"/>
    <w:rsid w:val="001523F9"/>
    <w:rsid w:val="001525DB"/>
    <w:rsid w:val="001530D6"/>
    <w:rsid w:val="00153259"/>
    <w:rsid w:val="00153514"/>
    <w:rsid w:val="00153BBF"/>
    <w:rsid w:val="00153C4D"/>
    <w:rsid w:val="00153FD2"/>
    <w:rsid w:val="001544FF"/>
    <w:rsid w:val="001545E1"/>
    <w:rsid w:val="00154913"/>
    <w:rsid w:val="00154B49"/>
    <w:rsid w:val="00154CAB"/>
    <w:rsid w:val="001550E8"/>
    <w:rsid w:val="00155108"/>
    <w:rsid w:val="00155135"/>
    <w:rsid w:val="001555D6"/>
    <w:rsid w:val="00155C9E"/>
    <w:rsid w:val="00156859"/>
    <w:rsid w:val="0015692D"/>
    <w:rsid w:val="00156AFD"/>
    <w:rsid w:val="00156D16"/>
    <w:rsid w:val="0015712D"/>
    <w:rsid w:val="00157BEF"/>
    <w:rsid w:val="00157DCC"/>
    <w:rsid w:val="001603FF"/>
    <w:rsid w:val="00160452"/>
    <w:rsid w:val="00160761"/>
    <w:rsid w:val="00160D13"/>
    <w:rsid w:val="00160E43"/>
    <w:rsid w:val="00161324"/>
    <w:rsid w:val="001616E7"/>
    <w:rsid w:val="00161A39"/>
    <w:rsid w:val="00161B4A"/>
    <w:rsid w:val="00161B8B"/>
    <w:rsid w:val="00162196"/>
    <w:rsid w:val="0016230E"/>
    <w:rsid w:val="0016247E"/>
    <w:rsid w:val="001624A7"/>
    <w:rsid w:val="001624BE"/>
    <w:rsid w:val="00162928"/>
    <w:rsid w:val="00162B88"/>
    <w:rsid w:val="0016314A"/>
    <w:rsid w:val="00163F13"/>
    <w:rsid w:val="00164214"/>
    <w:rsid w:val="001645B3"/>
    <w:rsid w:val="001647C1"/>
    <w:rsid w:val="00164EDF"/>
    <w:rsid w:val="00165002"/>
    <w:rsid w:val="001654F6"/>
    <w:rsid w:val="00165813"/>
    <w:rsid w:val="0016686F"/>
    <w:rsid w:val="00166B64"/>
    <w:rsid w:val="00167B2A"/>
    <w:rsid w:val="00167E78"/>
    <w:rsid w:val="001702C4"/>
    <w:rsid w:val="001705B7"/>
    <w:rsid w:val="0017093A"/>
    <w:rsid w:val="00170CD1"/>
    <w:rsid w:val="00170CEB"/>
    <w:rsid w:val="00171397"/>
    <w:rsid w:val="00171526"/>
    <w:rsid w:val="00171806"/>
    <w:rsid w:val="001719B3"/>
    <w:rsid w:val="00171A53"/>
    <w:rsid w:val="00171B8C"/>
    <w:rsid w:val="00171CFA"/>
    <w:rsid w:val="00171FC7"/>
    <w:rsid w:val="001728A5"/>
    <w:rsid w:val="00172D3B"/>
    <w:rsid w:val="00172FA1"/>
    <w:rsid w:val="00173048"/>
    <w:rsid w:val="0017367D"/>
    <w:rsid w:val="00174141"/>
    <w:rsid w:val="00174536"/>
    <w:rsid w:val="00174680"/>
    <w:rsid w:val="00174A82"/>
    <w:rsid w:val="00174C1E"/>
    <w:rsid w:val="00174CBB"/>
    <w:rsid w:val="00175429"/>
    <w:rsid w:val="001755CA"/>
    <w:rsid w:val="00175691"/>
    <w:rsid w:val="00175AFF"/>
    <w:rsid w:val="00176377"/>
    <w:rsid w:val="00176716"/>
    <w:rsid w:val="0017680D"/>
    <w:rsid w:val="001769AB"/>
    <w:rsid w:val="00176BA6"/>
    <w:rsid w:val="00176C84"/>
    <w:rsid w:val="00177987"/>
    <w:rsid w:val="00177A89"/>
    <w:rsid w:val="00177BE4"/>
    <w:rsid w:val="00177F02"/>
    <w:rsid w:val="00177FF7"/>
    <w:rsid w:val="00180295"/>
    <w:rsid w:val="00180A95"/>
    <w:rsid w:val="001810C7"/>
    <w:rsid w:val="001814EC"/>
    <w:rsid w:val="00181942"/>
    <w:rsid w:val="00181AB2"/>
    <w:rsid w:val="00181ADE"/>
    <w:rsid w:val="00181B0D"/>
    <w:rsid w:val="00181B39"/>
    <w:rsid w:val="001822C4"/>
    <w:rsid w:val="00182C18"/>
    <w:rsid w:val="00182D1F"/>
    <w:rsid w:val="00182ED0"/>
    <w:rsid w:val="0018308E"/>
    <w:rsid w:val="0018337A"/>
    <w:rsid w:val="00183A45"/>
    <w:rsid w:val="00183B2F"/>
    <w:rsid w:val="00183E4D"/>
    <w:rsid w:val="00183FF4"/>
    <w:rsid w:val="00184148"/>
    <w:rsid w:val="0018480C"/>
    <w:rsid w:val="001850C0"/>
    <w:rsid w:val="00185497"/>
    <w:rsid w:val="00185A14"/>
    <w:rsid w:val="00185AAE"/>
    <w:rsid w:val="00185DC1"/>
    <w:rsid w:val="00185E19"/>
    <w:rsid w:val="00186246"/>
    <w:rsid w:val="001866BF"/>
    <w:rsid w:val="00186A92"/>
    <w:rsid w:val="00186AA4"/>
    <w:rsid w:val="00186C9F"/>
    <w:rsid w:val="00187020"/>
    <w:rsid w:val="0018702D"/>
    <w:rsid w:val="001870D1"/>
    <w:rsid w:val="00187CF5"/>
    <w:rsid w:val="00187F6A"/>
    <w:rsid w:val="00190D6F"/>
    <w:rsid w:val="00190E47"/>
    <w:rsid w:val="00190E57"/>
    <w:rsid w:val="00191577"/>
    <w:rsid w:val="001926D6"/>
    <w:rsid w:val="00192AA4"/>
    <w:rsid w:val="00192B76"/>
    <w:rsid w:val="00192F46"/>
    <w:rsid w:val="001930AF"/>
    <w:rsid w:val="001932BF"/>
    <w:rsid w:val="001937F6"/>
    <w:rsid w:val="00193AB1"/>
    <w:rsid w:val="00193B87"/>
    <w:rsid w:val="00193DE2"/>
    <w:rsid w:val="00193E3B"/>
    <w:rsid w:val="00193EC8"/>
    <w:rsid w:val="00194025"/>
    <w:rsid w:val="001941FC"/>
    <w:rsid w:val="001950D4"/>
    <w:rsid w:val="0019554C"/>
    <w:rsid w:val="00195BF9"/>
    <w:rsid w:val="00196EED"/>
    <w:rsid w:val="00196F63"/>
    <w:rsid w:val="00196FD6"/>
    <w:rsid w:val="001A0148"/>
    <w:rsid w:val="001A12A4"/>
    <w:rsid w:val="001A1623"/>
    <w:rsid w:val="001A1860"/>
    <w:rsid w:val="001A1C91"/>
    <w:rsid w:val="001A1E0A"/>
    <w:rsid w:val="001A2CBA"/>
    <w:rsid w:val="001A2CC1"/>
    <w:rsid w:val="001A3113"/>
    <w:rsid w:val="001A31BB"/>
    <w:rsid w:val="001A3319"/>
    <w:rsid w:val="001A361C"/>
    <w:rsid w:val="001A41E3"/>
    <w:rsid w:val="001A43AC"/>
    <w:rsid w:val="001A4BD8"/>
    <w:rsid w:val="001A4FAC"/>
    <w:rsid w:val="001A589C"/>
    <w:rsid w:val="001A5972"/>
    <w:rsid w:val="001A5C3F"/>
    <w:rsid w:val="001A5EF8"/>
    <w:rsid w:val="001A652C"/>
    <w:rsid w:val="001A6B50"/>
    <w:rsid w:val="001A6B5E"/>
    <w:rsid w:val="001A6B84"/>
    <w:rsid w:val="001A73C9"/>
    <w:rsid w:val="001B0A44"/>
    <w:rsid w:val="001B0D83"/>
    <w:rsid w:val="001B25F4"/>
    <w:rsid w:val="001B279B"/>
    <w:rsid w:val="001B2A0B"/>
    <w:rsid w:val="001B2A7E"/>
    <w:rsid w:val="001B33AE"/>
    <w:rsid w:val="001B35B1"/>
    <w:rsid w:val="001B3A2C"/>
    <w:rsid w:val="001B3A9D"/>
    <w:rsid w:val="001B45BF"/>
    <w:rsid w:val="001B49CC"/>
    <w:rsid w:val="001B4CC7"/>
    <w:rsid w:val="001B4DDE"/>
    <w:rsid w:val="001B4E96"/>
    <w:rsid w:val="001B51C9"/>
    <w:rsid w:val="001B5EDE"/>
    <w:rsid w:val="001B600A"/>
    <w:rsid w:val="001B601D"/>
    <w:rsid w:val="001B6A91"/>
    <w:rsid w:val="001B6D1F"/>
    <w:rsid w:val="001B7309"/>
    <w:rsid w:val="001B7522"/>
    <w:rsid w:val="001C011D"/>
    <w:rsid w:val="001C0441"/>
    <w:rsid w:val="001C0511"/>
    <w:rsid w:val="001C0761"/>
    <w:rsid w:val="001C0CEF"/>
    <w:rsid w:val="001C0F86"/>
    <w:rsid w:val="001C197E"/>
    <w:rsid w:val="001C1A17"/>
    <w:rsid w:val="001C2D9A"/>
    <w:rsid w:val="001C2E1E"/>
    <w:rsid w:val="001C3A68"/>
    <w:rsid w:val="001C3C5F"/>
    <w:rsid w:val="001C3E29"/>
    <w:rsid w:val="001C4872"/>
    <w:rsid w:val="001C4A9A"/>
    <w:rsid w:val="001C58AF"/>
    <w:rsid w:val="001C5CA3"/>
    <w:rsid w:val="001C62B6"/>
    <w:rsid w:val="001C69A9"/>
    <w:rsid w:val="001C69AC"/>
    <w:rsid w:val="001C6A22"/>
    <w:rsid w:val="001C6D80"/>
    <w:rsid w:val="001C75A6"/>
    <w:rsid w:val="001C7B87"/>
    <w:rsid w:val="001D0548"/>
    <w:rsid w:val="001D06E6"/>
    <w:rsid w:val="001D08EE"/>
    <w:rsid w:val="001D0E71"/>
    <w:rsid w:val="001D102B"/>
    <w:rsid w:val="001D152F"/>
    <w:rsid w:val="001D1546"/>
    <w:rsid w:val="001D169C"/>
    <w:rsid w:val="001D1AD6"/>
    <w:rsid w:val="001D1BF1"/>
    <w:rsid w:val="001D1CC7"/>
    <w:rsid w:val="001D1DDF"/>
    <w:rsid w:val="001D22EB"/>
    <w:rsid w:val="001D269C"/>
    <w:rsid w:val="001D3018"/>
    <w:rsid w:val="001D396E"/>
    <w:rsid w:val="001D3A9B"/>
    <w:rsid w:val="001D3AA3"/>
    <w:rsid w:val="001D48F3"/>
    <w:rsid w:val="001D5263"/>
    <w:rsid w:val="001D5380"/>
    <w:rsid w:val="001D53A0"/>
    <w:rsid w:val="001D565B"/>
    <w:rsid w:val="001D5676"/>
    <w:rsid w:val="001D62B4"/>
    <w:rsid w:val="001D6423"/>
    <w:rsid w:val="001D646C"/>
    <w:rsid w:val="001D6BA0"/>
    <w:rsid w:val="001D6BBA"/>
    <w:rsid w:val="001D6C21"/>
    <w:rsid w:val="001D7A0B"/>
    <w:rsid w:val="001D7A83"/>
    <w:rsid w:val="001D7B2F"/>
    <w:rsid w:val="001D7CCE"/>
    <w:rsid w:val="001D7D4A"/>
    <w:rsid w:val="001E009C"/>
    <w:rsid w:val="001E025C"/>
    <w:rsid w:val="001E07A9"/>
    <w:rsid w:val="001E0942"/>
    <w:rsid w:val="001E0C2D"/>
    <w:rsid w:val="001E0EA2"/>
    <w:rsid w:val="001E0EBE"/>
    <w:rsid w:val="001E170A"/>
    <w:rsid w:val="001E17C1"/>
    <w:rsid w:val="001E1B6F"/>
    <w:rsid w:val="001E25DF"/>
    <w:rsid w:val="001E287C"/>
    <w:rsid w:val="001E28D2"/>
    <w:rsid w:val="001E2DFB"/>
    <w:rsid w:val="001E31F3"/>
    <w:rsid w:val="001E32B9"/>
    <w:rsid w:val="001E3578"/>
    <w:rsid w:val="001E3645"/>
    <w:rsid w:val="001E384A"/>
    <w:rsid w:val="001E3946"/>
    <w:rsid w:val="001E3963"/>
    <w:rsid w:val="001E3AA0"/>
    <w:rsid w:val="001E4217"/>
    <w:rsid w:val="001E4BD6"/>
    <w:rsid w:val="001E4F09"/>
    <w:rsid w:val="001E5397"/>
    <w:rsid w:val="001E54C8"/>
    <w:rsid w:val="001E55CD"/>
    <w:rsid w:val="001E580A"/>
    <w:rsid w:val="001E5BF0"/>
    <w:rsid w:val="001E65D9"/>
    <w:rsid w:val="001E66FC"/>
    <w:rsid w:val="001E705F"/>
    <w:rsid w:val="001E709D"/>
    <w:rsid w:val="001E71F5"/>
    <w:rsid w:val="001E729B"/>
    <w:rsid w:val="001E7F65"/>
    <w:rsid w:val="001F0369"/>
    <w:rsid w:val="001F069E"/>
    <w:rsid w:val="001F0799"/>
    <w:rsid w:val="001F0FDD"/>
    <w:rsid w:val="001F11EB"/>
    <w:rsid w:val="001F199A"/>
    <w:rsid w:val="001F1C68"/>
    <w:rsid w:val="001F1C78"/>
    <w:rsid w:val="001F2743"/>
    <w:rsid w:val="001F2819"/>
    <w:rsid w:val="001F289A"/>
    <w:rsid w:val="001F2F50"/>
    <w:rsid w:val="001F301C"/>
    <w:rsid w:val="001F3ECF"/>
    <w:rsid w:val="001F44A0"/>
    <w:rsid w:val="001F479F"/>
    <w:rsid w:val="001F5116"/>
    <w:rsid w:val="001F5295"/>
    <w:rsid w:val="001F579B"/>
    <w:rsid w:val="001F584B"/>
    <w:rsid w:val="001F5A86"/>
    <w:rsid w:val="001F61E5"/>
    <w:rsid w:val="001F622B"/>
    <w:rsid w:val="001F686A"/>
    <w:rsid w:val="001F6CF7"/>
    <w:rsid w:val="001F6E99"/>
    <w:rsid w:val="001F7690"/>
    <w:rsid w:val="0020001C"/>
    <w:rsid w:val="0020018B"/>
    <w:rsid w:val="002002F1"/>
    <w:rsid w:val="00200315"/>
    <w:rsid w:val="002003A2"/>
    <w:rsid w:val="0020044D"/>
    <w:rsid w:val="00200DE0"/>
    <w:rsid w:val="002016B4"/>
    <w:rsid w:val="002019D9"/>
    <w:rsid w:val="00201A06"/>
    <w:rsid w:val="00202175"/>
    <w:rsid w:val="0020228D"/>
    <w:rsid w:val="002023A3"/>
    <w:rsid w:val="00202B51"/>
    <w:rsid w:val="002037B2"/>
    <w:rsid w:val="00203947"/>
    <w:rsid w:val="00203DD7"/>
    <w:rsid w:val="00204B26"/>
    <w:rsid w:val="00205356"/>
    <w:rsid w:val="00205A91"/>
    <w:rsid w:val="00205E54"/>
    <w:rsid w:val="00206886"/>
    <w:rsid w:val="002068C1"/>
    <w:rsid w:val="00206A02"/>
    <w:rsid w:val="00206C27"/>
    <w:rsid w:val="00207278"/>
    <w:rsid w:val="00207AAF"/>
    <w:rsid w:val="00207B1E"/>
    <w:rsid w:val="00207B7F"/>
    <w:rsid w:val="00207C1C"/>
    <w:rsid w:val="00207FAE"/>
    <w:rsid w:val="00210407"/>
    <w:rsid w:val="002106B9"/>
    <w:rsid w:val="00210C5E"/>
    <w:rsid w:val="00211DCE"/>
    <w:rsid w:val="002120D8"/>
    <w:rsid w:val="00212330"/>
    <w:rsid w:val="0021273B"/>
    <w:rsid w:val="0021294E"/>
    <w:rsid w:val="00212D8E"/>
    <w:rsid w:val="00212E6A"/>
    <w:rsid w:val="00212EE0"/>
    <w:rsid w:val="00212EFC"/>
    <w:rsid w:val="0021311F"/>
    <w:rsid w:val="00213374"/>
    <w:rsid w:val="002133C9"/>
    <w:rsid w:val="0021352C"/>
    <w:rsid w:val="0021376A"/>
    <w:rsid w:val="0021388F"/>
    <w:rsid w:val="00213B43"/>
    <w:rsid w:val="00213CA2"/>
    <w:rsid w:val="00213EA5"/>
    <w:rsid w:val="00213ECD"/>
    <w:rsid w:val="00213EED"/>
    <w:rsid w:val="00214C6A"/>
    <w:rsid w:val="00214F43"/>
    <w:rsid w:val="00214F7B"/>
    <w:rsid w:val="002161EB"/>
    <w:rsid w:val="0021639E"/>
    <w:rsid w:val="002165BB"/>
    <w:rsid w:val="00216A34"/>
    <w:rsid w:val="00216D21"/>
    <w:rsid w:val="00217A8E"/>
    <w:rsid w:val="00220029"/>
    <w:rsid w:val="0022035F"/>
    <w:rsid w:val="00220A74"/>
    <w:rsid w:val="00220CBB"/>
    <w:rsid w:val="0022114B"/>
    <w:rsid w:val="002211B0"/>
    <w:rsid w:val="002217FB"/>
    <w:rsid w:val="002219B8"/>
    <w:rsid w:val="00221FAF"/>
    <w:rsid w:val="002221F6"/>
    <w:rsid w:val="00222419"/>
    <w:rsid w:val="0022247B"/>
    <w:rsid w:val="00222570"/>
    <w:rsid w:val="002226F6"/>
    <w:rsid w:val="00222853"/>
    <w:rsid w:val="00222A28"/>
    <w:rsid w:val="0022318A"/>
    <w:rsid w:val="00223476"/>
    <w:rsid w:val="0022359D"/>
    <w:rsid w:val="002245F8"/>
    <w:rsid w:val="00224E39"/>
    <w:rsid w:val="0022525A"/>
    <w:rsid w:val="00225AF6"/>
    <w:rsid w:val="00225B70"/>
    <w:rsid w:val="00225FEC"/>
    <w:rsid w:val="00226063"/>
    <w:rsid w:val="002264CB"/>
    <w:rsid w:val="002265DA"/>
    <w:rsid w:val="0022719F"/>
    <w:rsid w:val="0022741D"/>
    <w:rsid w:val="0022768B"/>
    <w:rsid w:val="00227788"/>
    <w:rsid w:val="00227CE6"/>
    <w:rsid w:val="00227DC8"/>
    <w:rsid w:val="0023007B"/>
    <w:rsid w:val="0023020D"/>
    <w:rsid w:val="0023050C"/>
    <w:rsid w:val="002305E3"/>
    <w:rsid w:val="00230718"/>
    <w:rsid w:val="00230999"/>
    <w:rsid w:val="0023168C"/>
    <w:rsid w:val="00231B0D"/>
    <w:rsid w:val="00231B9E"/>
    <w:rsid w:val="0023205F"/>
    <w:rsid w:val="0023225E"/>
    <w:rsid w:val="00232586"/>
    <w:rsid w:val="00232730"/>
    <w:rsid w:val="0023297A"/>
    <w:rsid w:val="00232C74"/>
    <w:rsid w:val="00233065"/>
    <w:rsid w:val="002339E3"/>
    <w:rsid w:val="00233ADB"/>
    <w:rsid w:val="002343F7"/>
    <w:rsid w:val="002349F9"/>
    <w:rsid w:val="00234D1D"/>
    <w:rsid w:val="00235ECB"/>
    <w:rsid w:val="0023643C"/>
    <w:rsid w:val="002368EB"/>
    <w:rsid w:val="002369C7"/>
    <w:rsid w:val="00236A7B"/>
    <w:rsid w:val="00236D26"/>
    <w:rsid w:val="002371C0"/>
    <w:rsid w:val="00240168"/>
    <w:rsid w:val="0024027B"/>
    <w:rsid w:val="002402A2"/>
    <w:rsid w:val="002407F1"/>
    <w:rsid w:val="00240D9D"/>
    <w:rsid w:val="00240E92"/>
    <w:rsid w:val="00241E85"/>
    <w:rsid w:val="002422FA"/>
    <w:rsid w:val="00242432"/>
    <w:rsid w:val="002425EC"/>
    <w:rsid w:val="00242920"/>
    <w:rsid w:val="00242BED"/>
    <w:rsid w:val="00242D36"/>
    <w:rsid w:val="00242FE6"/>
    <w:rsid w:val="00243503"/>
    <w:rsid w:val="00243530"/>
    <w:rsid w:val="00243643"/>
    <w:rsid w:val="002436E9"/>
    <w:rsid w:val="0024380D"/>
    <w:rsid w:val="00243AC8"/>
    <w:rsid w:val="002440A5"/>
    <w:rsid w:val="00244533"/>
    <w:rsid w:val="00244875"/>
    <w:rsid w:val="00245CC6"/>
    <w:rsid w:val="002461B6"/>
    <w:rsid w:val="002465C9"/>
    <w:rsid w:val="00246647"/>
    <w:rsid w:val="00246BCE"/>
    <w:rsid w:val="00247672"/>
    <w:rsid w:val="00247F76"/>
    <w:rsid w:val="002509F3"/>
    <w:rsid w:val="00250AD3"/>
    <w:rsid w:val="00250E0F"/>
    <w:rsid w:val="00251081"/>
    <w:rsid w:val="0025138F"/>
    <w:rsid w:val="00251E8F"/>
    <w:rsid w:val="0025242F"/>
    <w:rsid w:val="002528C4"/>
    <w:rsid w:val="002528E9"/>
    <w:rsid w:val="00252BAA"/>
    <w:rsid w:val="00252D88"/>
    <w:rsid w:val="00252E96"/>
    <w:rsid w:val="002530FF"/>
    <w:rsid w:val="0025353D"/>
    <w:rsid w:val="002536E5"/>
    <w:rsid w:val="00253941"/>
    <w:rsid w:val="00253FF2"/>
    <w:rsid w:val="00254056"/>
    <w:rsid w:val="002540E4"/>
    <w:rsid w:val="00254906"/>
    <w:rsid w:val="00254D43"/>
    <w:rsid w:val="00255B28"/>
    <w:rsid w:val="00255C7C"/>
    <w:rsid w:val="00255F4E"/>
    <w:rsid w:val="00256C93"/>
    <w:rsid w:val="00257377"/>
    <w:rsid w:val="002579B5"/>
    <w:rsid w:val="00257A4F"/>
    <w:rsid w:val="00257B8F"/>
    <w:rsid w:val="002604D1"/>
    <w:rsid w:val="00260983"/>
    <w:rsid w:val="002611B2"/>
    <w:rsid w:val="00261544"/>
    <w:rsid w:val="002615A7"/>
    <w:rsid w:val="00261CCC"/>
    <w:rsid w:val="00261E92"/>
    <w:rsid w:val="00262DBC"/>
    <w:rsid w:val="00262FC1"/>
    <w:rsid w:val="0026308E"/>
    <w:rsid w:val="0026326C"/>
    <w:rsid w:val="002644DF"/>
    <w:rsid w:val="002646F0"/>
    <w:rsid w:val="002648F6"/>
    <w:rsid w:val="00264CC5"/>
    <w:rsid w:val="00264E3C"/>
    <w:rsid w:val="002655A7"/>
    <w:rsid w:val="0026653C"/>
    <w:rsid w:val="00266665"/>
    <w:rsid w:val="002666EA"/>
    <w:rsid w:val="00266B0C"/>
    <w:rsid w:val="0026730F"/>
    <w:rsid w:val="002679CF"/>
    <w:rsid w:val="002707B7"/>
    <w:rsid w:val="00270A3F"/>
    <w:rsid w:val="002711DC"/>
    <w:rsid w:val="002718FF"/>
    <w:rsid w:val="00271AD3"/>
    <w:rsid w:val="00271AF4"/>
    <w:rsid w:val="00271E7C"/>
    <w:rsid w:val="00271E8A"/>
    <w:rsid w:val="00271F03"/>
    <w:rsid w:val="002720B6"/>
    <w:rsid w:val="00272384"/>
    <w:rsid w:val="00272585"/>
    <w:rsid w:val="00272E24"/>
    <w:rsid w:val="00273148"/>
    <w:rsid w:val="00273362"/>
    <w:rsid w:val="002735E7"/>
    <w:rsid w:val="00273978"/>
    <w:rsid w:val="00273AE5"/>
    <w:rsid w:val="00273B16"/>
    <w:rsid w:val="00273B9D"/>
    <w:rsid w:val="00273D00"/>
    <w:rsid w:val="00274085"/>
    <w:rsid w:val="002740F9"/>
    <w:rsid w:val="00274733"/>
    <w:rsid w:val="00274872"/>
    <w:rsid w:val="00274895"/>
    <w:rsid w:val="00274CAF"/>
    <w:rsid w:val="00274F96"/>
    <w:rsid w:val="00275321"/>
    <w:rsid w:val="00275DD6"/>
    <w:rsid w:val="0027625C"/>
    <w:rsid w:val="0027645A"/>
    <w:rsid w:val="002767F8"/>
    <w:rsid w:val="002769FB"/>
    <w:rsid w:val="00276AC1"/>
    <w:rsid w:val="00276B5A"/>
    <w:rsid w:val="00276CC7"/>
    <w:rsid w:val="00276D3C"/>
    <w:rsid w:val="00277981"/>
    <w:rsid w:val="00277AF6"/>
    <w:rsid w:val="00277D37"/>
    <w:rsid w:val="00277DD8"/>
    <w:rsid w:val="002806AF"/>
    <w:rsid w:val="00280826"/>
    <w:rsid w:val="00280A78"/>
    <w:rsid w:val="00280A91"/>
    <w:rsid w:val="00280CDB"/>
    <w:rsid w:val="00280E58"/>
    <w:rsid w:val="00281055"/>
    <w:rsid w:val="00281742"/>
    <w:rsid w:val="00281909"/>
    <w:rsid w:val="00281F58"/>
    <w:rsid w:val="00282210"/>
    <w:rsid w:val="002826E9"/>
    <w:rsid w:val="0028281C"/>
    <w:rsid w:val="00282D87"/>
    <w:rsid w:val="00283046"/>
    <w:rsid w:val="002832EB"/>
    <w:rsid w:val="002845AC"/>
    <w:rsid w:val="002845D9"/>
    <w:rsid w:val="00284FDB"/>
    <w:rsid w:val="0028571D"/>
    <w:rsid w:val="00285BAA"/>
    <w:rsid w:val="0028613C"/>
    <w:rsid w:val="0028652F"/>
    <w:rsid w:val="0028655C"/>
    <w:rsid w:val="00286D2F"/>
    <w:rsid w:val="00286D90"/>
    <w:rsid w:val="00287626"/>
    <w:rsid w:val="00287657"/>
    <w:rsid w:val="002902F6"/>
    <w:rsid w:val="00290ADF"/>
    <w:rsid w:val="00290ECA"/>
    <w:rsid w:val="00291322"/>
    <w:rsid w:val="002915CD"/>
    <w:rsid w:val="002915EA"/>
    <w:rsid w:val="00292039"/>
    <w:rsid w:val="0029235B"/>
    <w:rsid w:val="00292470"/>
    <w:rsid w:val="002925AF"/>
    <w:rsid w:val="00292832"/>
    <w:rsid w:val="002929B8"/>
    <w:rsid w:val="00293364"/>
    <w:rsid w:val="002939E7"/>
    <w:rsid w:val="00293A9C"/>
    <w:rsid w:val="00293BFC"/>
    <w:rsid w:val="00293DC0"/>
    <w:rsid w:val="00293FDA"/>
    <w:rsid w:val="00294042"/>
    <w:rsid w:val="0029507C"/>
    <w:rsid w:val="002950E0"/>
    <w:rsid w:val="00295460"/>
    <w:rsid w:val="00295A7F"/>
    <w:rsid w:val="00295D83"/>
    <w:rsid w:val="002960E5"/>
    <w:rsid w:val="002964E2"/>
    <w:rsid w:val="002968E0"/>
    <w:rsid w:val="00296AB9"/>
    <w:rsid w:val="00296CD6"/>
    <w:rsid w:val="002976AF"/>
    <w:rsid w:val="002977F8"/>
    <w:rsid w:val="00297E4B"/>
    <w:rsid w:val="00297E60"/>
    <w:rsid w:val="00297EB7"/>
    <w:rsid w:val="002A01F3"/>
    <w:rsid w:val="002A0439"/>
    <w:rsid w:val="002A0700"/>
    <w:rsid w:val="002A0A46"/>
    <w:rsid w:val="002A0AEB"/>
    <w:rsid w:val="002A0C34"/>
    <w:rsid w:val="002A106A"/>
    <w:rsid w:val="002A181D"/>
    <w:rsid w:val="002A1CFA"/>
    <w:rsid w:val="002A215C"/>
    <w:rsid w:val="002A25FD"/>
    <w:rsid w:val="002A2B94"/>
    <w:rsid w:val="002A2D19"/>
    <w:rsid w:val="002A3293"/>
    <w:rsid w:val="002A34E6"/>
    <w:rsid w:val="002A38D0"/>
    <w:rsid w:val="002A3C59"/>
    <w:rsid w:val="002A42E5"/>
    <w:rsid w:val="002A4415"/>
    <w:rsid w:val="002A5F93"/>
    <w:rsid w:val="002A613A"/>
    <w:rsid w:val="002A63EB"/>
    <w:rsid w:val="002A69BC"/>
    <w:rsid w:val="002A6B8E"/>
    <w:rsid w:val="002A6D11"/>
    <w:rsid w:val="002A7385"/>
    <w:rsid w:val="002A745F"/>
    <w:rsid w:val="002A75B6"/>
    <w:rsid w:val="002A7917"/>
    <w:rsid w:val="002A7B09"/>
    <w:rsid w:val="002B01FE"/>
    <w:rsid w:val="002B0221"/>
    <w:rsid w:val="002B076C"/>
    <w:rsid w:val="002B0853"/>
    <w:rsid w:val="002B0AFB"/>
    <w:rsid w:val="002B0B69"/>
    <w:rsid w:val="002B0BD1"/>
    <w:rsid w:val="002B0EBA"/>
    <w:rsid w:val="002B0EF3"/>
    <w:rsid w:val="002B0F0C"/>
    <w:rsid w:val="002B147B"/>
    <w:rsid w:val="002B15E2"/>
    <w:rsid w:val="002B1FD7"/>
    <w:rsid w:val="002B236B"/>
    <w:rsid w:val="002B28C0"/>
    <w:rsid w:val="002B2C5A"/>
    <w:rsid w:val="002B2CF4"/>
    <w:rsid w:val="002B2EF6"/>
    <w:rsid w:val="002B2FEE"/>
    <w:rsid w:val="002B3676"/>
    <w:rsid w:val="002B3A81"/>
    <w:rsid w:val="002B3C11"/>
    <w:rsid w:val="002B42F3"/>
    <w:rsid w:val="002B45D0"/>
    <w:rsid w:val="002B476D"/>
    <w:rsid w:val="002B481D"/>
    <w:rsid w:val="002B5288"/>
    <w:rsid w:val="002B54BA"/>
    <w:rsid w:val="002B56F7"/>
    <w:rsid w:val="002B6198"/>
    <w:rsid w:val="002B63F5"/>
    <w:rsid w:val="002B6500"/>
    <w:rsid w:val="002B6D8D"/>
    <w:rsid w:val="002B6EC6"/>
    <w:rsid w:val="002B7112"/>
    <w:rsid w:val="002B7219"/>
    <w:rsid w:val="002B791F"/>
    <w:rsid w:val="002C040D"/>
    <w:rsid w:val="002C04D4"/>
    <w:rsid w:val="002C04E2"/>
    <w:rsid w:val="002C0564"/>
    <w:rsid w:val="002C0825"/>
    <w:rsid w:val="002C086E"/>
    <w:rsid w:val="002C0A64"/>
    <w:rsid w:val="002C148E"/>
    <w:rsid w:val="002C14E9"/>
    <w:rsid w:val="002C179B"/>
    <w:rsid w:val="002C1AC2"/>
    <w:rsid w:val="002C2175"/>
    <w:rsid w:val="002C21ED"/>
    <w:rsid w:val="002C222A"/>
    <w:rsid w:val="002C26C0"/>
    <w:rsid w:val="002C2CC5"/>
    <w:rsid w:val="002C2CCE"/>
    <w:rsid w:val="002C2FFB"/>
    <w:rsid w:val="002C31D6"/>
    <w:rsid w:val="002C378A"/>
    <w:rsid w:val="002C3914"/>
    <w:rsid w:val="002C40F8"/>
    <w:rsid w:val="002C4198"/>
    <w:rsid w:val="002C42C9"/>
    <w:rsid w:val="002C42E8"/>
    <w:rsid w:val="002C4AAA"/>
    <w:rsid w:val="002C5B95"/>
    <w:rsid w:val="002C5DD4"/>
    <w:rsid w:val="002C5FD8"/>
    <w:rsid w:val="002C659B"/>
    <w:rsid w:val="002C65A2"/>
    <w:rsid w:val="002C6936"/>
    <w:rsid w:val="002C6AAC"/>
    <w:rsid w:val="002C6AEC"/>
    <w:rsid w:val="002C6E73"/>
    <w:rsid w:val="002C706C"/>
    <w:rsid w:val="002C741B"/>
    <w:rsid w:val="002C774A"/>
    <w:rsid w:val="002D0203"/>
    <w:rsid w:val="002D0490"/>
    <w:rsid w:val="002D04AB"/>
    <w:rsid w:val="002D0575"/>
    <w:rsid w:val="002D06A2"/>
    <w:rsid w:val="002D0ABC"/>
    <w:rsid w:val="002D0D5E"/>
    <w:rsid w:val="002D0DA8"/>
    <w:rsid w:val="002D14DB"/>
    <w:rsid w:val="002D180F"/>
    <w:rsid w:val="002D1B59"/>
    <w:rsid w:val="002D207C"/>
    <w:rsid w:val="002D2081"/>
    <w:rsid w:val="002D2319"/>
    <w:rsid w:val="002D271D"/>
    <w:rsid w:val="002D2760"/>
    <w:rsid w:val="002D2CF7"/>
    <w:rsid w:val="002D395E"/>
    <w:rsid w:val="002D3EFB"/>
    <w:rsid w:val="002D4230"/>
    <w:rsid w:val="002D44DB"/>
    <w:rsid w:val="002D4DBB"/>
    <w:rsid w:val="002D5194"/>
    <w:rsid w:val="002D557B"/>
    <w:rsid w:val="002D5C43"/>
    <w:rsid w:val="002D5C5E"/>
    <w:rsid w:val="002D654D"/>
    <w:rsid w:val="002D6DF1"/>
    <w:rsid w:val="002D7722"/>
    <w:rsid w:val="002D7924"/>
    <w:rsid w:val="002D7A50"/>
    <w:rsid w:val="002D7C58"/>
    <w:rsid w:val="002E0526"/>
    <w:rsid w:val="002E0C15"/>
    <w:rsid w:val="002E253F"/>
    <w:rsid w:val="002E255D"/>
    <w:rsid w:val="002E266A"/>
    <w:rsid w:val="002E287B"/>
    <w:rsid w:val="002E2D57"/>
    <w:rsid w:val="002E2E09"/>
    <w:rsid w:val="002E3709"/>
    <w:rsid w:val="002E3A74"/>
    <w:rsid w:val="002E3B0C"/>
    <w:rsid w:val="002E3E7C"/>
    <w:rsid w:val="002E3F3C"/>
    <w:rsid w:val="002E3FAD"/>
    <w:rsid w:val="002E4562"/>
    <w:rsid w:val="002E4C40"/>
    <w:rsid w:val="002E4D55"/>
    <w:rsid w:val="002E50C5"/>
    <w:rsid w:val="002E5149"/>
    <w:rsid w:val="002E5632"/>
    <w:rsid w:val="002E56E1"/>
    <w:rsid w:val="002E595C"/>
    <w:rsid w:val="002E5D5F"/>
    <w:rsid w:val="002E5F0C"/>
    <w:rsid w:val="002E646C"/>
    <w:rsid w:val="002E64A2"/>
    <w:rsid w:val="002E6B7F"/>
    <w:rsid w:val="002E6D72"/>
    <w:rsid w:val="002E6EB9"/>
    <w:rsid w:val="002E72B0"/>
    <w:rsid w:val="002E74E2"/>
    <w:rsid w:val="002E7842"/>
    <w:rsid w:val="002F10F0"/>
    <w:rsid w:val="002F143D"/>
    <w:rsid w:val="002F1956"/>
    <w:rsid w:val="002F1C32"/>
    <w:rsid w:val="002F1C4F"/>
    <w:rsid w:val="002F228C"/>
    <w:rsid w:val="002F2314"/>
    <w:rsid w:val="002F27A6"/>
    <w:rsid w:val="002F2838"/>
    <w:rsid w:val="002F30CF"/>
    <w:rsid w:val="002F334F"/>
    <w:rsid w:val="002F353C"/>
    <w:rsid w:val="002F3930"/>
    <w:rsid w:val="002F3D8D"/>
    <w:rsid w:val="002F3D91"/>
    <w:rsid w:val="002F440B"/>
    <w:rsid w:val="002F44D3"/>
    <w:rsid w:val="002F47BB"/>
    <w:rsid w:val="002F47D5"/>
    <w:rsid w:val="002F4A37"/>
    <w:rsid w:val="002F5782"/>
    <w:rsid w:val="002F5B62"/>
    <w:rsid w:val="002F5CAF"/>
    <w:rsid w:val="002F5F2C"/>
    <w:rsid w:val="002F5F9B"/>
    <w:rsid w:val="002F64BF"/>
    <w:rsid w:val="002F64D0"/>
    <w:rsid w:val="002F6679"/>
    <w:rsid w:val="002F6788"/>
    <w:rsid w:val="002F687A"/>
    <w:rsid w:val="002F68E5"/>
    <w:rsid w:val="002F7A15"/>
    <w:rsid w:val="002F7AEA"/>
    <w:rsid w:val="002F7BCB"/>
    <w:rsid w:val="003004ED"/>
    <w:rsid w:val="00300593"/>
    <w:rsid w:val="003006F8"/>
    <w:rsid w:val="00300C8E"/>
    <w:rsid w:val="00301230"/>
    <w:rsid w:val="00301265"/>
    <w:rsid w:val="00301419"/>
    <w:rsid w:val="0030142A"/>
    <w:rsid w:val="00302AEA"/>
    <w:rsid w:val="00302E30"/>
    <w:rsid w:val="003030AB"/>
    <w:rsid w:val="00303107"/>
    <w:rsid w:val="0030380B"/>
    <w:rsid w:val="00303D54"/>
    <w:rsid w:val="0030469D"/>
    <w:rsid w:val="003053AF"/>
    <w:rsid w:val="00305473"/>
    <w:rsid w:val="003057C8"/>
    <w:rsid w:val="003059BD"/>
    <w:rsid w:val="003059CE"/>
    <w:rsid w:val="00305AD3"/>
    <w:rsid w:val="003060DC"/>
    <w:rsid w:val="0030624A"/>
    <w:rsid w:val="0030651C"/>
    <w:rsid w:val="003069A5"/>
    <w:rsid w:val="003069DD"/>
    <w:rsid w:val="00306C3C"/>
    <w:rsid w:val="00306CF3"/>
    <w:rsid w:val="00306F6C"/>
    <w:rsid w:val="003072EF"/>
    <w:rsid w:val="0030790E"/>
    <w:rsid w:val="003079EF"/>
    <w:rsid w:val="00307E0F"/>
    <w:rsid w:val="00307FB9"/>
    <w:rsid w:val="00307FDB"/>
    <w:rsid w:val="00310008"/>
    <w:rsid w:val="003104A6"/>
    <w:rsid w:val="00310F06"/>
    <w:rsid w:val="003112FE"/>
    <w:rsid w:val="003115A5"/>
    <w:rsid w:val="00312133"/>
    <w:rsid w:val="003122EE"/>
    <w:rsid w:val="003122F3"/>
    <w:rsid w:val="00312327"/>
    <w:rsid w:val="00312C9B"/>
    <w:rsid w:val="0031303D"/>
    <w:rsid w:val="00313404"/>
    <w:rsid w:val="00313426"/>
    <w:rsid w:val="00313480"/>
    <w:rsid w:val="00313AAB"/>
    <w:rsid w:val="00313E18"/>
    <w:rsid w:val="00314382"/>
    <w:rsid w:val="0031484E"/>
    <w:rsid w:val="00314C45"/>
    <w:rsid w:val="00314C87"/>
    <w:rsid w:val="00314E9E"/>
    <w:rsid w:val="00315100"/>
    <w:rsid w:val="003155E0"/>
    <w:rsid w:val="00315C77"/>
    <w:rsid w:val="00315ED4"/>
    <w:rsid w:val="00315EEC"/>
    <w:rsid w:val="00315F37"/>
    <w:rsid w:val="00316596"/>
    <w:rsid w:val="0031687B"/>
    <w:rsid w:val="00316F4B"/>
    <w:rsid w:val="003174D9"/>
    <w:rsid w:val="00317898"/>
    <w:rsid w:val="00317C36"/>
    <w:rsid w:val="00320025"/>
    <w:rsid w:val="00320CBA"/>
    <w:rsid w:val="00320F9A"/>
    <w:rsid w:val="0032145A"/>
    <w:rsid w:val="003215BC"/>
    <w:rsid w:val="003219E1"/>
    <w:rsid w:val="0032213E"/>
    <w:rsid w:val="00322151"/>
    <w:rsid w:val="00322661"/>
    <w:rsid w:val="00322A9D"/>
    <w:rsid w:val="00323033"/>
    <w:rsid w:val="0032374D"/>
    <w:rsid w:val="00323901"/>
    <w:rsid w:val="00323AEB"/>
    <w:rsid w:val="00323BFA"/>
    <w:rsid w:val="00323D1A"/>
    <w:rsid w:val="00323D36"/>
    <w:rsid w:val="00324172"/>
    <w:rsid w:val="0032483C"/>
    <w:rsid w:val="00324D3A"/>
    <w:rsid w:val="00324EEC"/>
    <w:rsid w:val="00326AD1"/>
    <w:rsid w:val="00326AFF"/>
    <w:rsid w:val="00327A7D"/>
    <w:rsid w:val="00327ABF"/>
    <w:rsid w:val="00327F60"/>
    <w:rsid w:val="00330069"/>
    <w:rsid w:val="00330C5F"/>
    <w:rsid w:val="00330EB8"/>
    <w:rsid w:val="00330F4B"/>
    <w:rsid w:val="003313E3"/>
    <w:rsid w:val="0033180A"/>
    <w:rsid w:val="00332049"/>
    <w:rsid w:val="0033352A"/>
    <w:rsid w:val="00333F0E"/>
    <w:rsid w:val="00334216"/>
    <w:rsid w:val="003346E0"/>
    <w:rsid w:val="003349E9"/>
    <w:rsid w:val="00334F6B"/>
    <w:rsid w:val="0033520B"/>
    <w:rsid w:val="003352DB"/>
    <w:rsid w:val="0033621F"/>
    <w:rsid w:val="0033648B"/>
    <w:rsid w:val="0033664F"/>
    <w:rsid w:val="003369C1"/>
    <w:rsid w:val="00336A6A"/>
    <w:rsid w:val="00336B1A"/>
    <w:rsid w:val="00336BBD"/>
    <w:rsid w:val="00336F02"/>
    <w:rsid w:val="00336FDA"/>
    <w:rsid w:val="0033707D"/>
    <w:rsid w:val="00337118"/>
    <w:rsid w:val="00337205"/>
    <w:rsid w:val="0033799C"/>
    <w:rsid w:val="00337A85"/>
    <w:rsid w:val="00337F75"/>
    <w:rsid w:val="003408F6"/>
    <w:rsid w:val="00340C6F"/>
    <w:rsid w:val="00341093"/>
    <w:rsid w:val="00341142"/>
    <w:rsid w:val="0034140E"/>
    <w:rsid w:val="00341568"/>
    <w:rsid w:val="0034179F"/>
    <w:rsid w:val="00341A6A"/>
    <w:rsid w:val="00341D5F"/>
    <w:rsid w:val="0034225B"/>
    <w:rsid w:val="0034280F"/>
    <w:rsid w:val="00342D5D"/>
    <w:rsid w:val="003430E6"/>
    <w:rsid w:val="003431DA"/>
    <w:rsid w:val="00343780"/>
    <w:rsid w:val="003438E2"/>
    <w:rsid w:val="00343F86"/>
    <w:rsid w:val="00344451"/>
    <w:rsid w:val="00344B62"/>
    <w:rsid w:val="00344F04"/>
    <w:rsid w:val="00344F7F"/>
    <w:rsid w:val="00345746"/>
    <w:rsid w:val="00345C63"/>
    <w:rsid w:val="0034667F"/>
    <w:rsid w:val="003467A2"/>
    <w:rsid w:val="00346ADC"/>
    <w:rsid w:val="00347D27"/>
    <w:rsid w:val="00347EC2"/>
    <w:rsid w:val="003503D2"/>
    <w:rsid w:val="003504AC"/>
    <w:rsid w:val="00350586"/>
    <w:rsid w:val="00350763"/>
    <w:rsid w:val="003507EB"/>
    <w:rsid w:val="00350D63"/>
    <w:rsid w:val="00350E2D"/>
    <w:rsid w:val="00350F4E"/>
    <w:rsid w:val="00351191"/>
    <w:rsid w:val="00351379"/>
    <w:rsid w:val="003519E4"/>
    <w:rsid w:val="00351CD8"/>
    <w:rsid w:val="00351FE9"/>
    <w:rsid w:val="00352213"/>
    <w:rsid w:val="003529C5"/>
    <w:rsid w:val="00352A30"/>
    <w:rsid w:val="00352F69"/>
    <w:rsid w:val="0035318D"/>
    <w:rsid w:val="0035329D"/>
    <w:rsid w:val="0035375B"/>
    <w:rsid w:val="003540C2"/>
    <w:rsid w:val="003544BF"/>
    <w:rsid w:val="003546C7"/>
    <w:rsid w:val="00354E5D"/>
    <w:rsid w:val="00354FD0"/>
    <w:rsid w:val="003558F2"/>
    <w:rsid w:val="003565A5"/>
    <w:rsid w:val="003569DE"/>
    <w:rsid w:val="00356C10"/>
    <w:rsid w:val="00357444"/>
    <w:rsid w:val="0036040E"/>
    <w:rsid w:val="0036073D"/>
    <w:rsid w:val="00360A50"/>
    <w:rsid w:val="00360AD5"/>
    <w:rsid w:val="00360D87"/>
    <w:rsid w:val="00361287"/>
    <w:rsid w:val="00361825"/>
    <w:rsid w:val="00362100"/>
    <w:rsid w:val="0036281D"/>
    <w:rsid w:val="0036290B"/>
    <w:rsid w:val="00363100"/>
    <w:rsid w:val="003634A9"/>
    <w:rsid w:val="00363589"/>
    <w:rsid w:val="00363B21"/>
    <w:rsid w:val="00363BDF"/>
    <w:rsid w:val="00363E87"/>
    <w:rsid w:val="003641C8"/>
    <w:rsid w:val="00364233"/>
    <w:rsid w:val="00364640"/>
    <w:rsid w:val="0036494E"/>
    <w:rsid w:val="00365279"/>
    <w:rsid w:val="003652EB"/>
    <w:rsid w:val="00365CA3"/>
    <w:rsid w:val="00365D8D"/>
    <w:rsid w:val="00365D9B"/>
    <w:rsid w:val="00366514"/>
    <w:rsid w:val="003666B9"/>
    <w:rsid w:val="00366796"/>
    <w:rsid w:val="00366ACF"/>
    <w:rsid w:val="00366BD2"/>
    <w:rsid w:val="00366CE1"/>
    <w:rsid w:val="00367149"/>
    <w:rsid w:val="003674B8"/>
    <w:rsid w:val="003675F2"/>
    <w:rsid w:val="00367879"/>
    <w:rsid w:val="00367A98"/>
    <w:rsid w:val="00367C92"/>
    <w:rsid w:val="00367CBD"/>
    <w:rsid w:val="00367F95"/>
    <w:rsid w:val="00370871"/>
    <w:rsid w:val="00370C30"/>
    <w:rsid w:val="00370EDC"/>
    <w:rsid w:val="00370F33"/>
    <w:rsid w:val="00370FF5"/>
    <w:rsid w:val="003711D3"/>
    <w:rsid w:val="003712E5"/>
    <w:rsid w:val="00371460"/>
    <w:rsid w:val="00371A84"/>
    <w:rsid w:val="00371CD5"/>
    <w:rsid w:val="00372898"/>
    <w:rsid w:val="00372D7E"/>
    <w:rsid w:val="00373051"/>
    <w:rsid w:val="0037308C"/>
    <w:rsid w:val="003733C5"/>
    <w:rsid w:val="00373408"/>
    <w:rsid w:val="00373959"/>
    <w:rsid w:val="00373C1F"/>
    <w:rsid w:val="00373E8E"/>
    <w:rsid w:val="00373F93"/>
    <w:rsid w:val="00374541"/>
    <w:rsid w:val="003747D4"/>
    <w:rsid w:val="00374982"/>
    <w:rsid w:val="00374BB8"/>
    <w:rsid w:val="003756EE"/>
    <w:rsid w:val="003757CD"/>
    <w:rsid w:val="00375869"/>
    <w:rsid w:val="00375AAB"/>
    <w:rsid w:val="00375EF7"/>
    <w:rsid w:val="00376648"/>
    <w:rsid w:val="0037666E"/>
    <w:rsid w:val="0037672B"/>
    <w:rsid w:val="00376B3C"/>
    <w:rsid w:val="00376BF1"/>
    <w:rsid w:val="00376C4C"/>
    <w:rsid w:val="00377334"/>
    <w:rsid w:val="0037738A"/>
    <w:rsid w:val="00377778"/>
    <w:rsid w:val="003778C9"/>
    <w:rsid w:val="003779FA"/>
    <w:rsid w:val="00377B61"/>
    <w:rsid w:val="00377CC2"/>
    <w:rsid w:val="00377E7C"/>
    <w:rsid w:val="00377EC5"/>
    <w:rsid w:val="00380473"/>
    <w:rsid w:val="003805A2"/>
    <w:rsid w:val="003806EF"/>
    <w:rsid w:val="00380733"/>
    <w:rsid w:val="00380B96"/>
    <w:rsid w:val="0038179A"/>
    <w:rsid w:val="00381BDD"/>
    <w:rsid w:val="0038208D"/>
    <w:rsid w:val="00382187"/>
    <w:rsid w:val="0038272D"/>
    <w:rsid w:val="00382BF8"/>
    <w:rsid w:val="003831B4"/>
    <w:rsid w:val="003841A1"/>
    <w:rsid w:val="0038436D"/>
    <w:rsid w:val="00384427"/>
    <w:rsid w:val="0038469C"/>
    <w:rsid w:val="0038498E"/>
    <w:rsid w:val="00384DFB"/>
    <w:rsid w:val="00384F92"/>
    <w:rsid w:val="003854DB"/>
    <w:rsid w:val="00385558"/>
    <w:rsid w:val="0038576A"/>
    <w:rsid w:val="00385AB7"/>
    <w:rsid w:val="00386F36"/>
    <w:rsid w:val="0038700D"/>
    <w:rsid w:val="00387391"/>
    <w:rsid w:val="003875C7"/>
    <w:rsid w:val="003876B0"/>
    <w:rsid w:val="00387BC1"/>
    <w:rsid w:val="00390077"/>
    <w:rsid w:val="0039021F"/>
    <w:rsid w:val="00390528"/>
    <w:rsid w:val="00390555"/>
    <w:rsid w:val="0039081B"/>
    <w:rsid w:val="00390CA7"/>
    <w:rsid w:val="00390E49"/>
    <w:rsid w:val="00391C36"/>
    <w:rsid w:val="00391CFD"/>
    <w:rsid w:val="00391D4F"/>
    <w:rsid w:val="00391EA8"/>
    <w:rsid w:val="00392060"/>
    <w:rsid w:val="00392140"/>
    <w:rsid w:val="00392E24"/>
    <w:rsid w:val="0039322D"/>
    <w:rsid w:val="00393367"/>
    <w:rsid w:val="00393371"/>
    <w:rsid w:val="003938BD"/>
    <w:rsid w:val="00393B17"/>
    <w:rsid w:val="003948F3"/>
    <w:rsid w:val="00394D13"/>
    <w:rsid w:val="00396366"/>
    <w:rsid w:val="003964BE"/>
    <w:rsid w:val="00396624"/>
    <w:rsid w:val="003967AC"/>
    <w:rsid w:val="003968D1"/>
    <w:rsid w:val="00396B7F"/>
    <w:rsid w:val="0039724A"/>
    <w:rsid w:val="0039725D"/>
    <w:rsid w:val="00397636"/>
    <w:rsid w:val="00397669"/>
    <w:rsid w:val="003A00F3"/>
    <w:rsid w:val="003A033C"/>
    <w:rsid w:val="003A0C49"/>
    <w:rsid w:val="003A0F28"/>
    <w:rsid w:val="003A1538"/>
    <w:rsid w:val="003A22ED"/>
    <w:rsid w:val="003A26F7"/>
    <w:rsid w:val="003A2B36"/>
    <w:rsid w:val="003A315E"/>
    <w:rsid w:val="003A3704"/>
    <w:rsid w:val="003A38AB"/>
    <w:rsid w:val="003A3D98"/>
    <w:rsid w:val="003A445A"/>
    <w:rsid w:val="003A4B01"/>
    <w:rsid w:val="003A4EF1"/>
    <w:rsid w:val="003A53F4"/>
    <w:rsid w:val="003A54B0"/>
    <w:rsid w:val="003A5603"/>
    <w:rsid w:val="003A5820"/>
    <w:rsid w:val="003A5868"/>
    <w:rsid w:val="003A5B6E"/>
    <w:rsid w:val="003A5DDD"/>
    <w:rsid w:val="003A5FFD"/>
    <w:rsid w:val="003A62CB"/>
    <w:rsid w:val="003A63CF"/>
    <w:rsid w:val="003A660C"/>
    <w:rsid w:val="003A6692"/>
    <w:rsid w:val="003A689D"/>
    <w:rsid w:val="003A6F23"/>
    <w:rsid w:val="003A74EA"/>
    <w:rsid w:val="003A7673"/>
    <w:rsid w:val="003A7B42"/>
    <w:rsid w:val="003A7C22"/>
    <w:rsid w:val="003A7C8F"/>
    <w:rsid w:val="003A7E35"/>
    <w:rsid w:val="003B0625"/>
    <w:rsid w:val="003B20DA"/>
    <w:rsid w:val="003B29A8"/>
    <w:rsid w:val="003B2BEB"/>
    <w:rsid w:val="003B3003"/>
    <w:rsid w:val="003B3267"/>
    <w:rsid w:val="003B3DE8"/>
    <w:rsid w:val="003B40C2"/>
    <w:rsid w:val="003B4101"/>
    <w:rsid w:val="003B4146"/>
    <w:rsid w:val="003B4A5B"/>
    <w:rsid w:val="003B4B50"/>
    <w:rsid w:val="003B4B69"/>
    <w:rsid w:val="003B5131"/>
    <w:rsid w:val="003B559E"/>
    <w:rsid w:val="003B5731"/>
    <w:rsid w:val="003B599D"/>
    <w:rsid w:val="003B5ABD"/>
    <w:rsid w:val="003B5AD6"/>
    <w:rsid w:val="003B5F3E"/>
    <w:rsid w:val="003B5F79"/>
    <w:rsid w:val="003B5FA9"/>
    <w:rsid w:val="003B6124"/>
    <w:rsid w:val="003B67E3"/>
    <w:rsid w:val="003B714A"/>
    <w:rsid w:val="003B7CD6"/>
    <w:rsid w:val="003B7FCC"/>
    <w:rsid w:val="003C0C38"/>
    <w:rsid w:val="003C0CB9"/>
    <w:rsid w:val="003C0E23"/>
    <w:rsid w:val="003C1038"/>
    <w:rsid w:val="003C11EE"/>
    <w:rsid w:val="003C12E2"/>
    <w:rsid w:val="003C143C"/>
    <w:rsid w:val="003C188E"/>
    <w:rsid w:val="003C208D"/>
    <w:rsid w:val="003C21F3"/>
    <w:rsid w:val="003C27F9"/>
    <w:rsid w:val="003C3190"/>
    <w:rsid w:val="003C31E6"/>
    <w:rsid w:val="003C36F6"/>
    <w:rsid w:val="003C3A6B"/>
    <w:rsid w:val="003C41A6"/>
    <w:rsid w:val="003C431B"/>
    <w:rsid w:val="003C4B2C"/>
    <w:rsid w:val="003C4CDF"/>
    <w:rsid w:val="003C4E43"/>
    <w:rsid w:val="003C4F76"/>
    <w:rsid w:val="003C5130"/>
    <w:rsid w:val="003C5158"/>
    <w:rsid w:val="003C5960"/>
    <w:rsid w:val="003C5A3C"/>
    <w:rsid w:val="003C5C49"/>
    <w:rsid w:val="003C61BF"/>
    <w:rsid w:val="003C61C3"/>
    <w:rsid w:val="003C6276"/>
    <w:rsid w:val="003C6937"/>
    <w:rsid w:val="003C6A02"/>
    <w:rsid w:val="003C7350"/>
    <w:rsid w:val="003C743B"/>
    <w:rsid w:val="003C7731"/>
    <w:rsid w:val="003C79ED"/>
    <w:rsid w:val="003C7A14"/>
    <w:rsid w:val="003C7A70"/>
    <w:rsid w:val="003C7B1D"/>
    <w:rsid w:val="003C7EF3"/>
    <w:rsid w:val="003D02AA"/>
    <w:rsid w:val="003D0724"/>
    <w:rsid w:val="003D07C2"/>
    <w:rsid w:val="003D0969"/>
    <w:rsid w:val="003D0DF5"/>
    <w:rsid w:val="003D0F14"/>
    <w:rsid w:val="003D0F5C"/>
    <w:rsid w:val="003D14C3"/>
    <w:rsid w:val="003D1B55"/>
    <w:rsid w:val="003D1EFD"/>
    <w:rsid w:val="003D2ABD"/>
    <w:rsid w:val="003D2B45"/>
    <w:rsid w:val="003D2DA1"/>
    <w:rsid w:val="003D3271"/>
    <w:rsid w:val="003D3331"/>
    <w:rsid w:val="003D34FC"/>
    <w:rsid w:val="003D3562"/>
    <w:rsid w:val="003D3FAF"/>
    <w:rsid w:val="003D42F3"/>
    <w:rsid w:val="003D42FB"/>
    <w:rsid w:val="003D435A"/>
    <w:rsid w:val="003D436A"/>
    <w:rsid w:val="003D4637"/>
    <w:rsid w:val="003D46B9"/>
    <w:rsid w:val="003D46D9"/>
    <w:rsid w:val="003D47E3"/>
    <w:rsid w:val="003D4930"/>
    <w:rsid w:val="003D5146"/>
    <w:rsid w:val="003D54CE"/>
    <w:rsid w:val="003D559A"/>
    <w:rsid w:val="003D562E"/>
    <w:rsid w:val="003D5B24"/>
    <w:rsid w:val="003D6180"/>
    <w:rsid w:val="003D745D"/>
    <w:rsid w:val="003D781D"/>
    <w:rsid w:val="003D795B"/>
    <w:rsid w:val="003D7EF3"/>
    <w:rsid w:val="003D7F5B"/>
    <w:rsid w:val="003E0125"/>
    <w:rsid w:val="003E03F7"/>
    <w:rsid w:val="003E0648"/>
    <w:rsid w:val="003E0D55"/>
    <w:rsid w:val="003E0D7C"/>
    <w:rsid w:val="003E0EE1"/>
    <w:rsid w:val="003E11FF"/>
    <w:rsid w:val="003E14C6"/>
    <w:rsid w:val="003E1827"/>
    <w:rsid w:val="003E1A47"/>
    <w:rsid w:val="003E1B16"/>
    <w:rsid w:val="003E1C24"/>
    <w:rsid w:val="003E2CBB"/>
    <w:rsid w:val="003E2D79"/>
    <w:rsid w:val="003E2E57"/>
    <w:rsid w:val="003E31F7"/>
    <w:rsid w:val="003E32B6"/>
    <w:rsid w:val="003E35B8"/>
    <w:rsid w:val="003E3736"/>
    <w:rsid w:val="003E3748"/>
    <w:rsid w:val="003E391A"/>
    <w:rsid w:val="003E3F0F"/>
    <w:rsid w:val="003E4265"/>
    <w:rsid w:val="003E44CB"/>
    <w:rsid w:val="003E4A82"/>
    <w:rsid w:val="003E4D0A"/>
    <w:rsid w:val="003E5452"/>
    <w:rsid w:val="003E55C9"/>
    <w:rsid w:val="003E582A"/>
    <w:rsid w:val="003E626D"/>
    <w:rsid w:val="003E6272"/>
    <w:rsid w:val="003E6476"/>
    <w:rsid w:val="003E6698"/>
    <w:rsid w:val="003E686C"/>
    <w:rsid w:val="003E68BE"/>
    <w:rsid w:val="003E7374"/>
    <w:rsid w:val="003E77B4"/>
    <w:rsid w:val="003E7C79"/>
    <w:rsid w:val="003E7D5C"/>
    <w:rsid w:val="003E7F7D"/>
    <w:rsid w:val="003F0004"/>
    <w:rsid w:val="003F0FE3"/>
    <w:rsid w:val="003F169D"/>
    <w:rsid w:val="003F1732"/>
    <w:rsid w:val="003F1AED"/>
    <w:rsid w:val="003F1C21"/>
    <w:rsid w:val="003F1CAD"/>
    <w:rsid w:val="003F1CE5"/>
    <w:rsid w:val="003F2268"/>
    <w:rsid w:val="003F268A"/>
    <w:rsid w:val="003F27A5"/>
    <w:rsid w:val="003F2811"/>
    <w:rsid w:val="003F2B77"/>
    <w:rsid w:val="003F2C1C"/>
    <w:rsid w:val="003F2E17"/>
    <w:rsid w:val="003F30D0"/>
    <w:rsid w:val="003F3676"/>
    <w:rsid w:val="003F3FCA"/>
    <w:rsid w:val="003F457B"/>
    <w:rsid w:val="003F45FD"/>
    <w:rsid w:val="003F5101"/>
    <w:rsid w:val="003F51D6"/>
    <w:rsid w:val="003F5AE6"/>
    <w:rsid w:val="003F5C1D"/>
    <w:rsid w:val="003F5C8F"/>
    <w:rsid w:val="003F5D56"/>
    <w:rsid w:val="003F60C2"/>
    <w:rsid w:val="003F61E5"/>
    <w:rsid w:val="003F693C"/>
    <w:rsid w:val="003F6D36"/>
    <w:rsid w:val="003F6F94"/>
    <w:rsid w:val="003F75E2"/>
    <w:rsid w:val="003F7658"/>
    <w:rsid w:val="003F7692"/>
    <w:rsid w:val="003F76A5"/>
    <w:rsid w:val="003F7727"/>
    <w:rsid w:val="003F7786"/>
    <w:rsid w:val="003F7946"/>
    <w:rsid w:val="003F7E35"/>
    <w:rsid w:val="003F7F2D"/>
    <w:rsid w:val="004000E4"/>
    <w:rsid w:val="004002DE"/>
    <w:rsid w:val="004007FC"/>
    <w:rsid w:val="004009F5"/>
    <w:rsid w:val="004010FE"/>
    <w:rsid w:val="004012BA"/>
    <w:rsid w:val="004015BF"/>
    <w:rsid w:val="004019EA"/>
    <w:rsid w:val="00401BFB"/>
    <w:rsid w:val="00401EEF"/>
    <w:rsid w:val="00401F63"/>
    <w:rsid w:val="00401F9E"/>
    <w:rsid w:val="00402028"/>
    <w:rsid w:val="00402140"/>
    <w:rsid w:val="004023B8"/>
    <w:rsid w:val="00402B7A"/>
    <w:rsid w:val="00402CE8"/>
    <w:rsid w:val="00402DD9"/>
    <w:rsid w:val="00402FBA"/>
    <w:rsid w:val="0040306F"/>
    <w:rsid w:val="00403204"/>
    <w:rsid w:val="0040389F"/>
    <w:rsid w:val="00403926"/>
    <w:rsid w:val="004039DB"/>
    <w:rsid w:val="00403C41"/>
    <w:rsid w:val="00403E59"/>
    <w:rsid w:val="00403EA2"/>
    <w:rsid w:val="00404037"/>
    <w:rsid w:val="00404277"/>
    <w:rsid w:val="0040440A"/>
    <w:rsid w:val="00404428"/>
    <w:rsid w:val="00404BE7"/>
    <w:rsid w:val="00404C3F"/>
    <w:rsid w:val="00404D13"/>
    <w:rsid w:val="00404E68"/>
    <w:rsid w:val="00405079"/>
    <w:rsid w:val="00406DB2"/>
    <w:rsid w:val="00407068"/>
    <w:rsid w:val="0040770C"/>
    <w:rsid w:val="004102B3"/>
    <w:rsid w:val="00410384"/>
    <w:rsid w:val="00411746"/>
    <w:rsid w:val="00411CA1"/>
    <w:rsid w:val="00412B17"/>
    <w:rsid w:val="00412BEB"/>
    <w:rsid w:val="00412D53"/>
    <w:rsid w:val="00412D83"/>
    <w:rsid w:val="0041313B"/>
    <w:rsid w:val="004135BF"/>
    <w:rsid w:val="0041388D"/>
    <w:rsid w:val="00413A22"/>
    <w:rsid w:val="00413C7F"/>
    <w:rsid w:val="00414215"/>
    <w:rsid w:val="004144C3"/>
    <w:rsid w:val="004149B5"/>
    <w:rsid w:val="00414AAC"/>
    <w:rsid w:val="00414E37"/>
    <w:rsid w:val="00414E86"/>
    <w:rsid w:val="00414FD7"/>
    <w:rsid w:val="004152F9"/>
    <w:rsid w:val="0041559B"/>
    <w:rsid w:val="00415CF2"/>
    <w:rsid w:val="0041656C"/>
    <w:rsid w:val="004166D2"/>
    <w:rsid w:val="00416A1E"/>
    <w:rsid w:val="00416A79"/>
    <w:rsid w:val="00416C2B"/>
    <w:rsid w:val="00416DF4"/>
    <w:rsid w:val="0041715E"/>
    <w:rsid w:val="00417696"/>
    <w:rsid w:val="0042014A"/>
    <w:rsid w:val="0042103B"/>
    <w:rsid w:val="00421094"/>
    <w:rsid w:val="00421129"/>
    <w:rsid w:val="0042127A"/>
    <w:rsid w:val="00421470"/>
    <w:rsid w:val="00421694"/>
    <w:rsid w:val="004218D9"/>
    <w:rsid w:val="004225F6"/>
    <w:rsid w:val="004229DE"/>
    <w:rsid w:val="0042356F"/>
    <w:rsid w:val="00423821"/>
    <w:rsid w:val="004239FE"/>
    <w:rsid w:val="00423C9F"/>
    <w:rsid w:val="00423F03"/>
    <w:rsid w:val="00424E90"/>
    <w:rsid w:val="0042535D"/>
    <w:rsid w:val="00425DA5"/>
    <w:rsid w:val="00426279"/>
    <w:rsid w:val="0042636F"/>
    <w:rsid w:val="0042651B"/>
    <w:rsid w:val="00426F73"/>
    <w:rsid w:val="00426FDD"/>
    <w:rsid w:val="00427321"/>
    <w:rsid w:val="00427AC6"/>
    <w:rsid w:val="00427BFF"/>
    <w:rsid w:val="00430005"/>
    <w:rsid w:val="004300C6"/>
    <w:rsid w:val="004308BC"/>
    <w:rsid w:val="00430CE3"/>
    <w:rsid w:val="00430D0C"/>
    <w:rsid w:val="004313CF"/>
    <w:rsid w:val="00432835"/>
    <w:rsid w:val="00432B0C"/>
    <w:rsid w:val="00432BF4"/>
    <w:rsid w:val="00433336"/>
    <w:rsid w:val="00433AB3"/>
    <w:rsid w:val="00433D24"/>
    <w:rsid w:val="00433D8E"/>
    <w:rsid w:val="00434342"/>
    <w:rsid w:val="00434B26"/>
    <w:rsid w:val="00434DF9"/>
    <w:rsid w:val="00434F7E"/>
    <w:rsid w:val="00435408"/>
    <w:rsid w:val="00435B56"/>
    <w:rsid w:val="00435EF3"/>
    <w:rsid w:val="004360A8"/>
    <w:rsid w:val="004362EC"/>
    <w:rsid w:val="00436DEC"/>
    <w:rsid w:val="00436E8F"/>
    <w:rsid w:val="00437147"/>
    <w:rsid w:val="004376D0"/>
    <w:rsid w:val="00437915"/>
    <w:rsid w:val="00437B2F"/>
    <w:rsid w:val="00437B60"/>
    <w:rsid w:val="00437DE4"/>
    <w:rsid w:val="00440114"/>
    <w:rsid w:val="00440136"/>
    <w:rsid w:val="0044045C"/>
    <w:rsid w:val="004404CD"/>
    <w:rsid w:val="004413BA"/>
    <w:rsid w:val="004413CD"/>
    <w:rsid w:val="0044183A"/>
    <w:rsid w:val="00441845"/>
    <w:rsid w:val="00441D63"/>
    <w:rsid w:val="00442150"/>
    <w:rsid w:val="004422F6"/>
    <w:rsid w:val="0044279A"/>
    <w:rsid w:val="00442E18"/>
    <w:rsid w:val="00442E24"/>
    <w:rsid w:val="00442FF4"/>
    <w:rsid w:val="00443032"/>
    <w:rsid w:val="00443ADB"/>
    <w:rsid w:val="00444187"/>
    <w:rsid w:val="00444444"/>
    <w:rsid w:val="004446C5"/>
    <w:rsid w:val="004449C4"/>
    <w:rsid w:val="004450D5"/>
    <w:rsid w:val="00445391"/>
    <w:rsid w:val="00445A94"/>
    <w:rsid w:val="00446856"/>
    <w:rsid w:val="004469CB"/>
    <w:rsid w:val="00446E3B"/>
    <w:rsid w:val="00447016"/>
    <w:rsid w:val="00447850"/>
    <w:rsid w:val="00447D5F"/>
    <w:rsid w:val="00450506"/>
    <w:rsid w:val="00450967"/>
    <w:rsid w:val="00450B91"/>
    <w:rsid w:val="00450CB7"/>
    <w:rsid w:val="00451074"/>
    <w:rsid w:val="004512F6"/>
    <w:rsid w:val="00451372"/>
    <w:rsid w:val="004514A1"/>
    <w:rsid w:val="00451B2B"/>
    <w:rsid w:val="00451FDB"/>
    <w:rsid w:val="00451FE7"/>
    <w:rsid w:val="00452169"/>
    <w:rsid w:val="00452746"/>
    <w:rsid w:val="004527D8"/>
    <w:rsid w:val="00452AC9"/>
    <w:rsid w:val="00452F32"/>
    <w:rsid w:val="00452FDE"/>
    <w:rsid w:val="004534F3"/>
    <w:rsid w:val="00453971"/>
    <w:rsid w:val="00453A9C"/>
    <w:rsid w:val="00453EE4"/>
    <w:rsid w:val="004543CC"/>
    <w:rsid w:val="00454A03"/>
    <w:rsid w:val="004553C6"/>
    <w:rsid w:val="004553F8"/>
    <w:rsid w:val="00455D88"/>
    <w:rsid w:val="00455DF3"/>
    <w:rsid w:val="00456EB7"/>
    <w:rsid w:val="00457516"/>
    <w:rsid w:val="00457707"/>
    <w:rsid w:val="004603ED"/>
    <w:rsid w:val="00460891"/>
    <w:rsid w:val="00460A55"/>
    <w:rsid w:val="00460B0D"/>
    <w:rsid w:val="00460E43"/>
    <w:rsid w:val="00461747"/>
    <w:rsid w:val="00461B43"/>
    <w:rsid w:val="00461B97"/>
    <w:rsid w:val="00461BA6"/>
    <w:rsid w:val="00462004"/>
    <w:rsid w:val="004626DA"/>
    <w:rsid w:val="00462725"/>
    <w:rsid w:val="00462965"/>
    <w:rsid w:val="00462D78"/>
    <w:rsid w:val="00462EBA"/>
    <w:rsid w:val="004630DA"/>
    <w:rsid w:val="004631A5"/>
    <w:rsid w:val="004632E6"/>
    <w:rsid w:val="0046335C"/>
    <w:rsid w:val="00463536"/>
    <w:rsid w:val="00463863"/>
    <w:rsid w:val="004639A8"/>
    <w:rsid w:val="004639BC"/>
    <w:rsid w:val="00463B7F"/>
    <w:rsid w:val="00463C24"/>
    <w:rsid w:val="004640D7"/>
    <w:rsid w:val="00464A01"/>
    <w:rsid w:val="00464C33"/>
    <w:rsid w:val="00464FCB"/>
    <w:rsid w:val="00465442"/>
    <w:rsid w:val="0046657C"/>
    <w:rsid w:val="00466B37"/>
    <w:rsid w:val="00466DEE"/>
    <w:rsid w:val="00467094"/>
    <w:rsid w:val="004672CC"/>
    <w:rsid w:val="00467586"/>
    <w:rsid w:val="004679F5"/>
    <w:rsid w:val="00467B9D"/>
    <w:rsid w:val="004705ED"/>
    <w:rsid w:val="00471016"/>
    <w:rsid w:val="0047105E"/>
    <w:rsid w:val="00471675"/>
    <w:rsid w:val="004718CA"/>
    <w:rsid w:val="00471C4A"/>
    <w:rsid w:val="00471E82"/>
    <w:rsid w:val="00472770"/>
    <w:rsid w:val="00472BA1"/>
    <w:rsid w:val="00472EA0"/>
    <w:rsid w:val="0047367C"/>
    <w:rsid w:val="004738ED"/>
    <w:rsid w:val="004739C7"/>
    <w:rsid w:val="00473E00"/>
    <w:rsid w:val="00474303"/>
    <w:rsid w:val="00474515"/>
    <w:rsid w:val="00474639"/>
    <w:rsid w:val="004753DE"/>
    <w:rsid w:val="004757AC"/>
    <w:rsid w:val="00475845"/>
    <w:rsid w:val="00476B3A"/>
    <w:rsid w:val="00476C6D"/>
    <w:rsid w:val="00476E96"/>
    <w:rsid w:val="00476EE9"/>
    <w:rsid w:val="00477876"/>
    <w:rsid w:val="00477CC0"/>
    <w:rsid w:val="00477D37"/>
    <w:rsid w:val="00477EC4"/>
    <w:rsid w:val="00477F62"/>
    <w:rsid w:val="00480188"/>
    <w:rsid w:val="004810F0"/>
    <w:rsid w:val="00481526"/>
    <w:rsid w:val="0048157D"/>
    <w:rsid w:val="00482144"/>
    <w:rsid w:val="0048226E"/>
    <w:rsid w:val="0048227C"/>
    <w:rsid w:val="004825DC"/>
    <w:rsid w:val="00482802"/>
    <w:rsid w:val="00482D5C"/>
    <w:rsid w:val="00482E9A"/>
    <w:rsid w:val="0048320A"/>
    <w:rsid w:val="00483381"/>
    <w:rsid w:val="00483A86"/>
    <w:rsid w:val="00483B9F"/>
    <w:rsid w:val="00483DD9"/>
    <w:rsid w:val="00483E41"/>
    <w:rsid w:val="00483FA8"/>
    <w:rsid w:val="004841B6"/>
    <w:rsid w:val="00484381"/>
    <w:rsid w:val="004844C1"/>
    <w:rsid w:val="00484F13"/>
    <w:rsid w:val="00485020"/>
    <w:rsid w:val="00485094"/>
    <w:rsid w:val="004856DE"/>
    <w:rsid w:val="00485AC4"/>
    <w:rsid w:val="00485B21"/>
    <w:rsid w:val="00486375"/>
    <w:rsid w:val="004864B6"/>
    <w:rsid w:val="004864D4"/>
    <w:rsid w:val="004866E7"/>
    <w:rsid w:val="00486A64"/>
    <w:rsid w:val="00486C36"/>
    <w:rsid w:val="00486D61"/>
    <w:rsid w:val="00487411"/>
    <w:rsid w:val="00487B53"/>
    <w:rsid w:val="004900F4"/>
    <w:rsid w:val="0049030D"/>
    <w:rsid w:val="00490A71"/>
    <w:rsid w:val="004914B6"/>
    <w:rsid w:val="00491532"/>
    <w:rsid w:val="0049156F"/>
    <w:rsid w:val="00491AB0"/>
    <w:rsid w:val="00491ADB"/>
    <w:rsid w:val="0049206E"/>
    <w:rsid w:val="00492AF5"/>
    <w:rsid w:val="00492BEF"/>
    <w:rsid w:val="00492C76"/>
    <w:rsid w:val="00492F6D"/>
    <w:rsid w:val="00492FD5"/>
    <w:rsid w:val="00493145"/>
    <w:rsid w:val="00493C60"/>
    <w:rsid w:val="004941DB"/>
    <w:rsid w:val="004941FF"/>
    <w:rsid w:val="004950AE"/>
    <w:rsid w:val="00495274"/>
    <w:rsid w:val="00495829"/>
    <w:rsid w:val="0049596E"/>
    <w:rsid w:val="00495AB5"/>
    <w:rsid w:val="00495B32"/>
    <w:rsid w:val="00495D86"/>
    <w:rsid w:val="004964E8"/>
    <w:rsid w:val="00496BCA"/>
    <w:rsid w:val="00496D1B"/>
    <w:rsid w:val="0049722F"/>
    <w:rsid w:val="00497504"/>
    <w:rsid w:val="00497726"/>
    <w:rsid w:val="004A0100"/>
    <w:rsid w:val="004A03DA"/>
    <w:rsid w:val="004A05DA"/>
    <w:rsid w:val="004A14A5"/>
    <w:rsid w:val="004A2325"/>
    <w:rsid w:val="004A31A3"/>
    <w:rsid w:val="004A378E"/>
    <w:rsid w:val="004A3D74"/>
    <w:rsid w:val="004A3DFE"/>
    <w:rsid w:val="004A3FD8"/>
    <w:rsid w:val="004A4130"/>
    <w:rsid w:val="004A4259"/>
    <w:rsid w:val="004A4454"/>
    <w:rsid w:val="004A4471"/>
    <w:rsid w:val="004A50AB"/>
    <w:rsid w:val="004A5770"/>
    <w:rsid w:val="004A5927"/>
    <w:rsid w:val="004A59AC"/>
    <w:rsid w:val="004A5A00"/>
    <w:rsid w:val="004A66AF"/>
    <w:rsid w:val="004A66EE"/>
    <w:rsid w:val="004A78EC"/>
    <w:rsid w:val="004A7F00"/>
    <w:rsid w:val="004B0295"/>
    <w:rsid w:val="004B0C08"/>
    <w:rsid w:val="004B0D63"/>
    <w:rsid w:val="004B14E9"/>
    <w:rsid w:val="004B1699"/>
    <w:rsid w:val="004B1735"/>
    <w:rsid w:val="004B1DB2"/>
    <w:rsid w:val="004B2036"/>
    <w:rsid w:val="004B26BB"/>
    <w:rsid w:val="004B2863"/>
    <w:rsid w:val="004B29B9"/>
    <w:rsid w:val="004B29CA"/>
    <w:rsid w:val="004B2B4E"/>
    <w:rsid w:val="004B3AD1"/>
    <w:rsid w:val="004B3C53"/>
    <w:rsid w:val="004B3C89"/>
    <w:rsid w:val="004B41D8"/>
    <w:rsid w:val="004B46F9"/>
    <w:rsid w:val="004B5157"/>
    <w:rsid w:val="004B5508"/>
    <w:rsid w:val="004B5806"/>
    <w:rsid w:val="004B591F"/>
    <w:rsid w:val="004B5992"/>
    <w:rsid w:val="004B5AE2"/>
    <w:rsid w:val="004B5B32"/>
    <w:rsid w:val="004B5D5B"/>
    <w:rsid w:val="004B67C6"/>
    <w:rsid w:val="004B6876"/>
    <w:rsid w:val="004B69FC"/>
    <w:rsid w:val="004B6AB7"/>
    <w:rsid w:val="004B6B40"/>
    <w:rsid w:val="004B6DAC"/>
    <w:rsid w:val="004B744D"/>
    <w:rsid w:val="004B79B1"/>
    <w:rsid w:val="004B7A12"/>
    <w:rsid w:val="004C0747"/>
    <w:rsid w:val="004C08CD"/>
    <w:rsid w:val="004C1804"/>
    <w:rsid w:val="004C215E"/>
    <w:rsid w:val="004C2A04"/>
    <w:rsid w:val="004C2E66"/>
    <w:rsid w:val="004C3060"/>
    <w:rsid w:val="004C3219"/>
    <w:rsid w:val="004C39CD"/>
    <w:rsid w:val="004C3E23"/>
    <w:rsid w:val="004C4115"/>
    <w:rsid w:val="004C454A"/>
    <w:rsid w:val="004C4B96"/>
    <w:rsid w:val="004C4CC8"/>
    <w:rsid w:val="004C4DF1"/>
    <w:rsid w:val="004C4EE6"/>
    <w:rsid w:val="004C4F45"/>
    <w:rsid w:val="004C4F4F"/>
    <w:rsid w:val="004C5A84"/>
    <w:rsid w:val="004C5E79"/>
    <w:rsid w:val="004C5E9D"/>
    <w:rsid w:val="004C5F58"/>
    <w:rsid w:val="004C609C"/>
    <w:rsid w:val="004C617B"/>
    <w:rsid w:val="004C65BB"/>
    <w:rsid w:val="004C6788"/>
    <w:rsid w:val="004C6B15"/>
    <w:rsid w:val="004C6BA9"/>
    <w:rsid w:val="004C6CA6"/>
    <w:rsid w:val="004C746A"/>
    <w:rsid w:val="004C7B75"/>
    <w:rsid w:val="004C7F93"/>
    <w:rsid w:val="004D005A"/>
    <w:rsid w:val="004D01B8"/>
    <w:rsid w:val="004D05C5"/>
    <w:rsid w:val="004D09BD"/>
    <w:rsid w:val="004D0C04"/>
    <w:rsid w:val="004D10A9"/>
    <w:rsid w:val="004D123A"/>
    <w:rsid w:val="004D12B5"/>
    <w:rsid w:val="004D17A5"/>
    <w:rsid w:val="004D19C8"/>
    <w:rsid w:val="004D2074"/>
    <w:rsid w:val="004D26D2"/>
    <w:rsid w:val="004D2BE9"/>
    <w:rsid w:val="004D2C2F"/>
    <w:rsid w:val="004D2C77"/>
    <w:rsid w:val="004D2EC0"/>
    <w:rsid w:val="004D3A0B"/>
    <w:rsid w:val="004D41D4"/>
    <w:rsid w:val="004D43FA"/>
    <w:rsid w:val="004D53A0"/>
    <w:rsid w:val="004D5C14"/>
    <w:rsid w:val="004D5EDA"/>
    <w:rsid w:val="004D6133"/>
    <w:rsid w:val="004D6276"/>
    <w:rsid w:val="004D64BC"/>
    <w:rsid w:val="004D64E0"/>
    <w:rsid w:val="004D6547"/>
    <w:rsid w:val="004D6B89"/>
    <w:rsid w:val="004D6C03"/>
    <w:rsid w:val="004D727B"/>
    <w:rsid w:val="004D7A16"/>
    <w:rsid w:val="004D7C52"/>
    <w:rsid w:val="004E050F"/>
    <w:rsid w:val="004E15CD"/>
    <w:rsid w:val="004E162C"/>
    <w:rsid w:val="004E2005"/>
    <w:rsid w:val="004E25AE"/>
    <w:rsid w:val="004E2FE2"/>
    <w:rsid w:val="004E3411"/>
    <w:rsid w:val="004E3835"/>
    <w:rsid w:val="004E389B"/>
    <w:rsid w:val="004E39FE"/>
    <w:rsid w:val="004E45C4"/>
    <w:rsid w:val="004E4C46"/>
    <w:rsid w:val="004E5198"/>
    <w:rsid w:val="004E5363"/>
    <w:rsid w:val="004E579C"/>
    <w:rsid w:val="004E5856"/>
    <w:rsid w:val="004E596C"/>
    <w:rsid w:val="004E598D"/>
    <w:rsid w:val="004E5A45"/>
    <w:rsid w:val="004E69D1"/>
    <w:rsid w:val="004E7433"/>
    <w:rsid w:val="004E75C8"/>
    <w:rsid w:val="004E774B"/>
    <w:rsid w:val="004E7766"/>
    <w:rsid w:val="004E78A0"/>
    <w:rsid w:val="004E7F71"/>
    <w:rsid w:val="004F0317"/>
    <w:rsid w:val="004F07BA"/>
    <w:rsid w:val="004F1C5F"/>
    <w:rsid w:val="004F249F"/>
    <w:rsid w:val="004F25F8"/>
    <w:rsid w:val="004F35AE"/>
    <w:rsid w:val="004F3637"/>
    <w:rsid w:val="004F36F1"/>
    <w:rsid w:val="004F3970"/>
    <w:rsid w:val="004F3A7D"/>
    <w:rsid w:val="004F3EFC"/>
    <w:rsid w:val="004F4859"/>
    <w:rsid w:val="004F4EFC"/>
    <w:rsid w:val="004F58AF"/>
    <w:rsid w:val="004F6159"/>
    <w:rsid w:val="004F61B0"/>
    <w:rsid w:val="004F61DA"/>
    <w:rsid w:val="004F628E"/>
    <w:rsid w:val="004F6685"/>
    <w:rsid w:val="004F66DF"/>
    <w:rsid w:val="004F6AD0"/>
    <w:rsid w:val="004F7061"/>
    <w:rsid w:val="004F7261"/>
    <w:rsid w:val="004F75D9"/>
    <w:rsid w:val="004F7712"/>
    <w:rsid w:val="004F7813"/>
    <w:rsid w:val="004F7897"/>
    <w:rsid w:val="004F7BEA"/>
    <w:rsid w:val="004F7BF4"/>
    <w:rsid w:val="004F7D18"/>
    <w:rsid w:val="004F7E75"/>
    <w:rsid w:val="005002ED"/>
    <w:rsid w:val="0050071E"/>
    <w:rsid w:val="00500FE1"/>
    <w:rsid w:val="00501472"/>
    <w:rsid w:val="005014FD"/>
    <w:rsid w:val="00501B2A"/>
    <w:rsid w:val="00501B61"/>
    <w:rsid w:val="00501D0C"/>
    <w:rsid w:val="00501FFC"/>
    <w:rsid w:val="0050217B"/>
    <w:rsid w:val="005021EC"/>
    <w:rsid w:val="0050232B"/>
    <w:rsid w:val="00502D29"/>
    <w:rsid w:val="00502F65"/>
    <w:rsid w:val="00503243"/>
    <w:rsid w:val="005035C6"/>
    <w:rsid w:val="00503677"/>
    <w:rsid w:val="00503C5B"/>
    <w:rsid w:val="00503C8B"/>
    <w:rsid w:val="00503E46"/>
    <w:rsid w:val="00503F66"/>
    <w:rsid w:val="005044A8"/>
    <w:rsid w:val="005046EE"/>
    <w:rsid w:val="005048BA"/>
    <w:rsid w:val="005049F5"/>
    <w:rsid w:val="00505027"/>
    <w:rsid w:val="00505086"/>
    <w:rsid w:val="00505124"/>
    <w:rsid w:val="00505641"/>
    <w:rsid w:val="005062EA"/>
    <w:rsid w:val="005067ED"/>
    <w:rsid w:val="0050680D"/>
    <w:rsid w:val="00506878"/>
    <w:rsid w:val="005068F5"/>
    <w:rsid w:val="0050694B"/>
    <w:rsid w:val="00506D81"/>
    <w:rsid w:val="005071FD"/>
    <w:rsid w:val="005072E1"/>
    <w:rsid w:val="005073E6"/>
    <w:rsid w:val="00507419"/>
    <w:rsid w:val="00507ABE"/>
    <w:rsid w:val="00507D2C"/>
    <w:rsid w:val="005104D8"/>
    <w:rsid w:val="0051096D"/>
    <w:rsid w:val="00510C3E"/>
    <w:rsid w:val="00510EF4"/>
    <w:rsid w:val="00511292"/>
    <w:rsid w:val="005112E5"/>
    <w:rsid w:val="005116F2"/>
    <w:rsid w:val="00511D3C"/>
    <w:rsid w:val="0051205F"/>
    <w:rsid w:val="00512694"/>
    <w:rsid w:val="005139BC"/>
    <w:rsid w:val="00513C4E"/>
    <w:rsid w:val="0051452F"/>
    <w:rsid w:val="00514694"/>
    <w:rsid w:val="00514BDE"/>
    <w:rsid w:val="00514C17"/>
    <w:rsid w:val="00515330"/>
    <w:rsid w:val="005158DD"/>
    <w:rsid w:val="00515930"/>
    <w:rsid w:val="00515BC6"/>
    <w:rsid w:val="00515D3B"/>
    <w:rsid w:val="00516041"/>
    <w:rsid w:val="00516182"/>
    <w:rsid w:val="00516396"/>
    <w:rsid w:val="005164DE"/>
    <w:rsid w:val="00517CD1"/>
    <w:rsid w:val="00517D8C"/>
    <w:rsid w:val="00520095"/>
    <w:rsid w:val="005200E2"/>
    <w:rsid w:val="005208D7"/>
    <w:rsid w:val="0052165C"/>
    <w:rsid w:val="00521FAD"/>
    <w:rsid w:val="0052200F"/>
    <w:rsid w:val="0052247F"/>
    <w:rsid w:val="0052270C"/>
    <w:rsid w:val="00522A4C"/>
    <w:rsid w:val="00523152"/>
    <w:rsid w:val="00523BB4"/>
    <w:rsid w:val="00523C5D"/>
    <w:rsid w:val="00523C99"/>
    <w:rsid w:val="00524AEB"/>
    <w:rsid w:val="00524C71"/>
    <w:rsid w:val="00524E33"/>
    <w:rsid w:val="00525934"/>
    <w:rsid w:val="00525F1A"/>
    <w:rsid w:val="005262A5"/>
    <w:rsid w:val="005265C4"/>
    <w:rsid w:val="00526F13"/>
    <w:rsid w:val="00526F9A"/>
    <w:rsid w:val="0052731A"/>
    <w:rsid w:val="00527860"/>
    <w:rsid w:val="005278E7"/>
    <w:rsid w:val="00527959"/>
    <w:rsid w:val="00527D00"/>
    <w:rsid w:val="00527E51"/>
    <w:rsid w:val="005303A4"/>
    <w:rsid w:val="00530D38"/>
    <w:rsid w:val="00530FDA"/>
    <w:rsid w:val="005319D0"/>
    <w:rsid w:val="00531A90"/>
    <w:rsid w:val="00531AF3"/>
    <w:rsid w:val="0053290B"/>
    <w:rsid w:val="00532BA6"/>
    <w:rsid w:val="00532C7E"/>
    <w:rsid w:val="005336CD"/>
    <w:rsid w:val="00533732"/>
    <w:rsid w:val="00533830"/>
    <w:rsid w:val="00533E16"/>
    <w:rsid w:val="00534492"/>
    <w:rsid w:val="005344D7"/>
    <w:rsid w:val="0053459C"/>
    <w:rsid w:val="005345E0"/>
    <w:rsid w:val="00534EF8"/>
    <w:rsid w:val="00534F13"/>
    <w:rsid w:val="00535065"/>
    <w:rsid w:val="005350B7"/>
    <w:rsid w:val="00535262"/>
    <w:rsid w:val="005354F8"/>
    <w:rsid w:val="0053589D"/>
    <w:rsid w:val="005358D5"/>
    <w:rsid w:val="00535B3F"/>
    <w:rsid w:val="00536011"/>
    <w:rsid w:val="005360BB"/>
    <w:rsid w:val="0053625B"/>
    <w:rsid w:val="00536D02"/>
    <w:rsid w:val="00536D4A"/>
    <w:rsid w:val="00536D8F"/>
    <w:rsid w:val="005370FC"/>
    <w:rsid w:val="00537E9D"/>
    <w:rsid w:val="0054004F"/>
    <w:rsid w:val="0054025E"/>
    <w:rsid w:val="00540C86"/>
    <w:rsid w:val="00540F5E"/>
    <w:rsid w:val="005417EB"/>
    <w:rsid w:val="005420BF"/>
    <w:rsid w:val="00542174"/>
    <w:rsid w:val="00542244"/>
    <w:rsid w:val="00542570"/>
    <w:rsid w:val="00542C3E"/>
    <w:rsid w:val="00542CA4"/>
    <w:rsid w:val="00542E81"/>
    <w:rsid w:val="005431DA"/>
    <w:rsid w:val="005434C0"/>
    <w:rsid w:val="005440E8"/>
    <w:rsid w:val="00544764"/>
    <w:rsid w:val="005448DA"/>
    <w:rsid w:val="005449BC"/>
    <w:rsid w:val="0054554A"/>
    <w:rsid w:val="0054574A"/>
    <w:rsid w:val="00545BAA"/>
    <w:rsid w:val="00545C12"/>
    <w:rsid w:val="0054605B"/>
    <w:rsid w:val="005467E9"/>
    <w:rsid w:val="005468A1"/>
    <w:rsid w:val="00546F58"/>
    <w:rsid w:val="005475BB"/>
    <w:rsid w:val="0054778B"/>
    <w:rsid w:val="0054787F"/>
    <w:rsid w:val="00547BFA"/>
    <w:rsid w:val="0055069F"/>
    <w:rsid w:val="00550AB6"/>
    <w:rsid w:val="00551C6A"/>
    <w:rsid w:val="005524D4"/>
    <w:rsid w:val="005524D9"/>
    <w:rsid w:val="0055291B"/>
    <w:rsid w:val="00552DEC"/>
    <w:rsid w:val="00552F12"/>
    <w:rsid w:val="00552F6F"/>
    <w:rsid w:val="00553006"/>
    <w:rsid w:val="00553167"/>
    <w:rsid w:val="0055323C"/>
    <w:rsid w:val="00553498"/>
    <w:rsid w:val="00553518"/>
    <w:rsid w:val="005538C9"/>
    <w:rsid w:val="005541D7"/>
    <w:rsid w:val="005548C0"/>
    <w:rsid w:val="00554EF5"/>
    <w:rsid w:val="0055525A"/>
    <w:rsid w:val="00555630"/>
    <w:rsid w:val="00555DAC"/>
    <w:rsid w:val="00555EDF"/>
    <w:rsid w:val="00555F07"/>
    <w:rsid w:val="00556235"/>
    <w:rsid w:val="00556319"/>
    <w:rsid w:val="00556472"/>
    <w:rsid w:val="005569EA"/>
    <w:rsid w:val="00556C2A"/>
    <w:rsid w:val="00556D54"/>
    <w:rsid w:val="0055709F"/>
    <w:rsid w:val="005570A6"/>
    <w:rsid w:val="00557133"/>
    <w:rsid w:val="00557167"/>
    <w:rsid w:val="005572A7"/>
    <w:rsid w:val="00557469"/>
    <w:rsid w:val="005576B5"/>
    <w:rsid w:val="00557B92"/>
    <w:rsid w:val="005601D2"/>
    <w:rsid w:val="005602D3"/>
    <w:rsid w:val="00560575"/>
    <w:rsid w:val="005606A5"/>
    <w:rsid w:val="005609CB"/>
    <w:rsid w:val="00560D53"/>
    <w:rsid w:val="00560E52"/>
    <w:rsid w:val="00560E57"/>
    <w:rsid w:val="00560F26"/>
    <w:rsid w:val="005613FD"/>
    <w:rsid w:val="0056151E"/>
    <w:rsid w:val="005615E7"/>
    <w:rsid w:val="00561BB7"/>
    <w:rsid w:val="00561D7A"/>
    <w:rsid w:val="00561DBB"/>
    <w:rsid w:val="00561EA8"/>
    <w:rsid w:val="005620E2"/>
    <w:rsid w:val="0056225F"/>
    <w:rsid w:val="005625A4"/>
    <w:rsid w:val="00562D04"/>
    <w:rsid w:val="00562FFA"/>
    <w:rsid w:val="00563043"/>
    <w:rsid w:val="005631A9"/>
    <w:rsid w:val="00563335"/>
    <w:rsid w:val="00563502"/>
    <w:rsid w:val="005636B6"/>
    <w:rsid w:val="0056397F"/>
    <w:rsid w:val="00563D45"/>
    <w:rsid w:val="00563E01"/>
    <w:rsid w:val="00564592"/>
    <w:rsid w:val="0056466E"/>
    <w:rsid w:val="005646B8"/>
    <w:rsid w:val="00565EDD"/>
    <w:rsid w:val="00566331"/>
    <w:rsid w:val="00566715"/>
    <w:rsid w:val="00566F39"/>
    <w:rsid w:val="00567517"/>
    <w:rsid w:val="00567821"/>
    <w:rsid w:val="00567A5A"/>
    <w:rsid w:val="00567AFD"/>
    <w:rsid w:val="00567C20"/>
    <w:rsid w:val="00567CC7"/>
    <w:rsid w:val="00567E1B"/>
    <w:rsid w:val="00570445"/>
    <w:rsid w:val="00570640"/>
    <w:rsid w:val="00571163"/>
    <w:rsid w:val="00571267"/>
    <w:rsid w:val="0057194A"/>
    <w:rsid w:val="00571C57"/>
    <w:rsid w:val="005735DE"/>
    <w:rsid w:val="005743A7"/>
    <w:rsid w:val="0057443A"/>
    <w:rsid w:val="005744F6"/>
    <w:rsid w:val="005745B8"/>
    <w:rsid w:val="00574605"/>
    <w:rsid w:val="005746D0"/>
    <w:rsid w:val="00574ADC"/>
    <w:rsid w:val="00574BF8"/>
    <w:rsid w:val="005754D8"/>
    <w:rsid w:val="00575CAE"/>
    <w:rsid w:val="00575EC9"/>
    <w:rsid w:val="00575EFE"/>
    <w:rsid w:val="00575F22"/>
    <w:rsid w:val="00576C2E"/>
    <w:rsid w:val="00576C8F"/>
    <w:rsid w:val="00576D65"/>
    <w:rsid w:val="0057718C"/>
    <w:rsid w:val="00577570"/>
    <w:rsid w:val="00577811"/>
    <w:rsid w:val="0058046C"/>
    <w:rsid w:val="005804C2"/>
    <w:rsid w:val="005804D8"/>
    <w:rsid w:val="00580726"/>
    <w:rsid w:val="00581159"/>
    <w:rsid w:val="005811EC"/>
    <w:rsid w:val="005811F0"/>
    <w:rsid w:val="005814B7"/>
    <w:rsid w:val="00581514"/>
    <w:rsid w:val="005819DD"/>
    <w:rsid w:val="00581A83"/>
    <w:rsid w:val="00581B24"/>
    <w:rsid w:val="00581D41"/>
    <w:rsid w:val="00581FCA"/>
    <w:rsid w:val="00582613"/>
    <w:rsid w:val="0058272D"/>
    <w:rsid w:val="0058290E"/>
    <w:rsid w:val="0058294C"/>
    <w:rsid w:val="00582FD0"/>
    <w:rsid w:val="005833DB"/>
    <w:rsid w:val="005834AA"/>
    <w:rsid w:val="00583961"/>
    <w:rsid w:val="00583965"/>
    <w:rsid w:val="00583DE0"/>
    <w:rsid w:val="00584196"/>
    <w:rsid w:val="00584479"/>
    <w:rsid w:val="00584679"/>
    <w:rsid w:val="0058480B"/>
    <w:rsid w:val="00584F40"/>
    <w:rsid w:val="0058637B"/>
    <w:rsid w:val="0058640F"/>
    <w:rsid w:val="00586E4A"/>
    <w:rsid w:val="0058726E"/>
    <w:rsid w:val="005901D1"/>
    <w:rsid w:val="00590688"/>
    <w:rsid w:val="00590933"/>
    <w:rsid w:val="00590FE7"/>
    <w:rsid w:val="00591206"/>
    <w:rsid w:val="005913CD"/>
    <w:rsid w:val="0059199C"/>
    <w:rsid w:val="00591A6D"/>
    <w:rsid w:val="00591DEF"/>
    <w:rsid w:val="0059219E"/>
    <w:rsid w:val="005923BF"/>
    <w:rsid w:val="005929F3"/>
    <w:rsid w:val="00592D90"/>
    <w:rsid w:val="00592FEF"/>
    <w:rsid w:val="0059316B"/>
    <w:rsid w:val="005932A1"/>
    <w:rsid w:val="005932AF"/>
    <w:rsid w:val="00593423"/>
    <w:rsid w:val="0059381D"/>
    <w:rsid w:val="005939B9"/>
    <w:rsid w:val="00594A22"/>
    <w:rsid w:val="00594BC6"/>
    <w:rsid w:val="00594F35"/>
    <w:rsid w:val="00595003"/>
    <w:rsid w:val="005953B5"/>
    <w:rsid w:val="0059576F"/>
    <w:rsid w:val="00595CD5"/>
    <w:rsid w:val="00596058"/>
    <w:rsid w:val="0059665E"/>
    <w:rsid w:val="00596660"/>
    <w:rsid w:val="00596ADE"/>
    <w:rsid w:val="005972B0"/>
    <w:rsid w:val="0059751A"/>
    <w:rsid w:val="00597DFA"/>
    <w:rsid w:val="005A0180"/>
    <w:rsid w:val="005A0630"/>
    <w:rsid w:val="005A064F"/>
    <w:rsid w:val="005A1230"/>
    <w:rsid w:val="005A125C"/>
    <w:rsid w:val="005A158B"/>
    <w:rsid w:val="005A1874"/>
    <w:rsid w:val="005A1A0E"/>
    <w:rsid w:val="005A20E0"/>
    <w:rsid w:val="005A21FB"/>
    <w:rsid w:val="005A23F5"/>
    <w:rsid w:val="005A2494"/>
    <w:rsid w:val="005A2610"/>
    <w:rsid w:val="005A298C"/>
    <w:rsid w:val="005A2B76"/>
    <w:rsid w:val="005A2E15"/>
    <w:rsid w:val="005A30B5"/>
    <w:rsid w:val="005A30E6"/>
    <w:rsid w:val="005A313E"/>
    <w:rsid w:val="005A4149"/>
    <w:rsid w:val="005A41F5"/>
    <w:rsid w:val="005A4973"/>
    <w:rsid w:val="005A4CA3"/>
    <w:rsid w:val="005A5594"/>
    <w:rsid w:val="005A5831"/>
    <w:rsid w:val="005A5EC8"/>
    <w:rsid w:val="005A60F5"/>
    <w:rsid w:val="005A6353"/>
    <w:rsid w:val="005A70F1"/>
    <w:rsid w:val="005A72AE"/>
    <w:rsid w:val="005A77EA"/>
    <w:rsid w:val="005A7F8F"/>
    <w:rsid w:val="005B0162"/>
    <w:rsid w:val="005B07E0"/>
    <w:rsid w:val="005B0CA0"/>
    <w:rsid w:val="005B14D9"/>
    <w:rsid w:val="005B154C"/>
    <w:rsid w:val="005B182B"/>
    <w:rsid w:val="005B20D8"/>
    <w:rsid w:val="005B298D"/>
    <w:rsid w:val="005B2A33"/>
    <w:rsid w:val="005B3045"/>
    <w:rsid w:val="005B3496"/>
    <w:rsid w:val="005B35CA"/>
    <w:rsid w:val="005B3646"/>
    <w:rsid w:val="005B3957"/>
    <w:rsid w:val="005B43AD"/>
    <w:rsid w:val="005B4507"/>
    <w:rsid w:val="005B475B"/>
    <w:rsid w:val="005B4B03"/>
    <w:rsid w:val="005B5346"/>
    <w:rsid w:val="005B591C"/>
    <w:rsid w:val="005B5B40"/>
    <w:rsid w:val="005B6270"/>
    <w:rsid w:val="005B64C8"/>
    <w:rsid w:val="005B673A"/>
    <w:rsid w:val="005B7A48"/>
    <w:rsid w:val="005B7AA4"/>
    <w:rsid w:val="005B7C71"/>
    <w:rsid w:val="005C03B3"/>
    <w:rsid w:val="005C061E"/>
    <w:rsid w:val="005C0874"/>
    <w:rsid w:val="005C0949"/>
    <w:rsid w:val="005C099D"/>
    <w:rsid w:val="005C0C30"/>
    <w:rsid w:val="005C0D82"/>
    <w:rsid w:val="005C19AE"/>
    <w:rsid w:val="005C20A8"/>
    <w:rsid w:val="005C25AA"/>
    <w:rsid w:val="005C297D"/>
    <w:rsid w:val="005C2FB0"/>
    <w:rsid w:val="005C3E17"/>
    <w:rsid w:val="005C40F3"/>
    <w:rsid w:val="005C4181"/>
    <w:rsid w:val="005C44A6"/>
    <w:rsid w:val="005C4640"/>
    <w:rsid w:val="005C4ED5"/>
    <w:rsid w:val="005C512F"/>
    <w:rsid w:val="005C5316"/>
    <w:rsid w:val="005C5428"/>
    <w:rsid w:val="005C5790"/>
    <w:rsid w:val="005C5B4C"/>
    <w:rsid w:val="005C6209"/>
    <w:rsid w:val="005C6A83"/>
    <w:rsid w:val="005C6CD7"/>
    <w:rsid w:val="005C7342"/>
    <w:rsid w:val="005C7403"/>
    <w:rsid w:val="005C7913"/>
    <w:rsid w:val="005C7F66"/>
    <w:rsid w:val="005C7FEF"/>
    <w:rsid w:val="005D00A2"/>
    <w:rsid w:val="005D0247"/>
    <w:rsid w:val="005D0795"/>
    <w:rsid w:val="005D08D2"/>
    <w:rsid w:val="005D0A84"/>
    <w:rsid w:val="005D0B1E"/>
    <w:rsid w:val="005D191A"/>
    <w:rsid w:val="005D1DC2"/>
    <w:rsid w:val="005D1DF1"/>
    <w:rsid w:val="005D1E74"/>
    <w:rsid w:val="005D2375"/>
    <w:rsid w:val="005D28B5"/>
    <w:rsid w:val="005D29DE"/>
    <w:rsid w:val="005D2B8A"/>
    <w:rsid w:val="005D3738"/>
    <w:rsid w:val="005D3F74"/>
    <w:rsid w:val="005D4209"/>
    <w:rsid w:val="005D42C9"/>
    <w:rsid w:val="005D4640"/>
    <w:rsid w:val="005D475E"/>
    <w:rsid w:val="005D4BAA"/>
    <w:rsid w:val="005D4C0A"/>
    <w:rsid w:val="005D5830"/>
    <w:rsid w:val="005D5AB7"/>
    <w:rsid w:val="005D5C54"/>
    <w:rsid w:val="005D5DED"/>
    <w:rsid w:val="005D5DF2"/>
    <w:rsid w:val="005D5E96"/>
    <w:rsid w:val="005D5E9E"/>
    <w:rsid w:val="005D65DC"/>
    <w:rsid w:val="005D6696"/>
    <w:rsid w:val="005D6AB0"/>
    <w:rsid w:val="005D6B54"/>
    <w:rsid w:val="005D7636"/>
    <w:rsid w:val="005D772D"/>
    <w:rsid w:val="005D7835"/>
    <w:rsid w:val="005D7C36"/>
    <w:rsid w:val="005D7E75"/>
    <w:rsid w:val="005E070F"/>
    <w:rsid w:val="005E07E6"/>
    <w:rsid w:val="005E094B"/>
    <w:rsid w:val="005E0A21"/>
    <w:rsid w:val="005E17A1"/>
    <w:rsid w:val="005E198E"/>
    <w:rsid w:val="005E1A3B"/>
    <w:rsid w:val="005E1DA2"/>
    <w:rsid w:val="005E1F83"/>
    <w:rsid w:val="005E20FE"/>
    <w:rsid w:val="005E2C0A"/>
    <w:rsid w:val="005E2C47"/>
    <w:rsid w:val="005E2C4B"/>
    <w:rsid w:val="005E2D5F"/>
    <w:rsid w:val="005E327A"/>
    <w:rsid w:val="005E38DA"/>
    <w:rsid w:val="005E3C35"/>
    <w:rsid w:val="005E3CC8"/>
    <w:rsid w:val="005E3CEE"/>
    <w:rsid w:val="005E3F0C"/>
    <w:rsid w:val="005E4190"/>
    <w:rsid w:val="005E4862"/>
    <w:rsid w:val="005E48E4"/>
    <w:rsid w:val="005E5A62"/>
    <w:rsid w:val="005E5FCF"/>
    <w:rsid w:val="005E60E7"/>
    <w:rsid w:val="005E74B6"/>
    <w:rsid w:val="005E75DD"/>
    <w:rsid w:val="005E78A5"/>
    <w:rsid w:val="005E7A41"/>
    <w:rsid w:val="005F0749"/>
    <w:rsid w:val="005F0A12"/>
    <w:rsid w:val="005F14D4"/>
    <w:rsid w:val="005F1676"/>
    <w:rsid w:val="005F21E7"/>
    <w:rsid w:val="005F2368"/>
    <w:rsid w:val="005F26F8"/>
    <w:rsid w:val="005F2A85"/>
    <w:rsid w:val="005F2B37"/>
    <w:rsid w:val="005F2C64"/>
    <w:rsid w:val="005F3012"/>
    <w:rsid w:val="005F35E7"/>
    <w:rsid w:val="005F4029"/>
    <w:rsid w:val="005F4198"/>
    <w:rsid w:val="005F48FA"/>
    <w:rsid w:val="005F4A1A"/>
    <w:rsid w:val="005F4A40"/>
    <w:rsid w:val="005F4ACA"/>
    <w:rsid w:val="005F4AE6"/>
    <w:rsid w:val="005F4C4F"/>
    <w:rsid w:val="005F4CC5"/>
    <w:rsid w:val="005F53FF"/>
    <w:rsid w:val="005F543E"/>
    <w:rsid w:val="005F5963"/>
    <w:rsid w:val="005F603D"/>
    <w:rsid w:val="005F624D"/>
    <w:rsid w:val="005F6753"/>
    <w:rsid w:val="005F6999"/>
    <w:rsid w:val="005F6AE2"/>
    <w:rsid w:val="005F6C75"/>
    <w:rsid w:val="005F715D"/>
    <w:rsid w:val="005F71F6"/>
    <w:rsid w:val="005F77C1"/>
    <w:rsid w:val="005F7A6D"/>
    <w:rsid w:val="0060006A"/>
    <w:rsid w:val="006000EE"/>
    <w:rsid w:val="0060025E"/>
    <w:rsid w:val="006002D6"/>
    <w:rsid w:val="00600F8C"/>
    <w:rsid w:val="006013CB"/>
    <w:rsid w:val="00601B38"/>
    <w:rsid w:val="006022EE"/>
    <w:rsid w:val="0060370F"/>
    <w:rsid w:val="00603EF9"/>
    <w:rsid w:val="00604026"/>
    <w:rsid w:val="006040D2"/>
    <w:rsid w:val="006041B0"/>
    <w:rsid w:val="00604541"/>
    <w:rsid w:val="006048CF"/>
    <w:rsid w:val="00604A70"/>
    <w:rsid w:val="00604AA8"/>
    <w:rsid w:val="00605330"/>
    <w:rsid w:val="006056B9"/>
    <w:rsid w:val="00605A2E"/>
    <w:rsid w:val="00605ECD"/>
    <w:rsid w:val="00606927"/>
    <w:rsid w:val="00606ADE"/>
    <w:rsid w:val="00606B23"/>
    <w:rsid w:val="00607623"/>
    <w:rsid w:val="00607808"/>
    <w:rsid w:val="00607821"/>
    <w:rsid w:val="00607947"/>
    <w:rsid w:val="00607D01"/>
    <w:rsid w:val="00610286"/>
    <w:rsid w:val="00610D9C"/>
    <w:rsid w:val="00611235"/>
    <w:rsid w:val="0061169D"/>
    <w:rsid w:val="00611A48"/>
    <w:rsid w:val="00612340"/>
    <w:rsid w:val="0061234A"/>
    <w:rsid w:val="0061237F"/>
    <w:rsid w:val="006123B4"/>
    <w:rsid w:val="00612760"/>
    <w:rsid w:val="0061282A"/>
    <w:rsid w:val="00612CC9"/>
    <w:rsid w:val="00613152"/>
    <w:rsid w:val="006134AF"/>
    <w:rsid w:val="00613CDB"/>
    <w:rsid w:val="00613FDD"/>
    <w:rsid w:val="006145F1"/>
    <w:rsid w:val="0061485E"/>
    <w:rsid w:val="00614B96"/>
    <w:rsid w:val="006151D6"/>
    <w:rsid w:val="006156BA"/>
    <w:rsid w:val="0061597B"/>
    <w:rsid w:val="00615C8C"/>
    <w:rsid w:val="00615CBB"/>
    <w:rsid w:val="00616545"/>
    <w:rsid w:val="00616E9B"/>
    <w:rsid w:val="00617212"/>
    <w:rsid w:val="00617377"/>
    <w:rsid w:val="00617399"/>
    <w:rsid w:val="00617EA4"/>
    <w:rsid w:val="00620316"/>
    <w:rsid w:val="00620518"/>
    <w:rsid w:val="006205BC"/>
    <w:rsid w:val="00620AF2"/>
    <w:rsid w:val="00620E19"/>
    <w:rsid w:val="00620FF3"/>
    <w:rsid w:val="00621047"/>
    <w:rsid w:val="00621094"/>
    <w:rsid w:val="00621262"/>
    <w:rsid w:val="00621472"/>
    <w:rsid w:val="006214A4"/>
    <w:rsid w:val="00621761"/>
    <w:rsid w:val="006217EA"/>
    <w:rsid w:val="00621855"/>
    <w:rsid w:val="00621ABD"/>
    <w:rsid w:val="006221DA"/>
    <w:rsid w:val="006225D8"/>
    <w:rsid w:val="00622770"/>
    <w:rsid w:val="00622CDA"/>
    <w:rsid w:val="00622CE3"/>
    <w:rsid w:val="006233F7"/>
    <w:rsid w:val="00623E28"/>
    <w:rsid w:val="0062408A"/>
    <w:rsid w:val="006240C6"/>
    <w:rsid w:val="0062448A"/>
    <w:rsid w:val="0062461F"/>
    <w:rsid w:val="0062465B"/>
    <w:rsid w:val="00624871"/>
    <w:rsid w:val="00624893"/>
    <w:rsid w:val="00624930"/>
    <w:rsid w:val="00624C07"/>
    <w:rsid w:val="00624F89"/>
    <w:rsid w:val="0062562E"/>
    <w:rsid w:val="00625B4D"/>
    <w:rsid w:val="00625D6C"/>
    <w:rsid w:val="00625FF5"/>
    <w:rsid w:val="00626478"/>
    <w:rsid w:val="006267D5"/>
    <w:rsid w:val="006276EB"/>
    <w:rsid w:val="00627723"/>
    <w:rsid w:val="006279BA"/>
    <w:rsid w:val="00627B1D"/>
    <w:rsid w:val="00627BC0"/>
    <w:rsid w:val="00630828"/>
    <w:rsid w:val="00630910"/>
    <w:rsid w:val="00630A98"/>
    <w:rsid w:val="00630EB9"/>
    <w:rsid w:val="006313BF"/>
    <w:rsid w:val="00631635"/>
    <w:rsid w:val="006317FF"/>
    <w:rsid w:val="006328D5"/>
    <w:rsid w:val="00633145"/>
    <w:rsid w:val="00633AF5"/>
    <w:rsid w:val="00633B63"/>
    <w:rsid w:val="00633B81"/>
    <w:rsid w:val="00633CA5"/>
    <w:rsid w:val="00634807"/>
    <w:rsid w:val="00635EEE"/>
    <w:rsid w:val="00636957"/>
    <w:rsid w:val="006369DE"/>
    <w:rsid w:val="00636ACB"/>
    <w:rsid w:val="00636CBE"/>
    <w:rsid w:val="00636CE6"/>
    <w:rsid w:val="00636FF4"/>
    <w:rsid w:val="00637704"/>
    <w:rsid w:val="0063777D"/>
    <w:rsid w:val="00637886"/>
    <w:rsid w:val="006378AE"/>
    <w:rsid w:val="00637A18"/>
    <w:rsid w:val="00637BE3"/>
    <w:rsid w:val="00637FA7"/>
    <w:rsid w:val="006406F9"/>
    <w:rsid w:val="00640C27"/>
    <w:rsid w:val="00640C59"/>
    <w:rsid w:val="00640EBD"/>
    <w:rsid w:val="00640EF1"/>
    <w:rsid w:val="00640FC5"/>
    <w:rsid w:val="006412F2"/>
    <w:rsid w:val="0064162F"/>
    <w:rsid w:val="006416EA"/>
    <w:rsid w:val="00641A7B"/>
    <w:rsid w:val="00641BEC"/>
    <w:rsid w:val="00641D34"/>
    <w:rsid w:val="00641F14"/>
    <w:rsid w:val="0064201C"/>
    <w:rsid w:val="006424E8"/>
    <w:rsid w:val="0064262C"/>
    <w:rsid w:val="00642641"/>
    <w:rsid w:val="006428E1"/>
    <w:rsid w:val="00642951"/>
    <w:rsid w:val="006429E1"/>
    <w:rsid w:val="00642AFB"/>
    <w:rsid w:val="00643301"/>
    <w:rsid w:val="00643DB4"/>
    <w:rsid w:val="00643F0E"/>
    <w:rsid w:val="00644099"/>
    <w:rsid w:val="0064449D"/>
    <w:rsid w:val="0064476C"/>
    <w:rsid w:val="0064486F"/>
    <w:rsid w:val="00644A81"/>
    <w:rsid w:val="00644B62"/>
    <w:rsid w:val="00645479"/>
    <w:rsid w:val="006458F9"/>
    <w:rsid w:val="00645D51"/>
    <w:rsid w:val="00645E86"/>
    <w:rsid w:val="00646110"/>
    <w:rsid w:val="006463B9"/>
    <w:rsid w:val="00646ED9"/>
    <w:rsid w:val="00646F34"/>
    <w:rsid w:val="0064724E"/>
    <w:rsid w:val="006473EB"/>
    <w:rsid w:val="00647A0E"/>
    <w:rsid w:val="00647B95"/>
    <w:rsid w:val="00647D38"/>
    <w:rsid w:val="00647E3C"/>
    <w:rsid w:val="00647EB8"/>
    <w:rsid w:val="00647F16"/>
    <w:rsid w:val="006506EA"/>
    <w:rsid w:val="00650BDA"/>
    <w:rsid w:val="00651618"/>
    <w:rsid w:val="006516C3"/>
    <w:rsid w:val="006518EE"/>
    <w:rsid w:val="00651CEE"/>
    <w:rsid w:val="006520BA"/>
    <w:rsid w:val="00652566"/>
    <w:rsid w:val="00652E9C"/>
    <w:rsid w:val="00653E00"/>
    <w:rsid w:val="00653FA8"/>
    <w:rsid w:val="0065424F"/>
    <w:rsid w:val="00654AAE"/>
    <w:rsid w:val="00654B30"/>
    <w:rsid w:val="00654C78"/>
    <w:rsid w:val="006551C4"/>
    <w:rsid w:val="0065532A"/>
    <w:rsid w:val="006553AD"/>
    <w:rsid w:val="006553E2"/>
    <w:rsid w:val="006557C2"/>
    <w:rsid w:val="00655C2E"/>
    <w:rsid w:val="00655CC9"/>
    <w:rsid w:val="00655D0C"/>
    <w:rsid w:val="00656561"/>
    <w:rsid w:val="00656AC8"/>
    <w:rsid w:val="00656C5F"/>
    <w:rsid w:val="006570F7"/>
    <w:rsid w:val="0065713A"/>
    <w:rsid w:val="00657B36"/>
    <w:rsid w:val="00657DB6"/>
    <w:rsid w:val="006600EA"/>
    <w:rsid w:val="00660454"/>
    <w:rsid w:val="006606AA"/>
    <w:rsid w:val="00660727"/>
    <w:rsid w:val="006608B8"/>
    <w:rsid w:val="006608CF"/>
    <w:rsid w:val="00660AF9"/>
    <w:rsid w:val="00661261"/>
    <w:rsid w:val="00661579"/>
    <w:rsid w:val="0066168F"/>
    <w:rsid w:val="006619FD"/>
    <w:rsid w:val="00661D1C"/>
    <w:rsid w:val="00661DE7"/>
    <w:rsid w:val="00661E80"/>
    <w:rsid w:val="0066214B"/>
    <w:rsid w:val="00662166"/>
    <w:rsid w:val="0066227F"/>
    <w:rsid w:val="006626E4"/>
    <w:rsid w:val="00662A3B"/>
    <w:rsid w:val="00662A53"/>
    <w:rsid w:val="00662BB8"/>
    <w:rsid w:val="00662D91"/>
    <w:rsid w:val="00662F45"/>
    <w:rsid w:val="00663116"/>
    <w:rsid w:val="00663477"/>
    <w:rsid w:val="0066407A"/>
    <w:rsid w:val="00664948"/>
    <w:rsid w:val="00664A0C"/>
    <w:rsid w:val="00664FD1"/>
    <w:rsid w:val="006650A6"/>
    <w:rsid w:val="00665179"/>
    <w:rsid w:val="006657A0"/>
    <w:rsid w:val="00665AD0"/>
    <w:rsid w:val="00665C2A"/>
    <w:rsid w:val="00666286"/>
    <w:rsid w:val="00666777"/>
    <w:rsid w:val="00666F9E"/>
    <w:rsid w:val="00667482"/>
    <w:rsid w:val="006677FE"/>
    <w:rsid w:val="0067002D"/>
    <w:rsid w:val="006705BD"/>
    <w:rsid w:val="00671824"/>
    <w:rsid w:val="0067187E"/>
    <w:rsid w:val="00671A4F"/>
    <w:rsid w:val="00672186"/>
    <w:rsid w:val="006722B0"/>
    <w:rsid w:val="00672342"/>
    <w:rsid w:val="00672447"/>
    <w:rsid w:val="00672A82"/>
    <w:rsid w:val="00672D16"/>
    <w:rsid w:val="00673001"/>
    <w:rsid w:val="00673191"/>
    <w:rsid w:val="006732C6"/>
    <w:rsid w:val="006734CD"/>
    <w:rsid w:val="0067378A"/>
    <w:rsid w:val="00673CA8"/>
    <w:rsid w:val="00674098"/>
    <w:rsid w:val="0067412B"/>
    <w:rsid w:val="006743F5"/>
    <w:rsid w:val="006744CC"/>
    <w:rsid w:val="00674C10"/>
    <w:rsid w:val="006755E5"/>
    <w:rsid w:val="0067565F"/>
    <w:rsid w:val="00675708"/>
    <w:rsid w:val="00675F14"/>
    <w:rsid w:val="006760BC"/>
    <w:rsid w:val="0067660A"/>
    <w:rsid w:val="00676774"/>
    <w:rsid w:val="00676860"/>
    <w:rsid w:val="00676B3F"/>
    <w:rsid w:val="006773E1"/>
    <w:rsid w:val="0067745C"/>
    <w:rsid w:val="0067766E"/>
    <w:rsid w:val="00677E78"/>
    <w:rsid w:val="0068028A"/>
    <w:rsid w:val="00680BB3"/>
    <w:rsid w:val="00681E2D"/>
    <w:rsid w:val="00681EB5"/>
    <w:rsid w:val="0068242F"/>
    <w:rsid w:val="00682A5A"/>
    <w:rsid w:val="006830F3"/>
    <w:rsid w:val="00683359"/>
    <w:rsid w:val="0068350A"/>
    <w:rsid w:val="00683514"/>
    <w:rsid w:val="00683A3A"/>
    <w:rsid w:val="00683AB9"/>
    <w:rsid w:val="00683CE2"/>
    <w:rsid w:val="00684137"/>
    <w:rsid w:val="006844BB"/>
    <w:rsid w:val="0068461F"/>
    <w:rsid w:val="00684EF5"/>
    <w:rsid w:val="00685D8D"/>
    <w:rsid w:val="00686302"/>
    <w:rsid w:val="006863C5"/>
    <w:rsid w:val="00686F31"/>
    <w:rsid w:val="00687106"/>
    <w:rsid w:val="006873F6"/>
    <w:rsid w:val="006876E2"/>
    <w:rsid w:val="006876F6"/>
    <w:rsid w:val="00687C72"/>
    <w:rsid w:val="0069040E"/>
    <w:rsid w:val="0069066E"/>
    <w:rsid w:val="006907D5"/>
    <w:rsid w:val="00690870"/>
    <w:rsid w:val="006909E5"/>
    <w:rsid w:val="00690FEE"/>
    <w:rsid w:val="0069111F"/>
    <w:rsid w:val="006914F3"/>
    <w:rsid w:val="006918F1"/>
    <w:rsid w:val="0069265B"/>
    <w:rsid w:val="00692C39"/>
    <w:rsid w:val="00693109"/>
    <w:rsid w:val="006937BC"/>
    <w:rsid w:val="00693CA3"/>
    <w:rsid w:val="00693EB9"/>
    <w:rsid w:val="00694D77"/>
    <w:rsid w:val="0069531E"/>
    <w:rsid w:val="006956D4"/>
    <w:rsid w:val="006956E1"/>
    <w:rsid w:val="00695731"/>
    <w:rsid w:val="006958A4"/>
    <w:rsid w:val="00695928"/>
    <w:rsid w:val="00695BAF"/>
    <w:rsid w:val="00695BF5"/>
    <w:rsid w:val="00695DDE"/>
    <w:rsid w:val="00695EE2"/>
    <w:rsid w:val="00695FAA"/>
    <w:rsid w:val="00696330"/>
    <w:rsid w:val="006963D0"/>
    <w:rsid w:val="00696594"/>
    <w:rsid w:val="00696C06"/>
    <w:rsid w:val="0069723C"/>
    <w:rsid w:val="006972D3"/>
    <w:rsid w:val="0069761E"/>
    <w:rsid w:val="00697AEE"/>
    <w:rsid w:val="00697D1A"/>
    <w:rsid w:val="00697D5F"/>
    <w:rsid w:val="00697F8E"/>
    <w:rsid w:val="006A0103"/>
    <w:rsid w:val="006A03A4"/>
    <w:rsid w:val="006A03A9"/>
    <w:rsid w:val="006A03AC"/>
    <w:rsid w:val="006A064A"/>
    <w:rsid w:val="006A0875"/>
    <w:rsid w:val="006A13EB"/>
    <w:rsid w:val="006A1828"/>
    <w:rsid w:val="006A1A69"/>
    <w:rsid w:val="006A1FF0"/>
    <w:rsid w:val="006A28F3"/>
    <w:rsid w:val="006A2D78"/>
    <w:rsid w:val="006A30D9"/>
    <w:rsid w:val="006A433F"/>
    <w:rsid w:val="006A5313"/>
    <w:rsid w:val="006A55B2"/>
    <w:rsid w:val="006A5814"/>
    <w:rsid w:val="006A5D71"/>
    <w:rsid w:val="006A5F72"/>
    <w:rsid w:val="006A61BE"/>
    <w:rsid w:val="006A6907"/>
    <w:rsid w:val="006A6B9A"/>
    <w:rsid w:val="006A6D61"/>
    <w:rsid w:val="006A6FE4"/>
    <w:rsid w:val="006A717D"/>
    <w:rsid w:val="006A788D"/>
    <w:rsid w:val="006A7BD7"/>
    <w:rsid w:val="006B0074"/>
    <w:rsid w:val="006B03D2"/>
    <w:rsid w:val="006B0450"/>
    <w:rsid w:val="006B0804"/>
    <w:rsid w:val="006B0A4F"/>
    <w:rsid w:val="006B0C2B"/>
    <w:rsid w:val="006B0D16"/>
    <w:rsid w:val="006B0DFF"/>
    <w:rsid w:val="006B13EB"/>
    <w:rsid w:val="006B14EA"/>
    <w:rsid w:val="006B1915"/>
    <w:rsid w:val="006B20D9"/>
    <w:rsid w:val="006B262D"/>
    <w:rsid w:val="006B27C9"/>
    <w:rsid w:val="006B2D6C"/>
    <w:rsid w:val="006B2FAD"/>
    <w:rsid w:val="006B37A0"/>
    <w:rsid w:val="006B3C28"/>
    <w:rsid w:val="006B3FC9"/>
    <w:rsid w:val="006B40C1"/>
    <w:rsid w:val="006B4155"/>
    <w:rsid w:val="006B4391"/>
    <w:rsid w:val="006B469C"/>
    <w:rsid w:val="006B476E"/>
    <w:rsid w:val="006B5118"/>
    <w:rsid w:val="006B519B"/>
    <w:rsid w:val="006B52E7"/>
    <w:rsid w:val="006B5611"/>
    <w:rsid w:val="006B590A"/>
    <w:rsid w:val="006B5ECD"/>
    <w:rsid w:val="006B696D"/>
    <w:rsid w:val="006B6B82"/>
    <w:rsid w:val="006B6BC7"/>
    <w:rsid w:val="006B7A7B"/>
    <w:rsid w:val="006B7AAE"/>
    <w:rsid w:val="006B7C8A"/>
    <w:rsid w:val="006C0016"/>
    <w:rsid w:val="006C0024"/>
    <w:rsid w:val="006C002A"/>
    <w:rsid w:val="006C0851"/>
    <w:rsid w:val="006C0BD6"/>
    <w:rsid w:val="006C0DE1"/>
    <w:rsid w:val="006C135F"/>
    <w:rsid w:val="006C148F"/>
    <w:rsid w:val="006C2265"/>
    <w:rsid w:val="006C26E1"/>
    <w:rsid w:val="006C2A5F"/>
    <w:rsid w:val="006C3878"/>
    <w:rsid w:val="006C3890"/>
    <w:rsid w:val="006C3993"/>
    <w:rsid w:val="006C3D19"/>
    <w:rsid w:val="006C4623"/>
    <w:rsid w:val="006C4764"/>
    <w:rsid w:val="006C4FF1"/>
    <w:rsid w:val="006C549F"/>
    <w:rsid w:val="006C587D"/>
    <w:rsid w:val="006C5B34"/>
    <w:rsid w:val="006C60FB"/>
    <w:rsid w:val="006C63B0"/>
    <w:rsid w:val="006C64DA"/>
    <w:rsid w:val="006C68CF"/>
    <w:rsid w:val="006D0012"/>
    <w:rsid w:val="006D06DB"/>
    <w:rsid w:val="006D16C9"/>
    <w:rsid w:val="006D1719"/>
    <w:rsid w:val="006D2F8E"/>
    <w:rsid w:val="006D377C"/>
    <w:rsid w:val="006D38E5"/>
    <w:rsid w:val="006D39A1"/>
    <w:rsid w:val="006D3E62"/>
    <w:rsid w:val="006D408A"/>
    <w:rsid w:val="006D455A"/>
    <w:rsid w:val="006D55A5"/>
    <w:rsid w:val="006D574D"/>
    <w:rsid w:val="006D6067"/>
    <w:rsid w:val="006D659B"/>
    <w:rsid w:val="006D65D0"/>
    <w:rsid w:val="006D669C"/>
    <w:rsid w:val="006D6992"/>
    <w:rsid w:val="006D6BA4"/>
    <w:rsid w:val="006D6FE2"/>
    <w:rsid w:val="006D7A60"/>
    <w:rsid w:val="006D7C45"/>
    <w:rsid w:val="006D7FDD"/>
    <w:rsid w:val="006E021D"/>
    <w:rsid w:val="006E03FB"/>
    <w:rsid w:val="006E04A8"/>
    <w:rsid w:val="006E0BCF"/>
    <w:rsid w:val="006E0CB9"/>
    <w:rsid w:val="006E0D78"/>
    <w:rsid w:val="006E0EB6"/>
    <w:rsid w:val="006E1047"/>
    <w:rsid w:val="006E1083"/>
    <w:rsid w:val="006E1210"/>
    <w:rsid w:val="006E152C"/>
    <w:rsid w:val="006E15AC"/>
    <w:rsid w:val="006E163F"/>
    <w:rsid w:val="006E16FF"/>
    <w:rsid w:val="006E1B95"/>
    <w:rsid w:val="006E1D5B"/>
    <w:rsid w:val="006E1F21"/>
    <w:rsid w:val="006E2311"/>
    <w:rsid w:val="006E2496"/>
    <w:rsid w:val="006E277E"/>
    <w:rsid w:val="006E2D55"/>
    <w:rsid w:val="006E2EA3"/>
    <w:rsid w:val="006E328F"/>
    <w:rsid w:val="006E34C0"/>
    <w:rsid w:val="006E3562"/>
    <w:rsid w:val="006E3820"/>
    <w:rsid w:val="006E4178"/>
    <w:rsid w:val="006E429A"/>
    <w:rsid w:val="006E4401"/>
    <w:rsid w:val="006E4617"/>
    <w:rsid w:val="006E49C8"/>
    <w:rsid w:val="006E4D5F"/>
    <w:rsid w:val="006E505D"/>
    <w:rsid w:val="006E50E6"/>
    <w:rsid w:val="006E52D3"/>
    <w:rsid w:val="006E54C5"/>
    <w:rsid w:val="006E5AF0"/>
    <w:rsid w:val="006E5EA8"/>
    <w:rsid w:val="006E5ED1"/>
    <w:rsid w:val="006E60B9"/>
    <w:rsid w:val="006E60D0"/>
    <w:rsid w:val="006E6397"/>
    <w:rsid w:val="006E67C4"/>
    <w:rsid w:val="006E6A0B"/>
    <w:rsid w:val="006E6B4B"/>
    <w:rsid w:val="006E6E33"/>
    <w:rsid w:val="006E700F"/>
    <w:rsid w:val="006E7140"/>
    <w:rsid w:val="006E77E8"/>
    <w:rsid w:val="006E78B9"/>
    <w:rsid w:val="006E79F0"/>
    <w:rsid w:val="006E7CCB"/>
    <w:rsid w:val="006E7E2E"/>
    <w:rsid w:val="006F01B1"/>
    <w:rsid w:val="006F04C3"/>
    <w:rsid w:val="006F065C"/>
    <w:rsid w:val="006F08DA"/>
    <w:rsid w:val="006F1283"/>
    <w:rsid w:val="006F138C"/>
    <w:rsid w:val="006F1929"/>
    <w:rsid w:val="006F1A58"/>
    <w:rsid w:val="006F1C26"/>
    <w:rsid w:val="006F1C79"/>
    <w:rsid w:val="006F24FD"/>
    <w:rsid w:val="006F258C"/>
    <w:rsid w:val="006F2687"/>
    <w:rsid w:val="006F272D"/>
    <w:rsid w:val="006F2CF7"/>
    <w:rsid w:val="006F2D31"/>
    <w:rsid w:val="006F2E70"/>
    <w:rsid w:val="006F2F03"/>
    <w:rsid w:val="006F305F"/>
    <w:rsid w:val="006F36A0"/>
    <w:rsid w:val="006F3B9A"/>
    <w:rsid w:val="006F3C47"/>
    <w:rsid w:val="006F3FEC"/>
    <w:rsid w:val="006F4227"/>
    <w:rsid w:val="006F4365"/>
    <w:rsid w:val="006F459D"/>
    <w:rsid w:val="006F4686"/>
    <w:rsid w:val="006F4E75"/>
    <w:rsid w:val="006F5623"/>
    <w:rsid w:val="006F5683"/>
    <w:rsid w:val="006F5B5F"/>
    <w:rsid w:val="006F5E63"/>
    <w:rsid w:val="006F669F"/>
    <w:rsid w:val="006F6931"/>
    <w:rsid w:val="006F6A37"/>
    <w:rsid w:val="006F7156"/>
    <w:rsid w:val="006F729A"/>
    <w:rsid w:val="006F7CB7"/>
    <w:rsid w:val="006F7F1B"/>
    <w:rsid w:val="006F7FFD"/>
    <w:rsid w:val="00700393"/>
    <w:rsid w:val="00700394"/>
    <w:rsid w:val="00700446"/>
    <w:rsid w:val="007005FE"/>
    <w:rsid w:val="00700A27"/>
    <w:rsid w:val="00700BCE"/>
    <w:rsid w:val="007017A1"/>
    <w:rsid w:val="007018D7"/>
    <w:rsid w:val="00701DA9"/>
    <w:rsid w:val="00702535"/>
    <w:rsid w:val="00702542"/>
    <w:rsid w:val="0070259C"/>
    <w:rsid w:val="007034F4"/>
    <w:rsid w:val="00703668"/>
    <w:rsid w:val="00703AB2"/>
    <w:rsid w:val="0070413A"/>
    <w:rsid w:val="007041C8"/>
    <w:rsid w:val="0070423B"/>
    <w:rsid w:val="0070435D"/>
    <w:rsid w:val="007043DD"/>
    <w:rsid w:val="00704447"/>
    <w:rsid w:val="007046A6"/>
    <w:rsid w:val="00704B0B"/>
    <w:rsid w:val="00704B5C"/>
    <w:rsid w:val="00704CEC"/>
    <w:rsid w:val="0070513A"/>
    <w:rsid w:val="00705415"/>
    <w:rsid w:val="00706A35"/>
    <w:rsid w:val="00706BAD"/>
    <w:rsid w:val="00707184"/>
    <w:rsid w:val="007071AA"/>
    <w:rsid w:val="007071FC"/>
    <w:rsid w:val="00707294"/>
    <w:rsid w:val="007077E0"/>
    <w:rsid w:val="007079EF"/>
    <w:rsid w:val="00707B0B"/>
    <w:rsid w:val="00707C25"/>
    <w:rsid w:val="00707FC9"/>
    <w:rsid w:val="0071000F"/>
    <w:rsid w:val="007100E2"/>
    <w:rsid w:val="00710832"/>
    <w:rsid w:val="00710844"/>
    <w:rsid w:val="007108D1"/>
    <w:rsid w:val="00710D77"/>
    <w:rsid w:val="00711197"/>
    <w:rsid w:val="00711470"/>
    <w:rsid w:val="00711689"/>
    <w:rsid w:val="007118C1"/>
    <w:rsid w:val="007119D8"/>
    <w:rsid w:val="00711A0E"/>
    <w:rsid w:val="00711A18"/>
    <w:rsid w:val="00711B4D"/>
    <w:rsid w:val="0071213B"/>
    <w:rsid w:val="007122D0"/>
    <w:rsid w:val="00712431"/>
    <w:rsid w:val="00712E0D"/>
    <w:rsid w:val="007136B7"/>
    <w:rsid w:val="0071395E"/>
    <w:rsid w:val="00713C52"/>
    <w:rsid w:val="00713EF0"/>
    <w:rsid w:val="00714078"/>
    <w:rsid w:val="007140CB"/>
    <w:rsid w:val="007143E4"/>
    <w:rsid w:val="00714551"/>
    <w:rsid w:val="00715135"/>
    <w:rsid w:val="00715379"/>
    <w:rsid w:val="00715384"/>
    <w:rsid w:val="00716216"/>
    <w:rsid w:val="00716257"/>
    <w:rsid w:val="0071637F"/>
    <w:rsid w:val="007165A0"/>
    <w:rsid w:val="00716695"/>
    <w:rsid w:val="00716A6F"/>
    <w:rsid w:val="00716B51"/>
    <w:rsid w:val="00716EBD"/>
    <w:rsid w:val="007172B4"/>
    <w:rsid w:val="007176B3"/>
    <w:rsid w:val="00720159"/>
    <w:rsid w:val="007201B1"/>
    <w:rsid w:val="00720277"/>
    <w:rsid w:val="00720876"/>
    <w:rsid w:val="00720C09"/>
    <w:rsid w:val="00720DB7"/>
    <w:rsid w:val="00721224"/>
    <w:rsid w:val="007212BE"/>
    <w:rsid w:val="00721CDA"/>
    <w:rsid w:val="00722B87"/>
    <w:rsid w:val="00723350"/>
    <w:rsid w:val="007236AE"/>
    <w:rsid w:val="007238D4"/>
    <w:rsid w:val="00723EB3"/>
    <w:rsid w:val="007242CA"/>
    <w:rsid w:val="0072464B"/>
    <w:rsid w:val="00724779"/>
    <w:rsid w:val="00724983"/>
    <w:rsid w:val="00725F55"/>
    <w:rsid w:val="00726515"/>
    <w:rsid w:val="00726CA1"/>
    <w:rsid w:val="00726DDC"/>
    <w:rsid w:val="00727607"/>
    <w:rsid w:val="0072772F"/>
    <w:rsid w:val="00727BF3"/>
    <w:rsid w:val="00727D38"/>
    <w:rsid w:val="00727D8E"/>
    <w:rsid w:val="007301DF"/>
    <w:rsid w:val="007304F9"/>
    <w:rsid w:val="0073066E"/>
    <w:rsid w:val="00730894"/>
    <w:rsid w:val="00730911"/>
    <w:rsid w:val="00730C7A"/>
    <w:rsid w:val="0073118F"/>
    <w:rsid w:val="00731674"/>
    <w:rsid w:val="00731C5A"/>
    <w:rsid w:val="00731F25"/>
    <w:rsid w:val="00731FFE"/>
    <w:rsid w:val="00732351"/>
    <w:rsid w:val="0073354A"/>
    <w:rsid w:val="00733941"/>
    <w:rsid w:val="00733F01"/>
    <w:rsid w:val="00734011"/>
    <w:rsid w:val="00734573"/>
    <w:rsid w:val="00734EB2"/>
    <w:rsid w:val="007355CF"/>
    <w:rsid w:val="007356AA"/>
    <w:rsid w:val="007357BA"/>
    <w:rsid w:val="0073591D"/>
    <w:rsid w:val="00735BF1"/>
    <w:rsid w:val="00735E3B"/>
    <w:rsid w:val="00737362"/>
    <w:rsid w:val="0073743B"/>
    <w:rsid w:val="00737543"/>
    <w:rsid w:val="0073798D"/>
    <w:rsid w:val="007379C1"/>
    <w:rsid w:val="00737D4E"/>
    <w:rsid w:val="007400F6"/>
    <w:rsid w:val="00740369"/>
    <w:rsid w:val="0074042B"/>
    <w:rsid w:val="007405FD"/>
    <w:rsid w:val="00740640"/>
    <w:rsid w:val="00740F40"/>
    <w:rsid w:val="00740F4B"/>
    <w:rsid w:val="00741176"/>
    <w:rsid w:val="007415D5"/>
    <w:rsid w:val="007416A8"/>
    <w:rsid w:val="007418FE"/>
    <w:rsid w:val="0074195F"/>
    <w:rsid w:val="00742565"/>
    <w:rsid w:val="007427A1"/>
    <w:rsid w:val="007428AF"/>
    <w:rsid w:val="00742E41"/>
    <w:rsid w:val="00742FAB"/>
    <w:rsid w:val="00743EC4"/>
    <w:rsid w:val="00744493"/>
    <w:rsid w:val="00744555"/>
    <w:rsid w:val="0074468B"/>
    <w:rsid w:val="007449D9"/>
    <w:rsid w:val="00744C31"/>
    <w:rsid w:val="00744E75"/>
    <w:rsid w:val="00745565"/>
    <w:rsid w:val="00745843"/>
    <w:rsid w:val="00745A51"/>
    <w:rsid w:val="00745C22"/>
    <w:rsid w:val="00745E07"/>
    <w:rsid w:val="0074615F"/>
    <w:rsid w:val="0074685C"/>
    <w:rsid w:val="00746974"/>
    <w:rsid w:val="00746E68"/>
    <w:rsid w:val="00746FEA"/>
    <w:rsid w:val="0074751E"/>
    <w:rsid w:val="00747962"/>
    <w:rsid w:val="00747C9D"/>
    <w:rsid w:val="00747D2E"/>
    <w:rsid w:val="0075008B"/>
    <w:rsid w:val="007501B9"/>
    <w:rsid w:val="00750445"/>
    <w:rsid w:val="00750999"/>
    <w:rsid w:val="007513FC"/>
    <w:rsid w:val="007514CB"/>
    <w:rsid w:val="0075151D"/>
    <w:rsid w:val="00751A06"/>
    <w:rsid w:val="00751D2F"/>
    <w:rsid w:val="00752019"/>
    <w:rsid w:val="00752C99"/>
    <w:rsid w:val="00753141"/>
    <w:rsid w:val="007531F1"/>
    <w:rsid w:val="00753B09"/>
    <w:rsid w:val="00753F70"/>
    <w:rsid w:val="0075405E"/>
    <w:rsid w:val="00754531"/>
    <w:rsid w:val="0075460A"/>
    <w:rsid w:val="00754990"/>
    <w:rsid w:val="00754E01"/>
    <w:rsid w:val="00754F1D"/>
    <w:rsid w:val="00755916"/>
    <w:rsid w:val="00755C3E"/>
    <w:rsid w:val="00755D76"/>
    <w:rsid w:val="00756166"/>
    <w:rsid w:val="0075630F"/>
    <w:rsid w:val="007563A4"/>
    <w:rsid w:val="0075658B"/>
    <w:rsid w:val="007566AA"/>
    <w:rsid w:val="00756824"/>
    <w:rsid w:val="007569E5"/>
    <w:rsid w:val="00756E1F"/>
    <w:rsid w:val="00756E9F"/>
    <w:rsid w:val="00757243"/>
    <w:rsid w:val="0075747D"/>
    <w:rsid w:val="007574B0"/>
    <w:rsid w:val="00761CAB"/>
    <w:rsid w:val="00761D8C"/>
    <w:rsid w:val="0076232F"/>
    <w:rsid w:val="007627F5"/>
    <w:rsid w:val="0076284E"/>
    <w:rsid w:val="00762DA2"/>
    <w:rsid w:val="00762E16"/>
    <w:rsid w:val="007638C3"/>
    <w:rsid w:val="007639CA"/>
    <w:rsid w:val="007639DF"/>
    <w:rsid w:val="00764329"/>
    <w:rsid w:val="007646D2"/>
    <w:rsid w:val="007648E9"/>
    <w:rsid w:val="00764BF3"/>
    <w:rsid w:val="00764CE9"/>
    <w:rsid w:val="00765660"/>
    <w:rsid w:val="00765D44"/>
    <w:rsid w:val="00765D55"/>
    <w:rsid w:val="00765F50"/>
    <w:rsid w:val="00766014"/>
    <w:rsid w:val="0076601B"/>
    <w:rsid w:val="00766606"/>
    <w:rsid w:val="00766CCB"/>
    <w:rsid w:val="00766FAB"/>
    <w:rsid w:val="007670F3"/>
    <w:rsid w:val="0076720F"/>
    <w:rsid w:val="0076778B"/>
    <w:rsid w:val="00767A52"/>
    <w:rsid w:val="00767B5B"/>
    <w:rsid w:val="00767BE3"/>
    <w:rsid w:val="00767F87"/>
    <w:rsid w:val="00770F71"/>
    <w:rsid w:val="00770FD1"/>
    <w:rsid w:val="00771454"/>
    <w:rsid w:val="007716BF"/>
    <w:rsid w:val="00771756"/>
    <w:rsid w:val="007717EA"/>
    <w:rsid w:val="007724DF"/>
    <w:rsid w:val="00772B77"/>
    <w:rsid w:val="00772E67"/>
    <w:rsid w:val="007733A7"/>
    <w:rsid w:val="0077352B"/>
    <w:rsid w:val="00773E87"/>
    <w:rsid w:val="00773F7B"/>
    <w:rsid w:val="0077418B"/>
    <w:rsid w:val="007743DB"/>
    <w:rsid w:val="0077481C"/>
    <w:rsid w:val="007748EC"/>
    <w:rsid w:val="00775A26"/>
    <w:rsid w:val="00775C23"/>
    <w:rsid w:val="00776092"/>
    <w:rsid w:val="007761EB"/>
    <w:rsid w:val="00776201"/>
    <w:rsid w:val="00776237"/>
    <w:rsid w:val="0077655F"/>
    <w:rsid w:val="00776777"/>
    <w:rsid w:val="0077738B"/>
    <w:rsid w:val="007774C4"/>
    <w:rsid w:val="007777E1"/>
    <w:rsid w:val="00777842"/>
    <w:rsid w:val="00777D5A"/>
    <w:rsid w:val="00780685"/>
    <w:rsid w:val="00780A9C"/>
    <w:rsid w:val="00780BDD"/>
    <w:rsid w:val="00780DEE"/>
    <w:rsid w:val="00780FD4"/>
    <w:rsid w:val="00781691"/>
    <w:rsid w:val="007819DA"/>
    <w:rsid w:val="00781B83"/>
    <w:rsid w:val="00781CDC"/>
    <w:rsid w:val="00781E39"/>
    <w:rsid w:val="007822AD"/>
    <w:rsid w:val="00782FFB"/>
    <w:rsid w:val="00783178"/>
    <w:rsid w:val="0078331F"/>
    <w:rsid w:val="0078351D"/>
    <w:rsid w:val="007835FD"/>
    <w:rsid w:val="00783607"/>
    <w:rsid w:val="00783896"/>
    <w:rsid w:val="007839F9"/>
    <w:rsid w:val="00783C0F"/>
    <w:rsid w:val="00783C3E"/>
    <w:rsid w:val="00783DF7"/>
    <w:rsid w:val="007840E2"/>
    <w:rsid w:val="007842B4"/>
    <w:rsid w:val="00784773"/>
    <w:rsid w:val="00784A69"/>
    <w:rsid w:val="00784E8E"/>
    <w:rsid w:val="0078502D"/>
    <w:rsid w:val="0078510A"/>
    <w:rsid w:val="00785138"/>
    <w:rsid w:val="0078518F"/>
    <w:rsid w:val="007852F6"/>
    <w:rsid w:val="0078589C"/>
    <w:rsid w:val="00785A42"/>
    <w:rsid w:val="00785A74"/>
    <w:rsid w:val="007864A3"/>
    <w:rsid w:val="00786955"/>
    <w:rsid w:val="00786B89"/>
    <w:rsid w:val="00786D70"/>
    <w:rsid w:val="00786E58"/>
    <w:rsid w:val="00787189"/>
    <w:rsid w:val="007877DE"/>
    <w:rsid w:val="00787A5D"/>
    <w:rsid w:val="00787B32"/>
    <w:rsid w:val="0079023C"/>
    <w:rsid w:val="0079057F"/>
    <w:rsid w:val="00790F71"/>
    <w:rsid w:val="00791280"/>
    <w:rsid w:val="007913A7"/>
    <w:rsid w:val="007914F7"/>
    <w:rsid w:val="00791EED"/>
    <w:rsid w:val="0079295F"/>
    <w:rsid w:val="00792AC3"/>
    <w:rsid w:val="00793AC3"/>
    <w:rsid w:val="00794001"/>
    <w:rsid w:val="0079447F"/>
    <w:rsid w:val="007947E1"/>
    <w:rsid w:val="00794BA2"/>
    <w:rsid w:val="00794D12"/>
    <w:rsid w:val="00794FDB"/>
    <w:rsid w:val="007955E2"/>
    <w:rsid w:val="00795AB3"/>
    <w:rsid w:val="00795AEA"/>
    <w:rsid w:val="00795B32"/>
    <w:rsid w:val="00795BB2"/>
    <w:rsid w:val="00795EA4"/>
    <w:rsid w:val="00796207"/>
    <w:rsid w:val="0079670B"/>
    <w:rsid w:val="00796C29"/>
    <w:rsid w:val="00797213"/>
    <w:rsid w:val="0079772E"/>
    <w:rsid w:val="00797789"/>
    <w:rsid w:val="00797CDE"/>
    <w:rsid w:val="007A0085"/>
    <w:rsid w:val="007A0392"/>
    <w:rsid w:val="007A04F4"/>
    <w:rsid w:val="007A0B02"/>
    <w:rsid w:val="007A0FF0"/>
    <w:rsid w:val="007A1C6E"/>
    <w:rsid w:val="007A1DE6"/>
    <w:rsid w:val="007A20BD"/>
    <w:rsid w:val="007A21E3"/>
    <w:rsid w:val="007A22D9"/>
    <w:rsid w:val="007A2341"/>
    <w:rsid w:val="007A2B96"/>
    <w:rsid w:val="007A2E0D"/>
    <w:rsid w:val="007A315D"/>
    <w:rsid w:val="007A34D4"/>
    <w:rsid w:val="007A3C14"/>
    <w:rsid w:val="007A3C29"/>
    <w:rsid w:val="007A40FA"/>
    <w:rsid w:val="007A4A4E"/>
    <w:rsid w:val="007A4DD5"/>
    <w:rsid w:val="007A50B8"/>
    <w:rsid w:val="007A5114"/>
    <w:rsid w:val="007A5173"/>
    <w:rsid w:val="007A57AF"/>
    <w:rsid w:val="007A6124"/>
    <w:rsid w:val="007A615D"/>
    <w:rsid w:val="007A6176"/>
    <w:rsid w:val="007A61A1"/>
    <w:rsid w:val="007A66F4"/>
    <w:rsid w:val="007A6D11"/>
    <w:rsid w:val="007A6E9A"/>
    <w:rsid w:val="007A6EF7"/>
    <w:rsid w:val="007A71CD"/>
    <w:rsid w:val="007A73DC"/>
    <w:rsid w:val="007A7436"/>
    <w:rsid w:val="007A7960"/>
    <w:rsid w:val="007A7DD8"/>
    <w:rsid w:val="007B0448"/>
    <w:rsid w:val="007B0482"/>
    <w:rsid w:val="007B0527"/>
    <w:rsid w:val="007B094F"/>
    <w:rsid w:val="007B135A"/>
    <w:rsid w:val="007B139D"/>
    <w:rsid w:val="007B162D"/>
    <w:rsid w:val="007B16A5"/>
    <w:rsid w:val="007B1A8F"/>
    <w:rsid w:val="007B1DC8"/>
    <w:rsid w:val="007B25A2"/>
    <w:rsid w:val="007B2812"/>
    <w:rsid w:val="007B2BF6"/>
    <w:rsid w:val="007B2C4F"/>
    <w:rsid w:val="007B2FEE"/>
    <w:rsid w:val="007B32E8"/>
    <w:rsid w:val="007B3625"/>
    <w:rsid w:val="007B378B"/>
    <w:rsid w:val="007B3AF1"/>
    <w:rsid w:val="007B3B3C"/>
    <w:rsid w:val="007B3F87"/>
    <w:rsid w:val="007B41F6"/>
    <w:rsid w:val="007B4370"/>
    <w:rsid w:val="007B4785"/>
    <w:rsid w:val="007B4B4F"/>
    <w:rsid w:val="007B4FFD"/>
    <w:rsid w:val="007B5518"/>
    <w:rsid w:val="007B5637"/>
    <w:rsid w:val="007B5729"/>
    <w:rsid w:val="007B592B"/>
    <w:rsid w:val="007B5C5E"/>
    <w:rsid w:val="007B631E"/>
    <w:rsid w:val="007B67D6"/>
    <w:rsid w:val="007B6A3B"/>
    <w:rsid w:val="007B6D02"/>
    <w:rsid w:val="007B6E94"/>
    <w:rsid w:val="007B7366"/>
    <w:rsid w:val="007B74BB"/>
    <w:rsid w:val="007B74E0"/>
    <w:rsid w:val="007B7B13"/>
    <w:rsid w:val="007B7BCB"/>
    <w:rsid w:val="007B7EDF"/>
    <w:rsid w:val="007C0437"/>
    <w:rsid w:val="007C0E29"/>
    <w:rsid w:val="007C0F1E"/>
    <w:rsid w:val="007C1077"/>
    <w:rsid w:val="007C1130"/>
    <w:rsid w:val="007C1643"/>
    <w:rsid w:val="007C1751"/>
    <w:rsid w:val="007C1B18"/>
    <w:rsid w:val="007C28FD"/>
    <w:rsid w:val="007C2CDD"/>
    <w:rsid w:val="007C2DBB"/>
    <w:rsid w:val="007C2ED7"/>
    <w:rsid w:val="007C324D"/>
    <w:rsid w:val="007C33AB"/>
    <w:rsid w:val="007C354F"/>
    <w:rsid w:val="007C3682"/>
    <w:rsid w:val="007C36B2"/>
    <w:rsid w:val="007C3716"/>
    <w:rsid w:val="007C37CF"/>
    <w:rsid w:val="007C3A98"/>
    <w:rsid w:val="007C3DFF"/>
    <w:rsid w:val="007C4243"/>
    <w:rsid w:val="007C435B"/>
    <w:rsid w:val="007C483D"/>
    <w:rsid w:val="007C4938"/>
    <w:rsid w:val="007C49AB"/>
    <w:rsid w:val="007C4BBB"/>
    <w:rsid w:val="007C4F0E"/>
    <w:rsid w:val="007C5163"/>
    <w:rsid w:val="007C56B1"/>
    <w:rsid w:val="007C5F86"/>
    <w:rsid w:val="007C6003"/>
    <w:rsid w:val="007C6B7C"/>
    <w:rsid w:val="007C6DDD"/>
    <w:rsid w:val="007C6E5D"/>
    <w:rsid w:val="007C745E"/>
    <w:rsid w:val="007C75DB"/>
    <w:rsid w:val="007C76DA"/>
    <w:rsid w:val="007C7922"/>
    <w:rsid w:val="007C7978"/>
    <w:rsid w:val="007C79DF"/>
    <w:rsid w:val="007C7B63"/>
    <w:rsid w:val="007D01C4"/>
    <w:rsid w:val="007D0235"/>
    <w:rsid w:val="007D02A1"/>
    <w:rsid w:val="007D0B01"/>
    <w:rsid w:val="007D0BE2"/>
    <w:rsid w:val="007D0DE3"/>
    <w:rsid w:val="007D0EE3"/>
    <w:rsid w:val="007D127C"/>
    <w:rsid w:val="007D139F"/>
    <w:rsid w:val="007D161B"/>
    <w:rsid w:val="007D1CE9"/>
    <w:rsid w:val="007D24A5"/>
    <w:rsid w:val="007D2548"/>
    <w:rsid w:val="007D255B"/>
    <w:rsid w:val="007D2B25"/>
    <w:rsid w:val="007D2D76"/>
    <w:rsid w:val="007D31C6"/>
    <w:rsid w:val="007D3AD9"/>
    <w:rsid w:val="007D4CD2"/>
    <w:rsid w:val="007D51B8"/>
    <w:rsid w:val="007D568C"/>
    <w:rsid w:val="007D61D3"/>
    <w:rsid w:val="007D621B"/>
    <w:rsid w:val="007D631C"/>
    <w:rsid w:val="007D661A"/>
    <w:rsid w:val="007D6A65"/>
    <w:rsid w:val="007D6B15"/>
    <w:rsid w:val="007D6FFC"/>
    <w:rsid w:val="007D71D8"/>
    <w:rsid w:val="007D746C"/>
    <w:rsid w:val="007D763E"/>
    <w:rsid w:val="007D7A19"/>
    <w:rsid w:val="007E012C"/>
    <w:rsid w:val="007E0648"/>
    <w:rsid w:val="007E0CAB"/>
    <w:rsid w:val="007E0E0D"/>
    <w:rsid w:val="007E0F24"/>
    <w:rsid w:val="007E104E"/>
    <w:rsid w:val="007E1130"/>
    <w:rsid w:val="007E1292"/>
    <w:rsid w:val="007E149D"/>
    <w:rsid w:val="007E153C"/>
    <w:rsid w:val="007E2268"/>
    <w:rsid w:val="007E25E5"/>
    <w:rsid w:val="007E2709"/>
    <w:rsid w:val="007E28C5"/>
    <w:rsid w:val="007E28D9"/>
    <w:rsid w:val="007E2951"/>
    <w:rsid w:val="007E2E38"/>
    <w:rsid w:val="007E2E46"/>
    <w:rsid w:val="007E3168"/>
    <w:rsid w:val="007E3688"/>
    <w:rsid w:val="007E3D35"/>
    <w:rsid w:val="007E41E7"/>
    <w:rsid w:val="007E44F7"/>
    <w:rsid w:val="007E475F"/>
    <w:rsid w:val="007E4A02"/>
    <w:rsid w:val="007E4CAD"/>
    <w:rsid w:val="007E510D"/>
    <w:rsid w:val="007E5398"/>
    <w:rsid w:val="007E55C8"/>
    <w:rsid w:val="007E55E7"/>
    <w:rsid w:val="007E5B5C"/>
    <w:rsid w:val="007E5F88"/>
    <w:rsid w:val="007E6554"/>
    <w:rsid w:val="007E6768"/>
    <w:rsid w:val="007E6DF7"/>
    <w:rsid w:val="007E6EA3"/>
    <w:rsid w:val="007E745E"/>
    <w:rsid w:val="007E7679"/>
    <w:rsid w:val="007E78A7"/>
    <w:rsid w:val="007F0650"/>
    <w:rsid w:val="007F074A"/>
    <w:rsid w:val="007F08A3"/>
    <w:rsid w:val="007F0F8E"/>
    <w:rsid w:val="007F1416"/>
    <w:rsid w:val="007F1445"/>
    <w:rsid w:val="007F1524"/>
    <w:rsid w:val="007F1890"/>
    <w:rsid w:val="007F1DB1"/>
    <w:rsid w:val="007F1E89"/>
    <w:rsid w:val="007F2221"/>
    <w:rsid w:val="007F26F8"/>
    <w:rsid w:val="007F28F0"/>
    <w:rsid w:val="007F3328"/>
    <w:rsid w:val="007F33F1"/>
    <w:rsid w:val="007F361A"/>
    <w:rsid w:val="007F3B52"/>
    <w:rsid w:val="007F3B75"/>
    <w:rsid w:val="007F452A"/>
    <w:rsid w:val="007F471E"/>
    <w:rsid w:val="007F51C5"/>
    <w:rsid w:val="007F5411"/>
    <w:rsid w:val="007F5901"/>
    <w:rsid w:val="007F5DFD"/>
    <w:rsid w:val="007F64AF"/>
    <w:rsid w:val="007F6DD2"/>
    <w:rsid w:val="007F6E1D"/>
    <w:rsid w:val="007F6EF6"/>
    <w:rsid w:val="007F7181"/>
    <w:rsid w:val="007F739E"/>
    <w:rsid w:val="007F740E"/>
    <w:rsid w:val="007F7930"/>
    <w:rsid w:val="007F7B4C"/>
    <w:rsid w:val="007F7BEC"/>
    <w:rsid w:val="007F7DCE"/>
    <w:rsid w:val="008001D1"/>
    <w:rsid w:val="0080059D"/>
    <w:rsid w:val="008006A6"/>
    <w:rsid w:val="008007A7"/>
    <w:rsid w:val="00800950"/>
    <w:rsid w:val="00800BFA"/>
    <w:rsid w:val="0080150F"/>
    <w:rsid w:val="008015E0"/>
    <w:rsid w:val="00801B4E"/>
    <w:rsid w:val="00801C9E"/>
    <w:rsid w:val="00801EAC"/>
    <w:rsid w:val="00802162"/>
    <w:rsid w:val="00802348"/>
    <w:rsid w:val="00802AC3"/>
    <w:rsid w:val="00802BE7"/>
    <w:rsid w:val="00802CD8"/>
    <w:rsid w:val="0080378E"/>
    <w:rsid w:val="008044F8"/>
    <w:rsid w:val="00805170"/>
    <w:rsid w:val="00805277"/>
    <w:rsid w:val="0080543C"/>
    <w:rsid w:val="00805DDF"/>
    <w:rsid w:val="00805F35"/>
    <w:rsid w:val="0080609E"/>
    <w:rsid w:val="00806305"/>
    <w:rsid w:val="0080679A"/>
    <w:rsid w:val="008069B7"/>
    <w:rsid w:val="00806A36"/>
    <w:rsid w:val="00806D42"/>
    <w:rsid w:val="008070B3"/>
    <w:rsid w:val="008070F0"/>
    <w:rsid w:val="0080720A"/>
    <w:rsid w:val="00807246"/>
    <w:rsid w:val="00807665"/>
    <w:rsid w:val="0081021B"/>
    <w:rsid w:val="00810237"/>
    <w:rsid w:val="0081074A"/>
    <w:rsid w:val="00810ECD"/>
    <w:rsid w:val="008120C8"/>
    <w:rsid w:val="00812226"/>
    <w:rsid w:val="00812C48"/>
    <w:rsid w:val="00812C60"/>
    <w:rsid w:val="00812E4C"/>
    <w:rsid w:val="00812F17"/>
    <w:rsid w:val="008130DB"/>
    <w:rsid w:val="00813420"/>
    <w:rsid w:val="00813608"/>
    <w:rsid w:val="0081386F"/>
    <w:rsid w:val="00813CFD"/>
    <w:rsid w:val="00813DA4"/>
    <w:rsid w:val="008143ED"/>
    <w:rsid w:val="008144C7"/>
    <w:rsid w:val="00814536"/>
    <w:rsid w:val="00815579"/>
    <w:rsid w:val="0081586A"/>
    <w:rsid w:val="008159B0"/>
    <w:rsid w:val="00816291"/>
    <w:rsid w:val="00816893"/>
    <w:rsid w:val="00816A21"/>
    <w:rsid w:val="008170B6"/>
    <w:rsid w:val="00817790"/>
    <w:rsid w:val="008201FA"/>
    <w:rsid w:val="0082047D"/>
    <w:rsid w:val="008209D1"/>
    <w:rsid w:val="00820C28"/>
    <w:rsid w:val="00821574"/>
    <w:rsid w:val="008216D5"/>
    <w:rsid w:val="0082190D"/>
    <w:rsid w:val="00821BBC"/>
    <w:rsid w:val="008220B1"/>
    <w:rsid w:val="008226EB"/>
    <w:rsid w:val="00822AA7"/>
    <w:rsid w:val="00822D79"/>
    <w:rsid w:val="00823195"/>
    <w:rsid w:val="0082361C"/>
    <w:rsid w:val="00823922"/>
    <w:rsid w:val="00823C17"/>
    <w:rsid w:val="00823D71"/>
    <w:rsid w:val="00823F8E"/>
    <w:rsid w:val="00823F9E"/>
    <w:rsid w:val="00824394"/>
    <w:rsid w:val="008245C2"/>
    <w:rsid w:val="008245E5"/>
    <w:rsid w:val="00824DBA"/>
    <w:rsid w:val="00825028"/>
    <w:rsid w:val="008250B0"/>
    <w:rsid w:val="00826020"/>
    <w:rsid w:val="00826259"/>
    <w:rsid w:val="0082676D"/>
    <w:rsid w:val="0082741F"/>
    <w:rsid w:val="008275A1"/>
    <w:rsid w:val="008275B4"/>
    <w:rsid w:val="008275E9"/>
    <w:rsid w:val="00830F13"/>
    <w:rsid w:val="00830F16"/>
    <w:rsid w:val="008317EB"/>
    <w:rsid w:val="008318A2"/>
    <w:rsid w:val="008318C0"/>
    <w:rsid w:val="00831DE1"/>
    <w:rsid w:val="00831F27"/>
    <w:rsid w:val="00832450"/>
    <w:rsid w:val="00832854"/>
    <w:rsid w:val="00832BC9"/>
    <w:rsid w:val="00832C0F"/>
    <w:rsid w:val="0083328D"/>
    <w:rsid w:val="00833627"/>
    <w:rsid w:val="00833C6B"/>
    <w:rsid w:val="008340E9"/>
    <w:rsid w:val="008344DE"/>
    <w:rsid w:val="008344F3"/>
    <w:rsid w:val="0083477B"/>
    <w:rsid w:val="00834837"/>
    <w:rsid w:val="00834D75"/>
    <w:rsid w:val="00835007"/>
    <w:rsid w:val="0083564D"/>
    <w:rsid w:val="00835CE6"/>
    <w:rsid w:val="00835FD5"/>
    <w:rsid w:val="008361AE"/>
    <w:rsid w:val="0083667E"/>
    <w:rsid w:val="008370E2"/>
    <w:rsid w:val="00837530"/>
    <w:rsid w:val="00837532"/>
    <w:rsid w:val="00837E1C"/>
    <w:rsid w:val="008401DC"/>
    <w:rsid w:val="008402B3"/>
    <w:rsid w:val="00840347"/>
    <w:rsid w:val="008405D8"/>
    <w:rsid w:val="00840D7E"/>
    <w:rsid w:val="00840E66"/>
    <w:rsid w:val="0084117C"/>
    <w:rsid w:val="00841746"/>
    <w:rsid w:val="00841BEA"/>
    <w:rsid w:val="00841D0C"/>
    <w:rsid w:val="00841D97"/>
    <w:rsid w:val="00841E38"/>
    <w:rsid w:val="00841F0D"/>
    <w:rsid w:val="00842430"/>
    <w:rsid w:val="008425FC"/>
    <w:rsid w:val="00842655"/>
    <w:rsid w:val="008428ED"/>
    <w:rsid w:val="00842971"/>
    <w:rsid w:val="00842989"/>
    <w:rsid w:val="00842BF3"/>
    <w:rsid w:val="00842C07"/>
    <w:rsid w:val="00842DFA"/>
    <w:rsid w:val="008431E2"/>
    <w:rsid w:val="008435C1"/>
    <w:rsid w:val="00843713"/>
    <w:rsid w:val="0084383F"/>
    <w:rsid w:val="008438D3"/>
    <w:rsid w:val="008449BD"/>
    <w:rsid w:val="00844B7C"/>
    <w:rsid w:val="00844E8D"/>
    <w:rsid w:val="0084518B"/>
    <w:rsid w:val="00845418"/>
    <w:rsid w:val="00845ACA"/>
    <w:rsid w:val="00846197"/>
    <w:rsid w:val="008463F5"/>
    <w:rsid w:val="008467FE"/>
    <w:rsid w:val="00847142"/>
    <w:rsid w:val="0084765B"/>
    <w:rsid w:val="008476FA"/>
    <w:rsid w:val="00847E30"/>
    <w:rsid w:val="008501C0"/>
    <w:rsid w:val="008501CC"/>
    <w:rsid w:val="008506E9"/>
    <w:rsid w:val="00850E3A"/>
    <w:rsid w:val="00851159"/>
    <w:rsid w:val="00851862"/>
    <w:rsid w:val="008524A6"/>
    <w:rsid w:val="0085259E"/>
    <w:rsid w:val="008525A8"/>
    <w:rsid w:val="008525F7"/>
    <w:rsid w:val="00852FF0"/>
    <w:rsid w:val="00853716"/>
    <w:rsid w:val="0085373B"/>
    <w:rsid w:val="00853D47"/>
    <w:rsid w:val="00853EEA"/>
    <w:rsid w:val="00854165"/>
    <w:rsid w:val="008542AB"/>
    <w:rsid w:val="0085444E"/>
    <w:rsid w:val="008547B2"/>
    <w:rsid w:val="00854E2C"/>
    <w:rsid w:val="00854E8A"/>
    <w:rsid w:val="00855414"/>
    <w:rsid w:val="0085564D"/>
    <w:rsid w:val="00855ADC"/>
    <w:rsid w:val="00855E6A"/>
    <w:rsid w:val="00855E6E"/>
    <w:rsid w:val="00855F2D"/>
    <w:rsid w:val="00855FAC"/>
    <w:rsid w:val="00856764"/>
    <w:rsid w:val="008568DF"/>
    <w:rsid w:val="00856C1F"/>
    <w:rsid w:val="00856F56"/>
    <w:rsid w:val="008571EC"/>
    <w:rsid w:val="008572FD"/>
    <w:rsid w:val="008575D7"/>
    <w:rsid w:val="008576AE"/>
    <w:rsid w:val="00857AC1"/>
    <w:rsid w:val="00857F40"/>
    <w:rsid w:val="008602E9"/>
    <w:rsid w:val="00860321"/>
    <w:rsid w:val="008604FF"/>
    <w:rsid w:val="00860E40"/>
    <w:rsid w:val="00860F04"/>
    <w:rsid w:val="008614CF"/>
    <w:rsid w:val="008618E3"/>
    <w:rsid w:val="008619AC"/>
    <w:rsid w:val="00861C76"/>
    <w:rsid w:val="008621BA"/>
    <w:rsid w:val="00862425"/>
    <w:rsid w:val="008624F3"/>
    <w:rsid w:val="008627FB"/>
    <w:rsid w:val="00862A16"/>
    <w:rsid w:val="0086301B"/>
    <w:rsid w:val="00863AD3"/>
    <w:rsid w:val="00864481"/>
    <w:rsid w:val="00864659"/>
    <w:rsid w:val="0086498D"/>
    <w:rsid w:val="008649D5"/>
    <w:rsid w:val="00864B08"/>
    <w:rsid w:val="0086514D"/>
    <w:rsid w:val="0086561E"/>
    <w:rsid w:val="0086593E"/>
    <w:rsid w:val="00865D3A"/>
    <w:rsid w:val="008660C7"/>
    <w:rsid w:val="008663C0"/>
    <w:rsid w:val="0086663B"/>
    <w:rsid w:val="00866677"/>
    <w:rsid w:val="00866FFE"/>
    <w:rsid w:val="00867543"/>
    <w:rsid w:val="00867B01"/>
    <w:rsid w:val="00867F7A"/>
    <w:rsid w:val="0087034F"/>
    <w:rsid w:val="00870390"/>
    <w:rsid w:val="00870D03"/>
    <w:rsid w:val="00870E07"/>
    <w:rsid w:val="008712E3"/>
    <w:rsid w:val="008713DF"/>
    <w:rsid w:val="00871674"/>
    <w:rsid w:val="008716A6"/>
    <w:rsid w:val="008716BD"/>
    <w:rsid w:val="00871988"/>
    <w:rsid w:val="00871AB1"/>
    <w:rsid w:val="00871D20"/>
    <w:rsid w:val="00871E5E"/>
    <w:rsid w:val="00871F1D"/>
    <w:rsid w:val="00871F61"/>
    <w:rsid w:val="008724B1"/>
    <w:rsid w:val="008724B7"/>
    <w:rsid w:val="008728FC"/>
    <w:rsid w:val="008730B1"/>
    <w:rsid w:val="00873267"/>
    <w:rsid w:val="00873463"/>
    <w:rsid w:val="00873AFA"/>
    <w:rsid w:val="00873C70"/>
    <w:rsid w:val="00873DE9"/>
    <w:rsid w:val="008740DD"/>
    <w:rsid w:val="008746FF"/>
    <w:rsid w:val="00874CED"/>
    <w:rsid w:val="0087517A"/>
    <w:rsid w:val="008757DF"/>
    <w:rsid w:val="00875D09"/>
    <w:rsid w:val="00875D4F"/>
    <w:rsid w:val="00876E57"/>
    <w:rsid w:val="00877700"/>
    <w:rsid w:val="00877B9E"/>
    <w:rsid w:val="00877C97"/>
    <w:rsid w:val="008806FF"/>
    <w:rsid w:val="00880A12"/>
    <w:rsid w:val="008812CB"/>
    <w:rsid w:val="00881344"/>
    <w:rsid w:val="00881472"/>
    <w:rsid w:val="008816E0"/>
    <w:rsid w:val="00881DFB"/>
    <w:rsid w:val="00882446"/>
    <w:rsid w:val="008825AA"/>
    <w:rsid w:val="00883066"/>
    <w:rsid w:val="00883330"/>
    <w:rsid w:val="00883AC5"/>
    <w:rsid w:val="008844F3"/>
    <w:rsid w:val="00884621"/>
    <w:rsid w:val="00884A02"/>
    <w:rsid w:val="00884C4C"/>
    <w:rsid w:val="00884CE3"/>
    <w:rsid w:val="00884EA1"/>
    <w:rsid w:val="00885907"/>
    <w:rsid w:val="00885C63"/>
    <w:rsid w:val="00885D1A"/>
    <w:rsid w:val="0088661A"/>
    <w:rsid w:val="008866BC"/>
    <w:rsid w:val="008866C4"/>
    <w:rsid w:val="00886935"/>
    <w:rsid w:val="0088698C"/>
    <w:rsid w:val="008869C6"/>
    <w:rsid w:val="00886EBB"/>
    <w:rsid w:val="0088742A"/>
    <w:rsid w:val="0088743F"/>
    <w:rsid w:val="00887DB9"/>
    <w:rsid w:val="00887F9B"/>
    <w:rsid w:val="008906DB"/>
    <w:rsid w:val="00890725"/>
    <w:rsid w:val="00890B35"/>
    <w:rsid w:val="00890D2F"/>
    <w:rsid w:val="00890ED2"/>
    <w:rsid w:val="00890EDC"/>
    <w:rsid w:val="008911D3"/>
    <w:rsid w:val="0089167F"/>
    <w:rsid w:val="008916E3"/>
    <w:rsid w:val="008918AA"/>
    <w:rsid w:val="00891A48"/>
    <w:rsid w:val="00891BF9"/>
    <w:rsid w:val="00891CBD"/>
    <w:rsid w:val="008921EC"/>
    <w:rsid w:val="008924B1"/>
    <w:rsid w:val="00892CB1"/>
    <w:rsid w:val="0089337B"/>
    <w:rsid w:val="00893ED8"/>
    <w:rsid w:val="00893F9B"/>
    <w:rsid w:val="008945D1"/>
    <w:rsid w:val="00894612"/>
    <w:rsid w:val="00894A7B"/>
    <w:rsid w:val="00894AE4"/>
    <w:rsid w:val="00894C0A"/>
    <w:rsid w:val="00894D2B"/>
    <w:rsid w:val="00894E83"/>
    <w:rsid w:val="00894F8D"/>
    <w:rsid w:val="00894FB1"/>
    <w:rsid w:val="00894FE6"/>
    <w:rsid w:val="0089502D"/>
    <w:rsid w:val="00895279"/>
    <w:rsid w:val="0089638A"/>
    <w:rsid w:val="00896D37"/>
    <w:rsid w:val="00896D5F"/>
    <w:rsid w:val="00896D68"/>
    <w:rsid w:val="00897698"/>
    <w:rsid w:val="00897729"/>
    <w:rsid w:val="00897C5B"/>
    <w:rsid w:val="00897DD9"/>
    <w:rsid w:val="008A0043"/>
    <w:rsid w:val="008A0448"/>
    <w:rsid w:val="008A0C03"/>
    <w:rsid w:val="008A0DAE"/>
    <w:rsid w:val="008A0DFB"/>
    <w:rsid w:val="008A2042"/>
    <w:rsid w:val="008A2675"/>
    <w:rsid w:val="008A2BC9"/>
    <w:rsid w:val="008A2F20"/>
    <w:rsid w:val="008A31CB"/>
    <w:rsid w:val="008A369C"/>
    <w:rsid w:val="008A387C"/>
    <w:rsid w:val="008A3992"/>
    <w:rsid w:val="008A3C61"/>
    <w:rsid w:val="008A3FCE"/>
    <w:rsid w:val="008A4211"/>
    <w:rsid w:val="008A4272"/>
    <w:rsid w:val="008A42D3"/>
    <w:rsid w:val="008A46A4"/>
    <w:rsid w:val="008A4B16"/>
    <w:rsid w:val="008A4C08"/>
    <w:rsid w:val="008A4EC7"/>
    <w:rsid w:val="008A6055"/>
    <w:rsid w:val="008A6152"/>
    <w:rsid w:val="008A63B6"/>
    <w:rsid w:val="008A63CF"/>
    <w:rsid w:val="008A675E"/>
    <w:rsid w:val="008A689B"/>
    <w:rsid w:val="008A6D0E"/>
    <w:rsid w:val="008A7177"/>
    <w:rsid w:val="008A74FD"/>
    <w:rsid w:val="008A7AFB"/>
    <w:rsid w:val="008A7B2A"/>
    <w:rsid w:val="008B064D"/>
    <w:rsid w:val="008B128C"/>
    <w:rsid w:val="008B1441"/>
    <w:rsid w:val="008B19B9"/>
    <w:rsid w:val="008B1C31"/>
    <w:rsid w:val="008B1E69"/>
    <w:rsid w:val="008B26C7"/>
    <w:rsid w:val="008B27F3"/>
    <w:rsid w:val="008B2875"/>
    <w:rsid w:val="008B35DC"/>
    <w:rsid w:val="008B3C83"/>
    <w:rsid w:val="008B3D53"/>
    <w:rsid w:val="008B4586"/>
    <w:rsid w:val="008B4725"/>
    <w:rsid w:val="008B4F56"/>
    <w:rsid w:val="008B5BEE"/>
    <w:rsid w:val="008B5C5B"/>
    <w:rsid w:val="008B6116"/>
    <w:rsid w:val="008B6700"/>
    <w:rsid w:val="008B6A65"/>
    <w:rsid w:val="008B6E35"/>
    <w:rsid w:val="008B6EBE"/>
    <w:rsid w:val="008B7D3E"/>
    <w:rsid w:val="008B7D94"/>
    <w:rsid w:val="008C02A9"/>
    <w:rsid w:val="008C08B5"/>
    <w:rsid w:val="008C0951"/>
    <w:rsid w:val="008C0B48"/>
    <w:rsid w:val="008C0B8D"/>
    <w:rsid w:val="008C0D07"/>
    <w:rsid w:val="008C1957"/>
    <w:rsid w:val="008C1D3A"/>
    <w:rsid w:val="008C2178"/>
    <w:rsid w:val="008C22D5"/>
    <w:rsid w:val="008C28FC"/>
    <w:rsid w:val="008C29E6"/>
    <w:rsid w:val="008C2CCD"/>
    <w:rsid w:val="008C3211"/>
    <w:rsid w:val="008C33A9"/>
    <w:rsid w:val="008C39B8"/>
    <w:rsid w:val="008C3EB2"/>
    <w:rsid w:val="008C4120"/>
    <w:rsid w:val="008C4345"/>
    <w:rsid w:val="008C486F"/>
    <w:rsid w:val="008C4B70"/>
    <w:rsid w:val="008C4B97"/>
    <w:rsid w:val="008C4CC5"/>
    <w:rsid w:val="008C5204"/>
    <w:rsid w:val="008C5B06"/>
    <w:rsid w:val="008C5DC2"/>
    <w:rsid w:val="008C67ED"/>
    <w:rsid w:val="008C7152"/>
    <w:rsid w:val="008C7346"/>
    <w:rsid w:val="008C73BD"/>
    <w:rsid w:val="008C7695"/>
    <w:rsid w:val="008C76A6"/>
    <w:rsid w:val="008C796F"/>
    <w:rsid w:val="008C7C39"/>
    <w:rsid w:val="008C7F58"/>
    <w:rsid w:val="008D0055"/>
    <w:rsid w:val="008D0D22"/>
    <w:rsid w:val="008D0D70"/>
    <w:rsid w:val="008D0F60"/>
    <w:rsid w:val="008D137B"/>
    <w:rsid w:val="008D17F0"/>
    <w:rsid w:val="008D18E7"/>
    <w:rsid w:val="008D1C8F"/>
    <w:rsid w:val="008D2A6F"/>
    <w:rsid w:val="008D2CF5"/>
    <w:rsid w:val="008D35E2"/>
    <w:rsid w:val="008D37C8"/>
    <w:rsid w:val="008D3C50"/>
    <w:rsid w:val="008D3ED9"/>
    <w:rsid w:val="008D403E"/>
    <w:rsid w:val="008D4376"/>
    <w:rsid w:val="008D47E9"/>
    <w:rsid w:val="008D48BE"/>
    <w:rsid w:val="008D4D6E"/>
    <w:rsid w:val="008D5F89"/>
    <w:rsid w:val="008D5FF0"/>
    <w:rsid w:val="008D619E"/>
    <w:rsid w:val="008D6551"/>
    <w:rsid w:val="008D6611"/>
    <w:rsid w:val="008D66D1"/>
    <w:rsid w:val="008D77C9"/>
    <w:rsid w:val="008D78EB"/>
    <w:rsid w:val="008D7C3B"/>
    <w:rsid w:val="008E027F"/>
    <w:rsid w:val="008E051E"/>
    <w:rsid w:val="008E0528"/>
    <w:rsid w:val="008E0588"/>
    <w:rsid w:val="008E168E"/>
    <w:rsid w:val="008E188F"/>
    <w:rsid w:val="008E20FB"/>
    <w:rsid w:val="008E22DE"/>
    <w:rsid w:val="008E25C6"/>
    <w:rsid w:val="008E2631"/>
    <w:rsid w:val="008E2C95"/>
    <w:rsid w:val="008E2E85"/>
    <w:rsid w:val="008E2FA4"/>
    <w:rsid w:val="008E357B"/>
    <w:rsid w:val="008E3634"/>
    <w:rsid w:val="008E39A1"/>
    <w:rsid w:val="008E3C93"/>
    <w:rsid w:val="008E3D7E"/>
    <w:rsid w:val="008E3EEA"/>
    <w:rsid w:val="008E4CAD"/>
    <w:rsid w:val="008E5884"/>
    <w:rsid w:val="008E58CA"/>
    <w:rsid w:val="008E5D4D"/>
    <w:rsid w:val="008E634E"/>
    <w:rsid w:val="008E6941"/>
    <w:rsid w:val="008E6D91"/>
    <w:rsid w:val="008E6DA4"/>
    <w:rsid w:val="008E6EA3"/>
    <w:rsid w:val="008E70D5"/>
    <w:rsid w:val="008E7822"/>
    <w:rsid w:val="008E7A21"/>
    <w:rsid w:val="008E7D93"/>
    <w:rsid w:val="008E7DD1"/>
    <w:rsid w:val="008F0170"/>
    <w:rsid w:val="008F0582"/>
    <w:rsid w:val="008F0739"/>
    <w:rsid w:val="008F087B"/>
    <w:rsid w:val="008F08D8"/>
    <w:rsid w:val="008F1171"/>
    <w:rsid w:val="008F183A"/>
    <w:rsid w:val="008F1D1C"/>
    <w:rsid w:val="008F1E88"/>
    <w:rsid w:val="008F1F82"/>
    <w:rsid w:val="008F1FFC"/>
    <w:rsid w:val="008F23B2"/>
    <w:rsid w:val="008F282F"/>
    <w:rsid w:val="008F2BF2"/>
    <w:rsid w:val="008F3030"/>
    <w:rsid w:val="008F34BA"/>
    <w:rsid w:val="008F3819"/>
    <w:rsid w:val="008F38D3"/>
    <w:rsid w:val="008F3D0C"/>
    <w:rsid w:val="008F43FF"/>
    <w:rsid w:val="008F4DDD"/>
    <w:rsid w:val="008F53B5"/>
    <w:rsid w:val="008F555D"/>
    <w:rsid w:val="008F59A8"/>
    <w:rsid w:val="008F5DC3"/>
    <w:rsid w:val="008F6137"/>
    <w:rsid w:val="008F63DB"/>
    <w:rsid w:val="008F64F5"/>
    <w:rsid w:val="008F6732"/>
    <w:rsid w:val="008F6840"/>
    <w:rsid w:val="008F7067"/>
    <w:rsid w:val="008F72B5"/>
    <w:rsid w:val="008F734B"/>
    <w:rsid w:val="008F76B2"/>
    <w:rsid w:val="008F7C28"/>
    <w:rsid w:val="008F7E33"/>
    <w:rsid w:val="0090004B"/>
    <w:rsid w:val="00900077"/>
    <w:rsid w:val="00900432"/>
    <w:rsid w:val="00900479"/>
    <w:rsid w:val="0090047B"/>
    <w:rsid w:val="00900ED8"/>
    <w:rsid w:val="0090153B"/>
    <w:rsid w:val="009026BC"/>
    <w:rsid w:val="00902CE0"/>
    <w:rsid w:val="00902EAE"/>
    <w:rsid w:val="00903492"/>
    <w:rsid w:val="00903645"/>
    <w:rsid w:val="009039EC"/>
    <w:rsid w:val="00903BC5"/>
    <w:rsid w:val="00903F24"/>
    <w:rsid w:val="009043A5"/>
    <w:rsid w:val="009044CC"/>
    <w:rsid w:val="0090455B"/>
    <w:rsid w:val="00904757"/>
    <w:rsid w:val="009047DF"/>
    <w:rsid w:val="00904884"/>
    <w:rsid w:val="009057F7"/>
    <w:rsid w:val="0090597B"/>
    <w:rsid w:val="009059F8"/>
    <w:rsid w:val="00905BBB"/>
    <w:rsid w:val="00905D0F"/>
    <w:rsid w:val="009065D7"/>
    <w:rsid w:val="009068E0"/>
    <w:rsid w:val="00906B04"/>
    <w:rsid w:val="00907B2B"/>
    <w:rsid w:val="00907C6E"/>
    <w:rsid w:val="00907D32"/>
    <w:rsid w:val="00907D7A"/>
    <w:rsid w:val="00907E5B"/>
    <w:rsid w:val="00907E6F"/>
    <w:rsid w:val="0091036E"/>
    <w:rsid w:val="009107AD"/>
    <w:rsid w:val="00911A6B"/>
    <w:rsid w:val="00911D4E"/>
    <w:rsid w:val="009125F6"/>
    <w:rsid w:val="00912A72"/>
    <w:rsid w:val="009135E1"/>
    <w:rsid w:val="00913620"/>
    <w:rsid w:val="00914C6D"/>
    <w:rsid w:val="00914D0F"/>
    <w:rsid w:val="00914EE5"/>
    <w:rsid w:val="00914F47"/>
    <w:rsid w:val="00915102"/>
    <w:rsid w:val="009155B0"/>
    <w:rsid w:val="009156A4"/>
    <w:rsid w:val="00915890"/>
    <w:rsid w:val="009165F1"/>
    <w:rsid w:val="0091728B"/>
    <w:rsid w:val="0091732C"/>
    <w:rsid w:val="00917C28"/>
    <w:rsid w:val="0092007F"/>
    <w:rsid w:val="00920415"/>
    <w:rsid w:val="00920452"/>
    <w:rsid w:val="0092050E"/>
    <w:rsid w:val="00920974"/>
    <w:rsid w:val="00920FC9"/>
    <w:rsid w:val="00920FD7"/>
    <w:rsid w:val="00921632"/>
    <w:rsid w:val="009217F8"/>
    <w:rsid w:val="00921AB4"/>
    <w:rsid w:val="00921F0D"/>
    <w:rsid w:val="009222FE"/>
    <w:rsid w:val="00922326"/>
    <w:rsid w:val="009223B4"/>
    <w:rsid w:val="009224E1"/>
    <w:rsid w:val="009224FC"/>
    <w:rsid w:val="00922B1B"/>
    <w:rsid w:val="00923234"/>
    <w:rsid w:val="0092378F"/>
    <w:rsid w:val="009237BA"/>
    <w:rsid w:val="00923847"/>
    <w:rsid w:val="00924076"/>
    <w:rsid w:val="0092410F"/>
    <w:rsid w:val="00924562"/>
    <w:rsid w:val="00924D47"/>
    <w:rsid w:val="0092555D"/>
    <w:rsid w:val="00925928"/>
    <w:rsid w:val="0092595C"/>
    <w:rsid w:val="009259DB"/>
    <w:rsid w:val="00925B5F"/>
    <w:rsid w:val="00925C4B"/>
    <w:rsid w:val="009260E1"/>
    <w:rsid w:val="00926418"/>
    <w:rsid w:val="0092648A"/>
    <w:rsid w:val="00926584"/>
    <w:rsid w:val="00926E97"/>
    <w:rsid w:val="00926EAB"/>
    <w:rsid w:val="00927166"/>
    <w:rsid w:val="0092779F"/>
    <w:rsid w:val="009279A3"/>
    <w:rsid w:val="00927D8B"/>
    <w:rsid w:val="00927EBA"/>
    <w:rsid w:val="009303B3"/>
    <w:rsid w:val="0093078D"/>
    <w:rsid w:val="009309BB"/>
    <w:rsid w:val="00930A95"/>
    <w:rsid w:val="00930B6E"/>
    <w:rsid w:val="00931165"/>
    <w:rsid w:val="0093135D"/>
    <w:rsid w:val="00931929"/>
    <w:rsid w:val="009319BE"/>
    <w:rsid w:val="00931A98"/>
    <w:rsid w:val="00931FBD"/>
    <w:rsid w:val="00932174"/>
    <w:rsid w:val="00932536"/>
    <w:rsid w:val="009326E5"/>
    <w:rsid w:val="0093291D"/>
    <w:rsid w:val="009329AA"/>
    <w:rsid w:val="00932D37"/>
    <w:rsid w:val="00932D67"/>
    <w:rsid w:val="00933170"/>
    <w:rsid w:val="0093324D"/>
    <w:rsid w:val="0093339D"/>
    <w:rsid w:val="00933649"/>
    <w:rsid w:val="0093381F"/>
    <w:rsid w:val="00933B1E"/>
    <w:rsid w:val="00933C1E"/>
    <w:rsid w:val="0093407D"/>
    <w:rsid w:val="0093426A"/>
    <w:rsid w:val="009344FF"/>
    <w:rsid w:val="00934E3A"/>
    <w:rsid w:val="009355AB"/>
    <w:rsid w:val="00935624"/>
    <w:rsid w:val="00935729"/>
    <w:rsid w:val="00935857"/>
    <w:rsid w:val="00935A20"/>
    <w:rsid w:val="00935B41"/>
    <w:rsid w:val="00935C4A"/>
    <w:rsid w:val="00935CEF"/>
    <w:rsid w:val="00935D43"/>
    <w:rsid w:val="00936513"/>
    <w:rsid w:val="00936533"/>
    <w:rsid w:val="00936C20"/>
    <w:rsid w:val="00936DF0"/>
    <w:rsid w:val="00937034"/>
    <w:rsid w:val="009375FC"/>
    <w:rsid w:val="00937640"/>
    <w:rsid w:val="009377F7"/>
    <w:rsid w:val="0094055E"/>
    <w:rsid w:val="009407D0"/>
    <w:rsid w:val="00940C9E"/>
    <w:rsid w:val="00940CD6"/>
    <w:rsid w:val="00940EDE"/>
    <w:rsid w:val="0094126F"/>
    <w:rsid w:val="00941750"/>
    <w:rsid w:val="00941BA9"/>
    <w:rsid w:val="00941D18"/>
    <w:rsid w:val="00941F18"/>
    <w:rsid w:val="00941F81"/>
    <w:rsid w:val="009425EF"/>
    <w:rsid w:val="00942F31"/>
    <w:rsid w:val="0094318D"/>
    <w:rsid w:val="009433DA"/>
    <w:rsid w:val="009433DC"/>
    <w:rsid w:val="009435DC"/>
    <w:rsid w:val="00943B6C"/>
    <w:rsid w:val="00943C39"/>
    <w:rsid w:val="00943D76"/>
    <w:rsid w:val="00943E45"/>
    <w:rsid w:val="00943E98"/>
    <w:rsid w:val="00943FD8"/>
    <w:rsid w:val="009448D7"/>
    <w:rsid w:val="00944E6D"/>
    <w:rsid w:val="00945004"/>
    <w:rsid w:val="009455E7"/>
    <w:rsid w:val="0094572E"/>
    <w:rsid w:val="00945F0A"/>
    <w:rsid w:val="00945F53"/>
    <w:rsid w:val="00945FA3"/>
    <w:rsid w:val="00946212"/>
    <w:rsid w:val="0094657B"/>
    <w:rsid w:val="00946871"/>
    <w:rsid w:val="0094715E"/>
    <w:rsid w:val="009471CF"/>
    <w:rsid w:val="0094756B"/>
    <w:rsid w:val="0094758F"/>
    <w:rsid w:val="0094782E"/>
    <w:rsid w:val="0095003D"/>
    <w:rsid w:val="009500E4"/>
    <w:rsid w:val="00950556"/>
    <w:rsid w:val="00950594"/>
    <w:rsid w:val="009507A5"/>
    <w:rsid w:val="00950828"/>
    <w:rsid w:val="00950F93"/>
    <w:rsid w:val="009510E8"/>
    <w:rsid w:val="00951458"/>
    <w:rsid w:val="00951680"/>
    <w:rsid w:val="009517A5"/>
    <w:rsid w:val="0095189F"/>
    <w:rsid w:val="00951A10"/>
    <w:rsid w:val="00951DC0"/>
    <w:rsid w:val="00951FC7"/>
    <w:rsid w:val="0095258C"/>
    <w:rsid w:val="009526E8"/>
    <w:rsid w:val="00952C44"/>
    <w:rsid w:val="00952F14"/>
    <w:rsid w:val="0095400C"/>
    <w:rsid w:val="0095412E"/>
    <w:rsid w:val="00954383"/>
    <w:rsid w:val="009545FC"/>
    <w:rsid w:val="00954627"/>
    <w:rsid w:val="00954702"/>
    <w:rsid w:val="00954D79"/>
    <w:rsid w:val="00954F27"/>
    <w:rsid w:val="00955021"/>
    <w:rsid w:val="00956A6B"/>
    <w:rsid w:val="00956C1B"/>
    <w:rsid w:val="00956D42"/>
    <w:rsid w:val="00956E2D"/>
    <w:rsid w:val="009570C9"/>
    <w:rsid w:val="0095719C"/>
    <w:rsid w:val="009573F8"/>
    <w:rsid w:val="00957422"/>
    <w:rsid w:val="00957782"/>
    <w:rsid w:val="00957817"/>
    <w:rsid w:val="00957A48"/>
    <w:rsid w:val="00957F85"/>
    <w:rsid w:val="00957FC8"/>
    <w:rsid w:val="0096095E"/>
    <w:rsid w:val="0096097E"/>
    <w:rsid w:val="00960CE1"/>
    <w:rsid w:val="009613B1"/>
    <w:rsid w:val="00961D54"/>
    <w:rsid w:val="00962174"/>
    <w:rsid w:val="009626ED"/>
    <w:rsid w:val="00962983"/>
    <w:rsid w:val="00962BD7"/>
    <w:rsid w:val="00962D04"/>
    <w:rsid w:val="00962D77"/>
    <w:rsid w:val="00963467"/>
    <w:rsid w:val="009639EA"/>
    <w:rsid w:val="00963A34"/>
    <w:rsid w:val="00963B2D"/>
    <w:rsid w:val="00963BFB"/>
    <w:rsid w:val="00964328"/>
    <w:rsid w:val="009644F6"/>
    <w:rsid w:val="009648F3"/>
    <w:rsid w:val="009655B6"/>
    <w:rsid w:val="00965B8C"/>
    <w:rsid w:val="009674C5"/>
    <w:rsid w:val="00967B22"/>
    <w:rsid w:val="00967B4C"/>
    <w:rsid w:val="00970750"/>
    <w:rsid w:val="00970C7E"/>
    <w:rsid w:val="00970E86"/>
    <w:rsid w:val="00971036"/>
    <w:rsid w:val="00971156"/>
    <w:rsid w:val="00971288"/>
    <w:rsid w:val="00971FD6"/>
    <w:rsid w:val="00972E99"/>
    <w:rsid w:val="00973172"/>
    <w:rsid w:val="0097324D"/>
    <w:rsid w:val="009735B1"/>
    <w:rsid w:val="00973CC2"/>
    <w:rsid w:val="0097408F"/>
    <w:rsid w:val="0097461F"/>
    <w:rsid w:val="009746A5"/>
    <w:rsid w:val="009747A1"/>
    <w:rsid w:val="00974DDE"/>
    <w:rsid w:val="00975056"/>
    <w:rsid w:val="009752F1"/>
    <w:rsid w:val="0097600A"/>
    <w:rsid w:val="009761A3"/>
    <w:rsid w:val="0097693B"/>
    <w:rsid w:val="00976D0B"/>
    <w:rsid w:val="00976D25"/>
    <w:rsid w:val="00976D2D"/>
    <w:rsid w:val="0097763E"/>
    <w:rsid w:val="009776DC"/>
    <w:rsid w:val="00977A6D"/>
    <w:rsid w:val="009801FC"/>
    <w:rsid w:val="009805D7"/>
    <w:rsid w:val="009807C8"/>
    <w:rsid w:val="00980B59"/>
    <w:rsid w:val="00980F11"/>
    <w:rsid w:val="00980FCC"/>
    <w:rsid w:val="0098123D"/>
    <w:rsid w:val="009812C6"/>
    <w:rsid w:val="0098258A"/>
    <w:rsid w:val="00982602"/>
    <w:rsid w:val="00983211"/>
    <w:rsid w:val="0098358A"/>
    <w:rsid w:val="0098394C"/>
    <w:rsid w:val="00983AD5"/>
    <w:rsid w:val="00983AEB"/>
    <w:rsid w:val="00984110"/>
    <w:rsid w:val="00984380"/>
    <w:rsid w:val="00984575"/>
    <w:rsid w:val="009850A6"/>
    <w:rsid w:val="009852B0"/>
    <w:rsid w:val="00985364"/>
    <w:rsid w:val="00985494"/>
    <w:rsid w:val="00985BB5"/>
    <w:rsid w:val="00985BFB"/>
    <w:rsid w:val="00985C23"/>
    <w:rsid w:val="00985EBB"/>
    <w:rsid w:val="00985F0E"/>
    <w:rsid w:val="00985F8E"/>
    <w:rsid w:val="00985F8F"/>
    <w:rsid w:val="00986010"/>
    <w:rsid w:val="0098603D"/>
    <w:rsid w:val="009861BC"/>
    <w:rsid w:val="0098627B"/>
    <w:rsid w:val="00986342"/>
    <w:rsid w:val="00986B0D"/>
    <w:rsid w:val="00986B15"/>
    <w:rsid w:val="00986DE6"/>
    <w:rsid w:val="00986E02"/>
    <w:rsid w:val="00986E4E"/>
    <w:rsid w:val="00987BC6"/>
    <w:rsid w:val="00987F06"/>
    <w:rsid w:val="009900AC"/>
    <w:rsid w:val="00990249"/>
    <w:rsid w:val="009902AC"/>
    <w:rsid w:val="0099058F"/>
    <w:rsid w:val="009908B6"/>
    <w:rsid w:val="00990904"/>
    <w:rsid w:val="00990DD4"/>
    <w:rsid w:val="00990F57"/>
    <w:rsid w:val="0099140C"/>
    <w:rsid w:val="00991457"/>
    <w:rsid w:val="009914A7"/>
    <w:rsid w:val="00991A6E"/>
    <w:rsid w:val="00991AD5"/>
    <w:rsid w:val="00991EB1"/>
    <w:rsid w:val="00991ED7"/>
    <w:rsid w:val="009921BD"/>
    <w:rsid w:val="0099269E"/>
    <w:rsid w:val="009926BF"/>
    <w:rsid w:val="009929BE"/>
    <w:rsid w:val="009929E8"/>
    <w:rsid w:val="00993347"/>
    <w:rsid w:val="009934D2"/>
    <w:rsid w:val="009938C4"/>
    <w:rsid w:val="00993D42"/>
    <w:rsid w:val="00993E7D"/>
    <w:rsid w:val="0099413B"/>
    <w:rsid w:val="00994296"/>
    <w:rsid w:val="00994562"/>
    <w:rsid w:val="00994D3C"/>
    <w:rsid w:val="00995028"/>
    <w:rsid w:val="0099566C"/>
    <w:rsid w:val="009961D3"/>
    <w:rsid w:val="00996503"/>
    <w:rsid w:val="009967DE"/>
    <w:rsid w:val="009968B8"/>
    <w:rsid w:val="009970BF"/>
    <w:rsid w:val="009979D1"/>
    <w:rsid w:val="009A05BD"/>
    <w:rsid w:val="009A05C1"/>
    <w:rsid w:val="009A0A06"/>
    <w:rsid w:val="009A0C00"/>
    <w:rsid w:val="009A12FE"/>
    <w:rsid w:val="009A166D"/>
    <w:rsid w:val="009A177D"/>
    <w:rsid w:val="009A19DA"/>
    <w:rsid w:val="009A23B0"/>
    <w:rsid w:val="009A2506"/>
    <w:rsid w:val="009A2D65"/>
    <w:rsid w:val="009A3234"/>
    <w:rsid w:val="009A33C7"/>
    <w:rsid w:val="009A3655"/>
    <w:rsid w:val="009A367A"/>
    <w:rsid w:val="009A3731"/>
    <w:rsid w:val="009A43F1"/>
    <w:rsid w:val="009A4845"/>
    <w:rsid w:val="009A4C72"/>
    <w:rsid w:val="009A4CB7"/>
    <w:rsid w:val="009A4FDD"/>
    <w:rsid w:val="009A50B1"/>
    <w:rsid w:val="009A5857"/>
    <w:rsid w:val="009A5B4F"/>
    <w:rsid w:val="009A5FA0"/>
    <w:rsid w:val="009A658C"/>
    <w:rsid w:val="009A6B8D"/>
    <w:rsid w:val="009A6D55"/>
    <w:rsid w:val="009A6F9B"/>
    <w:rsid w:val="009A7074"/>
    <w:rsid w:val="009A733C"/>
    <w:rsid w:val="009A76F8"/>
    <w:rsid w:val="009A7AA9"/>
    <w:rsid w:val="009B011B"/>
    <w:rsid w:val="009B06D6"/>
    <w:rsid w:val="009B075E"/>
    <w:rsid w:val="009B0AAB"/>
    <w:rsid w:val="009B0CA6"/>
    <w:rsid w:val="009B1079"/>
    <w:rsid w:val="009B11A5"/>
    <w:rsid w:val="009B12F1"/>
    <w:rsid w:val="009B1313"/>
    <w:rsid w:val="009B19FF"/>
    <w:rsid w:val="009B1D08"/>
    <w:rsid w:val="009B1D79"/>
    <w:rsid w:val="009B1E8B"/>
    <w:rsid w:val="009B2072"/>
    <w:rsid w:val="009B2B44"/>
    <w:rsid w:val="009B2DF0"/>
    <w:rsid w:val="009B2F12"/>
    <w:rsid w:val="009B32A7"/>
    <w:rsid w:val="009B36DD"/>
    <w:rsid w:val="009B3929"/>
    <w:rsid w:val="009B3948"/>
    <w:rsid w:val="009B3A93"/>
    <w:rsid w:val="009B4E03"/>
    <w:rsid w:val="009B5175"/>
    <w:rsid w:val="009B52AF"/>
    <w:rsid w:val="009B52D6"/>
    <w:rsid w:val="009B558E"/>
    <w:rsid w:val="009B55EB"/>
    <w:rsid w:val="009B5D08"/>
    <w:rsid w:val="009B6239"/>
    <w:rsid w:val="009B6306"/>
    <w:rsid w:val="009B6CBC"/>
    <w:rsid w:val="009B6D4A"/>
    <w:rsid w:val="009B70AD"/>
    <w:rsid w:val="009B73DC"/>
    <w:rsid w:val="009B7446"/>
    <w:rsid w:val="009B7991"/>
    <w:rsid w:val="009B7DCC"/>
    <w:rsid w:val="009B7F96"/>
    <w:rsid w:val="009C0122"/>
    <w:rsid w:val="009C0267"/>
    <w:rsid w:val="009C0A89"/>
    <w:rsid w:val="009C0B3B"/>
    <w:rsid w:val="009C104A"/>
    <w:rsid w:val="009C1087"/>
    <w:rsid w:val="009C14F4"/>
    <w:rsid w:val="009C1793"/>
    <w:rsid w:val="009C18D2"/>
    <w:rsid w:val="009C2205"/>
    <w:rsid w:val="009C244C"/>
    <w:rsid w:val="009C2DAA"/>
    <w:rsid w:val="009C3433"/>
    <w:rsid w:val="009C3A15"/>
    <w:rsid w:val="009C3DE2"/>
    <w:rsid w:val="009C3EBD"/>
    <w:rsid w:val="009C420B"/>
    <w:rsid w:val="009C48ED"/>
    <w:rsid w:val="009C4A78"/>
    <w:rsid w:val="009C4B21"/>
    <w:rsid w:val="009C5062"/>
    <w:rsid w:val="009C57E8"/>
    <w:rsid w:val="009C5B44"/>
    <w:rsid w:val="009C6134"/>
    <w:rsid w:val="009C652D"/>
    <w:rsid w:val="009C6701"/>
    <w:rsid w:val="009C6856"/>
    <w:rsid w:val="009C6926"/>
    <w:rsid w:val="009C69CC"/>
    <w:rsid w:val="009C6A40"/>
    <w:rsid w:val="009C6C3E"/>
    <w:rsid w:val="009C73FC"/>
    <w:rsid w:val="009C787D"/>
    <w:rsid w:val="009C78B9"/>
    <w:rsid w:val="009C7E1F"/>
    <w:rsid w:val="009D01BE"/>
    <w:rsid w:val="009D0A30"/>
    <w:rsid w:val="009D0E57"/>
    <w:rsid w:val="009D11F0"/>
    <w:rsid w:val="009D1639"/>
    <w:rsid w:val="009D1E13"/>
    <w:rsid w:val="009D1FAC"/>
    <w:rsid w:val="009D2046"/>
    <w:rsid w:val="009D2399"/>
    <w:rsid w:val="009D30BD"/>
    <w:rsid w:val="009D31C7"/>
    <w:rsid w:val="009D3939"/>
    <w:rsid w:val="009D395A"/>
    <w:rsid w:val="009D3B7E"/>
    <w:rsid w:val="009D3CCB"/>
    <w:rsid w:val="009D3FA2"/>
    <w:rsid w:val="009D4044"/>
    <w:rsid w:val="009D44E4"/>
    <w:rsid w:val="009D4699"/>
    <w:rsid w:val="009D4A35"/>
    <w:rsid w:val="009D4CBB"/>
    <w:rsid w:val="009D5389"/>
    <w:rsid w:val="009D5706"/>
    <w:rsid w:val="009D57A2"/>
    <w:rsid w:val="009D5A61"/>
    <w:rsid w:val="009D5B97"/>
    <w:rsid w:val="009D5BE2"/>
    <w:rsid w:val="009D6349"/>
    <w:rsid w:val="009D6AD8"/>
    <w:rsid w:val="009D6C0B"/>
    <w:rsid w:val="009D6DDB"/>
    <w:rsid w:val="009D7065"/>
    <w:rsid w:val="009D7096"/>
    <w:rsid w:val="009D7874"/>
    <w:rsid w:val="009D78B4"/>
    <w:rsid w:val="009E0218"/>
    <w:rsid w:val="009E059F"/>
    <w:rsid w:val="009E08E4"/>
    <w:rsid w:val="009E132F"/>
    <w:rsid w:val="009E1773"/>
    <w:rsid w:val="009E199D"/>
    <w:rsid w:val="009E1A38"/>
    <w:rsid w:val="009E1AAB"/>
    <w:rsid w:val="009E1E1D"/>
    <w:rsid w:val="009E244F"/>
    <w:rsid w:val="009E36BD"/>
    <w:rsid w:val="009E3B9D"/>
    <w:rsid w:val="009E3D15"/>
    <w:rsid w:val="009E3D6E"/>
    <w:rsid w:val="009E4159"/>
    <w:rsid w:val="009E46A1"/>
    <w:rsid w:val="009E46A8"/>
    <w:rsid w:val="009E4B50"/>
    <w:rsid w:val="009E4C64"/>
    <w:rsid w:val="009E5227"/>
    <w:rsid w:val="009E5659"/>
    <w:rsid w:val="009E5C5B"/>
    <w:rsid w:val="009E677A"/>
    <w:rsid w:val="009E6851"/>
    <w:rsid w:val="009E6E63"/>
    <w:rsid w:val="009E7661"/>
    <w:rsid w:val="009E7E98"/>
    <w:rsid w:val="009F02F7"/>
    <w:rsid w:val="009F08F1"/>
    <w:rsid w:val="009F08F9"/>
    <w:rsid w:val="009F1156"/>
    <w:rsid w:val="009F115A"/>
    <w:rsid w:val="009F138D"/>
    <w:rsid w:val="009F176A"/>
    <w:rsid w:val="009F21F6"/>
    <w:rsid w:val="009F2370"/>
    <w:rsid w:val="009F2D7A"/>
    <w:rsid w:val="009F2DEE"/>
    <w:rsid w:val="009F311E"/>
    <w:rsid w:val="009F370A"/>
    <w:rsid w:val="009F3992"/>
    <w:rsid w:val="009F3D3D"/>
    <w:rsid w:val="009F521F"/>
    <w:rsid w:val="009F5431"/>
    <w:rsid w:val="009F58F6"/>
    <w:rsid w:val="009F5D23"/>
    <w:rsid w:val="009F5F6F"/>
    <w:rsid w:val="009F62A7"/>
    <w:rsid w:val="009F6635"/>
    <w:rsid w:val="009F66D8"/>
    <w:rsid w:val="009F67A0"/>
    <w:rsid w:val="009F6AB1"/>
    <w:rsid w:val="009F6C45"/>
    <w:rsid w:val="009F7373"/>
    <w:rsid w:val="009F7411"/>
    <w:rsid w:val="009F7466"/>
    <w:rsid w:val="009F789B"/>
    <w:rsid w:val="009F795D"/>
    <w:rsid w:val="009F79F8"/>
    <w:rsid w:val="00A000B3"/>
    <w:rsid w:val="00A00492"/>
    <w:rsid w:val="00A007A3"/>
    <w:rsid w:val="00A00B1F"/>
    <w:rsid w:val="00A00E11"/>
    <w:rsid w:val="00A00FB5"/>
    <w:rsid w:val="00A011EA"/>
    <w:rsid w:val="00A01213"/>
    <w:rsid w:val="00A014B0"/>
    <w:rsid w:val="00A01F01"/>
    <w:rsid w:val="00A022FB"/>
    <w:rsid w:val="00A023FD"/>
    <w:rsid w:val="00A0246E"/>
    <w:rsid w:val="00A027AD"/>
    <w:rsid w:val="00A02E39"/>
    <w:rsid w:val="00A0302C"/>
    <w:rsid w:val="00A032E9"/>
    <w:rsid w:val="00A03EF1"/>
    <w:rsid w:val="00A04D8C"/>
    <w:rsid w:val="00A05222"/>
    <w:rsid w:val="00A0555D"/>
    <w:rsid w:val="00A05A8D"/>
    <w:rsid w:val="00A05A9C"/>
    <w:rsid w:val="00A05ABF"/>
    <w:rsid w:val="00A06076"/>
    <w:rsid w:val="00A06A2C"/>
    <w:rsid w:val="00A06BEC"/>
    <w:rsid w:val="00A0710D"/>
    <w:rsid w:val="00A07183"/>
    <w:rsid w:val="00A077E3"/>
    <w:rsid w:val="00A07D37"/>
    <w:rsid w:val="00A10255"/>
    <w:rsid w:val="00A102E6"/>
    <w:rsid w:val="00A105E1"/>
    <w:rsid w:val="00A108F1"/>
    <w:rsid w:val="00A109E8"/>
    <w:rsid w:val="00A10A0F"/>
    <w:rsid w:val="00A10BEA"/>
    <w:rsid w:val="00A10D06"/>
    <w:rsid w:val="00A10E9F"/>
    <w:rsid w:val="00A10FDF"/>
    <w:rsid w:val="00A117EF"/>
    <w:rsid w:val="00A11A16"/>
    <w:rsid w:val="00A11A9B"/>
    <w:rsid w:val="00A11AD6"/>
    <w:rsid w:val="00A11E56"/>
    <w:rsid w:val="00A11ECD"/>
    <w:rsid w:val="00A12311"/>
    <w:rsid w:val="00A123FF"/>
    <w:rsid w:val="00A124D1"/>
    <w:rsid w:val="00A12690"/>
    <w:rsid w:val="00A128A2"/>
    <w:rsid w:val="00A12A46"/>
    <w:rsid w:val="00A12E71"/>
    <w:rsid w:val="00A13197"/>
    <w:rsid w:val="00A134DA"/>
    <w:rsid w:val="00A135D9"/>
    <w:rsid w:val="00A13681"/>
    <w:rsid w:val="00A1377D"/>
    <w:rsid w:val="00A13AE4"/>
    <w:rsid w:val="00A14007"/>
    <w:rsid w:val="00A14062"/>
    <w:rsid w:val="00A14D65"/>
    <w:rsid w:val="00A14F24"/>
    <w:rsid w:val="00A1506F"/>
    <w:rsid w:val="00A158A7"/>
    <w:rsid w:val="00A15B24"/>
    <w:rsid w:val="00A15B43"/>
    <w:rsid w:val="00A15BAF"/>
    <w:rsid w:val="00A15C79"/>
    <w:rsid w:val="00A15FC1"/>
    <w:rsid w:val="00A16316"/>
    <w:rsid w:val="00A16851"/>
    <w:rsid w:val="00A1694E"/>
    <w:rsid w:val="00A16A8F"/>
    <w:rsid w:val="00A16ABE"/>
    <w:rsid w:val="00A16CDA"/>
    <w:rsid w:val="00A17191"/>
    <w:rsid w:val="00A174DE"/>
    <w:rsid w:val="00A17662"/>
    <w:rsid w:val="00A177D3"/>
    <w:rsid w:val="00A17A30"/>
    <w:rsid w:val="00A17CB0"/>
    <w:rsid w:val="00A20790"/>
    <w:rsid w:val="00A20892"/>
    <w:rsid w:val="00A20D15"/>
    <w:rsid w:val="00A20F9C"/>
    <w:rsid w:val="00A216C4"/>
    <w:rsid w:val="00A21826"/>
    <w:rsid w:val="00A21A20"/>
    <w:rsid w:val="00A225F8"/>
    <w:rsid w:val="00A23645"/>
    <w:rsid w:val="00A24624"/>
    <w:rsid w:val="00A24750"/>
    <w:rsid w:val="00A24782"/>
    <w:rsid w:val="00A24790"/>
    <w:rsid w:val="00A24A9D"/>
    <w:rsid w:val="00A24C3E"/>
    <w:rsid w:val="00A24CB6"/>
    <w:rsid w:val="00A2532C"/>
    <w:rsid w:val="00A25AB2"/>
    <w:rsid w:val="00A25F85"/>
    <w:rsid w:val="00A262AF"/>
    <w:rsid w:val="00A263EA"/>
    <w:rsid w:val="00A27383"/>
    <w:rsid w:val="00A277E4"/>
    <w:rsid w:val="00A27876"/>
    <w:rsid w:val="00A27881"/>
    <w:rsid w:val="00A27FE7"/>
    <w:rsid w:val="00A305AA"/>
    <w:rsid w:val="00A30BA0"/>
    <w:rsid w:val="00A314EE"/>
    <w:rsid w:val="00A31511"/>
    <w:rsid w:val="00A318A7"/>
    <w:rsid w:val="00A31D1F"/>
    <w:rsid w:val="00A31E69"/>
    <w:rsid w:val="00A31E6F"/>
    <w:rsid w:val="00A31EE8"/>
    <w:rsid w:val="00A31EEE"/>
    <w:rsid w:val="00A32593"/>
    <w:rsid w:val="00A329EC"/>
    <w:rsid w:val="00A32C4C"/>
    <w:rsid w:val="00A33D93"/>
    <w:rsid w:val="00A33FDC"/>
    <w:rsid w:val="00A34316"/>
    <w:rsid w:val="00A34B92"/>
    <w:rsid w:val="00A34EF9"/>
    <w:rsid w:val="00A354E0"/>
    <w:rsid w:val="00A35E1C"/>
    <w:rsid w:val="00A35FED"/>
    <w:rsid w:val="00A36EB9"/>
    <w:rsid w:val="00A37083"/>
    <w:rsid w:val="00A37458"/>
    <w:rsid w:val="00A375FE"/>
    <w:rsid w:val="00A37AFF"/>
    <w:rsid w:val="00A37C4B"/>
    <w:rsid w:val="00A37F37"/>
    <w:rsid w:val="00A37FFA"/>
    <w:rsid w:val="00A40011"/>
    <w:rsid w:val="00A40A1B"/>
    <w:rsid w:val="00A40B96"/>
    <w:rsid w:val="00A40F4F"/>
    <w:rsid w:val="00A41B39"/>
    <w:rsid w:val="00A41DD2"/>
    <w:rsid w:val="00A41EA0"/>
    <w:rsid w:val="00A42013"/>
    <w:rsid w:val="00A4241F"/>
    <w:rsid w:val="00A42B64"/>
    <w:rsid w:val="00A42C0C"/>
    <w:rsid w:val="00A43630"/>
    <w:rsid w:val="00A442E7"/>
    <w:rsid w:val="00A443E2"/>
    <w:rsid w:val="00A447C1"/>
    <w:rsid w:val="00A447D3"/>
    <w:rsid w:val="00A45316"/>
    <w:rsid w:val="00A45CC1"/>
    <w:rsid w:val="00A45D02"/>
    <w:rsid w:val="00A4727A"/>
    <w:rsid w:val="00A47352"/>
    <w:rsid w:val="00A47497"/>
    <w:rsid w:val="00A4798B"/>
    <w:rsid w:val="00A50050"/>
    <w:rsid w:val="00A5054E"/>
    <w:rsid w:val="00A50DEE"/>
    <w:rsid w:val="00A510A1"/>
    <w:rsid w:val="00A517F7"/>
    <w:rsid w:val="00A51898"/>
    <w:rsid w:val="00A51B30"/>
    <w:rsid w:val="00A51D3A"/>
    <w:rsid w:val="00A527E5"/>
    <w:rsid w:val="00A52965"/>
    <w:rsid w:val="00A529B5"/>
    <w:rsid w:val="00A52DA6"/>
    <w:rsid w:val="00A5373C"/>
    <w:rsid w:val="00A537E0"/>
    <w:rsid w:val="00A53839"/>
    <w:rsid w:val="00A5391C"/>
    <w:rsid w:val="00A53949"/>
    <w:rsid w:val="00A53AFE"/>
    <w:rsid w:val="00A53B78"/>
    <w:rsid w:val="00A53E7C"/>
    <w:rsid w:val="00A54185"/>
    <w:rsid w:val="00A541EB"/>
    <w:rsid w:val="00A54935"/>
    <w:rsid w:val="00A55389"/>
    <w:rsid w:val="00A5671A"/>
    <w:rsid w:val="00A56962"/>
    <w:rsid w:val="00A569D8"/>
    <w:rsid w:val="00A56D77"/>
    <w:rsid w:val="00A56EE2"/>
    <w:rsid w:val="00A57081"/>
    <w:rsid w:val="00A570FC"/>
    <w:rsid w:val="00A572AC"/>
    <w:rsid w:val="00A60C14"/>
    <w:rsid w:val="00A60DF4"/>
    <w:rsid w:val="00A61188"/>
    <w:rsid w:val="00A613A4"/>
    <w:rsid w:val="00A617FD"/>
    <w:rsid w:val="00A61D6F"/>
    <w:rsid w:val="00A61E89"/>
    <w:rsid w:val="00A62E7B"/>
    <w:rsid w:val="00A63295"/>
    <w:rsid w:val="00A63548"/>
    <w:rsid w:val="00A63948"/>
    <w:rsid w:val="00A639AA"/>
    <w:rsid w:val="00A63A56"/>
    <w:rsid w:val="00A63A5D"/>
    <w:rsid w:val="00A63D40"/>
    <w:rsid w:val="00A6400C"/>
    <w:rsid w:val="00A642C3"/>
    <w:rsid w:val="00A648A2"/>
    <w:rsid w:val="00A648B6"/>
    <w:rsid w:val="00A65152"/>
    <w:rsid w:val="00A651A1"/>
    <w:rsid w:val="00A6596E"/>
    <w:rsid w:val="00A65B80"/>
    <w:rsid w:val="00A65D65"/>
    <w:rsid w:val="00A65D8F"/>
    <w:rsid w:val="00A65E2E"/>
    <w:rsid w:val="00A65EF0"/>
    <w:rsid w:val="00A65F08"/>
    <w:rsid w:val="00A662A0"/>
    <w:rsid w:val="00A66594"/>
    <w:rsid w:val="00A66C8E"/>
    <w:rsid w:val="00A66E6B"/>
    <w:rsid w:val="00A67016"/>
    <w:rsid w:val="00A6709C"/>
    <w:rsid w:val="00A67204"/>
    <w:rsid w:val="00A672BA"/>
    <w:rsid w:val="00A676EA"/>
    <w:rsid w:val="00A67943"/>
    <w:rsid w:val="00A67C74"/>
    <w:rsid w:val="00A7018F"/>
    <w:rsid w:val="00A703B0"/>
    <w:rsid w:val="00A70403"/>
    <w:rsid w:val="00A70555"/>
    <w:rsid w:val="00A71307"/>
    <w:rsid w:val="00A7172F"/>
    <w:rsid w:val="00A71CB8"/>
    <w:rsid w:val="00A71D67"/>
    <w:rsid w:val="00A720BC"/>
    <w:rsid w:val="00A721DB"/>
    <w:rsid w:val="00A72269"/>
    <w:rsid w:val="00A7233E"/>
    <w:rsid w:val="00A723EF"/>
    <w:rsid w:val="00A726BF"/>
    <w:rsid w:val="00A72961"/>
    <w:rsid w:val="00A72CBA"/>
    <w:rsid w:val="00A73057"/>
    <w:rsid w:val="00A73102"/>
    <w:rsid w:val="00A7319B"/>
    <w:rsid w:val="00A733C9"/>
    <w:rsid w:val="00A73401"/>
    <w:rsid w:val="00A7359A"/>
    <w:rsid w:val="00A73C3F"/>
    <w:rsid w:val="00A74304"/>
    <w:rsid w:val="00A74400"/>
    <w:rsid w:val="00A7463D"/>
    <w:rsid w:val="00A7488D"/>
    <w:rsid w:val="00A74EA8"/>
    <w:rsid w:val="00A75007"/>
    <w:rsid w:val="00A75133"/>
    <w:rsid w:val="00A752FB"/>
    <w:rsid w:val="00A756FC"/>
    <w:rsid w:val="00A757DD"/>
    <w:rsid w:val="00A76018"/>
    <w:rsid w:val="00A76165"/>
    <w:rsid w:val="00A7623E"/>
    <w:rsid w:val="00A7633F"/>
    <w:rsid w:val="00A770E6"/>
    <w:rsid w:val="00A7746C"/>
    <w:rsid w:val="00A7755C"/>
    <w:rsid w:val="00A80247"/>
    <w:rsid w:val="00A80366"/>
    <w:rsid w:val="00A80931"/>
    <w:rsid w:val="00A80AA9"/>
    <w:rsid w:val="00A812D4"/>
    <w:rsid w:val="00A81C88"/>
    <w:rsid w:val="00A81E0C"/>
    <w:rsid w:val="00A82FB7"/>
    <w:rsid w:val="00A83032"/>
    <w:rsid w:val="00A83135"/>
    <w:rsid w:val="00A83472"/>
    <w:rsid w:val="00A8360A"/>
    <w:rsid w:val="00A83818"/>
    <w:rsid w:val="00A83BDD"/>
    <w:rsid w:val="00A83F87"/>
    <w:rsid w:val="00A83FA6"/>
    <w:rsid w:val="00A842C4"/>
    <w:rsid w:val="00A84685"/>
    <w:rsid w:val="00A84DE1"/>
    <w:rsid w:val="00A84E0F"/>
    <w:rsid w:val="00A84ED3"/>
    <w:rsid w:val="00A85576"/>
    <w:rsid w:val="00A855CF"/>
    <w:rsid w:val="00A858D1"/>
    <w:rsid w:val="00A85B45"/>
    <w:rsid w:val="00A85F12"/>
    <w:rsid w:val="00A85F6C"/>
    <w:rsid w:val="00A8604F"/>
    <w:rsid w:val="00A8608A"/>
    <w:rsid w:val="00A869E6"/>
    <w:rsid w:val="00A870E3"/>
    <w:rsid w:val="00A87209"/>
    <w:rsid w:val="00A8751F"/>
    <w:rsid w:val="00A877EF"/>
    <w:rsid w:val="00A87881"/>
    <w:rsid w:val="00A87A8D"/>
    <w:rsid w:val="00A87C93"/>
    <w:rsid w:val="00A9012C"/>
    <w:rsid w:val="00A907AA"/>
    <w:rsid w:val="00A90ADB"/>
    <w:rsid w:val="00A90B8D"/>
    <w:rsid w:val="00A912A9"/>
    <w:rsid w:val="00A91528"/>
    <w:rsid w:val="00A91B0E"/>
    <w:rsid w:val="00A91D93"/>
    <w:rsid w:val="00A91DAD"/>
    <w:rsid w:val="00A92016"/>
    <w:rsid w:val="00A922DD"/>
    <w:rsid w:val="00A923D3"/>
    <w:rsid w:val="00A92D8A"/>
    <w:rsid w:val="00A932D0"/>
    <w:rsid w:val="00A9337A"/>
    <w:rsid w:val="00A93469"/>
    <w:rsid w:val="00A93800"/>
    <w:rsid w:val="00A93EB6"/>
    <w:rsid w:val="00A942D2"/>
    <w:rsid w:val="00A94582"/>
    <w:rsid w:val="00A94775"/>
    <w:rsid w:val="00A947D1"/>
    <w:rsid w:val="00A94883"/>
    <w:rsid w:val="00A94CD7"/>
    <w:rsid w:val="00A96029"/>
    <w:rsid w:val="00A96099"/>
    <w:rsid w:val="00A96134"/>
    <w:rsid w:val="00A963E8"/>
    <w:rsid w:val="00A9651B"/>
    <w:rsid w:val="00A96C0F"/>
    <w:rsid w:val="00A96E6C"/>
    <w:rsid w:val="00A96EA1"/>
    <w:rsid w:val="00A9759C"/>
    <w:rsid w:val="00A97908"/>
    <w:rsid w:val="00A979E5"/>
    <w:rsid w:val="00A97A93"/>
    <w:rsid w:val="00AA100F"/>
    <w:rsid w:val="00AA147B"/>
    <w:rsid w:val="00AA18C0"/>
    <w:rsid w:val="00AA19F2"/>
    <w:rsid w:val="00AA1A63"/>
    <w:rsid w:val="00AA200E"/>
    <w:rsid w:val="00AA29A0"/>
    <w:rsid w:val="00AA2C7A"/>
    <w:rsid w:val="00AA2E2F"/>
    <w:rsid w:val="00AA3139"/>
    <w:rsid w:val="00AA3564"/>
    <w:rsid w:val="00AA3950"/>
    <w:rsid w:val="00AA3963"/>
    <w:rsid w:val="00AA3A3B"/>
    <w:rsid w:val="00AA42BE"/>
    <w:rsid w:val="00AA5BEF"/>
    <w:rsid w:val="00AA5D21"/>
    <w:rsid w:val="00AA6647"/>
    <w:rsid w:val="00AA689E"/>
    <w:rsid w:val="00AA69E5"/>
    <w:rsid w:val="00AA6AD9"/>
    <w:rsid w:val="00AA6E48"/>
    <w:rsid w:val="00AA708D"/>
    <w:rsid w:val="00AB04A6"/>
    <w:rsid w:val="00AB06E2"/>
    <w:rsid w:val="00AB08E9"/>
    <w:rsid w:val="00AB0D12"/>
    <w:rsid w:val="00AB11A7"/>
    <w:rsid w:val="00AB13D9"/>
    <w:rsid w:val="00AB1406"/>
    <w:rsid w:val="00AB1CF4"/>
    <w:rsid w:val="00AB1E67"/>
    <w:rsid w:val="00AB2401"/>
    <w:rsid w:val="00AB2696"/>
    <w:rsid w:val="00AB27D8"/>
    <w:rsid w:val="00AB2A91"/>
    <w:rsid w:val="00AB2F38"/>
    <w:rsid w:val="00AB3315"/>
    <w:rsid w:val="00AB3795"/>
    <w:rsid w:val="00AB3803"/>
    <w:rsid w:val="00AB3883"/>
    <w:rsid w:val="00AB39CB"/>
    <w:rsid w:val="00AB3CB2"/>
    <w:rsid w:val="00AB3F76"/>
    <w:rsid w:val="00AB3F83"/>
    <w:rsid w:val="00AB40C6"/>
    <w:rsid w:val="00AB4148"/>
    <w:rsid w:val="00AB4900"/>
    <w:rsid w:val="00AB4B86"/>
    <w:rsid w:val="00AB4D16"/>
    <w:rsid w:val="00AB5797"/>
    <w:rsid w:val="00AB5D42"/>
    <w:rsid w:val="00AB5D96"/>
    <w:rsid w:val="00AB68D3"/>
    <w:rsid w:val="00AB6B67"/>
    <w:rsid w:val="00AB74D8"/>
    <w:rsid w:val="00AB760F"/>
    <w:rsid w:val="00AB7CFF"/>
    <w:rsid w:val="00AC05EA"/>
    <w:rsid w:val="00AC06A8"/>
    <w:rsid w:val="00AC0B8C"/>
    <w:rsid w:val="00AC0D6A"/>
    <w:rsid w:val="00AC0E85"/>
    <w:rsid w:val="00AC0FD0"/>
    <w:rsid w:val="00AC1300"/>
    <w:rsid w:val="00AC17F3"/>
    <w:rsid w:val="00AC18BA"/>
    <w:rsid w:val="00AC1A19"/>
    <w:rsid w:val="00AC2179"/>
    <w:rsid w:val="00AC23A1"/>
    <w:rsid w:val="00AC26DE"/>
    <w:rsid w:val="00AC2842"/>
    <w:rsid w:val="00AC2D4B"/>
    <w:rsid w:val="00AC2FE3"/>
    <w:rsid w:val="00AC3933"/>
    <w:rsid w:val="00AC3B99"/>
    <w:rsid w:val="00AC3BA7"/>
    <w:rsid w:val="00AC3BF3"/>
    <w:rsid w:val="00AC3F54"/>
    <w:rsid w:val="00AC4410"/>
    <w:rsid w:val="00AC448A"/>
    <w:rsid w:val="00AC4581"/>
    <w:rsid w:val="00AC4811"/>
    <w:rsid w:val="00AC519E"/>
    <w:rsid w:val="00AC5759"/>
    <w:rsid w:val="00AC5ACE"/>
    <w:rsid w:val="00AC5F58"/>
    <w:rsid w:val="00AC5FBA"/>
    <w:rsid w:val="00AC5FE4"/>
    <w:rsid w:val="00AC6012"/>
    <w:rsid w:val="00AC632B"/>
    <w:rsid w:val="00AC6592"/>
    <w:rsid w:val="00AC6678"/>
    <w:rsid w:val="00AC6B31"/>
    <w:rsid w:val="00AC6C1A"/>
    <w:rsid w:val="00AC6DAE"/>
    <w:rsid w:val="00AC6EB9"/>
    <w:rsid w:val="00AC7210"/>
    <w:rsid w:val="00AC73FB"/>
    <w:rsid w:val="00AC7659"/>
    <w:rsid w:val="00AC7915"/>
    <w:rsid w:val="00AD01FA"/>
    <w:rsid w:val="00AD06B1"/>
    <w:rsid w:val="00AD0895"/>
    <w:rsid w:val="00AD0B11"/>
    <w:rsid w:val="00AD0F4D"/>
    <w:rsid w:val="00AD1654"/>
    <w:rsid w:val="00AD1BCF"/>
    <w:rsid w:val="00AD1E81"/>
    <w:rsid w:val="00AD210A"/>
    <w:rsid w:val="00AD265C"/>
    <w:rsid w:val="00AD287A"/>
    <w:rsid w:val="00AD2A88"/>
    <w:rsid w:val="00AD2DB5"/>
    <w:rsid w:val="00AD3232"/>
    <w:rsid w:val="00AD38A5"/>
    <w:rsid w:val="00AD3C72"/>
    <w:rsid w:val="00AD4244"/>
    <w:rsid w:val="00AD4771"/>
    <w:rsid w:val="00AD4805"/>
    <w:rsid w:val="00AD4D44"/>
    <w:rsid w:val="00AD57B8"/>
    <w:rsid w:val="00AD5B03"/>
    <w:rsid w:val="00AD5CC0"/>
    <w:rsid w:val="00AD5DC1"/>
    <w:rsid w:val="00AD5E01"/>
    <w:rsid w:val="00AD602F"/>
    <w:rsid w:val="00AD67E2"/>
    <w:rsid w:val="00AD7052"/>
    <w:rsid w:val="00AD7494"/>
    <w:rsid w:val="00AD75CC"/>
    <w:rsid w:val="00AD7CC0"/>
    <w:rsid w:val="00AE077E"/>
    <w:rsid w:val="00AE0A8A"/>
    <w:rsid w:val="00AE0D26"/>
    <w:rsid w:val="00AE0FEC"/>
    <w:rsid w:val="00AE10FF"/>
    <w:rsid w:val="00AE1CBE"/>
    <w:rsid w:val="00AE28D8"/>
    <w:rsid w:val="00AE2A59"/>
    <w:rsid w:val="00AE2F26"/>
    <w:rsid w:val="00AE32DD"/>
    <w:rsid w:val="00AE387A"/>
    <w:rsid w:val="00AE3B48"/>
    <w:rsid w:val="00AE3EBC"/>
    <w:rsid w:val="00AE3F7D"/>
    <w:rsid w:val="00AE40EE"/>
    <w:rsid w:val="00AE4291"/>
    <w:rsid w:val="00AE4408"/>
    <w:rsid w:val="00AE46B1"/>
    <w:rsid w:val="00AE48CD"/>
    <w:rsid w:val="00AE4AB7"/>
    <w:rsid w:val="00AE5075"/>
    <w:rsid w:val="00AE559D"/>
    <w:rsid w:val="00AE5AB5"/>
    <w:rsid w:val="00AE5AF0"/>
    <w:rsid w:val="00AE5E64"/>
    <w:rsid w:val="00AE66FC"/>
    <w:rsid w:val="00AE67DF"/>
    <w:rsid w:val="00AE6F2F"/>
    <w:rsid w:val="00AE6FD9"/>
    <w:rsid w:val="00AE70F9"/>
    <w:rsid w:val="00AE7127"/>
    <w:rsid w:val="00AE718E"/>
    <w:rsid w:val="00AE7190"/>
    <w:rsid w:val="00AE7587"/>
    <w:rsid w:val="00AE77EA"/>
    <w:rsid w:val="00AE7A7D"/>
    <w:rsid w:val="00AE7A83"/>
    <w:rsid w:val="00AF058C"/>
    <w:rsid w:val="00AF068B"/>
    <w:rsid w:val="00AF06B8"/>
    <w:rsid w:val="00AF08BE"/>
    <w:rsid w:val="00AF0AC4"/>
    <w:rsid w:val="00AF1357"/>
    <w:rsid w:val="00AF13A7"/>
    <w:rsid w:val="00AF16F1"/>
    <w:rsid w:val="00AF176E"/>
    <w:rsid w:val="00AF2017"/>
    <w:rsid w:val="00AF22D4"/>
    <w:rsid w:val="00AF22DE"/>
    <w:rsid w:val="00AF2FC9"/>
    <w:rsid w:val="00AF310A"/>
    <w:rsid w:val="00AF3CBA"/>
    <w:rsid w:val="00AF3DAB"/>
    <w:rsid w:val="00AF400B"/>
    <w:rsid w:val="00AF4631"/>
    <w:rsid w:val="00AF4695"/>
    <w:rsid w:val="00AF4949"/>
    <w:rsid w:val="00AF4A07"/>
    <w:rsid w:val="00AF4F99"/>
    <w:rsid w:val="00AF5012"/>
    <w:rsid w:val="00AF53AA"/>
    <w:rsid w:val="00AF59E6"/>
    <w:rsid w:val="00AF5B46"/>
    <w:rsid w:val="00AF5F7B"/>
    <w:rsid w:val="00AF640D"/>
    <w:rsid w:val="00AF676D"/>
    <w:rsid w:val="00AF6ABE"/>
    <w:rsid w:val="00AF6B60"/>
    <w:rsid w:val="00AF6DAB"/>
    <w:rsid w:val="00AF6EA1"/>
    <w:rsid w:val="00AF6FAD"/>
    <w:rsid w:val="00AF70BD"/>
    <w:rsid w:val="00AF7432"/>
    <w:rsid w:val="00AF7468"/>
    <w:rsid w:val="00AF7A01"/>
    <w:rsid w:val="00AF7D8B"/>
    <w:rsid w:val="00B00586"/>
    <w:rsid w:val="00B0080A"/>
    <w:rsid w:val="00B00844"/>
    <w:rsid w:val="00B009D1"/>
    <w:rsid w:val="00B00CFF"/>
    <w:rsid w:val="00B01115"/>
    <w:rsid w:val="00B01390"/>
    <w:rsid w:val="00B0153B"/>
    <w:rsid w:val="00B01611"/>
    <w:rsid w:val="00B01B95"/>
    <w:rsid w:val="00B01C16"/>
    <w:rsid w:val="00B01E6F"/>
    <w:rsid w:val="00B023C3"/>
    <w:rsid w:val="00B02444"/>
    <w:rsid w:val="00B02575"/>
    <w:rsid w:val="00B02932"/>
    <w:rsid w:val="00B02AE1"/>
    <w:rsid w:val="00B02F34"/>
    <w:rsid w:val="00B039FA"/>
    <w:rsid w:val="00B0422C"/>
    <w:rsid w:val="00B04F90"/>
    <w:rsid w:val="00B0546E"/>
    <w:rsid w:val="00B05D1F"/>
    <w:rsid w:val="00B062FF"/>
    <w:rsid w:val="00B069E0"/>
    <w:rsid w:val="00B06CC8"/>
    <w:rsid w:val="00B070C5"/>
    <w:rsid w:val="00B07373"/>
    <w:rsid w:val="00B07F50"/>
    <w:rsid w:val="00B10A9B"/>
    <w:rsid w:val="00B10B68"/>
    <w:rsid w:val="00B10D40"/>
    <w:rsid w:val="00B11A33"/>
    <w:rsid w:val="00B11F22"/>
    <w:rsid w:val="00B120E3"/>
    <w:rsid w:val="00B122A4"/>
    <w:rsid w:val="00B12B96"/>
    <w:rsid w:val="00B12D4B"/>
    <w:rsid w:val="00B12FFF"/>
    <w:rsid w:val="00B130A6"/>
    <w:rsid w:val="00B13549"/>
    <w:rsid w:val="00B13715"/>
    <w:rsid w:val="00B138D7"/>
    <w:rsid w:val="00B13970"/>
    <w:rsid w:val="00B141B8"/>
    <w:rsid w:val="00B141EB"/>
    <w:rsid w:val="00B14A23"/>
    <w:rsid w:val="00B14B46"/>
    <w:rsid w:val="00B14E6C"/>
    <w:rsid w:val="00B14FB3"/>
    <w:rsid w:val="00B150AE"/>
    <w:rsid w:val="00B15175"/>
    <w:rsid w:val="00B154F4"/>
    <w:rsid w:val="00B1562B"/>
    <w:rsid w:val="00B15653"/>
    <w:rsid w:val="00B15B89"/>
    <w:rsid w:val="00B17A1D"/>
    <w:rsid w:val="00B17E43"/>
    <w:rsid w:val="00B20301"/>
    <w:rsid w:val="00B2060C"/>
    <w:rsid w:val="00B2070A"/>
    <w:rsid w:val="00B207B8"/>
    <w:rsid w:val="00B209A3"/>
    <w:rsid w:val="00B20DCF"/>
    <w:rsid w:val="00B214CD"/>
    <w:rsid w:val="00B21CED"/>
    <w:rsid w:val="00B21FF7"/>
    <w:rsid w:val="00B225CC"/>
    <w:rsid w:val="00B234C8"/>
    <w:rsid w:val="00B23880"/>
    <w:rsid w:val="00B23883"/>
    <w:rsid w:val="00B23B63"/>
    <w:rsid w:val="00B246CF"/>
    <w:rsid w:val="00B246E5"/>
    <w:rsid w:val="00B25032"/>
    <w:rsid w:val="00B2508F"/>
    <w:rsid w:val="00B25392"/>
    <w:rsid w:val="00B256BE"/>
    <w:rsid w:val="00B25C5E"/>
    <w:rsid w:val="00B25E8E"/>
    <w:rsid w:val="00B2613F"/>
    <w:rsid w:val="00B263E3"/>
    <w:rsid w:val="00B268D3"/>
    <w:rsid w:val="00B26987"/>
    <w:rsid w:val="00B269DF"/>
    <w:rsid w:val="00B27757"/>
    <w:rsid w:val="00B27B1A"/>
    <w:rsid w:val="00B27B7C"/>
    <w:rsid w:val="00B27C71"/>
    <w:rsid w:val="00B27DB2"/>
    <w:rsid w:val="00B27DDB"/>
    <w:rsid w:val="00B312E0"/>
    <w:rsid w:val="00B3131F"/>
    <w:rsid w:val="00B313E2"/>
    <w:rsid w:val="00B31B2B"/>
    <w:rsid w:val="00B31E21"/>
    <w:rsid w:val="00B31FEF"/>
    <w:rsid w:val="00B322B5"/>
    <w:rsid w:val="00B327D5"/>
    <w:rsid w:val="00B32846"/>
    <w:rsid w:val="00B328EB"/>
    <w:rsid w:val="00B32F47"/>
    <w:rsid w:val="00B33569"/>
    <w:rsid w:val="00B3377F"/>
    <w:rsid w:val="00B337A6"/>
    <w:rsid w:val="00B337FA"/>
    <w:rsid w:val="00B33B17"/>
    <w:rsid w:val="00B34747"/>
    <w:rsid w:val="00B34B3A"/>
    <w:rsid w:val="00B34CC7"/>
    <w:rsid w:val="00B3532B"/>
    <w:rsid w:val="00B357E2"/>
    <w:rsid w:val="00B35AE6"/>
    <w:rsid w:val="00B35D2D"/>
    <w:rsid w:val="00B35D30"/>
    <w:rsid w:val="00B36634"/>
    <w:rsid w:val="00B36D39"/>
    <w:rsid w:val="00B36DA7"/>
    <w:rsid w:val="00B370C9"/>
    <w:rsid w:val="00B37247"/>
    <w:rsid w:val="00B372AC"/>
    <w:rsid w:val="00B3749A"/>
    <w:rsid w:val="00B379BD"/>
    <w:rsid w:val="00B37A75"/>
    <w:rsid w:val="00B37B25"/>
    <w:rsid w:val="00B37D42"/>
    <w:rsid w:val="00B40206"/>
    <w:rsid w:val="00B40233"/>
    <w:rsid w:val="00B4042E"/>
    <w:rsid w:val="00B40710"/>
    <w:rsid w:val="00B40879"/>
    <w:rsid w:val="00B4093F"/>
    <w:rsid w:val="00B40EEE"/>
    <w:rsid w:val="00B4181E"/>
    <w:rsid w:val="00B41DF8"/>
    <w:rsid w:val="00B41F07"/>
    <w:rsid w:val="00B420D5"/>
    <w:rsid w:val="00B42238"/>
    <w:rsid w:val="00B42482"/>
    <w:rsid w:val="00B42638"/>
    <w:rsid w:val="00B426FF"/>
    <w:rsid w:val="00B42AF2"/>
    <w:rsid w:val="00B42C05"/>
    <w:rsid w:val="00B431B0"/>
    <w:rsid w:val="00B4320A"/>
    <w:rsid w:val="00B435E9"/>
    <w:rsid w:val="00B43BD7"/>
    <w:rsid w:val="00B442A7"/>
    <w:rsid w:val="00B44491"/>
    <w:rsid w:val="00B44575"/>
    <w:rsid w:val="00B445A7"/>
    <w:rsid w:val="00B447BF"/>
    <w:rsid w:val="00B45265"/>
    <w:rsid w:val="00B455F0"/>
    <w:rsid w:val="00B45C63"/>
    <w:rsid w:val="00B4672E"/>
    <w:rsid w:val="00B468D4"/>
    <w:rsid w:val="00B46BA7"/>
    <w:rsid w:val="00B46BD6"/>
    <w:rsid w:val="00B47107"/>
    <w:rsid w:val="00B476E6"/>
    <w:rsid w:val="00B4794B"/>
    <w:rsid w:val="00B479B0"/>
    <w:rsid w:val="00B500AA"/>
    <w:rsid w:val="00B506CA"/>
    <w:rsid w:val="00B50732"/>
    <w:rsid w:val="00B5097F"/>
    <w:rsid w:val="00B50A0E"/>
    <w:rsid w:val="00B5114E"/>
    <w:rsid w:val="00B514F1"/>
    <w:rsid w:val="00B518A1"/>
    <w:rsid w:val="00B51BBA"/>
    <w:rsid w:val="00B5230E"/>
    <w:rsid w:val="00B52997"/>
    <w:rsid w:val="00B52DA8"/>
    <w:rsid w:val="00B534E0"/>
    <w:rsid w:val="00B53664"/>
    <w:rsid w:val="00B536AA"/>
    <w:rsid w:val="00B538D3"/>
    <w:rsid w:val="00B53DD6"/>
    <w:rsid w:val="00B5410C"/>
    <w:rsid w:val="00B5411D"/>
    <w:rsid w:val="00B541E7"/>
    <w:rsid w:val="00B54C8A"/>
    <w:rsid w:val="00B550B8"/>
    <w:rsid w:val="00B55484"/>
    <w:rsid w:val="00B55BB8"/>
    <w:rsid w:val="00B55DBC"/>
    <w:rsid w:val="00B560D5"/>
    <w:rsid w:val="00B5610F"/>
    <w:rsid w:val="00B5630F"/>
    <w:rsid w:val="00B5645E"/>
    <w:rsid w:val="00B568B4"/>
    <w:rsid w:val="00B56952"/>
    <w:rsid w:val="00B569F3"/>
    <w:rsid w:val="00B56B5D"/>
    <w:rsid w:val="00B573CB"/>
    <w:rsid w:val="00B57731"/>
    <w:rsid w:val="00B600D1"/>
    <w:rsid w:val="00B60116"/>
    <w:rsid w:val="00B605B1"/>
    <w:rsid w:val="00B610BD"/>
    <w:rsid w:val="00B6183B"/>
    <w:rsid w:val="00B618D9"/>
    <w:rsid w:val="00B61DB7"/>
    <w:rsid w:val="00B6223C"/>
    <w:rsid w:val="00B6237C"/>
    <w:rsid w:val="00B630C4"/>
    <w:rsid w:val="00B630EF"/>
    <w:rsid w:val="00B6329D"/>
    <w:rsid w:val="00B6355A"/>
    <w:rsid w:val="00B639BA"/>
    <w:rsid w:val="00B64501"/>
    <w:rsid w:val="00B64578"/>
    <w:rsid w:val="00B64880"/>
    <w:rsid w:val="00B6489A"/>
    <w:rsid w:val="00B64C00"/>
    <w:rsid w:val="00B64FDC"/>
    <w:rsid w:val="00B65818"/>
    <w:rsid w:val="00B661D5"/>
    <w:rsid w:val="00B66BAB"/>
    <w:rsid w:val="00B66D58"/>
    <w:rsid w:val="00B66DDE"/>
    <w:rsid w:val="00B670FC"/>
    <w:rsid w:val="00B671C2"/>
    <w:rsid w:val="00B67236"/>
    <w:rsid w:val="00B67349"/>
    <w:rsid w:val="00B67434"/>
    <w:rsid w:val="00B6743B"/>
    <w:rsid w:val="00B676A2"/>
    <w:rsid w:val="00B67B46"/>
    <w:rsid w:val="00B67D34"/>
    <w:rsid w:val="00B70150"/>
    <w:rsid w:val="00B70158"/>
    <w:rsid w:val="00B7020A"/>
    <w:rsid w:val="00B707DF"/>
    <w:rsid w:val="00B71A2C"/>
    <w:rsid w:val="00B71CEC"/>
    <w:rsid w:val="00B71E44"/>
    <w:rsid w:val="00B71F7E"/>
    <w:rsid w:val="00B71FE7"/>
    <w:rsid w:val="00B7206C"/>
    <w:rsid w:val="00B7256B"/>
    <w:rsid w:val="00B72722"/>
    <w:rsid w:val="00B73437"/>
    <w:rsid w:val="00B734A6"/>
    <w:rsid w:val="00B73846"/>
    <w:rsid w:val="00B73C77"/>
    <w:rsid w:val="00B74666"/>
    <w:rsid w:val="00B748B7"/>
    <w:rsid w:val="00B750C1"/>
    <w:rsid w:val="00B751C7"/>
    <w:rsid w:val="00B75218"/>
    <w:rsid w:val="00B7545D"/>
    <w:rsid w:val="00B755D7"/>
    <w:rsid w:val="00B7634F"/>
    <w:rsid w:val="00B767BE"/>
    <w:rsid w:val="00B768AD"/>
    <w:rsid w:val="00B76959"/>
    <w:rsid w:val="00B7748A"/>
    <w:rsid w:val="00B77931"/>
    <w:rsid w:val="00B7795C"/>
    <w:rsid w:val="00B77C85"/>
    <w:rsid w:val="00B77EC6"/>
    <w:rsid w:val="00B77F79"/>
    <w:rsid w:val="00B80256"/>
    <w:rsid w:val="00B8025C"/>
    <w:rsid w:val="00B80425"/>
    <w:rsid w:val="00B806B0"/>
    <w:rsid w:val="00B808CC"/>
    <w:rsid w:val="00B80B70"/>
    <w:rsid w:val="00B810C6"/>
    <w:rsid w:val="00B8120C"/>
    <w:rsid w:val="00B8151E"/>
    <w:rsid w:val="00B8261B"/>
    <w:rsid w:val="00B828D3"/>
    <w:rsid w:val="00B82F4E"/>
    <w:rsid w:val="00B833B1"/>
    <w:rsid w:val="00B8355D"/>
    <w:rsid w:val="00B83957"/>
    <w:rsid w:val="00B83B0F"/>
    <w:rsid w:val="00B83E15"/>
    <w:rsid w:val="00B84671"/>
    <w:rsid w:val="00B84788"/>
    <w:rsid w:val="00B84CA0"/>
    <w:rsid w:val="00B8534F"/>
    <w:rsid w:val="00B85ACF"/>
    <w:rsid w:val="00B85C88"/>
    <w:rsid w:val="00B85E53"/>
    <w:rsid w:val="00B8623F"/>
    <w:rsid w:val="00B86553"/>
    <w:rsid w:val="00B86606"/>
    <w:rsid w:val="00B86B12"/>
    <w:rsid w:val="00B86EB6"/>
    <w:rsid w:val="00B86F66"/>
    <w:rsid w:val="00B874BC"/>
    <w:rsid w:val="00B876F1"/>
    <w:rsid w:val="00B876F7"/>
    <w:rsid w:val="00B87B2B"/>
    <w:rsid w:val="00B901AB"/>
    <w:rsid w:val="00B90483"/>
    <w:rsid w:val="00B908D8"/>
    <w:rsid w:val="00B9102E"/>
    <w:rsid w:val="00B913FF"/>
    <w:rsid w:val="00B91507"/>
    <w:rsid w:val="00B91704"/>
    <w:rsid w:val="00B917FE"/>
    <w:rsid w:val="00B91C2F"/>
    <w:rsid w:val="00B91E15"/>
    <w:rsid w:val="00B91E6A"/>
    <w:rsid w:val="00B91FB1"/>
    <w:rsid w:val="00B92038"/>
    <w:rsid w:val="00B9227C"/>
    <w:rsid w:val="00B92346"/>
    <w:rsid w:val="00B92548"/>
    <w:rsid w:val="00B92CA8"/>
    <w:rsid w:val="00B92EE6"/>
    <w:rsid w:val="00B9311C"/>
    <w:rsid w:val="00B934A2"/>
    <w:rsid w:val="00B93674"/>
    <w:rsid w:val="00B93854"/>
    <w:rsid w:val="00B939F0"/>
    <w:rsid w:val="00B93B4D"/>
    <w:rsid w:val="00B947B6"/>
    <w:rsid w:val="00B94BCD"/>
    <w:rsid w:val="00B94BE3"/>
    <w:rsid w:val="00B94CBB"/>
    <w:rsid w:val="00B9506E"/>
    <w:rsid w:val="00B952CB"/>
    <w:rsid w:val="00B95602"/>
    <w:rsid w:val="00B9689B"/>
    <w:rsid w:val="00B96903"/>
    <w:rsid w:val="00B96C9E"/>
    <w:rsid w:val="00B96DB8"/>
    <w:rsid w:val="00B970BA"/>
    <w:rsid w:val="00B97180"/>
    <w:rsid w:val="00B974D5"/>
    <w:rsid w:val="00B978FE"/>
    <w:rsid w:val="00B97B89"/>
    <w:rsid w:val="00B97CC7"/>
    <w:rsid w:val="00B97F1C"/>
    <w:rsid w:val="00B97FCB"/>
    <w:rsid w:val="00BA01BE"/>
    <w:rsid w:val="00BA0A30"/>
    <w:rsid w:val="00BA0CBC"/>
    <w:rsid w:val="00BA0FA6"/>
    <w:rsid w:val="00BA13FE"/>
    <w:rsid w:val="00BA14F6"/>
    <w:rsid w:val="00BA22B8"/>
    <w:rsid w:val="00BA262F"/>
    <w:rsid w:val="00BA26B7"/>
    <w:rsid w:val="00BA2758"/>
    <w:rsid w:val="00BA2BF4"/>
    <w:rsid w:val="00BA2D95"/>
    <w:rsid w:val="00BA3BD9"/>
    <w:rsid w:val="00BA3D9B"/>
    <w:rsid w:val="00BA4863"/>
    <w:rsid w:val="00BA4971"/>
    <w:rsid w:val="00BA4AFC"/>
    <w:rsid w:val="00BA529E"/>
    <w:rsid w:val="00BA5F92"/>
    <w:rsid w:val="00BA63E8"/>
    <w:rsid w:val="00BA6AD8"/>
    <w:rsid w:val="00BA6CE7"/>
    <w:rsid w:val="00BA6F93"/>
    <w:rsid w:val="00BA6FCC"/>
    <w:rsid w:val="00BA75B3"/>
    <w:rsid w:val="00BA75C4"/>
    <w:rsid w:val="00BA7A81"/>
    <w:rsid w:val="00BA7D0A"/>
    <w:rsid w:val="00BA7D2F"/>
    <w:rsid w:val="00BB09F4"/>
    <w:rsid w:val="00BB0C8C"/>
    <w:rsid w:val="00BB0DE8"/>
    <w:rsid w:val="00BB1496"/>
    <w:rsid w:val="00BB1DDB"/>
    <w:rsid w:val="00BB1E16"/>
    <w:rsid w:val="00BB2063"/>
    <w:rsid w:val="00BB2095"/>
    <w:rsid w:val="00BB2112"/>
    <w:rsid w:val="00BB2128"/>
    <w:rsid w:val="00BB22FE"/>
    <w:rsid w:val="00BB2BE2"/>
    <w:rsid w:val="00BB2F53"/>
    <w:rsid w:val="00BB33FF"/>
    <w:rsid w:val="00BB381C"/>
    <w:rsid w:val="00BB3A85"/>
    <w:rsid w:val="00BB3AAD"/>
    <w:rsid w:val="00BB45F0"/>
    <w:rsid w:val="00BB4630"/>
    <w:rsid w:val="00BB4859"/>
    <w:rsid w:val="00BB49DC"/>
    <w:rsid w:val="00BB4C0D"/>
    <w:rsid w:val="00BB51C2"/>
    <w:rsid w:val="00BB52D9"/>
    <w:rsid w:val="00BB5372"/>
    <w:rsid w:val="00BB557E"/>
    <w:rsid w:val="00BB55E4"/>
    <w:rsid w:val="00BB5AFF"/>
    <w:rsid w:val="00BB5C67"/>
    <w:rsid w:val="00BB5F8C"/>
    <w:rsid w:val="00BB6BDA"/>
    <w:rsid w:val="00BB6EAC"/>
    <w:rsid w:val="00BB71D2"/>
    <w:rsid w:val="00BB7375"/>
    <w:rsid w:val="00BB74AC"/>
    <w:rsid w:val="00BB75F4"/>
    <w:rsid w:val="00BB7A9C"/>
    <w:rsid w:val="00BB7CEB"/>
    <w:rsid w:val="00BB7E38"/>
    <w:rsid w:val="00BC0AA1"/>
    <w:rsid w:val="00BC0C0D"/>
    <w:rsid w:val="00BC1528"/>
    <w:rsid w:val="00BC1CF9"/>
    <w:rsid w:val="00BC229D"/>
    <w:rsid w:val="00BC2708"/>
    <w:rsid w:val="00BC29CA"/>
    <w:rsid w:val="00BC2E95"/>
    <w:rsid w:val="00BC312C"/>
    <w:rsid w:val="00BC3166"/>
    <w:rsid w:val="00BC33AC"/>
    <w:rsid w:val="00BC33C4"/>
    <w:rsid w:val="00BC3B55"/>
    <w:rsid w:val="00BC4418"/>
    <w:rsid w:val="00BC478F"/>
    <w:rsid w:val="00BC47ED"/>
    <w:rsid w:val="00BC48BD"/>
    <w:rsid w:val="00BC4AED"/>
    <w:rsid w:val="00BC51B0"/>
    <w:rsid w:val="00BC541D"/>
    <w:rsid w:val="00BC5802"/>
    <w:rsid w:val="00BC60FF"/>
    <w:rsid w:val="00BC61E6"/>
    <w:rsid w:val="00BC6E38"/>
    <w:rsid w:val="00BC6F33"/>
    <w:rsid w:val="00BC6F5B"/>
    <w:rsid w:val="00BC706A"/>
    <w:rsid w:val="00BC743A"/>
    <w:rsid w:val="00BC792C"/>
    <w:rsid w:val="00BD08A5"/>
    <w:rsid w:val="00BD1004"/>
    <w:rsid w:val="00BD1037"/>
    <w:rsid w:val="00BD144C"/>
    <w:rsid w:val="00BD1F6C"/>
    <w:rsid w:val="00BD203A"/>
    <w:rsid w:val="00BD2618"/>
    <w:rsid w:val="00BD2A14"/>
    <w:rsid w:val="00BD3662"/>
    <w:rsid w:val="00BD3F22"/>
    <w:rsid w:val="00BD486D"/>
    <w:rsid w:val="00BD489C"/>
    <w:rsid w:val="00BD49CE"/>
    <w:rsid w:val="00BD4F73"/>
    <w:rsid w:val="00BD52CD"/>
    <w:rsid w:val="00BD5BAD"/>
    <w:rsid w:val="00BD5BC6"/>
    <w:rsid w:val="00BD5E48"/>
    <w:rsid w:val="00BD63B2"/>
    <w:rsid w:val="00BD66B6"/>
    <w:rsid w:val="00BD676F"/>
    <w:rsid w:val="00BD6910"/>
    <w:rsid w:val="00BD6F74"/>
    <w:rsid w:val="00BD71B5"/>
    <w:rsid w:val="00BD765F"/>
    <w:rsid w:val="00BD7D42"/>
    <w:rsid w:val="00BD7D56"/>
    <w:rsid w:val="00BE0059"/>
    <w:rsid w:val="00BE043D"/>
    <w:rsid w:val="00BE0587"/>
    <w:rsid w:val="00BE1323"/>
    <w:rsid w:val="00BE2128"/>
    <w:rsid w:val="00BE31B3"/>
    <w:rsid w:val="00BE416C"/>
    <w:rsid w:val="00BE4554"/>
    <w:rsid w:val="00BE4784"/>
    <w:rsid w:val="00BE4AB5"/>
    <w:rsid w:val="00BE4D5C"/>
    <w:rsid w:val="00BE4DA7"/>
    <w:rsid w:val="00BE4ECD"/>
    <w:rsid w:val="00BE4FC7"/>
    <w:rsid w:val="00BE5227"/>
    <w:rsid w:val="00BE5377"/>
    <w:rsid w:val="00BE5417"/>
    <w:rsid w:val="00BE54CE"/>
    <w:rsid w:val="00BE5A1E"/>
    <w:rsid w:val="00BE6008"/>
    <w:rsid w:val="00BE6707"/>
    <w:rsid w:val="00BE6AA9"/>
    <w:rsid w:val="00BE6F31"/>
    <w:rsid w:val="00BE74F1"/>
    <w:rsid w:val="00BE7541"/>
    <w:rsid w:val="00BE76EE"/>
    <w:rsid w:val="00BE77AD"/>
    <w:rsid w:val="00BE7977"/>
    <w:rsid w:val="00BE7CAA"/>
    <w:rsid w:val="00BE7E6B"/>
    <w:rsid w:val="00BF02AF"/>
    <w:rsid w:val="00BF05D1"/>
    <w:rsid w:val="00BF0967"/>
    <w:rsid w:val="00BF09E2"/>
    <w:rsid w:val="00BF1142"/>
    <w:rsid w:val="00BF1371"/>
    <w:rsid w:val="00BF1670"/>
    <w:rsid w:val="00BF260E"/>
    <w:rsid w:val="00BF26A8"/>
    <w:rsid w:val="00BF2C67"/>
    <w:rsid w:val="00BF319E"/>
    <w:rsid w:val="00BF3FD6"/>
    <w:rsid w:val="00BF40F9"/>
    <w:rsid w:val="00BF4583"/>
    <w:rsid w:val="00BF4B3F"/>
    <w:rsid w:val="00BF4BF9"/>
    <w:rsid w:val="00BF4D79"/>
    <w:rsid w:val="00BF5208"/>
    <w:rsid w:val="00BF53B4"/>
    <w:rsid w:val="00BF53D5"/>
    <w:rsid w:val="00BF56AA"/>
    <w:rsid w:val="00BF59F8"/>
    <w:rsid w:val="00BF5A18"/>
    <w:rsid w:val="00BF5C8B"/>
    <w:rsid w:val="00BF6331"/>
    <w:rsid w:val="00BF697F"/>
    <w:rsid w:val="00BF69CD"/>
    <w:rsid w:val="00BF6AB2"/>
    <w:rsid w:val="00BF7090"/>
    <w:rsid w:val="00BF7199"/>
    <w:rsid w:val="00BF77E7"/>
    <w:rsid w:val="00BF798A"/>
    <w:rsid w:val="00BF79B2"/>
    <w:rsid w:val="00C0014C"/>
    <w:rsid w:val="00C00B25"/>
    <w:rsid w:val="00C00B3C"/>
    <w:rsid w:val="00C00BF7"/>
    <w:rsid w:val="00C00BFC"/>
    <w:rsid w:val="00C00DC4"/>
    <w:rsid w:val="00C011D6"/>
    <w:rsid w:val="00C01474"/>
    <w:rsid w:val="00C017CD"/>
    <w:rsid w:val="00C01AEB"/>
    <w:rsid w:val="00C01C8D"/>
    <w:rsid w:val="00C01DFC"/>
    <w:rsid w:val="00C02355"/>
    <w:rsid w:val="00C02538"/>
    <w:rsid w:val="00C02627"/>
    <w:rsid w:val="00C02A74"/>
    <w:rsid w:val="00C02E57"/>
    <w:rsid w:val="00C02F05"/>
    <w:rsid w:val="00C02FCA"/>
    <w:rsid w:val="00C030AD"/>
    <w:rsid w:val="00C03245"/>
    <w:rsid w:val="00C03997"/>
    <w:rsid w:val="00C03D57"/>
    <w:rsid w:val="00C04138"/>
    <w:rsid w:val="00C043AC"/>
    <w:rsid w:val="00C0471A"/>
    <w:rsid w:val="00C0491B"/>
    <w:rsid w:val="00C04D39"/>
    <w:rsid w:val="00C04E7A"/>
    <w:rsid w:val="00C04EB0"/>
    <w:rsid w:val="00C05345"/>
    <w:rsid w:val="00C05DBF"/>
    <w:rsid w:val="00C06106"/>
    <w:rsid w:val="00C0689C"/>
    <w:rsid w:val="00C06ACB"/>
    <w:rsid w:val="00C07220"/>
    <w:rsid w:val="00C0727B"/>
    <w:rsid w:val="00C100A6"/>
    <w:rsid w:val="00C1088D"/>
    <w:rsid w:val="00C1088E"/>
    <w:rsid w:val="00C108BE"/>
    <w:rsid w:val="00C10EE6"/>
    <w:rsid w:val="00C112A2"/>
    <w:rsid w:val="00C1153D"/>
    <w:rsid w:val="00C11BA3"/>
    <w:rsid w:val="00C11C44"/>
    <w:rsid w:val="00C11CD3"/>
    <w:rsid w:val="00C1287F"/>
    <w:rsid w:val="00C12C44"/>
    <w:rsid w:val="00C12CF0"/>
    <w:rsid w:val="00C12D03"/>
    <w:rsid w:val="00C12DE0"/>
    <w:rsid w:val="00C12FC0"/>
    <w:rsid w:val="00C13553"/>
    <w:rsid w:val="00C13FCF"/>
    <w:rsid w:val="00C14119"/>
    <w:rsid w:val="00C141DB"/>
    <w:rsid w:val="00C14672"/>
    <w:rsid w:val="00C146AE"/>
    <w:rsid w:val="00C147CF"/>
    <w:rsid w:val="00C1505A"/>
    <w:rsid w:val="00C154DF"/>
    <w:rsid w:val="00C155B0"/>
    <w:rsid w:val="00C15A88"/>
    <w:rsid w:val="00C15B40"/>
    <w:rsid w:val="00C162F1"/>
    <w:rsid w:val="00C164B6"/>
    <w:rsid w:val="00C16890"/>
    <w:rsid w:val="00C16F27"/>
    <w:rsid w:val="00C17252"/>
    <w:rsid w:val="00C17257"/>
    <w:rsid w:val="00C17418"/>
    <w:rsid w:val="00C1796F"/>
    <w:rsid w:val="00C17970"/>
    <w:rsid w:val="00C17A56"/>
    <w:rsid w:val="00C17C0B"/>
    <w:rsid w:val="00C20BCA"/>
    <w:rsid w:val="00C20CA0"/>
    <w:rsid w:val="00C20FF8"/>
    <w:rsid w:val="00C225CC"/>
    <w:rsid w:val="00C22814"/>
    <w:rsid w:val="00C22863"/>
    <w:rsid w:val="00C23670"/>
    <w:rsid w:val="00C23795"/>
    <w:rsid w:val="00C23A26"/>
    <w:rsid w:val="00C23C98"/>
    <w:rsid w:val="00C23D84"/>
    <w:rsid w:val="00C23EBC"/>
    <w:rsid w:val="00C23F0D"/>
    <w:rsid w:val="00C2414A"/>
    <w:rsid w:val="00C241F6"/>
    <w:rsid w:val="00C24D62"/>
    <w:rsid w:val="00C24F92"/>
    <w:rsid w:val="00C25542"/>
    <w:rsid w:val="00C255FA"/>
    <w:rsid w:val="00C25B5B"/>
    <w:rsid w:val="00C25F89"/>
    <w:rsid w:val="00C26773"/>
    <w:rsid w:val="00C26817"/>
    <w:rsid w:val="00C26E7C"/>
    <w:rsid w:val="00C26F7A"/>
    <w:rsid w:val="00C2752A"/>
    <w:rsid w:val="00C2799F"/>
    <w:rsid w:val="00C279A4"/>
    <w:rsid w:val="00C30594"/>
    <w:rsid w:val="00C30779"/>
    <w:rsid w:val="00C307B7"/>
    <w:rsid w:val="00C30950"/>
    <w:rsid w:val="00C30D51"/>
    <w:rsid w:val="00C3169B"/>
    <w:rsid w:val="00C31751"/>
    <w:rsid w:val="00C3193F"/>
    <w:rsid w:val="00C31A0E"/>
    <w:rsid w:val="00C31CCB"/>
    <w:rsid w:val="00C3233C"/>
    <w:rsid w:val="00C32461"/>
    <w:rsid w:val="00C324CD"/>
    <w:rsid w:val="00C327D6"/>
    <w:rsid w:val="00C32B18"/>
    <w:rsid w:val="00C32C90"/>
    <w:rsid w:val="00C33056"/>
    <w:rsid w:val="00C330F2"/>
    <w:rsid w:val="00C33268"/>
    <w:rsid w:val="00C3360E"/>
    <w:rsid w:val="00C33C19"/>
    <w:rsid w:val="00C33F2C"/>
    <w:rsid w:val="00C34015"/>
    <w:rsid w:val="00C340AA"/>
    <w:rsid w:val="00C343FA"/>
    <w:rsid w:val="00C34493"/>
    <w:rsid w:val="00C34740"/>
    <w:rsid w:val="00C34962"/>
    <w:rsid w:val="00C34B0A"/>
    <w:rsid w:val="00C34B5B"/>
    <w:rsid w:val="00C357A2"/>
    <w:rsid w:val="00C35809"/>
    <w:rsid w:val="00C35DF9"/>
    <w:rsid w:val="00C35E6F"/>
    <w:rsid w:val="00C367E4"/>
    <w:rsid w:val="00C36D63"/>
    <w:rsid w:val="00C36EC0"/>
    <w:rsid w:val="00C37F28"/>
    <w:rsid w:val="00C403E1"/>
    <w:rsid w:val="00C40577"/>
    <w:rsid w:val="00C40B33"/>
    <w:rsid w:val="00C40D42"/>
    <w:rsid w:val="00C4105D"/>
    <w:rsid w:val="00C41334"/>
    <w:rsid w:val="00C41575"/>
    <w:rsid w:val="00C41965"/>
    <w:rsid w:val="00C41B5B"/>
    <w:rsid w:val="00C42217"/>
    <w:rsid w:val="00C424D7"/>
    <w:rsid w:val="00C4257E"/>
    <w:rsid w:val="00C4288D"/>
    <w:rsid w:val="00C43B99"/>
    <w:rsid w:val="00C43BFF"/>
    <w:rsid w:val="00C43CA5"/>
    <w:rsid w:val="00C43E78"/>
    <w:rsid w:val="00C43F67"/>
    <w:rsid w:val="00C440C8"/>
    <w:rsid w:val="00C44193"/>
    <w:rsid w:val="00C449C5"/>
    <w:rsid w:val="00C44C65"/>
    <w:rsid w:val="00C45675"/>
    <w:rsid w:val="00C4595A"/>
    <w:rsid w:val="00C45F8C"/>
    <w:rsid w:val="00C4624A"/>
    <w:rsid w:val="00C4665C"/>
    <w:rsid w:val="00C47764"/>
    <w:rsid w:val="00C479BB"/>
    <w:rsid w:val="00C479EE"/>
    <w:rsid w:val="00C47A37"/>
    <w:rsid w:val="00C47B7F"/>
    <w:rsid w:val="00C5031F"/>
    <w:rsid w:val="00C503B7"/>
    <w:rsid w:val="00C5081C"/>
    <w:rsid w:val="00C50AA3"/>
    <w:rsid w:val="00C50AC9"/>
    <w:rsid w:val="00C50ECF"/>
    <w:rsid w:val="00C50F39"/>
    <w:rsid w:val="00C50FB1"/>
    <w:rsid w:val="00C513B8"/>
    <w:rsid w:val="00C516B5"/>
    <w:rsid w:val="00C521A0"/>
    <w:rsid w:val="00C52393"/>
    <w:rsid w:val="00C523B4"/>
    <w:rsid w:val="00C52ACC"/>
    <w:rsid w:val="00C535E4"/>
    <w:rsid w:val="00C53875"/>
    <w:rsid w:val="00C53B4B"/>
    <w:rsid w:val="00C53B7D"/>
    <w:rsid w:val="00C53D40"/>
    <w:rsid w:val="00C53E14"/>
    <w:rsid w:val="00C53F20"/>
    <w:rsid w:val="00C540C0"/>
    <w:rsid w:val="00C54716"/>
    <w:rsid w:val="00C547D2"/>
    <w:rsid w:val="00C54CCE"/>
    <w:rsid w:val="00C54FED"/>
    <w:rsid w:val="00C550C1"/>
    <w:rsid w:val="00C55EDB"/>
    <w:rsid w:val="00C55EEC"/>
    <w:rsid w:val="00C561A9"/>
    <w:rsid w:val="00C5693F"/>
    <w:rsid w:val="00C56C35"/>
    <w:rsid w:val="00C56D1E"/>
    <w:rsid w:val="00C56E13"/>
    <w:rsid w:val="00C57178"/>
    <w:rsid w:val="00C57B37"/>
    <w:rsid w:val="00C57D50"/>
    <w:rsid w:val="00C603E1"/>
    <w:rsid w:val="00C60657"/>
    <w:rsid w:val="00C60CCA"/>
    <w:rsid w:val="00C60E02"/>
    <w:rsid w:val="00C60FE1"/>
    <w:rsid w:val="00C6108C"/>
    <w:rsid w:val="00C616AA"/>
    <w:rsid w:val="00C617B8"/>
    <w:rsid w:val="00C618E4"/>
    <w:rsid w:val="00C61A11"/>
    <w:rsid w:val="00C61FD6"/>
    <w:rsid w:val="00C62352"/>
    <w:rsid w:val="00C62F05"/>
    <w:rsid w:val="00C63172"/>
    <w:rsid w:val="00C63284"/>
    <w:rsid w:val="00C6358E"/>
    <w:rsid w:val="00C63A55"/>
    <w:rsid w:val="00C641CB"/>
    <w:rsid w:val="00C64BE2"/>
    <w:rsid w:val="00C64D21"/>
    <w:rsid w:val="00C65090"/>
    <w:rsid w:val="00C6535E"/>
    <w:rsid w:val="00C658AD"/>
    <w:rsid w:val="00C66122"/>
    <w:rsid w:val="00C6613D"/>
    <w:rsid w:val="00C6675B"/>
    <w:rsid w:val="00C669E3"/>
    <w:rsid w:val="00C669E4"/>
    <w:rsid w:val="00C66C73"/>
    <w:rsid w:val="00C676D3"/>
    <w:rsid w:val="00C678B2"/>
    <w:rsid w:val="00C67AD4"/>
    <w:rsid w:val="00C67C08"/>
    <w:rsid w:val="00C67D30"/>
    <w:rsid w:val="00C67F97"/>
    <w:rsid w:val="00C70031"/>
    <w:rsid w:val="00C7006C"/>
    <w:rsid w:val="00C70167"/>
    <w:rsid w:val="00C702B6"/>
    <w:rsid w:val="00C70531"/>
    <w:rsid w:val="00C70756"/>
    <w:rsid w:val="00C707E1"/>
    <w:rsid w:val="00C70B31"/>
    <w:rsid w:val="00C70C3C"/>
    <w:rsid w:val="00C70DA2"/>
    <w:rsid w:val="00C70E65"/>
    <w:rsid w:val="00C71381"/>
    <w:rsid w:val="00C7139A"/>
    <w:rsid w:val="00C7167E"/>
    <w:rsid w:val="00C71919"/>
    <w:rsid w:val="00C71A00"/>
    <w:rsid w:val="00C71B07"/>
    <w:rsid w:val="00C7214E"/>
    <w:rsid w:val="00C7237C"/>
    <w:rsid w:val="00C72391"/>
    <w:rsid w:val="00C72DA3"/>
    <w:rsid w:val="00C7369F"/>
    <w:rsid w:val="00C73C4D"/>
    <w:rsid w:val="00C73DAB"/>
    <w:rsid w:val="00C73E62"/>
    <w:rsid w:val="00C74262"/>
    <w:rsid w:val="00C74304"/>
    <w:rsid w:val="00C7465C"/>
    <w:rsid w:val="00C747BA"/>
    <w:rsid w:val="00C74965"/>
    <w:rsid w:val="00C74C8C"/>
    <w:rsid w:val="00C74FFE"/>
    <w:rsid w:val="00C75183"/>
    <w:rsid w:val="00C7547B"/>
    <w:rsid w:val="00C75543"/>
    <w:rsid w:val="00C75600"/>
    <w:rsid w:val="00C765D0"/>
    <w:rsid w:val="00C7664B"/>
    <w:rsid w:val="00C766C6"/>
    <w:rsid w:val="00C76FB0"/>
    <w:rsid w:val="00C770B9"/>
    <w:rsid w:val="00C771BF"/>
    <w:rsid w:val="00C77665"/>
    <w:rsid w:val="00C77805"/>
    <w:rsid w:val="00C77A7B"/>
    <w:rsid w:val="00C77C50"/>
    <w:rsid w:val="00C77D20"/>
    <w:rsid w:val="00C77E82"/>
    <w:rsid w:val="00C80C08"/>
    <w:rsid w:val="00C80C5B"/>
    <w:rsid w:val="00C80FE2"/>
    <w:rsid w:val="00C812CF"/>
    <w:rsid w:val="00C8152E"/>
    <w:rsid w:val="00C81758"/>
    <w:rsid w:val="00C8185E"/>
    <w:rsid w:val="00C819A5"/>
    <w:rsid w:val="00C81CE0"/>
    <w:rsid w:val="00C825C0"/>
    <w:rsid w:val="00C82DDD"/>
    <w:rsid w:val="00C83309"/>
    <w:rsid w:val="00C836B7"/>
    <w:rsid w:val="00C837A4"/>
    <w:rsid w:val="00C837D6"/>
    <w:rsid w:val="00C83D0A"/>
    <w:rsid w:val="00C843FF"/>
    <w:rsid w:val="00C84690"/>
    <w:rsid w:val="00C846CE"/>
    <w:rsid w:val="00C8492C"/>
    <w:rsid w:val="00C84DEE"/>
    <w:rsid w:val="00C84E5F"/>
    <w:rsid w:val="00C84EEE"/>
    <w:rsid w:val="00C85227"/>
    <w:rsid w:val="00C85685"/>
    <w:rsid w:val="00C85A27"/>
    <w:rsid w:val="00C86345"/>
    <w:rsid w:val="00C86D05"/>
    <w:rsid w:val="00C874BE"/>
    <w:rsid w:val="00C875D1"/>
    <w:rsid w:val="00C876A2"/>
    <w:rsid w:val="00C87A18"/>
    <w:rsid w:val="00C87BFE"/>
    <w:rsid w:val="00C87F22"/>
    <w:rsid w:val="00C9014F"/>
    <w:rsid w:val="00C901EC"/>
    <w:rsid w:val="00C90309"/>
    <w:rsid w:val="00C91086"/>
    <w:rsid w:val="00C911CE"/>
    <w:rsid w:val="00C9136B"/>
    <w:rsid w:val="00C914F9"/>
    <w:rsid w:val="00C918E8"/>
    <w:rsid w:val="00C91D4D"/>
    <w:rsid w:val="00C91EA6"/>
    <w:rsid w:val="00C92015"/>
    <w:rsid w:val="00C920A2"/>
    <w:rsid w:val="00C9230F"/>
    <w:rsid w:val="00C925C4"/>
    <w:rsid w:val="00C92708"/>
    <w:rsid w:val="00C9298D"/>
    <w:rsid w:val="00C92DD2"/>
    <w:rsid w:val="00C93003"/>
    <w:rsid w:val="00C9330D"/>
    <w:rsid w:val="00C936BB"/>
    <w:rsid w:val="00C93748"/>
    <w:rsid w:val="00C93FED"/>
    <w:rsid w:val="00C9415D"/>
    <w:rsid w:val="00C9484A"/>
    <w:rsid w:val="00C94EAE"/>
    <w:rsid w:val="00C95533"/>
    <w:rsid w:val="00C955AA"/>
    <w:rsid w:val="00C95904"/>
    <w:rsid w:val="00C95DE0"/>
    <w:rsid w:val="00C967F6"/>
    <w:rsid w:val="00C9697B"/>
    <w:rsid w:val="00C96D1D"/>
    <w:rsid w:val="00C96FE9"/>
    <w:rsid w:val="00C970A5"/>
    <w:rsid w:val="00C97169"/>
    <w:rsid w:val="00C972F2"/>
    <w:rsid w:val="00C97316"/>
    <w:rsid w:val="00C9746E"/>
    <w:rsid w:val="00C97C6A"/>
    <w:rsid w:val="00CA0B7D"/>
    <w:rsid w:val="00CA0E78"/>
    <w:rsid w:val="00CA18D3"/>
    <w:rsid w:val="00CA1B5A"/>
    <w:rsid w:val="00CA1C94"/>
    <w:rsid w:val="00CA2115"/>
    <w:rsid w:val="00CA22CA"/>
    <w:rsid w:val="00CA29A4"/>
    <w:rsid w:val="00CA2B4C"/>
    <w:rsid w:val="00CA2C56"/>
    <w:rsid w:val="00CA3A79"/>
    <w:rsid w:val="00CA3C6B"/>
    <w:rsid w:val="00CA3E22"/>
    <w:rsid w:val="00CA3F76"/>
    <w:rsid w:val="00CA4332"/>
    <w:rsid w:val="00CA47CA"/>
    <w:rsid w:val="00CA48B7"/>
    <w:rsid w:val="00CA4C60"/>
    <w:rsid w:val="00CA57E3"/>
    <w:rsid w:val="00CA62C5"/>
    <w:rsid w:val="00CA6312"/>
    <w:rsid w:val="00CA72AC"/>
    <w:rsid w:val="00CA7376"/>
    <w:rsid w:val="00CA7424"/>
    <w:rsid w:val="00CA7A0B"/>
    <w:rsid w:val="00CB045E"/>
    <w:rsid w:val="00CB04F6"/>
    <w:rsid w:val="00CB0BAE"/>
    <w:rsid w:val="00CB0C32"/>
    <w:rsid w:val="00CB0E94"/>
    <w:rsid w:val="00CB0EBB"/>
    <w:rsid w:val="00CB16DF"/>
    <w:rsid w:val="00CB17AD"/>
    <w:rsid w:val="00CB19B7"/>
    <w:rsid w:val="00CB19EE"/>
    <w:rsid w:val="00CB20DE"/>
    <w:rsid w:val="00CB2500"/>
    <w:rsid w:val="00CB26AF"/>
    <w:rsid w:val="00CB2923"/>
    <w:rsid w:val="00CB2DDF"/>
    <w:rsid w:val="00CB2EE9"/>
    <w:rsid w:val="00CB3081"/>
    <w:rsid w:val="00CB3878"/>
    <w:rsid w:val="00CB390A"/>
    <w:rsid w:val="00CB3E59"/>
    <w:rsid w:val="00CB405D"/>
    <w:rsid w:val="00CB40CC"/>
    <w:rsid w:val="00CB432A"/>
    <w:rsid w:val="00CB4727"/>
    <w:rsid w:val="00CB4740"/>
    <w:rsid w:val="00CB4B60"/>
    <w:rsid w:val="00CB4C49"/>
    <w:rsid w:val="00CB4DF5"/>
    <w:rsid w:val="00CB5384"/>
    <w:rsid w:val="00CB5677"/>
    <w:rsid w:val="00CB58EB"/>
    <w:rsid w:val="00CB59AE"/>
    <w:rsid w:val="00CB5AFF"/>
    <w:rsid w:val="00CB5EEC"/>
    <w:rsid w:val="00CB613F"/>
    <w:rsid w:val="00CB6461"/>
    <w:rsid w:val="00CB6766"/>
    <w:rsid w:val="00CB69AB"/>
    <w:rsid w:val="00CB6B51"/>
    <w:rsid w:val="00CB7562"/>
    <w:rsid w:val="00CB7621"/>
    <w:rsid w:val="00CC0223"/>
    <w:rsid w:val="00CC06E2"/>
    <w:rsid w:val="00CC0A59"/>
    <w:rsid w:val="00CC1884"/>
    <w:rsid w:val="00CC197E"/>
    <w:rsid w:val="00CC1D82"/>
    <w:rsid w:val="00CC1EF7"/>
    <w:rsid w:val="00CC33F0"/>
    <w:rsid w:val="00CC3482"/>
    <w:rsid w:val="00CC362A"/>
    <w:rsid w:val="00CC3F33"/>
    <w:rsid w:val="00CC4009"/>
    <w:rsid w:val="00CC43B8"/>
    <w:rsid w:val="00CC4C0B"/>
    <w:rsid w:val="00CC558C"/>
    <w:rsid w:val="00CC57C1"/>
    <w:rsid w:val="00CC5A20"/>
    <w:rsid w:val="00CC6BF4"/>
    <w:rsid w:val="00CC6D44"/>
    <w:rsid w:val="00CC745C"/>
    <w:rsid w:val="00CC75A4"/>
    <w:rsid w:val="00CD041A"/>
    <w:rsid w:val="00CD0680"/>
    <w:rsid w:val="00CD0CA5"/>
    <w:rsid w:val="00CD1833"/>
    <w:rsid w:val="00CD18CD"/>
    <w:rsid w:val="00CD1A35"/>
    <w:rsid w:val="00CD204F"/>
    <w:rsid w:val="00CD2119"/>
    <w:rsid w:val="00CD24D9"/>
    <w:rsid w:val="00CD25D9"/>
    <w:rsid w:val="00CD30A1"/>
    <w:rsid w:val="00CD3375"/>
    <w:rsid w:val="00CD399B"/>
    <w:rsid w:val="00CD3D34"/>
    <w:rsid w:val="00CD3E7A"/>
    <w:rsid w:val="00CD4344"/>
    <w:rsid w:val="00CD4803"/>
    <w:rsid w:val="00CD4BE7"/>
    <w:rsid w:val="00CD4C36"/>
    <w:rsid w:val="00CD4E94"/>
    <w:rsid w:val="00CD5378"/>
    <w:rsid w:val="00CD56A0"/>
    <w:rsid w:val="00CD590F"/>
    <w:rsid w:val="00CD619A"/>
    <w:rsid w:val="00CD64D9"/>
    <w:rsid w:val="00CD7170"/>
    <w:rsid w:val="00CD7556"/>
    <w:rsid w:val="00CD75F9"/>
    <w:rsid w:val="00CD77B3"/>
    <w:rsid w:val="00CD781A"/>
    <w:rsid w:val="00CD7AA7"/>
    <w:rsid w:val="00CE042C"/>
    <w:rsid w:val="00CE052F"/>
    <w:rsid w:val="00CE09D9"/>
    <w:rsid w:val="00CE11C7"/>
    <w:rsid w:val="00CE154D"/>
    <w:rsid w:val="00CE1E9A"/>
    <w:rsid w:val="00CE1EEE"/>
    <w:rsid w:val="00CE215E"/>
    <w:rsid w:val="00CE2887"/>
    <w:rsid w:val="00CE2A67"/>
    <w:rsid w:val="00CE2B46"/>
    <w:rsid w:val="00CE2D72"/>
    <w:rsid w:val="00CE3D85"/>
    <w:rsid w:val="00CE413D"/>
    <w:rsid w:val="00CE41CF"/>
    <w:rsid w:val="00CE4734"/>
    <w:rsid w:val="00CE500F"/>
    <w:rsid w:val="00CE5658"/>
    <w:rsid w:val="00CE566B"/>
    <w:rsid w:val="00CE5917"/>
    <w:rsid w:val="00CE5D9B"/>
    <w:rsid w:val="00CE68A4"/>
    <w:rsid w:val="00CE6D81"/>
    <w:rsid w:val="00CE760C"/>
    <w:rsid w:val="00CE784A"/>
    <w:rsid w:val="00CF03F3"/>
    <w:rsid w:val="00CF0B81"/>
    <w:rsid w:val="00CF0C75"/>
    <w:rsid w:val="00CF100A"/>
    <w:rsid w:val="00CF1353"/>
    <w:rsid w:val="00CF1843"/>
    <w:rsid w:val="00CF1957"/>
    <w:rsid w:val="00CF27E7"/>
    <w:rsid w:val="00CF2BFA"/>
    <w:rsid w:val="00CF2C2C"/>
    <w:rsid w:val="00CF3002"/>
    <w:rsid w:val="00CF340F"/>
    <w:rsid w:val="00CF3C54"/>
    <w:rsid w:val="00CF3C94"/>
    <w:rsid w:val="00CF423E"/>
    <w:rsid w:val="00CF4BC5"/>
    <w:rsid w:val="00CF505A"/>
    <w:rsid w:val="00CF50E9"/>
    <w:rsid w:val="00CF531A"/>
    <w:rsid w:val="00CF5618"/>
    <w:rsid w:val="00CF6128"/>
    <w:rsid w:val="00CF643E"/>
    <w:rsid w:val="00CF6502"/>
    <w:rsid w:val="00CF654C"/>
    <w:rsid w:val="00CF7374"/>
    <w:rsid w:val="00CF73E2"/>
    <w:rsid w:val="00CF789B"/>
    <w:rsid w:val="00CF7FD6"/>
    <w:rsid w:val="00D00265"/>
    <w:rsid w:val="00D003DE"/>
    <w:rsid w:val="00D00653"/>
    <w:rsid w:val="00D007BD"/>
    <w:rsid w:val="00D008BD"/>
    <w:rsid w:val="00D00FCC"/>
    <w:rsid w:val="00D013F2"/>
    <w:rsid w:val="00D015C3"/>
    <w:rsid w:val="00D0198E"/>
    <w:rsid w:val="00D019F6"/>
    <w:rsid w:val="00D01CDA"/>
    <w:rsid w:val="00D02214"/>
    <w:rsid w:val="00D02240"/>
    <w:rsid w:val="00D02313"/>
    <w:rsid w:val="00D0240B"/>
    <w:rsid w:val="00D02DE3"/>
    <w:rsid w:val="00D02E7B"/>
    <w:rsid w:val="00D030A4"/>
    <w:rsid w:val="00D03196"/>
    <w:rsid w:val="00D035F8"/>
    <w:rsid w:val="00D03613"/>
    <w:rsid w:val="00D03E5D"/>
    <w:rsid w:val="00D047ED"/>
    <w:rsid w:val="00D049DE"/>
    <w:rsid w:val="00D04E34"/>
    <w:rsid w:val="00D04F6F"/>
    <w:rsid w:val="00D0501A"/>
    <w:rsid w:val="00D05847"/>
    <w:rsid w:val="00D05D18"/>
    <w:rsid w:val="00D05E9A"/>
    <w:rsid w:val="00D061FF"/>
    <w:rsid w:val="00D068C8"/>
    <w:rsid w:val="00D06D1D"/>
    <w:rsid w:val="00D075BD"/>
    <w:rsid w:val="00D0791C"/>
    <w:rsid w:val="00D10237"/>
    <w:rsid w:val="00D1056F"/>
    <w:rsid w:val="00D10623"/>
    <w:rsid w:val="00D109DE"/>
    <w:rsid w:val="00D10DEA"/>
    <w:rsid w:val="00D11053"/>
    <w:rsid w:val="00D119DC"/>
    <w:rsid w:val="00D11BE3"/>
    <w:rsid w:val="00D11C49"/>
    <w:rsid w:val="00D11D97"/>
    <w:rsid w:val="00D12427"/>
    <w:rsid w:val="00D124EA"/>
    <w:rsid w:val="00D12706"/>
    <w:rsid w:val="00D12BE1"/>
    <w:rsid w:val="00D1350D"/>
    <w:rsid w:val="00D1354A"/>
    <w:rsid w:val="00D13778"/>
    <w:rsid w:val="00D13A0F"/>
    <w:rsid w:val="00D14210"/>
    <w:rsid w:val="00D14A9C"/>
    <w:rsid w:val="00D14D3E"/>
    <w:rsid w:val="00D14DD7"/>
    <w:rsid w:val="00D14F2B"/>
    <w:rsid w:val="00D14F91"/>
    <w:rsid w:val="00D14FFF"/>
    <w:rsid w:val="00D15009"/>
    <w:rsid w:val="00D157BD"/>
    <w:rsid w:val="00D1586E"/>
    <w:rsid w:val="00D15B49"/>
    <w:rsid w:val="00D15D85"/>
    <w:rsid w:val="00D15E65"/>
    <w:rsid w:val="00D160E0"/>
    <w:rsid w:val="00D162CC"/>
    <w:rsid w:val="00D166DB"/>
    <w:rsid w:val="00D166F5"/>
    <w:rsid w:val="00D17045"/>
    <w:rsid w:val="00D170BC"/>
    <w:rsid w:val="00D17757"/>
    <w:rsid w:val="00D179E6"/>
    <w:rsid w:val="00D179EC"/>
    <w:rsid w:val="00D17C34"/>
    <w:rsid w:val="00D17E6E"/>
    <w:rsid w:val="00D200A2"/>
    <w:rsid w:val="00D20225"/>
    <w:rsid w:val="00D20377"/>
    <w:rsid w:val="00D2053F"/>
    <w:rsid w:val="00D20C4B"/>
    <w:rsid w:val="00D20ECD"/>
    <w:rsid w:val="00D2121D"/>
    <w:rsid w:val="00D21532"/>
    <w:rsid w:val="00D21538"/>
    <w:rsid w:val="00D21671"/>
    <w:rsid w:val="00D21DCE"/>
    <w:rsid w:val="00D220F5"/>
    <w:rsid w:val="00D222A1"/>
    <w:rsid w:val="00D22468"/>
    <w:rsid w:val="00D2264F"/>
    <w:rsid w:val="00D229C7"/>
    <w:rsid w:val="00D23480"/>
    <w:rsid w:val="00D235C5"/>
    <w:rsid w:val="00D235D2"/>
    <w:rsid w:val="00D236A5"/>
    <w:rsid w:val="00D236B5"/>
    <w:rsid w:val="00D23746"/>
    <w:rsid w:val="00D24407"/>
    <w:rsid w:val="00D24576"/>
    <w:rsid w:val="00D24844"/>
    <w:rsid w:val="00D248A1"/>
    <w:rsid w:val="00D2490F"/>
    <w:rsid w:val="00D24B67"/>
    <w:rsid w:val="00D24C77"/>
    <w:rsid w:val="00D24CCE"/>
    <w:rsid w:val="00D260DC"/>
    <w:rsid w:val="00D26468"/>
    <w:rsid w:val="00D2748F"/>
    <w:rsid w:val="00D2798A"/>
    <w:rsid w:val="00D27AD7"/>
    <w:rsid w:val="00D301DD"/>
    <w:rsid w:val="00D30234"/>
    <w:rsid w:val="00D30684"/>
    <w:rsid w:val="00D30D24"/>
    <w:rsid w:val="00D311A0"/>
    <w:rsid w:val="00D31433"/>
    <w:rsid w:val="00D3185A"/>
    <w:rsid w:val="00D31CED"/>
    <w:rsid w:val="00D31ED8"/>
    <w:rsid w:val="00D3237D"/>
    <w:rsid w:val="00D32517"/>
    <w:rsid w:val="00D32C75"/>
    <w:rsid w:val="00D3332B"/>
    <w:rsid w:val="00D33429"/>
    <w:rsid w:val="00D334BA"/>
    <w:rsid w:val="00D33FEA"/>
    <w:rsid w:val="00D3402F"/>
    <w:rsid w:val="00D34666"/>
    <w:rsid w:val="00D34BAF"/>
    <w:rsid w:val="00D34D38"/>
    <w:rsid w:val="00D34F98"/>
    <w:rsid w:val="00D35010"/>
    <w:rsid w:val="00D3526F"/>
    <w:rsid w:val="00D35270"/>
    <w:rsid w:val="00D3545E"/>
    <w:rsid w:val="00D35624"/>
    <w:rsid w:val="00D35762"/>
    <w:rsid w:val="00D3586C"/>
    <w:rsid w:val="00D35E20"/>
    <w:rsid w:val="00D36143"/>
    <w:rsid w:val="00D36238"/>
    <w:rsid w:val="00D364B7"/>
    <w:rsid w:val="00D364DE"/>
    <w:rsid w:val="00D36E58"/>
    <w:rsid w:val="00D3753A"/>
    <w:rsid w:val="00D376C8"/>
    <w:rsid w:val="00D37744"/>
    <w:rsid w:val="00D3778F"/>
    <w:rsid w:val="00D37807"/>
    <w:rsid w:val="00D378E8"/>
    <w:rsid w:val="00D37F5F"/>
    <w:rsid w:val="00D405D4"/>
    <w:rsid w:val="00D40D1A"/>
    <w:rsid w:val="00D41252"/>
    <w:rsid w:val="00D412C5"/>
    <w:rsid w:val="00D4176E"/>
    <w:rsid w:val="00D41F71"/>
    <w:rsid w:val="00D42333"/>
    <w:rsid w:val="00D428C9"/>
    <w:rsid w:val="00D42914"/>
    <w:rsid w:val="00D42A66"/>
    <w:rsid w:val="00D43089"/>
    <w:rsid w:val="00D43340"/>
    <w:rsid w:val="00D4374C"/>
    <w:rsid w:val="00D438EE"/>
    <w:rsid w:val="00D43DE6"/>
    <w:rsid w:val="00D43E79"/>
    <w:rsid w:val="00D441D7"/>
    <w:rsid w:val="00D4473F"/>
    <w:rsid w:val="00D448F8"/>
    <w:rsid w:val="00D452E0"/>
    <w:rsid w:val="00D454A7"/>
    <w:rsid w:val="00D4554F"/>
    <w:rsid w:val="00D456C2"/>
    <w:rsid w:val="00D45AA1"/>
    <w:rsid w:val="00D45FBB"/>
    <w:rsid w:val="00D461C4"/>
    <w:rsid w:val="00D4640F"/>
    <w:rsid w:val="00D46DCA"/>
    <w:rsid w:val="00D4714F"/>
    <w:rsid w:val="00D4777C"/>
    <w:rsid w:val="00D477ED"/>
    <w:rsid w:val="00D47F9A"/>
    <w:rsid w:val="00D50123"/>
    <w:rsid w:val="00D505D6"/>
    <w:rsid w:val="00D50D7E"/>
    <w:rsid w:val="00D511F4"/>
    <w:rsid w:val="00D512CE"/>
    <w:rsid w:val="00D5149E"/>
    <w:rsid w:val="00D5158E"/>
    <w:rsid w:val="00D51A9F"/>
    <w:rsid w:val="00D51C3D"/>
    <w:rsid w:val="00D52A25"/>
    <w:rsid w:val="00D52CD6"/>
    <w:rsid w:val="00D52E74"/>
    <w:rsid w:val="00D53955"/>
    <w:rsid w:val="00D54187"/>
    <w:rsid w:val="00D5429F"/>
    <w:rsid w:val="00D542E6"/>
    <w:rsid w:val="00D544ED"/>
    <w:rsid w:val="00D547EE"/>
    <w:rsid w:val="00D5489B"/>
    <w:rsid w:val="00D54E7D"/>
    <w:rsid w:val="00D54EEF"/>
    <w:rsid w:val="00D55367"/>
    <w:rsid w:val="00D55444"/>
    <w:rsid w:val="00D5571D"/>
    <w:rsid w:val="00D55E49"/>
    <w:rsid w:val="00D5638A"/>
    <w:rsid w:val="00D56B1E"/>
    <w:rsid w:val="00D56CC5"/>
    <w:rsid w:val="00D56DCA"/>
    <w:rsid w:val="00D570EB"/>
    <w:rsid w:val="00D5748A"/>
    <w:rsid w:val="00D5798C"/>
    <w:rsid w:val="00D57E2D"/>
    <w:rsid w:val="00D605F9"/>
    <w:rsid w:val="00D607ED"/>
    <w:rsid w:val="00D60FB7"/>
    <w:rsid w:val="00D61F13"/>
    <w:rsid w:val="00D620B7"/>
    <w:rsid w:val="00D6214F"/>
    <w:rsid w:val="00D62ADF"/>
    <w:rsid w:val="00D639C1"/>
    <w:rsid w:val="00D63E10"/>
    <w:rsid w:val="00D63E2B"/>
    <w:rsid w:val="00D6415E"/>
    <w:rsid w:val="00D64714"/>
    <w:rsid w:val="00D65005"/>
    <w:rsid w:val="00D65134"/>
    <w:rsid w:val="00D655B3"/>
    <w:rsid w:val="00D656EE"/>
    <w:rsid w:val="00D65798"/>
    <w:rsid w:val="00D66295"/>
    <w:rsid w:val="00D66831"/>
    <w:rsid w:val="00D66E0F"/>
    <w:rsid w:val="00D66FDE"/>
    <w:rsid w:val="00D67436"/>
    <w:rsid w:val="00D679BB"/>
    <w:rsid w:val="00D67B86"/>
    <w:rsid w:val="00D67BAC"/>
    <w:rsid w:val="00D67D60"/>
    <w:rsid w:val="00D67F1E"/>
    <w:rsid w:val="00D70292"/>
    <w:rsid w:val="00D70297"/>
    <w:rsid w:val="00D702B3"/>
    <w:rsid w:val="00D704AC"/>
    <w:rsid w:val="00D70CF5"/>
    <w:rsid w:val="00D71948"/>
    <w:rsid w:val="00D719B6"/>
    <w:rsid w:val="00D71E2E"/>
    <w:rsid w:val="00D71F97"/>
    <w:rsid w:val="00D7250C"/>
    <w:rsid w:val="00D727AD"/>
    <w:rsid w:val="00D72BFE"/>
    <w:rsid w:val="00D72D53"/>
    <w:rsid w:val="00D736EE"/>
    <w:rsid w:val="00D73E04"/>
    <w:rsid w:val="00D74033"/>
    <w:rsid w:val="00D7423F"/>
    <w:rsid w:val="00D748E0"/>
    <w:rsid w:val="00D74963"/>
    <w:rsid w:val="00D74A09"/>
    <w:rsid w:val="00D74A70"/>
    <w:rsid w:val="00D74B04"/>
    <w:rsid w:val="00D74E9F"/>
    <w:rsid w:val="00D75E28"/>
    <w:rsid w:val="00D760BB"/>
    <w:rsid w:val="00D7617B"/>
    <w:rsid w:val="00D771A4"/>
    <w:rsid w:val="00D772CC"/>
    <w:rsid w:val="00D7742C"/>
    <w:rsid w:val="00D77B05"/>
    <w:rsid w:val="00D77E15"/>
    <w:rsid w:val="00D80048"/>
    <w:rsid w:val="00D802EB"/>
    <w:rsid w:val="00D806E0"/>
    <w:rsid w:val="00D80903"/>
    <w:rsid w:val="00D81179"/>
    <w:rsid w:val="00D812D2"/>
    <w:rsid w:val="00D816C3"/>
    <w:rsid w:val="00D8263D"/>
    <w:rsid w:val="00D82ACD"/>
    <w:rsid w:val="00D82C40"/>
    <w:rsid w:val="00D82CB1"/>
    <w:rsid w:val="00D8323D"/>
    <w:rsid w:val="00D835E5"/>
    <w:rsid w:val="00D83A6F"/>
    <w:rsid w:val="00D83B35"/>
    <w:rsid w:val="00D83D5E"/>
    <w:rsid w:val="00D84B80"/>
    <w:rsid w:val="00D84D56"/>
    <w:rsid w:val="00D84FE0"/>
    <w:rsid w:val="00D850A5"/>
    <w:rsid w:val="00D85146"/>
    <w:rsid w:val="00D8544F"/>
    <w:rsid w:val="00D85608"/>
    <w:rsid w:val="00D857D0"/>
    <w:rsid w:val="00D867C4"/>
    <w:rsid w:val="00D86EAB"/>
    <w:rsid w:val="00D86FF8"/>
    <w:rsid w:val="00D87429"/>
    <w:rsid w:val="00D87D4F"/>
    <w:rsid w:val="00D87F7B"/>
    <w:rsid w:val="00D9006A"/>
    <w:rsid w:val="00D90371"/>
    <w:rsid w:val="00D90598"/>
    <w:rsid w:val="00D9076C"/>
    <w:rsid w:val="00D90A26"/>
    <w:rsid w:val="00D90BC4"/>
    <w:rsid w:val="00D9115F"/>
    <w:rsid w:val="00D912E7"/>
    <w:rsid w:val="00D9189E"/>
    <w:rsid w:val="00D918EC"/>
    <w:rsid w:val="00D91C66"/>
    <w:rsid w:val="00D91C97"/>
    <w:rsid w:val="00D920EB"/>
    <w:rsid w:val="00D922A8"/>
    <w:rsid w:val="00D92854"/>
    <w:rsid w:val="00D929CA"/>
    <w:rsid w:val="00D92F80"/>
    <w:rsid w:val="00D92F9C"/>
    <w:rsid w:val="00D934B1"/>
    <w:rsid w:val="00D93657"/>
    <w:rsid w:val="00D936D9"/>
    <w:rsid w:val="00D93943"/>
    <w:rsid w:val="00D93961"/>
    <w:rsid w:val="00D940DB"/>
    <w:rsid w:val="00D94462"/>
    <w:rsid w:val="00D9461C"/>
    <w:rsid w:val="00D94764"/>
    <w:rsid w:val="00D94C74"/>
    <w:rsid w:val="00D94FCE"/>
    <w:rsid w:val="00D952F7"/>
    <w:rsid w:val="00D95477"/>
    <w:rsid w:val="00D957AB"/>
    <w:rsid w:val="00D959C4"/>
    <w:rsid w:val="00D95AD0"/>
    <w:rsid w:val="00D95C9C"/>
    <w:rsid w:val="00D96E5D"/>
    <w:rsid w:val="00D96FD9"/>
    <w:rsid w:val="00D970D3"/>
    <w:rsid w:val="00D970F2"/>
    <w:rsid w:val="00D9711F"/>
    <w:rsid w:val="00D97638"/>
    <w:rsid w:val="00D978C6"/>
    <w:rsid w:val="00D97DEF"/>
    <w:rsid w:val="00DA04E7"/>
    <w:rsid w:val="00DA087F"/>
    <w:rsid w:val="00DA1220"/>
    <w:rsid w:val="00DA1A21"/>
    <w:rsid w:val="00DA1CBC"/>
    <w:rsid w:val="00DA23D9"/>
    <w:rsid w:val="00DA24FF"/>
    <w:rsid w:val="00DA271F"/>
    <w:rsid w:val="00DA2AFE"/>
    <w:rsid w:val="00DA2BF5"/>
    <w:rsid w:val="00DA2EA3"/>
    <w:rsid w:val="00DA2ECA"/>
    <w:rsid w:val="00DA35E4"/>
    <w:rsid w:val="00DA37E8"/>
    <w:rsid w:val="00DA3820"/>
    <w:rsid w:val="00DA3A0C"/>
    <w:rsid w:val="00DA3E4E"/>
    <w:rsid w:val="00DA3FAD"/>
    <w:rsid w:val="00DA45BB"/>
    <w:rsid w:val="00DA46F5"/>
    <w:rsid w:val="00DA49F2"/>
    <w:rsid w:val="00DA4B60"/>
    <w:rsid w:val="00DA50C7"/>
    <w:rsid w:val="00DA514D"/>
    <w:rsid w:val="00DA5998"/>
    <w:rsid w:val="00DA5B50"/>
    <w:rsid w:val="00DA5DBF"/>
    <w:rsid w:val="00DA6167"/>
    <w:rsid w:val="00DA6726"/>
    <w:rsid w:val="00DA68CF"/>
    <w:rsid w:val="00DA71D1"/>
    <w:rsid w:val="00DA78A9"/>
    <w:rsid w:val="00DA7D25"/>
    <w:rsid w:val="00DA7E74"/>
    <w:rsid w:val="00DB012E"/>
    <w:rsid w:val="00DB0911"/>
    <w:rsid w:val="00DB0AD3"/>
    <w:rsid w:val="00DB12CB"/>
    <w:rsid w:val="00DB14CE"/>
    <w:rsid w:val="00DB1DDF"/>
    <w:rsid w:val="00DB2035"/>
    <w:rsid w:val="00DB23DD"/>
    <w:rsid w:val="00DB298D"/>
    <w:rsid w:val="00DB2B2C"/>
    <w:rsid w:val="00DB2B3C"/>
    <w:rsid w:val="00DB3295"/>
    <w:rsid w:val="00DB3348"/>
    <w:rsid w:val="00DB33F5"/>
    <w:rsid w:val="00DB3878"/>
    <w:rsid w:val="00DB40CE"/>
    <w:rsid w:val="00DB43E7"/>
    <w:rsid w:val="00DB4629"/>
    <w:rsid w:val="00DB486E"/>
    <w:rsid w:val="00DB494E"/>
    <w:rsid w:val="00DB4B4C"/>
    <w:rsid w:val="00DB4BBD"/>
    <w:rsid w:val="00DB54F7"/>
    <w:rsid w:val="00DB5608"/>
    <w:rsid w:val="00DB5C71"/>
    <w:rsid w:val="00DB5DD4"/>
    <w:rsid w:val="00DB6070"/>
    <w:rsid w:val="00DB6A0B"/>
    <w:rsid w:val="00DB6D5F"/>
    <w:rsid w:val="00DB7299"/>
    <w:rsid w:val="00DB7664"/>
    <w:rsid w:val="00DB7F18"/>
    <w:rsid w:val="00DB7FE7"/>
    <w:rsid w:val="00DC1807"/>
    <w:rsid w:val="00DC1A99"/>
    <w:rsid w:val="00DC1C55"/>
    <w:rsid w:val="00DC234F"/>
    <w:rsid w:val="00DC2463"/>
    <w:rsid w:val="00DC2602"/>
    <w:rsid w:val="00DC2D56"/>
    <w:rsid w:val="00DC2E60"/>
    <w:rsid w:val="00DC2F52"/>
    <w:rsid w:val="00DC466F"/>
    <w:rsid w:val="00DC4760"/>
    <w:rsid w:val="00DC4E15"/>
    <w:rsid w:val="00DC5244"/>
    <w:rsid w:val="00DC6BC1"/>
    <w:rsid w:val="00DC6BD6"/>
    <w:rsid w:val="00DC6CE3"/>
    <w:rsid w:val="00DC6E8E"/>
    <w:rsid w:val="00DC740F"/>
    <w:rsid w:val="00DC7539"/>
    <w:rsid w:val="00DC77B6"/>
    <w:rsid w:val="00DC7907"/>
    <w:rsid w:val="00DC790E"/>
    <w:rsid w:val="00DC7996"/>
    <w:rsid w:val="00DD003F"/>
    <w:rsid w:val="00DD1168"/>
    <w:rsid w:val="00DD1921"/>
    <w:rsid w:val="00DD1949"/>
    <w:rsid w:val="00DD1C92"/>
    <w:rsid w:val="00DD221D"/>
    <w:rsid w:val="00DD2397"/>
    <w:rsid w:val="00DD282D"/>
    <w:rsid w:val="00DD2991"/>
    <w:rsid w:val="00DD30E9"/>
    <w:rsid w:val="00DD3182"/>
    <w:rsid w:val="00DD36AE"/>
    <w:rsid w:val="00DD3980"/>
    <w:rsid w:val="00DD3BB3"/>
    <w:rsid w:val="00DD41A3"/>
    <w:rsid w:val="00DD42A3"/>
    <w:rsid w:val="00DD447D"/>
    <w:rsid w:val="00DD4682"/>
    <w:rsid w:val="00DD4749"/>
    <w:rsid w:val="00DD4D68"/>
    <w:rsid w:val="00DD5934"/>
    <w:rsid w:val="00DD5B1C"/>
    <w:rsid w:val="00DD6798"/>
    <w:rsid w:val="00DD70AA"/>
    <w:rsid w:val="00DD73BE"/>
    <w:rsid w:val="00DD77E7"/>
    <w:rsid w:val="00DD7924"/>
    <w:rsid w:val="00DD7C7C"/>
    <w:rsid w:val="00DE002D"/>
    <w:rsid w:val="00DE0726"/>
    <w:rsid w:val="00DE0872"/>
    <w:rsid w:val="00DE10A3"/>
    <w:rsid w:val="00DE1243"/>
    <w:rsid w:val="00DE1345"/>
    <w:rsid w:val="00DE1599"/>
    <w:rsid w:val="00DE17AD"/>
    <w:rsid w:val="00DE1A64"/>
    <w:rsid w:val="00DE1B7F"/>
    <w:rsid w:val="00DE2799"/>
    <w:rsid w:val="00DE2BE5"/>
    <w:rsid w:val="00DE30E8"/>
    <w:rsid w:val="00DE34E8"/>
    <w:rsid w:val="00DE36B8"/>
    <w:rsid w:val="00DE3758"/>
    <w:rsid w:val="00DE39FE"/>
    <w:rsid w:val="00DE3C1B"/>
    <w:rsid w:val="00DE44E9"/>
    <w:rsid w:val="00DE480B"/>
    <w:rsid w:val="00DE483B"/>
    <w:rsid w:val="00DE499D"/>
    <w:rsid w:val="00DE49F2"/>
    <w:rsid w:val="00DE4C86"/>
    <w:rsid w:val="00DE5324"/>
    <w:rsid w:val="00DE5332"/>
    <w:rsid w:val="00DE5474"/>
    <w:rsid w:val="00DE56DF"/>
    <w:rsid w:val="00DE56FB"/>
    <w:rsid w:val="00DE598E"/>
    <w:rsid w:val="00DE5C87"/>
    <w:rsid w:val="00DE5EE5"/>
    <w:rsid w:val="00DE648E"/>
    <w:rsid w:val="00DE6575"/>
    <w:rsid w:val="00DE6A9E"/>
    <w:rsid w:val="00DE6F7F"/>
    <w:rsid w:val="00DE75C6"/>
    <w:rsid w:val="00DE788C"/>
    <w:rsid w:val="00DE7A29"/>
    <w:rsid w:val="00DE7B4D"/>
    <w:rsid w:val="00DE7F6C"/>
    <w:rsid w:val="00DE7FAD"/>
    <w:rsid w:val="00DF0028"/>
    <w:rsid w:val="00DF049C"/>
    <w:rsid w:val="00DF06D4"/>
    <w:rsid w:val="00DF0E59"/>
    <w:rsid w:val="00DF100F"/>
    <w:rsid w:val="00DF11EF"/>
    <w:rsid w:val="00DF17F3"/>
    <w:rsid w:val="00DF23EF"/>
    <w:rsid w:val="00DF249D"/>
    <w:rsid w:val="00DF2AEA"/>
    <w:rsid w:val="00DF343F"/>
    <w:rsid w:val="00DF3B48"/>
    <w:rsid w:val="00DF4030"/>
    <w:rsid w:val="00DF410F"/>
    <w:rsid w:val="00DF41B2"/>
    <w:rsid w:val="00DF42C6"/>
    <w:rsid w:val="00DF43B1"/>
    <w:rsid w:val="00DF48A3"/>
    <w:rsid w:val="00DF4CF5"/>
    <w:rsid w:val="00DF4D9B"/>
    <w:rsid w:val="00DF53E5"/>
    <w:rsid w:val="00DF5D15"/>
    <w:rsid w:val="00DF6D5A"/>
    <w:rsid w:val="00DF70B3"/>
    <w:rsid w:val="00DF70CC"/>
    <w:rsid w:val="00DF7550"/>
    <w:rsid w:val="00DF75AA"/>
    <w:rsid w:val="00DF7A4C"/>
    <w:rsid w:val="00E00032"/>
    <w:rsid w:val="00E00307"/>
    <w:rsid w:val="00E00764"/>
    <w:rsid w:val="00E00D25"/>
    <w:rsid w:val="00E01B03"/>
    <w:rsid w:val="00E01B86"/>
    <w:rsid w:val="00E01C7F"/>
    <w:rsid w:val="00E0239A"/>
    <w:rsid w:val="00E023E3"/>
    <w:rsid w:val="00E024EC"/>
    <w:rsid w:val="00E027F8"/>
    <w:rsid w:val="00E02941"/>
    <w:rsid w:val="00E02A82"/>
    <w:rsid w:val="00E02AF6"/>
    <w:rsid w:val="00E02DCB"/>
    <w:rsid w:val="00E03346"/>
    <w:rsid w:val="00E039B7"/>
    <w:rsid w:val="00E03AB8"/>
    <w:rsid w:val="00E03C9F"/>
    <w:rsid w:val="00E03E42"/>
    <w:rsid w:val="00E04007"/>
    <w:rsid w:val="00E043AB"/>
    <w:rsid w:val="00E043BC"/>
    <w:rsid w:val="00E045A1"/>
    <w:rsid w:val="00E049A1"/>
    <w:rsid w:val="00E04EF5"/>
    <w:rsid w:val="00E050CF"/>
    <w:rsid w:val="00E05186"/>
    <w:rsid w:val="00E051C5"/>
    <w:rsid w:val="00E053C1"/>
    <w:rsid w:val="00E05BBB"/>
    <w:rsid w:val="00E06073"/>
    <w:rsid w:val="00E061DF"/>
    <w:rsid w:val="00E06631"/>
    <w:rsid w:val="00E069BD"/>
    <w:rsid w:val="00E06B56"/>
    <w:rsid w:val="00E07242"/>
    <w:rsid w:val="00E0734F"/>
    <w:rsid w:val="00E0760E"/>
    <w:rsid w:val="00E07B3B"/>
    <w:rsid w:val="00E07FC0"/>
    <w:rsid w:val="00E1087D"/>
    <w:rsid w:val="00E10B76"/>
    <w:rsid w:val="00E10C75"/>
    <w:rsid w:val="00E10F1B"/>
    <w:rsid w:val="00E111D7"/>
    <w:rsid w:val="00E116AA"/>
    <w:rsid w:val="00E1180E"/>
    <w:rsid w:val="00E11B65"/>
    <w:rsid w:val="00E11F8E"/>
    <w:rsid w:val="00E12362"/>
    <w:rsid w:val="00E13052"/>
    <w:rsid w:val="00E139EF"/>
    <w:rsid w:val="00E13CE1"/>
    <w:rsid w:val="00E141DC"/>
    <w:rsid w:val="00E14483"/>
    <w:rsid w:val="00E146C5"/>
    <w:rsid w:val="00E14A03"/>
    <w:rsid w:val="00E14E63"/>
    <w:rsid w:val="00E1553A"/>
    <w:rsid w:val="00E1558E"/>
    <w:rsid w:val="00E157B1"/>
    <w:rsid w:val="00E157BA"/>
    <w:rsid w:val="00E15917"/>
    <w:rsid w:val="00E168BA"/>
    <w:rsid w:val="00E168E6"/>
    <w:rsid w:val="00E16BE4"/>
    <w:rsid w:val="00E16D46"/>
    <w:rsid w:val="00E16FF9"/>
    <w:rsid w:val="00E171AC"/>
    <w:rsid w:val="00E17447"/>
    <w:rsid w:val="00E1762F"/>
    <w:rsid w:val="00E1776A"/>
    <w:rsid w:val="00E177A2"/>
    <w:rsid w:val="00E17911"/>
    <w:rsid w:val="00E17ADF"/>
    <w:rsid w:val="00E17B72"/>
    <w:rsid w:val="00E17EF8"/>
    <w:rsid w:val="00E17F5D"/>
    <w:rsid w:val="00E20114"/>
    <w:rsid w:val="00E2017B"/>
    <w:rsid w:val="00E204BF"/>
    <w:rsid w:val="00E20717"/>
    <w:rsid w:val="00E20B4E"/>
    <w:rsid w:val="00E20BDF"/>
    <w:rsid w:val="00E20DA9"/>
    <w:rsid w:val="00E213B3"/>
    <w:rsid w:val="00E219CB"/>
    <w:rsid w:val="00E21E7B"/>
    <w:rsid w:val="00E2216A"/>
    <w:rsid w:val="00E221BD"/>
    <w:rsid w:val="00E223F3"/>
    <w:rsid w:val="00E22758"/>
    <w:rsid w:val="00E22799"/>
    <w:rsid w:val="00E2318D"/>
    <w:rsid w:val="00E235BF"/>
    <w:rsid w:val="00E23CEC"/>
    <w:rsid w:val="00E23E4D"/>
    <w:rsid w:val="00E23E9F"/>
    <w:rsid w:val="00E23F2F"/>
    <w:rsid w:val="00E240AB"/>
    <w:rsid w:val="00E2433D"/>
    <w:rsid w:val="00E243E1"/>
    <w:rsid w:val="00E24504"/>
    <w:rsid w:val="00E24F98"/>
    <w:rsid w:val="00E252C1"/>
    <w:rsid w:val="00E25964"/>
    <w:rsid w:val="00E26735"/>
    <w:rsid w:val="00E26F63"/>
    <w:rsid w:val="00E26FB3"/>
    <w:rsid w:val="00E2719F"/>
    <w:rsid w:val="00E27FCD"/>
    <w:rsid w:val="00E3009C"/>
    <w:rsid w:val="00E307D6"/>
    <w:rsid w:val="00E310FA"/>
    <w:rsid w:val="00E315CE"/>
    <w:rsid w:val="00E31D97"/>
    <w:rsid w:val="00E3290F"/>
    <w:rsid w:val="00E32B13"/>
    <w:rsid w:val="00E333F1"/>
    <w:rsid w:val="00E335E2"/>
    <w:rsid w:val="00E33901"/>
    <w:rsid w:val="00E33A5C"/>
    <w:rsid w:val="00E34412"/>
    <w:rsid w:val="00E345C1"/>
    <w:rsid w:val="00E351FE"/>
    <w:rsid w:val="00E35312"/>
    <w:rsid w:val="00E354DE"/>
    <w:rsid w:val="00E3565E"/>
    <w:rsid w:val="00E35FBE"/>
    <w:rsid w:val="00E360B1"/>
    <w:rsid w:val="00E36391"/>
    <w:rsid w:val="00E36F7F"/>
    <w:rsid w:val="00E37A8B"/>
    <w:rsid w:val="00E40420"/>
    <w:rsid w:val="00E40529"/>
    <w:rsid w:val="00E407EC"/>
    <w:rsid w:val="00E40E41"/>
    <w:rsid w:val="00E40EEB"/>
    <w:rsid w:val="00E4152F"/>
    <w:rsid w:val="00E42104"/>
    <w:rsid w:val="00E4214B"/>
    <w:rsid w:val="00E425F2"/>
    <w:rsid w:val="00E4309E"/>
    <w:rsid w:val="00E43185"/>
    <w:rsid w:val="00E4427A"/>
    <w:rsid w:val="00E444B1"/>
    <w:rsid w:val="00E4473F"/>
    <w:rsid w:val="00E448C4"/>
    <w:rsid w:val="00E449C8"/>
    <w:rsid w:val="00E44BC7"/>
    <w:rsid w:val="00E44C34"/>
    <w:rsid w:val="00E44F80"/>
    <w:rsid w:val="00E45008"/>
    <w:rsid w:val="00E458F6"/>
    <w:rsid w:val="00E45FEE"/>
    <w:rsid w:val="00E463F4"/>
    <w:rsid w:val="00E46729"/>
    <w:rsid w:val="00E4673B"/>
    <w:rsid w:val="00E467F1"/>
    <w:rsid w:val="00E46ADF"/>
    <w:rsid w:val="00E46C34"/>
    <w:rsid w:val="00E47279"/>
    <w:rsid w:val="00E472C7"/>
    <w:rsid w:val="00E4791F"/>
    <w:rsid w:val="00E47968"/>
    <w:rsid w:val="00E47993"/>
    <w:rsid w:val="00E47E28"/>
    <w:rsid w:val="00E47F7C"/>
    <w:rsid w:val="00E507CF"/>
    <w:rsid w:val="00E50987"/>
    <w:rsid w:val="00E50D8A"/>
    <w:rsid w:val="00E511FF"/>
    <w:rsid w:val="00E51200"/>
    <w:rsid w:val="00E51B5D"/>
    <w:rsid w:val="00E51EDE"/>
    <w:rsid w:val="00E5236D"/>
    <w:rsid w:val="00E5258A"/>
    <w:rsid w:val="00E52638"/>
    <w:rsid w:val="00E526FD"/>
    <w:rsid w:val="00E527B8"/>
    <w:rsid w:val="00E52A5B"/>
    <w:rsid w:val="00E52B8B"/>
    <w:rsid w:val="00E52FEE"/>
    <w:rsid w:val="00E53291"/>
    <w:rsid w:val="00E53627"/>
    <w:rsid w:val="00E53A0C"/>
    <w:rsid w:val="00E53E38"/>
    <w:rsid w:val="00E5496E"/>
    <w:rsid w:val="00E54DCF"/>
    <w:rsid w:val="00E54EDD"/>
    <w:rsid w:val="00E54F10"/>
    <w:rsid w:val="00E55985"/>
    <w:rsid w:val="00E55AE6"/>
    <w:rsid w:val="00E56019"/>
    <w:rsid w:val="00E56353"/>
    <w:rsid w:val="00E5669D"/>
    <w:rsid w:val="00E56B21"/>
    <w:rsid w:val="00E57B3A"/>
    <w:rsid w:val="00E601CB"/>
    <w:rsid w:val="00E60E3A"/>
    <w:rsid w:val="00E61237"/>
    <w:rsid w:val="00E61297"/>
    <w:rsid w:val="00E61DEB"/>
    <w:rsid w:val="00E61E6B"/>
    <w:rsid w:val="00E621D4"/>
    <w:rsid w:val="00E62462"/>
    <w:rsid w:val="00E62631"/>
    <w:rsid w:val="00E62636"/>
    <w:rsid w:val="00E62A6B"/>
    <w:rsid w:val="00E62E0F"/>
    <w:rsid w:val="00E63637"/>
    <w:rsid w:val="00E638B2"/>
    <w:rsid w:val="00E639C0"/>
    <w:rsid w:val="00E6470C"/>
    <w:rsid w:val="00E6476B"/>
    <w:rsid w:val="00E654C2"/>
    <w:rsid w:val="00E65510"/>
    <w:rsid w:val="00E65ADE"/>
    <w:rsid w:val="00E65B32"/>
    <w:rsid w:val="00E65E29"/>
    <w:rsid w:val="00E6601D"/>
    <w:rsid w:val="00E6617E"/>
    <w:rsid w:val="00E6653D"/>
    <w:rsid w:val="00E668E7"/>
    <w:rsid w:val="00E674E4"/>
    <w:rsid w:val="00E675AA"/>
    <w:rsid w:val="00E67A70"/>
    <w:rsid w:val="00E67A8B"/>
    <w:rsid w:val="00E67E4C"/>
    <w:rsid w:val="00E67F8D"/>
    <w:rsid w:val="00E7067D"/>
    <w:rsid w:val="00E70768"/>
    <w:rsid w:val="00E70B71"/>
    <w:rsid w:val="00E70D87"/>
    <w:rsid w:val="00E70D89"/>
    <w:rsid w:val="00E716E6"/>
    <w:rsid w:val="00E718BA"/>
    <w:rsid w:val="00E71EEF"/>
    <w:rsid w:val="00E722F4"/>
    <w:rsid w:val="00E7231F"/>
    <w:rsid w:val="00E72609"/>
    <w:rsid w:val="00E727BD"/>
    <w:rsid w:val="00E72887"/>
    <w:rsid w:val="00E72A06"/>
    <w:rsid w:val="00E72B70"/>
    <w:rsid w:val="00E72C38"/>
    <w:rsid w:val="00E731DD"/>
    <w:rsid w:val="00E736C9"/>
    <w:rsid w:val="00E73700"/>
    <w:rsid w:val="00E737A6"/>
    <w:rsid w:val="00E73C56"/>
    <w:rsid w:val="00E73D09"/>
    <w:rsid w:val="00E73DD8"/>
    <w:rsid w:val="00E73F2A"/>
    <w:rsid w:val="00E7407A"/>
    <w:rsid w:val="00E7408B"/>
    <w:rsid w:val="00E74823"/>
    <w:rsid w:val="00E74B90"/>
    <w:rsid w:val="00E74BA0"/>
    <w:rsid w:val="00E75442"/>
    <w:rsid w:val="00E75529"/>
    <w:rsid w:val="00E7661B"/>
    <w:rsid w:val="00E76C75"/>
    <w:rsid w:val="00E76CA2"/>
    <w:rsid w:val="00E7716B"/>
    <w:rsid w:val="00E771B5"/>
    <w:rsid w:val="00E77CE8"/>
    <w:rsid w:val="00E80287"/>
    <w:rsid w:val="00E806AE"/>
    <w:rsid w:val="00E80717"/>
    <w:rsid w:val="00E8095F"/>
    <w:rsid w:val="00E80C8F"/>
    <w:rsid w:val="00E8120D"/>
    <w:rsid w:val="00E8144E"/>
    <w:rsid w:val="00E81714"/>
    <w:rsid w:val="00E81A4D"/>
    <w:rsid w:val="00E81D6C"/>
    <w:rsid w:val="00E820F6"/>
    <w:rsid w:val="00E82277"/>
    <w:rsid w:val="00E8239E"/>
    <w:rsid w:val="00E826FD"/>
    <w:rsid w:val="00E82849"/>
    <w:rsid w:val="00E82992"/>
    <w:rsid w:val="00E82A8F"/>
    <w:rsid w:val="00E82BE9"/>
    <w:rsid w:val="00E82D70"/>
    <w:rsid w:val="00E832A4"/>
    <w:rsid w:val="00E83748"/>
    <w:rsid w:val="00E83A05"/>
    <w:rsid w:val="00E83D4D"/>
    <w:rsid w:val="00E84025"/>
    <w:rsid w:val="00E841DC"/>
    <w:rsid w:val="00E842CC"/>
    <w:rsid w:val="00E84C03"/>
    <w:rsid w:val="00E84CC6"/>
    <w:rsid w:val="00E84D7D"/>
    <w:rsid w:val="00E8577D"/>
    <w:rsid w:val="00E85F5C"/>
    <w:rsid w:val="00E8607C"/>
    <w:rsid w:val="00E8622F"/>
    <w:rsid w:val="00E86246"/>
    <w:rsid w:val="00E8648E"/>
    <w:rsid w:val="00E86540"/>
    <w:rsid w:val="00E8755C"/>
    <w:rsid w:val="00E87673"/>
    <w:rsid w:val="00E87E9E"/>
    <w:rsid w:val="00E90246"/>
    <w:rsid w:val="00E9077F"/>
    <w:rsid w:val="00E90B8B"/>
    <w:rsid w:val="00E90B8E"/>
    <w:rsid w:val="00E90F9E"/>
    <w:rsid w:val="00E91002"/>
    <w:rsid w:val="00E914F1"/>
    <w:rsid w:val="00E91BE1"/>
    <w:rsid w:val="00E91EF7"/>
    <w:rsid w:val="00E925A1"/>
    <w:rsid w:val="00E927C2"/>
    <w:rsid w:val="00E92E68"/>
    <w:rsid w:val="00E92EDB"/>
    <w:rsid w:val="00E92F36"/>
    <w:rsid w:val="00E93850"/>
    <w:rsid w:val="00E938AC"/>
    <w:rsid w:val="00E94BDB"/>
    <w:rsid w:val="00E95869"/>
    <w:rsid w:val="00E95BD5"/>
    <w:rsid w:val="00E95E3B"/>
    <w:rsid w:val="00E95F8F"/>
    <w:rsid w:val="00E96028"/>
    <w:rsid w:val="00E96261"/>
    <w:rsid w:val="00E9645D"/>
    <w:rsid w:val="00E96C6C"/>
    <w:rsid w:val="00E97000"/>
    <w:rsid w:val="00E97116"/>
    <w:rsid w:val="00E973D0"/>
    <w:rsid w:val="00E97493"/>
    <w:rsid w:val="00E97585"/>
    <w:rsid w:val="00E97600"/>
    <w:rsid w:val="00E9772E"/>
    <w:rsid w:val="00E979A5"/>
    <w:rsid w:val="00E97BD8"/>
    <w:rsid w:val="00EA015D"/>
    <w:rsid w:val="00EA03D8"/>
    <w:rsid w:val="00EA0696"/>
    <w:rsid w:val="00EA09BB"/>
    <w:rsid w:val="00EA09F9"/>
    <w:rsid w:val="00EA0A3C"/>
    <w:rsid w:val="00EA0AB0"/>
    <w:rsid w:val="00EA0E77"/>
    <w:rsid w:val="00EA10C7"/>
    <w:rsid w:val="00EA1201"/>
    <w:rsid w:val="00EA17C8"/>
    <w:rsid w:val="00EA194D"/>
    <w:rsid w:val="00EA1ACD"/>
    <w:rsid w:val="00EA1AED"/>
    <w:rsid w:val="00EA1D66"/>
    <w:rsid w:val="00EA20AA"/>
    <w:rsid w:val="00EA26DB"/>
    <w:rsid w:val="00EA291C"/>
    <w:rsid w:val="00EA2E5E"/>
    <w:rsid w:val="00EA30ED"/>
    <w:rsid w:val="00EA32D3"/>
    <w:rsid w:val="00EA39D2"/>
    <w:rsid w:val="00EA409E"/>
    <w:rsid w:val="00EA43D6"/>
    <w:rsid w:val="00EA4AE9"/>
    <w:rsid w:val="00EA51C1"/>
    <w:rsid w:val="00EA571A"/>
    <w:rsid w:val="00EA59C9"/>
    <w:rsid w:val="00EA5C4E"/>
    <w:rsid w:val="00EA5C91"/>
    <w:rsid w:val="00EA6AD8"/>
    <w:rsid w:val="00EA6CC1"/>
    <w:rsid w:val="00EA6ED6"/>
    <w:rsid w:val="00EA6FDE"/>
    <w:rsid w:val="00EB0406"/>
    <w:rsid w:val="00EB0984"/>
    <w:rsid w:val="00EB09A7"/>
    <w:rsid w:val="00EB0CA8"/>
    <w:rsid w:val="00EB0EB0"/>
    <w:rsid w:val="00EB0ED8"/>
    <w:rsid w:val="00EB0F07"/>
    <w:rsid w:val="00EB11D6"/>
    <w:rsid w:val="00EB150D"/>
    <w:rsid w:val="00EB17F7"/>
    <w:rsid w:val="00EB1930"/>
    <w:rsid w:val="00EB1E09"/>
    <w:rsid w:val="00EB2708"/>
    <w:rsid w:val="00EB2830"/>
    <w:rsid w:val="00EB3013"/>
    <w:rsid w:val="00EB3196"/>
    <w:rsid w:val="00EB3694"/>
    <w:rsid w:val="00EB3700"/>
    <w:rsid w:val="00EB37D1"/>
    <w:rsid w:val="00EB3974"/>
    <w:rsid w:val="00EB3BA4"/>
    <w:rsid w:val="00EB3DCF"/>
    <w:rsid w:val="00EB449E"/>
    <w:rsid w:val="00EB4DCD"/>
    <w:rsid w:val="00EB4F33"/>
    <w:rsid w:val="00EB58F3"/>
    <w:rsid w:val="00EB5B99"/>
    <w:rsid w:val="00EB610D"/>
    <w:rsid w:val="00EB6346"/>
    <w:rsid w:val="00EB6381"/>
    <w:rsid w:val="00EB64B1"/>
    <w:rsid w:val="00EB653C"/>
    <w:rsid w:val="00EB6572"/>
    <w:rsid w:val="00EB69CF"/>
    <w:rsid w:val="00EB6E24"/>
    <w:rsid w:val="00EB6EA4"/>
    <w:rsid w:val="00EB6ED5"/>
    <w:rsid w:val="00EB78CD"/>
    <w:rsid w:val="00EB7B26"/>
    <w:rsid w:val="00EB7B92"/>
    <w:rsid w:val="00EB7C54"/>
    <w:rsid w:val="00EB7DA2"/>
    <w:rsid w:val="00EC0374"/>
    <w:rsid w:val="00EC0DC6"/>
    <w:rsid w:val="00EC0F74"/>
    <w:rsid w:val="00EC10B6"/>
    <w:rsid w:val="00EC16EB"/>
    <w:rsid w:val="00EC173F"/>
    <w:rsid w:val="00EC1865"/>
    <w:rsid w:val="00EC1CC4"/>
    <w:rsid w:val="00EC1CCD"/>
    <w:rsid w:val="00EC1D8E"/>
    <w:rsid w:val="00EC1E0C"/>
    <w:rsid w:val="00EC23FC"/>
    <w:rsid w:val="00EC297B"/>
    <w:rsid w:val="00EC29A7"/>
    <w:rsid w:val="00EC29D0"/>
    <w:rsid w:val="00EC31C9"/>
    <w:rsid w:val="00EC36B7"/>
    <w:rsid w:val="00EC3925"/>
    <w:rsid w:val="00EC3E1B"/>
    <w:rsid w:val="00EC406F"/>
    <w:rsid w:val="00EC44A1"/>
    <w:rsid w:val="00EC5DA0"/>
    <w:rsid w:val="00EC6711"/>
    <w:rsid w:val="00EC719B"/>
    <w:rsid w:val="00EC7676"/>
    <w:rsid w:val="00EC79F8"/>
    <w:rsid w:val="00ED010A"/>
    <w:rsid w:val="00ED078F"/>
    <w:rsid w:val="00ED1367"/>
    <w:rsid w:val="00ED1476"/>
    <w:rsid w:val="00ED1C69"/>
    <w:rsid w:val="00ED2162"/>
    <w:rsid w:val="00ED25F4"/>
    <w:rsid w:val="00ED271F"/>
    <w:rsid w:val="00ED3174"/>
    <w:rsid w:val="00ED3246"/>
    <w:rsid w:val="00ED3600"/>
    <w:rsid w:val="00ED3857"/>
    <w:rsid w:val="00ED3929"/>
    <w:rsid w:val="00ED3DF9"/>
    <w:rsid w:val="00ED4215"/>
    <w:rsid w:val="00ED52A9"/>
    <w:rsid w:val="00ED56BC"/>
    <w:rsid w:val="00ED5FD4"/>
    <w:rsid w:val="00ED61AA"/>
    <w:rsid w:val="00ED7364"/>
    <w:rsid w:val="00ED73EA"/>
    <w:rsid w:val="00ED77ED"/>
    <w:rsid w:val="00ED7957"/>
    <w:rsid w:val="00ED7B96"/>
    <w:rsid w:val="00ED7BC4"/>
    <w:rsid w:val="00ED7BC9"/>
    <w:rsid w:val="00ED7C74"/>
    <w:rsid w:val="00ED7E6C"/>
    <w:rsid w:val="00EE04F4"/>
    <w:rsid w:val="00EE089B"/>
    <w:rsid w:val="00EE0C84"/>
    <w:rsid w:val="00EE0DF2"/>
    <w:rsid w:val="00EE1098"/>
    <w:rsid w:val="00EE2262"/>
    <w:rsid w:val="00EE248B"/>
    <w:rsid w:val="00EE2702"/>
    <w:rsid w:val="00EE28EB"/>
    <w:rsid w:val="00EE2995"/>
    <w:rsid w:val="00EE3099"/>
    <w:rsid w:val="00EE35E4"/>
    <w:rsid w:val="00EE3AC1"/>
    <w:rsid w:val="00EE3AF9"/>
    <w:rsid w:val="00EE3B91"/>
    <w:rsid w:val="00EE3B97"/>
    <w:rsid w:val="00EE3C91"/>
    <w:rsid w:val="00EE3CB0"/>
    <w:rsid w:val="00EE43DF"/>
    <w:rsid w:val="00EE480F"/>
    <w:rsid w:val="00EE4ADF"/>
    <w:rsid w:val="00EE4C00"/>
    <w:rsid w:val="00EE4C48"/>
    <w:rsid w:val="00EE5156"/>
    <w:rsid w:val="00EE51F7"/>
    <w:rsid w:val="00EE5471"/>
    <w:rsid w:val="00EE5535"/>
    <w:rsid w:val="00EE58CA"/>
    <w:rsid w:val="00EE5A7D"/>
    <w:rsid w:val="00EE5CF9"/>
    <w:rsid w:val="00EE63A5"/>
    <w:rsid w:val="00EE6850"/>
    <w:rsid w:val="00EE6E4D"/>
    <w:rsid w:val="00EE730D"/>
    <w:rsid w:val="00EE7410"/>
    <w:rsid w:val="00EE7EF5"/>
    <w:rsid w:val="00EF1014"/>
    <w:rsid w:val="00EF107D"/>
    <w:rsid w:val="00EF1122"/>
    <w:rsid w:val="00EF12CE"/>
    <w:rsid w:val="00EF1617"/>
    <w:rsid w:val="00EF17A7"/>
    <w:rsid w:val="00EF2373"/>
    <w:rsid w:val="00EF23A9"/>
    <w:rsid w:val="00EF28B7"/>
    <w:rsid w:val="00EF2EA2"/>
    <w:rsid w:val="00EF3A65"/>
    <w:rsid w:val="00EF3A86"/>
    <w:rsid w:val="00EF411B"/>
    <w:rsid w:val="00EF429D"/>
    <w:rsid w:val="00EF433F"/>
    <w:rsid w:val="00EF446C"/>
    <w:rsid w:val="00EF4978"/>
    <w:rsid w:val="00EF4ED7"/>
    <w:rsid w:val="00EF5027"/>
    <w:rsid w:val="00EF5363"/>
    <w:rsid w:val="00EF5642"/>
    <w:rsid w:val="00EF5798"/>
    <w:rsid w:val="00EF5CA4"/>
    <w:rsid w:val="00EF5D37"/>
    <w:rsid w:val="00EF626C"/>
    <w:rsid w:val="00EF6390"/>
    <w:rsid w:val="00EF66EF"/>
    <w:rsid w:val="00EF68E2"/>
    <w:rsid w:val="00EF6DBD"/>
    <w:rsid w:val="00EF6E9B"/>
    <w:rsid w:val="00EF72F2"/>
    <w:rsid w:val="00EF740F"/>
    <w:rsid w:val="00EF789A"/>
    <w:rsid w:val="00EF7BF8"/>
    <w:rsid w:val="00F00496"/>
    <w:rsid w:val="00F00CE1"/>
    <w:rsid w:val="00F00CFE"/>
    <w:rsid w:val="00F00D3B"/>
    <w:rsid w:val="00F00D42"/>
    <w:rsid w:val="00F013B5"/>
    <w:rsid w:val="00F017D2"/>
    <w:rsid w:val="00F01B1A"/>
    <w:rsid w:val="00F01BC7"/>
    <w:rsid w:val="00F01E2D"/>
    <w:rsid w:val="00F02F7A"/>
    <w:rsid w:val="00F03024"/>
    <w:rsid w:val="00F03564"/>
    <w:rsid w:val="00F035BD"/>
    <w:rsid w:val="00F0388F"/>
    <w:rsid w:val="00F03AD1"/>
    <w:rsid w:val="00F03C0B"/>
    <w:rsid w:val="00F03E41"/>
    <w:rsid w:val="00F0411F"/>
    <w:rsid w:val="00F043AC"/>
    <w:rsid w:val="00F0443B"/>
    <w:rsid w:val="00F0444D"/>
    <w:rsid w:val="00F044F5"/>
    <w:rsid w:val="00F04917"/>
    <w:rsid w:val="00F04982"/>
    <w:rsid w:val="00F04C8F"/>
    <w:rsid w:val="00F05361"/>
    <w:rsid w:val="00F057BE"/>
    <w:rsid w:val="00F058F7"/>
    <w:rsid w:val="00F05AD8"/>
    <w:rsid w:val="00F06217"/>
    <w:rsid w:val="00F06A70"/>
    <w:rsid w:val="00F06DA2"/>
    <w:rsid w:val="00F06F74"/>
    <w:rsid w:val="00F07770"/>
    <w:rsid w:val="00F07BDD"/>
    <w:rsid w:val="00F100A4"/>
    <w:rsid w:val="00F10799"/>
    <w:rsid w:val="00F10DCE"/>
    <w:rsid w:val="00F1110F"/>
    <w:rsid w:val="00F11128"/>
    <w:rsid w:val="00F11377"/>
    <w:rsid w:val="00F1151D"/>
    <w:rsid w:val="00F120DB"/>
    <w:rsid w:val="00F124F5"/>
    <w:rsid w:val="00F12623"/>
    <w:rsid w:val="00F12A41"/>
    <w:rsid w:val="00F12C52"/>
    <w:rsid w:val="00F12F61"/>
    <w:rsid w:val="00F1398B"/>
    <w:rsid w:val="00F13A06"/>
    <w:rsid w:val="00F13AA9"/>
    <w:rsid w:val="00F13CDD"/>
    <w:rsid w:val="00F13DA3"/>
    <w:rsid w:val="00F13E59"/>
    <w:rsid w:val="00F13E81"/>
    <w:rsid w:val="00F13FB6"/>
    <w:rsid w:val="00F14371"/>
    <w:rsid w:val="00F14439"/>
    <w:rsid w:val="00F146AD"/>
    <w:rsid w:val="00F14A25"/>
    <w:rsid w:val="00F150A4"/>
    <w:rsid w:val="00F16628"/>
    <w:rsid w:val="00F17169"/>
    <w:rsid w:val="00F178FD"/>
    <w:rsid w:val="00F17B97"/>
    <w:rsid w:val="00F17D33"/>
    <w:rsid w:val="00F204F3"/>
    <w:rsid w:val="00F208FF"/>
    <w:rsid w:val="00F20945"/>
    <w:rsid w:val="00F216B8"/>
    <w:rsid w:val="00F2191A"/>
    <w:rsid w:val="00F21B4C"/>
    <w:rsid w:val="00F21E4B"/>
    <w:rsid w:val="00F2234D"/>
    <w:rsid w:val="00F22EAA"/>
    <w:rsid w:val="00F232DC"/>
    <w:rsid w:val="00F233E8"/>
    <w:rsid w:val="00F23916"/>
    <w:rsid w:val="00F23C26"/>
    <w:rsid w:val="00F23EEC"/>
    <w:rsid w:val="00F24021"/>
    <w:rsid w:val="00F242E2"/>
    <w:rsid w:val="00F244A7"/>
    <w:rsid w:val="00F2481D"/>
    <w:rsid w:val="00F25284"/>
    <w:rsid w:val="00F254B5"/>
    <w:rsid w:val="00F257FD"/>
    <w:rsid w:val="00F2587E"/>
    <w:rsid w:val="00F259E4"/>
    <w:rsid w:val="00F25B95"/>
    <w:rsid w:val="00F25D87"/>
    <w:rsid w:val="00F25DCB"/>
    <w:rsid w:val="00F26F7F"/>
    <w:rsid w:val="00F27656"/>
    <w:rsid w:val="00F27CB5"/>
    <w:rsid w:val="00F27CD2"/>
    <w:rsid w:val="00F3008B"/>
    <w:rsid w:val="00F3070A"/>
    <w:rsid w:val="00F30AB8"/>
    <w:rsid w:val="00F30E3E"/>
    <w:rsid w:val="00F30FB8"/>
    <w:rsid w:val="00F3176A"/>
    <w:rsid w:val="00F3177C"/>
    <w:rsid w:val="00F318AA"/>
    <w:rsid w:val="00F31E7A"/>
    <w:rsid w:val="00F321D0"/>
    <w:rsid w:val="00F32735"/>
    <w:rsid w:val="00F32A08"/>
    <w:rsid w:val="00F32A47"/>
    <w:rsid w:val="00F32E27"/>
    <w:rsid w:val="00F33576"/>
    <w:rsid w:val="00F33871"/>
    <w:rsid w:val="00F3418E"/>
    <w:rsid w:val="00F34564"/>
    <w:rsid w:val="00F34BF4"/>
    <w:rsid w:val="00F34D31"/>
    <w:rsid w:val="00F34D3A"/>
    <w:rsid w:val="00F352CC"/>
    <w:rsid w:val="00F354B5"/>
    <w:rsid w:val="00F35F25"/>
    <w:rsid w:val="00F360FF"/>
    <w:rsid w:val="00F36711"/>
    <w:rsid w:val="00F36823"/>
    <w:rsid w:val="00F37008"/>
    <w:rsid w:val="00F3783A"/>
    <w:rsid w:val="00F378B9"/>
    <w:rsid w:val="00F37B48"/>
    <w:rsid w:val="00F37BA6"/>
    <w:rsid w:val="00F37BBF"/>
    <w:rsid w:val="00F40F6B"/>
    <w:rsid w:val="00F41420"/>
    <w:rsid w:val="00F4194E"/>
    <w:rsid w:val="00F4219F"/>
    <w:rsid w:val="00F423B7"/>
    <w:rsid w:val="00F42B1D"/>
    <w:rsid w:val="00F4370C"/>
    <w:rsid w:val="00F43D56"/>
    <w:rsid w:val="00F43F3E"/>
    <w:rsid w:val="00F444BD"/>
    <w:rsid w:val="00F44787"/>
    <w:rsid w:val="00F44A2B"/>
    <w:rsid w:val="00F451FD"/>
    <w:rsid w:val="00F45665"/>
    <w:rsid w:val="00F45870"/>
    <w:rsid w:val="00F458EB"/>
    <w:rsid w:val="00F45BA6"/>
    <w:rsid w:val="00F45C1C"/>
    <w:rsid w:val="00F45DCF"/>
    <w:rsid w:val="00F45E5B"/>
    <w:rsid w:val="00F4618F"/>
    <w:rsid w:val="00F462B9"/>
    <w:rsid w:val="00F46455"/>
    <w:rsid w:val="00F466F2"/>
    <w:rsid w:val="00F469AB"/>
    <w:rsid w:val="00F46B2F"/>
    <w:rsid w:val="00F46B37"/>
    <w:rsid w:val="00F46B62"/>
    <w:rsid w:val="00F46F40"/>
    <w:rsid w:val="00F478C5"/>
    <w:rsid w:val="00F47BC3"/>
    <w:rsid w:val="00F47EC4"/>
    <w:rsid w:val="00F47F7C"/>
    <w:rsid w:val="00F50252"/>
    <w:rsid w:val="00F5036C"/>
    <w:rsid w:val="00F5051D"/>
    <w:rsid w:val="00F50754"/>
    <w:rsid w:val="00F50772"/>
    <w:rsid w:val="00F50F40"/>
    <w:rsid w:val="00F5127A"/>
    <w:rsid w:val="00F519A7"/>
    <w:rsid w:val="00F51A09"/>
    <w:rsid w:val="00F5215A"/>
    <w:rsid w:val="00F521B2"/>
    <w:rsid w:val="00F524F8"/>
    <w:rsid w:val="00F5251C"/>
    <w:rsid w:val="00F5266A"/>
    <w:rsid w:val="00F53059"/>
    <w:rsid w:val="00F5307C"/>
    <w:rsid w:val="00F53507"/>
    <w:rsid w:val="00F537C0"/>
    <w:rsid w:val="00F53814"/>
    <w:rsid w:val="00F538AA"/>
    <w:rsid w:val="00F53C12"/>
    <w:rsid w:val="00F547B8"/>
    <w:rsid w:val="00F548B4"/>
    <w:rsid w:val="00F5496D"/>
    <w:rsid w:val="00F54B91"/>
    <w:rsid w:val="00F54EAA"/>
    <w:rsid w:val="00F5532C"/>
    <w:rsid w:val="00F55BC4"/>
    <w:rsid w:val="00F55BD9"/>
    <w:rsid w:val="00F55C4F"/>
    <w:rsid w:val="00F55FBA"/>
    <w:rsid w:val="00F56412"/>
    <w:rsid w:val="00F568FA"/>
    <w:rsid w:val="00F56DEC"/>
    <w:rsid w:val="00F57046"/>
    <w:rsid w:val="00F5707E"/>
    <w:rsid w:val="00F5727F"/>
    <w:rsid w:val="00F57935"/>
    <w:rsid w:val="00F57B81"/>
    <w:rsid w:val="00F57F65"/>
    <w:rsid w:val="00F602BB"/>
    <w:rsid w:val="00F60422"/>
    <w:rsid w:val="00F6127E"/>
    <w:rsid w:val="00F61345"/>
    <w:rsid w:val="00F615C3"/>
    <w:rsid w:val="00F61CCA"/>
    <w:rsid w:val="00F623A1"/>
    <w:rsid w:val="00F62943"/>
    <w:rsid w:val="00F62F0F"/>
    <w:rsid w:val="00F62FCE"/>
    <w:rsid w:val="00F62FF2"/>
    <w:rsid w:val="00F6320C"/>
    <w:rsid w:val="00F63382"/>
    <w:rsid w:val="00F63528"/>
    <w:rsid w:val="00F63BA6"/>
    <w:rsid w:val="00F65255"/>
    <w:rsid w:val="00F65440"/>
    <w:rsid w:val="00F65A27"/>
    <w:rsid w:val="00F665A7"/>
    <w:rsid w:val="00F665FB"/>
    <w:rsid w:val="00F66BB2"/>
    <w:rsid w:val="00F66DC0"/>
    <w:rsid w:val="00F671F3"/>
    <w:rsid w:val="00F6741D"/>
    <w:rsid w:val="00F67670"/>
    <w:rsid w:val="00F6774F"/>
    <w:rsid w:val="00F67CF0"/>
    <w:rsid w:val="00F67FD2"/>
    <w:rsid w:val="00F705A3"/>
    <w:rsid w:val="00F70871"/>
    <w:rsid w:val="00F70CAC"/>
    <w:rsid w:val="00F70D62"/>
    <w:rsid w:val="00F70E41"/>
    <w:rsid w:val="00F7131B"/>
    <w:rsid w:val="00F713EA"/>
    <w:rsid w:val="00F71596"/>
    <w:rsid w:val="00F715E7"/>
    <w:rsid w:val="00F717F3"/>
    <w:rsid w:val="00F72086"/>
    <w:rsid w:val="00F7292C"/>
    <w:rsid w:val="00F73151"/>
    <w:rsid w:val="00F732C2"/>
    <w:rsid w:val="00F73388"/>
    <w:rsid w:val="00F733E1"/>
    <w:rsid w:val="00F73500"/>
    <w:rsid w:val="00F73A7A"/>
    <w:rsid w:val="00F73AF2"/>
    <w:rsid w:val="00F73BBA"/>
    <w:rsid w:val="00F73D59"/>
    <w:rsid w:val="00F747FA"/>
    <w:rsid w:val="00F7482B"/>
    <w:rsid w:val="00F74F94"/>
    <w:rsid w:val="00F754A6"/>
    <w:rsid w:val="00F76011"/>
    <w:rsid w:val="00F76AB9"/>
    <w:rsid w:val="00F77142"/>
    <w:rsid w:val="00F77AE7"/>
    <w:rsid w:val="00F77C39"/>
    <w:rsid w:val="00F77CF3"/>
    <w:rsid w:val="00F80069"/>
    <w:rsid w:val="00F8013D"/>
    <w:rsid w:val="00F80224"/>
    <w:rsid w:val="00F803CD"/>
    <w:rsid w:val="00F80793"/>
    <w:rsid w:val="00F80CDA"/>
    <w:rsid w:val="00F81145"/>
    <w:rsid w:val="00F81651"/>
    <w:rsid w:val="00F81666"/>
    <w:rsid w:val="00F818AF"/>
    <w:rsid w:val="00F81E60"/>
    <w:rsid w:val="00F82323"/>
    <w:rsid w:val="00F82D29"/>
    <w:rsid w:val="00F83750"/>
    <w:rsid w:val="00F84235"/>
    <w:rsid w:val="00F8453D"/>
    <w:rsid w:val="00F84750"/>
    <w:rsid w:val="00F84949"/>
    <w:rsid w:val="00F84F49"/>
    <w:rsid w:val="00F8557F"/>
    <w:rsid w:val="00F8616C"/>
    <w:rsid w:val="00F870F9"/>
    <w:rsid w:val="00F87778"/>
    <w:rsid w:val="00F8777F"/>
    <w:rsid w:val="00F90ADD"/>
    <w:rsid w:val="00F91123"/>
    <w:rsid w:val="00F91644"/>
    <w:rsid w:val="00F91907"/>
    <w:rsid w:val="00F91A13"/>
    <w:rsid w:val="00F91BC5"/>
    <w:rsid w:val="00F91CCF"/>
    <w:rsid w:val="00F9211E"/>
    <w:rsid w:val="00F92C78"/>
    <w:rsid w:val="00F9306B"/>
    <w:rsid w:val="00F93195"/>
    <w:rsid w:val="00F9319A"/>
    <w:rsid w:val="00F9337F"/>
    <w:rsid w:val="00F9372D"/>
    <w:rsid w:val="00F93901"/>
    <w:rsid w:val="00F93FCB"/>
    <w:rsid w:val="00F94C71"/>
    <w:rsid w:val="00F94EC9"/>
    <w:rsid w:val="00F95283"/>
    <w:rsid w:val="00F958B8"/>
    <w:rsid w:val="00F95C1D"/>
    <w:rsid w:val="00F9653D"/>
    <w:rsid w:val="00F970C8"/>
    <w:rsid w:val="00F97E1F"/>
    <w:rsid w:val="00FA04F1"/>
    <w:rsid w:val="00FA04F3"/>
    <w:rsid w:val="00FA08E2"/>
    <w:rsid w:val="00FA0EF2"/>
    <w:rsid w:val="00FA15D7"/>
    <w:rsid w:val="00FA15FB"/>
    <w:rsid w:val="00FA200D"/>
    <w:rsid w:val="00FA21E6"/>
    <w:rsid w:val="00FA31FC"/>
    <w:rsid w:val="00FA3633"/>
    <w:rsid w:val="00FA38C7"/>
    <w:rsid w:val="00FA3C68"/>
    <w:rsid w:val="00FA40CA"/>
    <w:rsid w:val="00FA41D7"/>
    <w:rsid w:val="00FA438D"/>
    <w:rsid w:val="00FA4F83"/>
    <w:rsid w:val="00FA5133"/>
    <w:rsid w:val="00FA53B3"/>
    <w:rsid w:val="00FA5BE0"/>
    <w:rsid w:val="00FA6231"/>
    <w:rsid w:val="00FA637C"/>
    <w:rsid w:val="00FA685E"/>
    <w:rsid w:val="00FA6A55"/>
    <w:rsid w:val="00FA6B7B"/>
    <w:rsid w:val="00FA7087"/>
    <w:rsid w:val="00FA728E"/>
    <w:rsid w:val="00FA75EA"/>
    <w:rsid w:val="00FA767D"/>
    <w:rsid w:val="00FA77CF"/>
    <w:rsid w:val="00FB018A"/>
    <w:rsid w:val="00FB0D98"/>
    <w:rsid w:val="00FB0E68"/>
    <w:rsid w:val="00FB112C"/>
    <w:rsid w:val="00FB165B"/>
    <w:rsid w:val="00FB2105"/>
    <w:rsid w:val="00FB2297"/>
    <w:rsid w:val="00FB23C1"/>
    <w:rsid w:val="00FB248D"/>
    <w:rsid w:val="00FB2691"/>
    <w:rsid w:val="00FB2CFB"/>
    <w:rsid w:val="00FB322E"/>
    <w:rsid w:val="00FB3DD3"/>
    <w:rsid w:val="00FB3F07"/>
    <w:rsid w:val="00FB3F6F"/>
    <w:rsid w:val="00FB42FA"/>
    <w:rsid w:val="00FB43E8"/>
    <w:rsid w:val="00FB49A1"/>
    <w:rsid w:val="00FB4D4E"/>
    <w:rsid w:val="00FB4E87"/>
    <w:rsid w:val="00FB531B"/>
    <w:rsid w:val="00FB564D"/>
    <w:rsid w:val="00FB5809"/>
    <w:rsid w:val="00FB5AEC"/>
    <w:rsid w:val="00FB5C87"/>
    <w:rsid w:val="00FB5F5C"/>
    <w:rsid w:val="00FB5FD0"/>
    <w:rsid w:val="00FB640B"/>
    <w:rsid w:val="00FB6A55"/>
    <w:rsid w:val="00FB6A8A"/>
    <w:rsid w:val="00FB705A"/>
    <w:rsid w:val="00FB7229"/>
    <w:rsid w:val="00FB7CEE"/>
    <w:rsid w:val="00FB7D43"/>
    <w:rsid w:val="00FB7ED1"/>
    <w:rsid w:val="00FB7FEF"/>
    <w:rsid w:val="00FC0454"/>
    <w:rsid w:val="00FC1212"/>
    <w:rsid w:val="00FC16FF"/>
    <w:rsid w:val="00FC2115"/>
    <w:rsid w:val="00FC22FF"/>
    <w:rsid w:val="00FC2893"/>
    <w:rsid w:val="00FC2950"/>
    <w:rsid w:val="00FC2A8F"/>
    <w:rsid w:val="00FC2F39"/>
    <w:rsid w:val="00FC32D8"/>
    <w:rsid w:val="00FC33FF"/>
    <w:rsid w:val="00FC3E5E"/>
    <w:rsid w:val="00FC41C6"/>
    <w:rsid w:val="00FC432A"/>
    <w:rsid w:val="00FC44D7"/>
    <w:rsid w:val="00FC4D34"/>
    <w:rsid w:val="00FC4DBA"/>
    <w:rsid w:val="00FC502D"/>
    <w:rsid w:val="00FC5269"/>
    <w:rsid w:val="00FC56A8"/>
    <w:rsid w:val="00FC581A"/>
    <w:rsid w:val="00FC5A57"/>
    <w:rsid w:val="00FC618F"/>
    <w:rsid w:val="00FC641A"/>
    <w:rsid w:val="00FC738B"/>
    <w:rsid w:val="00FC75C5"/>
    <w:rsid w:val="00FC79BA"/>
    <w:rsid w:val="00FC7A2C"/>
    <w:rsid w:val="00FC7B26"/>
    <w:rsid w:val="00FC7CB1"/>
    <w:rsid w:val="00FD042B"/>
    <w:rsid w:val="00FD056E"/>
    <w:rsid w:val="00FD0925"/>
    <w:rsid w:val="00FD0D7D"/>
    <w:rsid w:val="00FD0F5B"/>
    <w:rsid w:val="00FD107C"/>
    <w:rsid w:val="00FD15CB"/>
    <w:rsid w:val="00FD197C"/>
    <w:rsid w:val="00FD1B56"/>
    <w:rsid w:val="00FD20CF"/>
    <w:rsid w:val="00FD27A5"/>
    <w:rsid w:val="00FD2A77"/>
    <w:rsid w:val="00FD2BBD"/>
    <w:rsid w:val="00FD3123"/>
    <w:rsid w:val="00FD31FC"/>
    <w:rsid w:val="00FD3401"/>
    <w:rsid w:val="00FD3907"/>
    <w:rsid w:val="00FD3A86"/>
    <w:rsid w:val="00FD47C8"/>
    <w:rsid w:val="00FD4EF5"/>
    <w:rsid w:val="00FD5638"/>
    <w:rsid w:val="00FD5FE0"/>
    <w:rsid w:val="00FD6488"/>
    <w:rsid w:val="00FD66E4"/>
    <w:rsid w:val="00FD6727"/>
    <w:rsid w:val="00FD6B5A"/>
    <w:rsid w:val="00FD6EEF"/>
    <w:rsid w:val="00FD755E"/>
    <w:rsid w:val="00FD7861"/>
    <w:rsid w:val="00FD786F"/>
    <w:rsid w:val="00FE0349"/>
    <w:rsid w:val="00FE0A25"/>
    <w:rsid w:val="00FE0B87"/>
    <w:rsid w:val="00FE0BB6"/>
    <w:rsid w:val="00FE0E95"/>
    <w:rsid w:val="00FE0F43"/>
    <w:rsid w:val="00FE11D4"/>
    <w:rsid w:val="00FE120E"/>
    <w:rsid w:val="00FE1263"/>
    <w:rsid w:val="00FE12AA"/>
    <w:rsid w:val="00FE1304"/>
    <w:rsid w:val="00FE1B42"/>
    <w:rsid w:val="00FE1BD2"/>
    <w:rsid w:val="00FE1C2A"/>
    <w:rsid w:val="00FE232A"/>
    <w:rsid w:val="00FE2851"/>
    <w:rsid w:val="00FE2BF7"/>
    <w:rsid w:val="00FE339A"/>
    <w:rsid w:val="00FE3704"/>
    <w:rsid w:val="00FE39F6"/>
    <w:rsid w:val="00FE3AD6"/>
    <w:rsid w:val="00FE3ADC"/>
    <w:rsid w:val="00FE3F1C"/>
    <w:rsid w:val="00FE4079"/>
    <w:rsid w:val="00FE46B4"/>
    <w:rsid w:val="00FE484C"/>
    <w:rsid w:val="00FE4C45"/>
    <w:rsid w:val="00FE4CF1"/>
    <w:rsid w:val="00FE4CFE"/>
    <w:rsid w:val="00FE50B8"/>
    <w:rsid w:val="00FE517B"/>
    <w:rsid w:val="00FE56EF"/>
    <w:rsid w:val="00FE5DE6"/>
    <w:rsid w:val="00FE5EA2"/>
    <w:rsid w:val="00FE5FDC"/>
    <w:rsid w:val="00FE64E6"/>
    <w:rsid w:val="00FE72A0"/>
    <w:rsid w:val="00FF0282"/>
    <w:rsid w:val="00FF0775"/>
    <w:rsid w:val="00FF07B7"/>
    <w:rsid w:val="00FF0C96"/>
    <w:rsid w:val="00FF0CB9"/>
    <w:rsid w:val="00FF1154"/>
    <w:rsid w:val="00FF130D"/>
    <w:rsid w:val="00FF172C"/>
    <w:rsid w:val="00FF21B2"/>
    <w:rsid w:val="00FF2723"/>
    <w:rsid w:val="00FF27B1"/>
    <w:rsid w:val="00FF282C"/>
    <w:rsid w:val="00FF2C8C"/>
    <w:rsid w:val="00FF2D18"/>
    <w:rsid w:val="00FF2DAD"/>
    <w:rsid w:val="00FF37D6"/>
    <w:rsid w:val="00FF41C7"/>
    <w:rsid w:val="00FF451D"/>
    <w:rsid w:val="00FF4681"/>
    <w:rsid w:val="00FF4718"/>
    <w:rsid w:val="00FF4E66"/>
    <w:rsid w:val="00FF4F3C"/>
    <w:rsid w:val="00FF5252"/>
    <w:rsid w:val="00FF531A"/>
    <w:rsid w:val="00FF5543"/>
    <w:rsid w:val="00FF5714"/>
    <w:rsid w:val="00FF5765"/>
    <w:rsid w:val="00FF6019"/>
    <w:rsid w:val="00FF6683"/>
    <w:rsid w:val="00FF66BF"/>
    <w:rsid w:val="00FF6740"/>
    <w:rsid w:val="00FF682A"/>
    <w:rsid w:val="00FF6966"/>
    <w:rsid w:val="00FF6981"/>
    <w:rsid w:val="00FF7857"/>
    <w:rsid w:val="00FF7D1F"/>
    <w:rsid w:val="00FF7E5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0656893C"/>
  <w15:docId w15:val="{391190C7-76A7-4E8C-AD6F-6CD64D756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sz w:val="22"/>
        <w:szCs w:val="22"/>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uiPriority="9"/>
    <w:lsdException w:name="heading 6" w:uiPriority="9"/>
    <w:lsdException w:name="heading 7" w:semiHidden="1" w:uiPriority="9"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5A313E"/>
    <w:pPr>
      <w:spacing w:before="120" w:after="120" w:line="360" w:lineRule="auto"/>
    </w:pPr>
  </w:style>
  <w:style w:type="paragraph" w:styleId="Heading1">
    <w:name w:val="heading 1"/>
    <w:next w:val="Normal"/>
    <w:link w:val="Heading1Char"/>
    <w:qFormat/>
    <w:rsid w:val="00497504"/>
    <w:pPr>
      <w:keepNext/>
      <w:spacing w:before="240" w:after="60"/>
      <w:outlineLvl w:val="0"/>
    </w:pPr>
    <w:rPr>
      <w:rFonts w:eastAsiaTheme="majorEastAsia" w:cs="Arial"/>
      <w:b/>
      <w:bCs/>
      <w:color w:val="3F4A75"/>
      <w:kern w:val="28"/>
      <w:sz w:val="44"/>
      <w:szCs w:val="36"/>
      <w:lang w:eastAsia="en-US"/>
    </w:rPr>
  </w:style>
  <w:style w:type="paragraph" w:styleId="Heading2">
    <w:name w:val="heading 2"/>
    <w:next w:val="Normal"/>
    <w:link w:val="Heading2Char"/>
    <w:qFormat/>
    <w:rsid w:val="00C06ACB"/>
    <w:pPr>
      <w:keepNext/>
      <w:spacing w:before="240" w:after="60"/>
      <w:ind w:left="1134" w:hanging="1134"/>
      <w:outlineLvl w:val="1"/>
    </w:pPr>
    <w:rPr>
      <w:rFonts w:eastAsiaTheme="majorEastAsia" w:cs="Arial"/>
      <w:b/>
      <w:bCs/>
      <w:iCs/>
      <w:color w:val="358189"/>
      <w:sz w:val="36"/>
      <w:szCs w:val="28"/>
      <w:lang w:eastAsia="en-US"/>
    </w:rPr>
  </w:style>
  <w:style w:type="paragraph" w:styleId="Heading3">
    <w:name w:val="heading 3"/>
    <w:next w:val="Normal"/>
    <w:link w:val="Heading3Char"/>
    <w:qFormat/>
    <w:rsid w:val="008E2FA4"/>
    <w:pPr>
      <w:keepNext/>
      <w:spacing w:before="180" w:after="240" w:line="276" w:lineRule="auto"/>
      <w:ind w:left="1134" w:hanging="1134"/>
      <w:outlineLvl w:val="2"/>
    </w:pPr>
    <w:rPr>
      <w:rFonts w:eastAsiaTheme="majorEastAsia" w:cs="Arial"/>
      <w:b/>
      <w:bCs/>
      <w:color w:val="358189"/>
      <w:sz w:val="32"/>
      <w:szCs w:val="26"/>
      <w:lang w:eastAsia="en-US"/>
    </w:rPr>
  </w:style>
  <w:style w:type="paragraph" w:styleId="Heading4">
    <w:name w:val="heading 4"/>
    <w:next w:val="Normal"/>
    <w:link w:val="Heading4Char"/>
    <w:qFormat/>
    <w:rsid w:val="008E2FA4"/>
    <w:pPr>
      <w:keepNext/>
      <w:spacing w:before="240" w:after="60"/>
      <w:outlineLvl w:val="3"/>
    </w:pPr>
    <w:rPr>
      <w:rFonts w:eastAsiaTheme="majorEastAsia" w:cstheme="majorBidi"/>
      <w:b/>
      <w:bCs/>
      <w:color w:val="3F4A75"/>
      <w:sz w:val="28"/>
      <w:szCs w:val="28"/>
      <w:lang w:eastAsia="en-US"/>
    </w:rPr>
  </w:style>
  <w:style w:type="paragraph" w:styleId="Heading5">
    <w:name w:val="heading 5"/>
    <w:basedOn w:val="Normal"/>
    <w:next w:val="Normal"/>
    <w:link w:val="Heading5Char"/>
    <w:uiPriority w:val="9"/>
    <w:unhideWhenUsed/>
    <w:rsid w:val="0074195F"/>
    <w:pPr>
      <w:keepNext/>
      <w:keepLines/>
      <w:spacing w:before="40" w:after="0"/>
      <w:outlineLvl w:val="4"/>
    </w:pPr>
    <w:rPr>
      <w:rFonts w:eastAsiaTheme="majorEastAsia" w:cstheme="majorBidi"/>
      <w:b/>
      <w:color w:val="3F4A75"/>
      <w:sz w:val="24"/>
    </w:rPr>
  </w:style>
  <w:style w:type="paragraph" w:styleId="Heading6">
    <w:name w:val="heading 6"/>
    <w:basedOn w:val="Normal"/>
    <w:next w:val="Normal"/>
    <w:link w:val="Heading6Char"/>
    <w:uiPriority w:val="9"/>
    <w:unhideWhenUsed/>
    <w:rsid w:val="00557469"/>
    <w:pPr>
      <w:keepNext/>
      <w:keepLines/>
      <w:spacing w:before="40" w:after="0"/>
      <w:outlineLvl w:val="5"/>
    </w:pPr>
    <w:rPr>
      <w:rFonts w:asciiTheme="majorHAnsi" w:eastAsiaTheme="majorEastAsia" w:hAnsiTheme="majorHAnsi" w:cstheme="majorBidi"/>
    </w:rPr>
  </w:style>
  <w:style w:type="paragraph" w:styleId="Heading7">
    <w:name w:val="heading 7"/>
    <w:basedOn w:val="Normal"/>
    <w:next w:val="Normal"/>
    <w:link w:val="Heading7Char"/>
    <w:uiPriority w:val="9"/>
    <w:unhideWhenUsed/>
    <w:rsid w:val="00557469"/>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semiHidden/>
    <w:unhideWhenUsed/>
    <w:qFormat/>
    <w:rsid w:val="00557469"/>
    <w:pPr>
      <w:keepNext/>
      <w:keepLines/>
      <w:spacing w:before="40"/>
      <w:outlineLvl w:val="7"/>
    </w:pPr>
    <w:rPr>
      <w:rFonts w:asciiTheme="majorHAnsi" w:eastAsiaTheme="majorEastAsia" w:hAnsiTheme="majorHAnsi" w:cstheme="majorBidi"/>
      <w:color w:val="272727" w:themeColor="text1" w:themeTint="D8"/>
      <w:sz w:val="21"/>
      <w:szCs w:val="21"/>
      <w:lang w:eastAsia="en-US"/>
    </w:rPr>
  </w:style>
  <w:style w:type="paragraph" w:styleId="Heading9">
    <w:name w:val="heading 9"/>
    <w:basedOn w:val="Normal"/>
    <w:next w:val="Normal"/>
    <w:link w:val="Heading9Char"/>
    <w:semiHidden/>
    <w:unhideWhenUsed/>
    <w:qFormat/>
    <w:rsid w:val="00557469"/>
    <w:pPr>
      <w:keepNext/>
      <w:keepLines/>
      <w:spacing w:before="40"/>
      <w:outlineLvl w:val="8"/>
    </w:pPr>
    <w:rPr>
      <w:rFonts w:asciiTheme="majorHAnsi" w:eastAsiaTheme="majorEastAsia" w:hAnsiTheme="majorHAnsi" w:cstheme="majorBidi"/>
      <w:i/>
      <w:iCs/>
      <w:color w:val="272727" w:themeColor="text1" w:themeTint="D8"/>
      <w:sz w:val="21"/>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06ACB"/>
    <w:rPr>
      <w:rFonts w:eastAsiaTheme="majorEastAsia" w:cs="Arial"/>
      <w:b/>
      <w:bCs/>
      <w:iCs/>
      <w:color w:val="358189"/>
      <w:sz w:val="36"/>
      <w:szCs w:val="28"/>
      <w:lang w:eastAsia="en-US"/>
    </w:rPr>
  </w:style>
  <w:style w:type="paragraph" w:customStyle="1" w:styleId="Bullet">
    <w:name w:val="Bullet"/>
    <w:basedOn w:val="Normal"/>
    <w:rsid w:val="00574BF8"/>
    <w:pPr>
      <w:numPr>
        <w:numId w:val="1"/>
      </w:numPr>
    </w:pPr>
  </w:style>
  <w:style w:type="character" w:styleId="CommentReference">
    <w:name w:val="annotation reference"/>
    <w:uiPriority w:val="99"/>
    <w:rsid w:val="00574BF8"/>
    <w:rPr>
      <w:sz w:val="16"/>
    </w:rPr>
  </w:style>
  <w:style w:type="paragraph" w:styleId="CommentText">
    <w:name w:val="annotation text"/>
    <w:basedOn w:val="Normal"/>
    <w:link w:val="CommentTextChar"/>
    <w:uiPriority w:val="99"/>
    <w:rsid w:val="00480188"/>
    <w:rPr>
      <w:i/>
      <w:iCs/>
      <w:snapToGrid w:val="0"/>
      <w:sz w:val="20"/>
      <w:szCs w:val="20"/>
      <w:lang w:eastAsia="en-US"/>
    </w:rPr>
  </w:style>
  <w:style w:type="paragraph" w:styleId="Date">
    <w:name w:val="Date"/>
    <w:basedOn w:val="Normal"/>
    <w:next w:val="Normal"/>
    <w:link w:val="DateChar"/>
    <w:rsid w:val="00574BF8"/>
    <w:pPr>
      <w:ind w:right="113"/>
      <w:jc w:val="right"/>
    </w:pPr>
    <w:rPr>
      <w:b/>
      <w:sz w:val="36"/>
    </w:rPr>
  </w:style>
  <w:style w:type="paragraph" w:customStyle="1" w:styleId="Summaryboxtext">
    <w:name w:val="Summary box text"/>
    <w:basedOn w:val="Normal"/>
    <w:rsid w:val="000A3AAF"/>
    <w:pPr>
      <w:spacing w:after="100" w:afterAutospacing="1"/>
    </w:pPr>
    <w:rPr>
      <w:rFonts w:ascii="Arial Narrow" w:hAnsi="Arial Narrow"/>
    </w:rPr>
  </w:style>
  <w:style w:type="paragraph" w:styleId="Footer">
    <w:name w:val="footer"/>
    <w:link w:val="FooterChar"/>
    <w:uiPriority w:val="99"/>
    <w:qFormat/>
    <w:rsid w:val="00497504"/>
    <w:pPr>
      <w:tabs>
        <w:tab w:val="right" w:pos="9026"/>
      </w:tabs>
    </w:pPr>
    <w:rPr>
      <w:szCs w:val="24"/>
      <w:lang w:eastAsia="en-US"/>
    </w:rPr>
  </w:style>
  <w:style w:type="character" w:styleId="FootnoteReference">
    <w:name w:val="footnote reference"/>
    <w:uiPriority w:val="99"/>
    <w:semiHidden/>
    <w:rsid w:val="00574BF8"/>
    <w:rPr>
      <w:vertAlign w:val="superscript"/>
    </w:rPr>
  </w:style>
  <w:style w:type="paragraph" w:styleId="FootnoteText">
    <w:name w:val="footnote text"/>
    <w:basedOn w:val="Normal"/>
    <w:link w:val="FootnoteTextChar"/>
    <w:uiPriority w:val="99"/>
    <w:semiHidden/>
    <w:rsid w:val="00574BF8"/>
    <w:rPr>
      <w:sz w:val="20"/>
    </w:rPr>
  </w:style>
  <w:style w:type="paragraph" w:styleId="Header">
    <w:name w:val="header"/>
    <w:link w:val="HeaderChar"/>
    <w:qFormat/>
    <w:rsid w:val="00497504"/>
    <w:pPr>
      <w:tabs>
        <w:tab w:val="center" w:pos="4513"/>
        <w:tab w:val="right" w:pos="9026"/>
      </w:tabs>
    </w:pPr>
    <w:rPr>
      <w:szCs w:val="24"/>
      <w:lang w:eastAsia="en-US"/>
    </w:rPr>
  </w:style>
  <w:style w:type="paragraph" w:customStyle="1" w:styleId="Summaryboxheading">
    <w:name w:val="Summary box heading"/>
    <w:basedOn w:val="Summaryboxtext"/>
    <w:rsid w:val="00D918EC"/>
    <w:rPr>
      <w:b/>
    </w:rPr>
  </w:style>
  <w:style w:type="paragraph" w:customStyle="1" w:styleId="Heading2a">
    <w:name w:val="Heading 2a"/>
    <w:basedOn w:val="Heading2"/>
    <w:rsid w:val="007F6EF6"/>
    <w:pPr>
      <w:outlineLvl w:val="9"/>
    </w:pPr>
    <w:rPr>
      <w:sz w:val="22"/>
    </w:rPr>
  </w:style>
  <w:style w:type="character" w:styleId="PageNumber">
    <w:name w:val="page number"/>
    <w:rsid w:val="00574BF8"/>
    <w:rPr>
      <w:rFonts w:ascii="Tahoma" w:hAnsi="Tahoma"/>
      <w:b/>
      <w:sz w:val="18"/>
    </w:rPr>
  </w:style>
  <w:style w:type="paragraph" w:customStyle="1" w:styleId="PublicationTitle">
    <w:name w:val="PublicationTitle"/>
    <w:basedOn w:val="Normal"/>
    <w:rsid w:val="00574BF8"/>
    <w:pPr>
      <w:spacing w:line="480" w:lineRule="exact"/>
      <w:ind w:right="113"/>
      <w:jc w:val="right"/>
    </w:pPr>
    <w:rPr>
      <w:b/>
      <w:i/>
      <w:sz w:val="44"/>
    </w:rPr>
  </w:style>
  <w:style w:type="paragraph" w:customStyle="1" w:styleId="References">
    <w:name w:val="References"/>
    <w:basedOn w:val="Normal"/>
    <w:rsid w:val="00574BF8"/>
    <w:pPr>
      <w:keepLines/>
      <w:ind w:left="1440" w:hanging="720"/>
    </w:pPr>
  </w:style>
  <w:style w:type="paragraph" w:customStyle="1" w:styleId="Sub-title">
    <w:name w:val="Sub-title"/>
    <w:basedOn w:val="Normal"/>
    <w:rsid w:val="00574BF8"/>
    <w:pPr>
      <w:ind w:right="113"/>
      <w:jc w:val="right"/>
    </w:pPr>
    <w:rPr>
      <w:b/>
      <w:sz w:val="32"/>
    </w:rPr>
  </w:style>
  <w:style w:type="paragraph" w:styleId="TableofFigures">
    <w:name w:val="table of figures"/>
    <w:basedOn w:val="Normal"/>
    <w:next w:val="Normal"/>
    <w:uiPriority w:val="99"/>
    <w:rsid w:val="00EF66EF"/>
    <w:pPr>
      <w:tabs>
        <w:tab w:val="right" w:leader="dot" w:pos="9017"/>
      </w:tabs>
      <w:spacing w:line="240" w:lineRule="auto"/>
      <w:ind w:left="1077" w:hanging="1077"/>
      <w:contextualSpacing/>
    </w:pPr>
    <w:rPr>
      <w:noProof/>
    </w:rPr>
  </w:style>
  <w:style w:type="paragraph" w:customStyle="1" w:styleId="TableText">
    <w:name w:val="TableText"/>
    <w:basedOn w:val="Normal"/>
    <w:link w:val="TableTextChar"/>
    <w:rsid w:val="00574BF8"/>
    <w:pPr>
      <w:keepNext/>
      <w:spacing w:before="40" w:after="40"/>
    </w:pPr>
    <w:rPr>
      <w:rFonts w:ascii="Arial Narrow" w:hAnsi="Arial Narrow"/>
      <w:sz w:val="18"/>
    </w:rPr>
  </w:style>
  <w:style w:type="character" w:customStyle="1" w:styleId="TableTextChar">
    <w:name w:val="TableText Char"/>
    <w:link w:val="TableText"/>
    <w:rsid w:val="00310008"/>
    <w:rPr>
      <w:rFonts w:ascii="Arial Narrow" w:hAnsi="Arial Narrow"/>
      <w:sz w:val="18"/>
      <w:lang w:val="en-AU" w:eastAsia="en-AU" w:bidi="ar-SA"/>
    </w:rPr>
  </w:style>
  <w:style w:type="paragraph" w:customStyle="1" w:styleId="TableHeading">
    <w:name w:val="TableHeading"/>
    <w:basedOn w:val="TableText"/>
    <w:link w:val="TableHeadingChar"/>
    <w:rsid w:val="00F31E7A"/>
    <w:pPr>
      <w:spacing w:line="240" w:lineRule="auto"/>
    </w:pPr>
    <w:rPr>
      <w:b/>
      <w:sz w:val="20"/>
    </w:rPr>
  </w:style>
  <w:style w:type="character" w:customStyle="1" w:styleId="TableHeadingChar">
    <w:name w:val="TableHeading Char"/>
    <w:link w:val="TableHeading"/>
    <w:rsid w:val="00F31E7A"/>
    <w:rPr>
      <w:rFonts w:ascii="Arial Narrow" w:hAnsi="Arial Narrow" w:cs="Tahoma"/>
      <w:b/>
    </w:rPr>
  </w:style>
  <w:style w:type="paragraph" w:customStyle="1" w:styleId="TableName">
    <w:name w:val="TableName"/>
    <w:basedOn w:val="TableText"/>
    <w:link w:val="TableNameChar"/>
    <w:rsid w:val="000D2EB6"/>
    <w:pPr>
      <w:ind w:left="1440" w:hanging="720"/>
    </w:pPr>
    <w:rPr>
      <w:b/>
      <w:sz w:val="20"/>
    </w:rPr>
  </w:style>
  <w:style w:type="character" w:customStyle="1" w:styleId="TableNameChar">
    <w:name w:val="TableName Char"/>
    <w:link w:val="TableName"/>
    <w:rsid w:val="000D2EB6"/>
    <w:rPr>
      <w:rFonts w:ascii="Arial Narrow" w:hAnsi="Arial Narrow"/>
      <w:b/>
      <w:lang w:val="en-AU" w:eastAsia="en-AU" w:bidi="ar-SA"/>
    </w:rPr>
  </w:style>
  <w:style w:type="paragraph" w:customStyle="1" w:styleId="TableNotes">
    <w:name w:val="TableNotes"/>
    <w:basedOn w:val="TableText"/>
    <w:link w:val="TableNotesChar"/>
    <w:rsid w:val="00F2587E"/>
    <w:pPr>
      <w:keepNext w:val="0"/>
      <w:keepLines/>
      <w:spacing w:before="0" w:after="360"/>
      <w:ind w:left="720"/>
      <w:contextualSpacing/>
    </w:pPr>
    <w:rPr>
      <w:sz w:val="16"/>
    </w:rPr>
  </w:style>
  <w:style w:type="character" w:customStyle="1" w:styleId="TableNotesChar">
    <w:name w:val="TableNotes Char"/>
    <w:link w:val="TableNotes"/>
    <w:rsid w:val="00F2587E"/>
    <w:rPr>
      <w:rFonts w:ascii="Arial Narrow" w:hAnsi="Arial Narrow"/>
      <w:sz w:val="16"/>
      <w:lang w:val="en-AU" w:eastAsia="en-AU" w:bidi="ar-SA"/>
    </w:rPr>
  </w:style>
  <w:style w:type="paragraph" w:styleId="Title">
    <w:name w:val="Title"/>
    <w:next w:val="Normal"/>
    <w:link w:val="TitleChar"/>
    <w:qFormat/>
    <w:rsid w:val="00497504"/>
    <w:pPr>
      <w:spacing w:before="7360" w:after="120"/>
      <w:contextualSpacing/>
    </w:pPr>
    <w:rPr>
      <w:rFonts w:eastAsiaTheme="majorEastAsia" w:cstheme="majorBidi"/>
      <w:b/>
      <w:color w:val="FFFFFF" w:themeColor="background1"/>
      <w:kern w:val="28"/>
      <w:sz w:val="48"/>
      <w:szCs w:val="52"/>
      <w:lang w:eastAsia="en-US"/>
    </w:rPr>
  </w:style>
  <w:style w:type="paragraph" w:styleId="TOC1">
    <w:name w:val="toc 1"/>
    <w:basedOn w:val="Normal"/>
    <w:next w:val="Normal"/>
    <w:autoRedefine/>
    <w:uiPriority w:val="39"/>
    <w:rsid w:val="00A33D93"/>
    <w:pPr>
      <w:tabs>
        <w:tab w:val="right" w:leader="dot" w:pos="9017"/>
      </w:tabs>
      <w:spacing w:after="0" w:line="240" w:lineRule="auto"/>
      <w:ind w:right="-45"/>
      <w:contextualSpacing/>
    </w:pPr>
    <w:rPr>
      <w:b/>
      <w:noProof/>
    </w:rPr>
  </w:style>
  <w:style w:type="paragraph" w:styleId="TOC2">
    <w:name w:val="toc 2"/>
    <w:basedOn w:val="Normal"/>
    <w:next w:val="Normal"/>
    <w:autoRedefine/>
    <w:uiPriority w:val="39"/>
    <w:rsid w:val="00A33D93"/>
    <w:pPr>
      <w:tabs>
        <w:tab w:val="right" w:leader="dot" w:pos="9017"/>
      </w:tabs>
      <w:spacing w:after="60" w:line="240" w:lineRule="auto"/>
      <w:ind w:left="851" w:right="720"/>
      <w:contextualSpacing/>
    </w:pPr>
    <w:rPr>
      <w:noProof/>
    </w:rPr>
  </w:style>
  <w:style w:type="paragraph" w:styleId="TOC3">
    <w:name w:val="toc 3"/>
    <w:basedOn w:val="Normal"/>
    <w:next w:val="Normal"/>
    <w:autoRedefine/>
    <w:uiPriority w:val="39"/>
    <w:rsid w:val="00A33D93"/>
    <w:pPr>
      <w:tabs>
        <w:tab w:val="right" w:leader="dot" w:pos="9016"/>
      </w:tabs>
      <w:spacing w:after="0" w:line="240" w:lineRule="auto"/>
      <w:ind w:left="1418"/>
      <w:contextualSpacing/>
    </w:pPr>
    <w:rPr>
      <w:noProof/>
    </w:rPr>
  </w:style>
  <w:style w:type="paragraph" w:styleId="TOC4">
    <w:name w:val="toc 4"/>
    <w:basedOn w:val="Normal"/>
    <w:next w:val="Normal"/>
    <w:autoRedefine/>
    <w:uiPriority w:val="39"/>
    <w:rsid w:val="00574BF8"/>
    <w:pPr>
      <w:ind w:left="660"/>
    </w:pPr>
  </w:style>
  <w:style w:type="paragraph" w:styleId="TOC5">
    <w:name w:val="toc 5"/>
    <w:basedOn w:val="Normal"/>
    <w:next w:val="Normal"/>
    <w:autoRedefine/>
    <w:uiPriority w:val="39"/>
    <w:rsid w:val="00574BF8"/>
    <w:pPr>
      <w:ind w:left="880"/>
    </w:pPr>
  </w:style>
  <w:style w:type="paragraph" w:styleId="TOC6">
    <w:name w:val="toc 6"/>
    <w:basedOn w:val="Normal"/>
    <w:next w:val="Normal"/>
    <w:autoRedefine/>
    <w:uiPriority w:val="39"/>
    <w:rsid w:val="00574BF8"/>
    <w:pPr>
      <w:ind w:left="1100"/>
    </w:pPr>
  </w:style>
  <w:style w:type="paragraph" w:styleId="TOC7">
    <w:name w:val="toc 7"/>
    <w:basedOn w:val="Normal"/>
    <w:next w:val="Normal"/>
    <w:autoRedefine/>
    <w:uiPriority w:val="39"/>
    <w:rsid w:val="00574BF8"/>
    <w:pPr>
      <w:ind w:left="1320"/>
    </w:pPr>
  </w:style>
  <w:style w:type="paragraph" w:styleId="TOC8">
    <w:name w:val="toc 8"/>
    <w:basedOn w:val="Normal"/>
    <w:next w:val="Normal"/>
    <w:autoRedefine/>
    <w:uiPriority w:val="39"/>
    <w:rsid w:val="00574BF8"/>
    <w:pPr>
      <w:ind w:left="1540"/>
    </w:pPr>
  </w:style>
  <w:style w:type="paragraph" w:styleId="TOC9">
    <w:name w:val="toc 9"/>
    <w:basedOn w:val="Normal"/>
    <w:next w:val="Normal"/>
    <w:autoRedefine/>
    <w:uiPriority w:val="39"/>
    <w:rsid w:val="00640EBD"/>
    <w:pPr>
      <w:ind w:left="1760"/>
      <w:jc w:val="both"/>
    </w:pPr>
    <w:rPr>
      <w:sz w:val="144"/>
      <w:szCs w:val="144"/>
    </w:rPr>
  </w:style>
  <w:style w:type="paragraph" w:customStyle="1" w:styleId="Dash">
    <w:name w:val="Dash"/>
    <w:basedOn w:val="Normal"/>
    <w:rsid w:val="00574BF8"/>
    <w:pPr>
      <w:numPr>
        <w:numId w:val="2"/>
      </w:numPr>
    </w:pPr>
  </w:style>
  <w:style w:type="paragraph" w:styleId="Quote">
    <w:name w:val="Quote"/>
    <w:next w:val="Normal"/>
    <w:link w:val="QuoteChar"/>
    <w:uiPriority w:val="29"/>
    <w:qFormat/>
    <w:rsid w:val="00497504"/>
    <w:pPr>
      <w:ind w:left="720"/>
    </w:pPr>
    <w:rPr>
      <w:i/>
      <w:iCs/>
      <w:color w:val="000000" w:themeColor="text1"/>
      <w:szCs w:val="24"/>
      <w:lang w:eastAsia="en-US"/>
    </w:rPr>
  </w:style>
  <w:style w:type="paragraph" w:styleId="BodyText">
    <w:name w:val="Body Text"/>
    <w:basedOn w:val="Normal"/>
    <w:link w:val="BodyTextChar"/>
    <w:rsid w:val="00574BF8"/>
    <w:pPr>
      <w:spacing w:after="0"/>
    </w:pPr>
    <w:rPr>
      <w:rFonts w:ascii="Helv" w:hAnsi="Helv"/>
      <w:b/>
      <w:i/>
      <w:snapToGrid w:val="0"/>
      <w:color w:val="000000"/>
      <w:sz w:val="28"/>
      <w:lang w:eastAsia="en-US"/>
    </w:rPr>
  </w:style>
  <w:style w:type="paragraph" w:styleId="BalloonText">
    <w:name w:val="Balloon Text"/>
    <w:basedOn w:val="Normal"/>
    <w:link w:val="BalloonTextChar"/>
    <w:uiPriority w:val="99"/>
    <w:semiHidden/>
    <w:rsid w:val="00AF06B8"/>
    <w:rPr>
      <w:sz w:val="16"/>
      <w:szCs w:val="16"/>
    </w:rPr>
  </w:style>
  <w:style w:type="character" w:styleId="Hyperlink">
    <w:name w:val="Hyperlink"/>
    <w:basedOn w:val="DefaultParagraphFont"/>
    <w:uiPriority w:val="99"/>
    <w:qFormat/>
    <w:rsid w:val="00497504"/>
    <w:rPr>
      <w:color w:val="0563C1" w:themeColor="hyperlink"/>
      <w:u w:val="single"/>
    </w:rPr>
  </w:style>
  <w:style w:type="paragraph" w:styleId="Caption">
    <w:name w:val="caption"/>
    <w:aliases w:val="Table and Figure Name,Table and Figure name,Caption Char2 Char,Caption Char Char Char2,Caption Char1 Char Char Char1,Caption Char2 Char Char Char1 Char1,Caption Char Char1 Char Char Char1 Char1,Caption Char1 Char Char Char Char Char Char"/>
    <w:basedOn w:val="hidden"/>
    <w:next w:val="Normal"/>
    <w:link w:val="CaptionChar"/>
    <w:uiPriority w:val="35"/>
    <w:rsid w:val="00897C5B"/>
    <w:rPr>
      <w:b/>
      <w:bCs/>
      <w:color w:val="44546A" w:themeColor="text2"/>
      <w:sz w:val="20"/>
      <w:szCs w:val="20"/>
    </w:rPr>
  </w:style>
  <w:style w:type="paragraph" w:customStyle="1" w:styleId="TableHeading0">
    <w:name w:val="Table Heading"/>
    <w:basedOn w:val="Normal"/>
    <w:next w:val="Normal"/>
    <w:rsid w:val="00C9014F"/>
    <w:pPr>
      <w:keepNext/>
      <w:spacing w:before="40" w:after="40"/>
    </w:pPr>
    <w:rPr>
      <w:b/>
      <w:sz w:val="18"/>
      <w:lang w:val="en-GB" w:eastAsia="en-US"/>
    </w:rPr>
  </w:style>
  <w:style w:type="table" w:styleId="TableGrid">
    <w:name w:val="Table Grid"/>
    <w:basedOn w:val="TableNormal"/>
    <w:uiPriority w:val="59"/>
    <w:rsid w:val="005265C4"/>
    <w:pPr>
      <w:spacing w:after="240"/>
      <w:ind w:left="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 Text"/>
    <w:basedOn w:val="Normal"/>
    <w:link w:val="TableTextChar0"/>
    <w:rsid w:val="00DF343F"/>
    <w:pPr>
      <w:keepNext/>
      <w:spacing w:before="40" w:after="40" w:line="240" w:lineRule="auto"/>
    </w:pPr>
    <w:rPr>
      <w:rFonts w:ascii="Arial Narrow" w:hAnsi="Arial Narrow"/>
      <w:sz w:val="20"/>
      <w:lang w:eastAsia="en-US"/>
    </w:rPr>
  </w:style>
  <w:style w:type="character" w:customStyle="1" w:styleId="TableTextChar0">
    <w:name w:val="Table Text Char"/>
    <w:link w:val="TableText0"/>
    <w:rsid w:val="00DF343F"/>
    <w:rPr>
      <w:rFonts w:ascii="Arial Narrow" w:hAnsi="Arial Narrow" w:cs="Tahoma"/>
      <w:szCs w:val="22"/>
      <w:lang w:eastAsia="en-US"/>
    </w:rPr>
  </w:style>
  <w:style w:type="paragraph" w:customStyle="1" w:styleId="Boxname">
    <w:name w:val="Box name"/>
    <w:basedOn w:val="TableName"/>
    <w:link w:val="BoxnameChar"/>
    <w:rsid w:val="00310008"/>
  </w:style>
  <w:style w:type="character" w:customStyle="1" w:styleId="BoxnameChar">
    <w:name w:val="Box name Char"/>
    <w:basedOn w:val="TableNameChar"/>
    <w:link w:val="Boxname"/>
    <w:rsid w:val="00B141EB"/>
    <w:rPr>
      <w:rFonts w:ascii="Arial Narrow" w:hAnsi="Arial Narrow"/>
      <w:b/>
      <w:lang w:val="en-AU" w:eastAsia="en-AU" w:bidi="ar-SA"/>
    </w:rPr>
  </w:style>
  <w:style w:type="paragraph" w:styleId="CommentSubject">
    <w:name w:val="annotation subject"/>
    <w:basedOn w:val="CommentText"/>
    <w:next w:val="CommentText"/>
    <w:link w:val="CommentSubjectChar"/>
    <w:uiPriority w:val="99"/>
    <w:semiHidden/>
    <w:rsid w:val="003060DC"/>
    <w:rPr>
      <w:b/>
      <w:bCs/>
    </w:rPr>
  </w:style>
  <w:style w:type="paragraph" w:customStyle="1" w:styleId="StyleTableTextArialNarrowFirstline045cm">
    <w:name w:val="Style Table Text + Arial Narrow First line:  0.45 cm"/>
    <w:basedOn w:val="TableText0"/>
    <w:rsid w:val="008E0528"/>
    <w:pPr>
      <w:spacing w:after="360"/>
      <w:ind w:firstLine="720"/>
    </w:pPr>
  </w:style>
  <w:style w:type="character" w:styleId="FollowedHyperlink">
    <w:name w:val="FollowedHyperlink"/>
    <w:uiPriority w:val="99"/>
    <w:rsid w:val="003079EF"/>
    <w:rPr>
      <w:color w:val="800080"/>
      <w:u w:val="single"/>
    </w:rPr>
  </w:style>
  <w:style w:type="paragraph" w:customStyle="1" w:styleId="TableNamea">
    <w:name w:val="Table Name(a)"/>
    <w:basedOn w:val="Normal"/>
    <w:rsid w:val="0031303D"/>
    <w:pPr>
      <w:keepNext/>
      <w:ind w:left="1077" w:hanging="1077"/>
    </w:pPr>
    <w:rPr>
      <w:b/>
      <w:sz w:val="20"/>
      <w:lang w:eastAsia="en-US"/>
    </w:rPr>
  </w:style>
  <w:style w:type="character" w:customStyle="1" w:styleId="BodyTextChar">
    <w:name w:val="Body Text Char"/>
    <w:link w:val="BodyText"/>
    <w:rsid w:val="00E97600"/>
    <w:rPr>
      <w:rFonts w:ascii="Helv" w:hAnsi="Helv"/>
      <w:b/>
      <w:i/>
      <w:snapToGrid w:val="0"/>
      <w:color w:val="000000"/>
      <w:sz w:val="28"/>
      <w:lang w:val="en-AU" w:eastAsia="en-US" w:bidi="ar-SA"/>
    </w:rPr>
  </w:style>
  <w:style w:type="paragraph" w:styleId="DocumentMap">
    <w:name w:val="Document Map"/>
    <w:basedOn w:val="Normal"/>
    <w:link w:val="DocumentMapChar"/>
    <w:rsid w:val="002A2D19"/>
    <w:rPr>
      <w:sz w:val="16"/>
      <w:szCs w:val="16"/>
    </w:rPr>
  </w:style>
  <w:style w:type="character" w:customStyle="1" w:styleId="DocumentMapChar">
    <w:name w:val="Document Map Char"/>
    <w:link w:val="DocumentMap"/>
    <w:rsid w:val="002A2D19"/>
    <w:rPr>
      <w:rFonts w:ascii="Tahoma" w:hAnsi="Tahoma" w:cs="Tahoma"/>
      <w:sz w:val="16"/>
      <w:szCs w:val="16"/>
    </w:rPr>
  </w:style>
  <w:style w:type="paragraph" w:styleId="ListParagraph">
    <w:name w:val="List Paragraph"/>
    <w:basedOn w:val="Normal"/>
    <w:link w:val="ListParagraphChar"/>
    <w:uiPriority w:val="34"/>
    <w:rsid w:val="002A2D19"/>
    <w:pPr>
      <w:ind w:left="720"/>
      <w:contextualSpacing/>
    </w:pPr>
  </w:style>
  <w:style w:type="paragraph" w:customStyle="1" w:styleId="figureheading">
    <w:name w:val="figure heading"/>
    <w:basedOn w:val="Normal"/>
    <w:rsid w:val="002A2D19"/>
    <w:pPr>
      <w:keepNext/>
      <w:ind w:left="1077" w:hanging="1077"/>
    </w:pPr>
    <w:rPr>
      <w:b/>
      <w:sz w:val="20"/>
      <w:lang w:eastAsia="en-US"/>
    </w:rPr>
  </w:style>
  <w:style w:type="paragraph" w:customStyle="1" w:styleId="Nnumberedlist">
    <w:name w:val="Nnumbered list"/>
    <w:basedOn w:val="Normal"/>
    <w:rsid w:val="002A2D19"/>
    <w:pPr>
      <w:numPr>
        <w:numId w:val="3"/>
      </w:numPr>
    </w:pPr>
  </w:style>
  <w:style w:type="paragraph" w:customStyle="1" w:styleId="Figure">
    <w:name w:val="Figure"/>
    <w:basedOn w:val="TableName"/>
    <w:rsid w:val="002A2D19"/>
    <w:pPr>
      <w:spacing w:before="120" w:after="120"/>
      <w:ind w:left="1800" w:hanging="1080"/>
    </w:pPr>
  </w:style>
  <w:style w:type="paragraph" w:styleId="NormalWeb">
    <w:name w:val="Normal (Web)"/>
    <w:basedOn w:val="Normal"/>
    <w:uiPriority w:val="99"/>
    <w:rsid w:val="002A2D19"/>
    <w:pPr>
      <w:spacing w:before="100" w:beforeAutospacing="1" w:after="100" w:afterAutospacing="1"/>
    </w:pPr>
    <w:rPr>
      <w:rFonts w:ascii="Times New Roman" w:hAnsi="Times New Roman"/>
      <w:color w:val="000000"/>
      <w:szCs w:val="24"/>
      <w:lang w:val="en-US" w:eastAsia="en-US"/>
    </w:rPr>
  </w:style>
  <w:style w:type="paragraph" w:customStyle="1" w:styleId="Equation">
    <w:name w:val="Equation"/>
    <w:basedOn w:val="Header"/>
    <w:rsid w:val="002A2D19"/>
    <w:rPr>
      <w:rFonts w:ascii="Arial Narrow" w:hAnsi="Arial Narrow"/>
      <w:sz w:val="20"/>
    </w:rPr>
  </w:style>
  <w:style w:type="character" w:customStyle="1" w:styleId="Heading1Char">
    <w:name w:val="Heading 1 Char"/>
    <w:basedOn w:val="DefaultParagraphFont"/>
    <w:link w:val="Heading1"/>
    <w:rsid w:val="00557469"/>
    <w:rPr>
      <w:rFonts w:ascii="Arial" w:eastAsiaTheme="majorEastAsia" w:hAnsi="Arial" w:cs="Arial"/>
      <w:b/>
      <w:bCs/>
      <w:color w:val="3F4A75"/>
      <w:kern w:val="28"/>
      <w:sz w:val="44"/>
      <w:szCs w:val="36"/>
      <w:lang w:eastAsia="en-US"/>
    </w:rPr>
  </w:style>
  <w:style w:type="paragraph" w:customStyle="1" w:styleId="AHTAaddresslines">
    <w:name w:val="AHTA address lines"/>
    <w:basedOn w:val="PlainText"/>
    <w:rsid w:val="002A2D19"/>
    <w:pPr>
      <w:spacing w:line="210" w:lineRule="exact"/>
    </w:pPr>
    <w:rPr>
      <w:rFonts w:ascii="Arial Narrow" w:eastAsia="Times" w:hAnsi="Arial Narrow" w:cs="Times New Roman"/>
      <w:i/>
      <w:color w:val="000080"/>
      <w:sz w:val="16"/>
    </w:rPr>
  </w:style>
  <w:style w:type="paragraph" w:styleId="PlainText">
    <w:name w:val="Plain Text"/>
    <w:basedOn w:val="Normal"/>
    <w:link w:val="PlainTextChar"/>
    <w:rsid w:val="002A2D19"/>
    <w:pPr>
      <w:spacing w:after="0"/>
    </w:pPr>
    <w:rPr>
      <w:rFonts w:ascii="Courier New" w:hAnsi="Courier New" w:cs="Courier New"/>
      <w:sz w:val="20"/>
      <w:lang w:eastAsia="en-US"/>
    </w:rPr>
  </w:style>
  <w:style w:type="character" w:customStyle="1" w:styleId="PlainTextChar">
    <w:name w:val="Plain Text Char"/>
    <w:link w:val="PlainText"/>
    <w:rsid w:val="002A2D19"/>
    <w:rPr>
      <w:rFonts w:ascii="Courier New" w:hAnsi="Courier New" w:cs="Courier New"/>
      <w:lang w:eastAsia="en-US"/>
    </w:rPr>
  </w:style>
  <w:style w:type="character" w:styleId="Strong">
    <w:name w:val="Strong"/>
    <w:basedOn w:val="DefaultParagraphFont"/>
    <w:uiPriority w:val="22"/>
    <w:rsid w:val="00557469"/>
    <w:rPr>
      <w:b/>
      <w:bCs/>
      <w:color w:val="auto"/>
    </w:rPr>
  </w:style>
  <w:style w:type="character" w:customStyle="1" w:styleId="regulartext">
    <w:name w:val="regulartext"/>
    <w:basedOn w:val="DefaultParagraphFont"/>
    <w:rsid w:val="002A2D19"/>
  </w:style>
  <w:style w:type="paragraph" w:customStyle="1" w:styleId="bodytext0">
    <w:name w:val="bodytext"/>
    <w:basedOn w:val="Normal"/>
    <w:rsid w:val="002A2D19"/>
    <w:pPr>
      <w:spacing w:before="100" w:beforeAutospacing="1" w:after="100" w:afterAutospacing="1"/>
    </w:pPr>
    <w:rPr>
      <w:rFonts w:ascii="Times New Roman" w:hAnsi="Times New Roman"/>
      <w:szCs w:val="24"/>
    </w:rPr>
  </w:style>
  <w:style w:type="character" w:customStyle="1" w:styleId="mainsubheader1">
    <w:name w:val="mainsubheader1"/>
    <w:rsid w:val="002A2D19"/>
    <w:rPr>
      <w:b/>
      <w:bCs/>
    </w:rPr>
  </w:style>
  <w:style w:type="paragraph" w:customStyle="1" w:styleId="Bullet12">
    <w:name w:val="Bullet+12"/>
    <w:basedOn w:val="Normal"/>
    <w:rsid w:val="002A2D19"/>
    <w:pPr>
      <w:tabs>
        <w:tab w:val="num" w:pos="357"/>
      </w:tabs>
      <w:ind w:left="357" w:hanging="357"/>
    </w:pPr>
    <w:rPr>
      <w:rFonts w:ascii="Times New Roman" w:hAnsi="Times New Roman"/>
      <w:lang w:eastAsia="en-US"/>
    </w:rPr>
  </w:style>
  <w:style w:type="paragraph" w:customStyle="1" w:styleId="Bullet6">
    <w:name w:val="Bullet+6"/>
    <w:basedOn w:val="Normal"/>
    <w:rsid w:val="002A2D19"/>
    <w:pPr>
      <w:tabs>
        <w:tab w:val="num" w:pos="578"/>
      </w:tabs>
      <w:spacing w:after="0"/>
      <w:ind w:left="578" w:hanging="360"/>
    </w:pPr>
    <w:rPr>
      <w:rFonts w:ascii="Times New Roman" w:hAnsi="Times New Roman"/>
      <w:szCs w:val="24"/>
    </w:rPr>
  </w:style>
  <w:style w:type="character" w:customStyle="1" w:styleId="HeaderChar">
    <w:name w:val="Header Char"/>
    <w:basedOn w:val="DefaultParagraphFont"/>
    <w:link w:val="Header"/>
    <w:locked/>
    <w:rsid w:val="00497504"/>
    <w:rPr>
      <w:rFonts w:ascii="Arial" w:hAnsi="Arial"/>
      <w:sz w:val="22"/>
      <w:szCs w:val="24"/>
      <w:lang w:eastAsia="en-US"/>
    </w:rPr>
  </w:style>
  <w:style w:type="paragraph" w:customStyle="1" w:styleId="Tabletext1">
    <w:name w:val="Table text"/>
    <w:basedOn w:val="Normal"/>
    <w:link w:val="TabletextChar1"/>
    <w:rsid w:val="00897C5B"/>
    <w:pPr>
      <w:spacing w:before="40" w:after="40" w:line="240" w:lineRule="auto"/>
    </w:pPr>
    <w:rPr>
      <w:sz w:val="20"/>
    </w:rPr>
  </w:style>
  <w:style w:type="character" w:customStyle="1" w:styleId="TabletextChar1">
    <w:name w:val="Table text Char"/>
    <w:link w:val="Tabletext1"/>
    <w:rsid w:val="00897C5B"/>
    <w:rPr>
      <w:sz w:val="20"/>
    </w:rPr>
  </w:style>
  <w:style w:type="character" w:customStyle="1" w:styleId="Heading3Char">
    <w:name w:val="Heading 3 Char"/>
    <w:basedOn w:val="DefaultParagraphFont"/>
    <w:link w:val="Heading3"/>
    <w:rsid w:val="008E2FA4"/>
    <w:rPr>
      <w:rFonts w:eastAsiaTheme="majorEastAsia" w:cs="Arial"/>
      <w:b/>
      <w:bCs/>
      <w:color w:val="358189"/>
      <w:sz w:val="32"/>
      <w:szCs w:val="26"/>
      <w:lang w:eastAsia="en-US"/>
    </w:rPr>
  </w:style>
  <w:style w:type="character" w:customStyle="1" w:styleId="CommentTextChar">
    <w:name w:val="Comment Text Char"/>
    <w:basedOn w:val="DefaultParagraphFont"/>
    <w:link w:val="CommentText"/>
    <w:uiPriority w:val="99"/>
    <w:rsid w:val="00480188"/>
    <w:rPr>
      <w:i/>
      <w:iCs/>
      <w:snapToGrid w:val="0"/>
      <w:sz w:val="20"/>
      <w:szCs w:val="20"/>
      <w:lang w:eastAsia="en-US"/>
    </w:rPr>
  </w:style>
  <w:style w:type="paragraph" w:customStyle="1" w:styleId="Default">
    <w:name w:val="Default"/>
    <w:rsid w:val="007513FC"/>
    <w:pPr>
      <w:autoSpaceDE w:val="0"/>
      <w:autoSpaceDN w:val="0"/>
      <w:adjustRightInd w:val="0"/>
    </w:pPr>
    <w:rPr>
      <w:rFonts w:ascii="Arial Narrow" w:hAnsi="Arial Narrow" w:cs="Arial Narrow"/>
      <w:color w:val="000000"/>
      <w:sz w:val="24"/>
      <w:szCs w:val="24"/>
    </w:rPr>
  </w:style>
  <w:style w:type="paragraph" w:styleId="Revision">
    <w:name w:val="Revision"/>
    <w:hidden/>
    <w:uiPriority w:val="99"/>
    <w:semiHidden/>
    <w:rsid w:val="004C5E79"/>
    <w:rPr>
      <w:rFonts w:ascii="Tahoma" w:hAnsi="Tahoma" w:cs="Tahoma"/>
    </w:rPr>
  </w:style>
  <w:style w:type="table" w:styleId="TableClassic1">
    <w:name w:val="Table Classic 1"/>
    <w:basedOn w:val="TableNormal"/>
    <w:rsid w:val="00213EA5"/>
    <w:pPr>
      <w:spacing w:after="240" w:line="312"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FooterChar">
    <w:name w:val="Footer Char"/>
    <w:basedOn w:val="DefaultParagraphFont"/>
    <w:link w:val="Footer"/>
    <w:uiPriority w:val="99"/>
    <w:rsid w:val="00497504"/>
    <w:rPr>
      <w:rFonts w:ascii="Arial" w:hAnsi="Arial"/>
      <w:szCs w:val="24"/>
      <w:lang w:eastAsia="en-US"/>
    </w:rPr>
  </w:style>
  <w:style w:type="paragraph" w:styleId="EndnoteText">
    <w:name w:val="endnote text"/>
    <w:basedOn w:val="Normal"/>
    <w:link w:val="EndnoteTextChar"/>
    <w:rsid w:val="001341F5"/>
    <w:pPr>
      <w:spacing w:after="0" w:line="240" w:lineRule="auto"/>
    </w:pPr>
    <w:rPr>
      <w:rFonts w:ascii="Times New Roman" w:hAnsi="Times New Roman"/>
      <w:sz w:val="20"/>
      <w:lang w:eastAsia="en-US"/>
    </w:rPr>
  </w:style>
  <w:style w:type="character" w:customStyle="1" w:styleId="EndnoteTextChar">
    <w:name w:val="Endnote Text Char"/>
    <w:basedOn w:val="DefaultParagraphFont"/>
    <w:link w:val="EndnoteText"/>
    <w:rsid w:val="001341F5"/>
    <w:rPr>
      <w:lang w:eastAsia="en-US"/>
    </w:rPr>
  </w:style>
  <w:style w:type="paragraph" w:customStyle="1" w:styleId="Style1">
    <w:name w:val="Style1"/>
    <w:basedOn w:val="Normal"/>
    <w:rsid w:val="001341F5"/>
    <w:pPr>
      <w:tabs>
        <w:tab w:val="left" w:pos="720"/>
      </w:tabs>
      <w:spacing w:after="0" w:line="240" w:lineRule="auto"/>
    </w:pPr>
    <w:rPr>
      <w:rFonts w:ascii="Bookman Old Style" w:hAnsi="Bookman Old Style"/>
      <w:sz w:val="20"/>
      <w:lang w:val="en-US" w:eastAsia="en-US"/>
    </w:rPr>
  </w:style>
  <w:style w:type="character" w:customStyle="1" w:styleId="FootnoteTextChar">
    <w:name w:val="Footnote Text Char"/>
    <w:basedOn w:val="DefaultParagraphFont"/>
    <w:link w:val="FootnoteText"/>
    <w:uiPriority w:val="99"/>
    <w:semiHidden/>
    <w:rsid w:val="004D6547"/>
    <w:rPr>
      <w:rFonts w:ascii="Tahoma" w:hAnsi="Tahoma" w:cs="Tahoma"/>
      <w:szCs w:val="22"/>
    </w:rPr>
  </w:style>
  <w:style w:type="character" w:customStyle="1" w:styleId="BalloonTextChar">
    <w:name w:val="Balloon Text Char"/>
    <w:basedOn w:val="DefaultParagraphFont"/>
    <w:link w:val="BalloonText"/>
    <w:uiPriority w:val="99"/>
    <w:semiHidden/>
    <w:rsid w:val="0001307B"/>
    <w:rPr>
      <w:rFonts w:ascii="Tahoma" w:hAnsi="Tahoma" w:cs="Tahoma"/>
      <w:sz w:val="16"/>
      <w:szCs w:val="16"/>
    </w:rPr>
  </w:style>
  <w:style w:type="character" w:customStyle="1" w:styleId="CommentSubjectChar">
    <w:name w:val="Comment Subject Char"/>
    <w:basedOn w:val="CommentTextChar"/>
    <w:link w:val="CommentSubject"/>
    <w:uiPriority w:val="99"/>
    <w:semiHidden/>
    <w:rsid w:val="00962174"/>
    <w:rPr>
      <w:rFonts w:ascii="Tahoma" w:hAnsi="Tahoma" w:cs="Tahoma"/>
      <w:b/>
      <w:bCs/>
      <w:i/>
      <w:iCs/>
      <w:snapToGrid w:val="0"/>
      <w:sz w:val="20"/>
      <w:szCs w:val="22"/>
      <w:lang w:eastAsia="en-US"/>
    </w:rPr>
  </w:style>
  <w:style w:type="character" w:styleId="Emphasis">
    <w:name w:val="Emphasis"/>
    <w:basedOn w:val="DefaultParagraphFont"/>
    <w:uiPriority w:val="20"/>
    <w:rsid w:val="00557469"/>
    <w:rPr>
      <w:i/>
      <w:iCs/>
      <w:color w:val="auto"/>
    </w:rPr>
  </w:style>
  <w:style w:type="character" w:customStyle="1" w:styleId="st1">
    <w:name w:val="st1"/>
    <w:basedOn w:val="DefaultParagraphFont"/>
    <w:rsid w:val="003F1CE5"/>
  </w:style>
  <w:style w:type="table" w:customStyle="1" w:styleId="TableGrid1">
    <w:name w:val="Table Grid1"/>
    <w:basedOn w:val="TableNormal"/>
    <w:next w:val="TableGrid"/>
    <w:uiPriority w:val="39"/>
    <w:rsid w:val="0021388F"/>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b w:val="0"/>
        <w:sz w:val="20"/>
      </w:rPr>
    </w:tblStylePr>
  </w:style>
  <w:style w:type="table" w:customStyle="1" w:styleId="TableGrid2">
    <w:name w:val="Table Grid2"/>
    <w:basedOn w:val="TableNormal"/>
    <w:next w:val="TableGrid"/>
    <w:uiPriority w:val="59"/>
    <w:rsid w:val="0021388F"/>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b w:val="0"/>
        <w:sz w:val="20"/>
      </w:rPr>
    </w:tblStylePr>
  </w:style>
  <w:style w:type="paragraph" w:customStyle="1" w:styleId="desc">
    <w:name w:val="desc"/>
    <w:basedOn w:val="Normal"/>
    <w:rsid w:val="0021388F"/>
    <w:pPr>
      <w:spacing w:before="100" w:beforeAutospacing="1" w:after="100" w:afterAutospacing="1" w:line="240" w:lineRule="auto"/>
    </w:pPr>
    <w:rPr>
      <w:rFonts w:ascii="Times New Roman" w:hAnsi="Times New Roman"/>
      <w:szCs w:val="24"/>
    </w:rPr>
  </w:style>
  <w:style w:type="paragraph" w:customStyle="1" w:styleId="details">
    <w:name w:val="details"/>
    <w:basedOn w:val="Normal"/>
    <w:rsid w:val="0021388F"/>
    <w:pPr>
      <w:spacing w:before="100" w:beforeAutospacing="1" w:after="100" w:afterAutospacing="1" w:line="240" w:lineRule="auto"/>
    </w:pPr>
    <w:rPr>
      <w:rFonts w:ascii="Times New Roman" w:hAnsi="Times New Roman"/>
      <w:szCs w:val="24"/>
    </w:rPr>
  </w:style>
  <w:style w:type="character" w:customStyle="1" w:styleId="jrnl">
    <w:name w:val="jrnl"/>
    <w:basedOn w:val="DefaultParagraphFont"/>
    <w:rsid w:val="0021388F"/>
  </w:style>
  <w:style w:type="character" w:customStyle="1" w:styleId="A5">
    <w:name w:val="A5"/>
    <w:uiPriority w:val="99"/>
    <w:rsid w:val="0021388F"/>
    <w:rPr>
      <w:rFonts w:cs="Humanist 77 7 BT"/>
      <w:color w:val="000000"/>
      <w:sz w:val="11"/>
      <w:szCs w:val="11"/>
    </w:rPr>
  </w:style>
  <w:style w:type="paragraph" w:styleId="TOCHeading">
    <w:name w:val="TOC Heading"/>
    <w:basedOn w:val="Heading1"/>
    <w:next w:val="Normal"/>
    <w:uiPriority w:val="39"/>
    <w:qFormat/>
    <w:rsid w:val="00557469"/>
    <w:pPr>
      <w:keepLines/>
      <w:spacing w:after="0" w:line="360" w:lineRule="auto"/>
      <w:outlineLvl w:val="9"/>
    </w:pPr>
    <w:rPr>
      <w:rFonts w:asciiTheme="majorHAnsi" w:hAnsiTheme="majorHAnsi" w:cstheme="majorBidi"/>
      <w:b w:val="0"/>
      <w:bCs w:val="0"/>
      <w:color w:val="2E74B5" w:themeColor="accent1" w:themeShade="BF"/>
      <w:kern w:val="0"/>
      <w:sz w:val="32"/>
      <w:szCs w:val="32"/>
    </w:rPr>
  </w:style>
  <w:style w:type="character" w:customStyle="1" w:styleId="highlight">
    <w:name w:val="highlight"/>
    <w:basedOn w:val="DefaultParagraphFont"/>
    <w:rsid w:val="00655C2E"/>
  </w:style>
  <w:style w:type="character" w:customStyle="1" w:styleId="Heading4Char">
    <w:name w:val="Heading 4 Char"/>
    <w:basedOn w:val="DefaultParagraphFont"/>
    <w:link w:val="Heading4"/>
    <w:rsid w:val="008E2FA4"/>
    <w:rPr>
      <w:rFonts w:eastAsiaTheme="majorEastAsia" w:cstheme="majorBidi"/>
      <w:b/>
      <w:bCs/>
      <w:color w:val="3F4A75"/>
      <w:sz w:val="28"/>
      <w:szCs w:val="28"/>
      <w:lang w:eastAsia="en-US"/>
    </w:rPr>
  </w:style>
  <w:style w:type="paragraph" w:customStyle="1" w:styleId="ESSectionHeading-numbered0">
    <w:name w:val="ES. Section Heading - numbered"/>
    <w:basedOn w:val="Heading3"/>
    <w:link w:val="ESSectionHeading-numberedChar"/>
    <w:rsid w:val="00AE1CBE"/>
    <w:pPr>
      <w:numPr>
        <w:numId w:val="6"/>
      </w:numPr>
    </w:pPr>
  </w:style>
  <w:style w:type="paragraph" w:customStyle="1" w:styleId="MainBodySectionHeading-numbered">
    <w:name w:val="Main Body Section Heading - numbered"/>
    <w:basedOn w:val="Heading2"/>
    <w:link w:val="MainBodySectionHeading-numberedChar"/>
    <w:rsid w:val="00B313E2"/>
    <w:pPr>
      <w:numPr>
        <w:numId w:val="4"/>
      </w:numPr>
      <w:ind w:left="567" w:hanging="567"/>
    </w:pPr>
  </w:style>
  <w:style w:type="character" w:customStyle="1" w:styleId="ESSectionHeading-numberedChar">
    <w:name w:val="ES. Section Heading - numbered Char"/>
    <w:basedOn w:val="Heading3Char"/>
    <w:link w:val="ESSectionHeading-numbered0"/>
    <w:rsid w:val="00AE1CBE"/>
    <w:rPr>
      <w:rFonts w:eastAsiaTheme="majorEastAsia" w:cs="Arial"/>
      <w:b/>
      <w:bCs/>
      <w:color w:val="358189"/>
      <w:sz w:val="32"/>
      <w:szCs w:val="26"/>
      <w:lang w:eastAsia="en-US"/>
    </w:rPr>
  </w:style>
  <w:style w:type="character" w:customStyle="1" w:styleId="MainBodySectionHeading-numberedChar">
    <w:name w:val="Main Body Section Heading - numbered Char"/>
    <w:basedOn w:val="Heading2Char"/>
    <w:link w:val="MainBodySectionHeading-numbered"/>
    <w:rsid w:val="00B313E2"/>
    <w:rPr>
      <w:rFonts w:eastAsiaTheme="majorEastAsia" w:cs="Arial"/>
      <w:b/>
      <w:bCs/>
      <w:iCs/>
      <w:color w:val="358189"/>
      <w:sz w:val="36"/>
      <w:szCs w:val="28"/>
      <w:lang w:eastAsia="en-US"/>
    </w:rPr>
  </w:style>
  <w:style w:type="numbering" w:customStyle="1" w:styleId="ESSectionheading-numbered">
    <w:name w:val="ES. Section heading - numbered"/>
    <w:uiPriority w:val="99"/>
    <w:rsid w:val="00D957AB"/>
    <w:pPr>
      <w:numPr>
        <w:numId w:val="5"/>
      </w:numPr>
    </w:pPr>
  </w:style>
  <w:style w:type="paragraph" w:customStyle="1" w:styleId="ESNumberedSectionHeading">
    <w:name w:val="ES Numbered Section Heading"/>
    <w:basedOn w:val="ESSectionHeading-numbered0"/>
    <w:link w:val="ESNumberedSectionHeadingChar"/>
    <w:rsid w:val="00F5251C"/>
    <w:pPr>
      <w:numPr>
        <w:ilvl w:val="2"/>
        <w:numId w:val="7"/>
      </w:numPr>
      <w:ind w:left="1134" w:hanging="1134"/>
    </w:pPr>
  </w:style>
  <w:style w:type="character" w:customStyle="1" w:styleId="ESNumberedSectionHeadingChar">
    <w:name w:val="ES Numbered Section Heading Char"/>
    <w:basedOn w:val="ESSectionHeading-numberedChar"/>
    <w:link w:val="ESNumberedSectionHeading"/>
    <w:rsid w:val="00F5251C"/>
    <w:rPr>
      <w:rFonts w:eastAsiaTheme="majorEastAsia" w:cs="Arial"/>
      <w:b/>
      <w:bCs/>
      <w:color w:val="358189"/>
      <w:sz w:val="32"/>
      <w:szCs w:val="26"/>
      <w:lang w:eastAsia="en-US"/>
    </w:rPr>
  </w:style>
  <w:style w:type="paragraph" w:customStyle="1" w:styleId="Tablenotes0">
    <w:name w:val="Tablenotes"/>
    <w:basedOn w:val="Normal"/>
    <w:link w:val="TablenotesChar0"/>
    <w:rsid w:val="00DF343F"/>
    <w:pPr>
      <w:widowControl w:val="0"/>
      <w:spacing w:line="240" w:lineRule="auto"/>
      <w:jc w:val="both"/>
    </w:pPr>
    <w:rPr>
      <w:rFonts w:ascii="Arial Narrow" w:hAnsi="Arial Narrow"/>
      <w:snapToGrid w:val="0"/>
      <w:sz w:val="18"/>
      <w:lang w:eastAsia="en-US"/>
    </w:rPr>
  </w:style>
  <w:style w:type="character" w:customStyle="1" w:styleId="TablenotesChar0">
    <w:name w:val="Tablenotes Char"/>
    <w:basedOn w:val="DefaultParagraphFont"/>
    <w:link w:val="Tablenotes0"/>
    <w:rsid w:val="00DF343F"/>
    <w:rPr>
      <w:rFonts w:ascii="Arial Narrow" w:hAnsi="Arial Narrow" w:cs="Arial"/>
      <w:snapToGrid w:val="0"/>
      <w:sz w:val="18"/>
      <w:lang w:eastAsia="en-US"/>
    </w:rPr>
  </w:style>
  <w:style w:type="paragraph" w:customStyle="1" w:styleId="TableNotes18">
    <w:name w:val="TableNotes+18"/>
    <w:basedOn w:val="TableText"/>
    <w:uiPriority w:val="99"/>
    <w:rsid w:val="00404BE7"/>
    <w:pPr>
      <w:keepNext w:val="0"/>
      <w:keepLines/>
      <w:spacing w:before="0" w:after="360" w:line="240" w:lineRule="auto"/>
      <w:ind w:left="720"/>
    </w:pPr>
    <w:rPr>
      <w:color w:val="000000"/>
      <w:szCs w:val="21"/>
    </w:rPr>
  </w:style>
  <w:style w:type="paragraph" w:customStyle="1" w:styleId="TableNotes00">
    <w:name w:val="TableNotes+0"/>
    <w:basedOn w:val="TableNotes18"/>
    <w:uiPriority w:val="99"/>
    <w:rsid w:val="00404BE7"/>
    <w:pPr>
      <w:keepNext/>
      <w:spacing w:after="0"/>
    </w:pPr>
  </w:style>
  <w:style w:type="paragraph" w:customStyle="1" w:styleId="TFAbbrevs0">
    <w:name w:val="TFAbbrevs+0"/>
    <w:basedOn w:val="Normal"/>
    <w:rsid w:val="00214F43"/>
    <w:pPr>
      <w:keepNext/>
      <w:keepLines/>
      <w:spacing w:after="0" w:line="240" w:lineRule="auto"/>
    </w:pPr>
    <w:rPr>
      <w:rFonts w:ascii="Arial Narrow" w:hAnsi="Arial Narrow"/>
      <w:color w:val="000000"/>
      <w:sz w:val="18"/>
      <w:szCs w:val="18"/>
    </w:rPr>
  </w:style>
  <w:style w:type="paragraph" w:customStyle="1" w:styleId="TFAbbrevs18">
    <w:name w:val="TFAbbrevs+18"/>
    <w:basedOn w:val="TFAbbrevs0"/>
    <w:next w:val="Normal"/>
    <w:rsid w:val="00214F43"/>
    <w:pPr>
      <w:spacing w:after="360"/>
    </w:pPr>
  </w:style>
  <w:style w:type="paragraph" w:customStyle="1" w:styleId="Comment">
    <w:name w:val="Comment"/>
    <w:basedOn w:val="Normal"/>
    <w:link w:val="CommentChar"/>
    <w:rsid w:val="00DE1599"/>
    <w:pPr>
      <w:tabs>
        <w:tab w:val="num" w:pos="720"/>
      </w:tabs>
      <w:jc w:val="both"/>
    </w:pPr>
    <w:rPr>
      <w:i/>
    </w:rPr>
  </w:style>
  <w:style w:type="character" w:customStyle="1" w:styleId="CommentChar">
    <w:name w:val="Comment Char"/>
    <w:basedOn w:val="DefaultParagraphFont"/>
    <w:link w:val="Comment"/>
    <w:rsid w:val="00DE1599"/>
    <w:rPr>
      <w:rFonts w:ascii="Calibri" w:hAnsi="Calibri" w:cs="Tahoma"/>
      <w:i/>
      <w:sz w:val="22"/>
      <w:szCs w:val="22"/>
    </w:rPr>
  </w:style>
  <w:style w:type="paragraph" w:customStyle="1" w:styleId="hidden">
    <w:name w:val="hidden"/>
    <w:basedOn w:val="Normal"/>
    <w:rsid w:val="001E7F65"/>
  </w:style>
  <w:style w:type="paragraph" w:customStyle="1" w:styleId="Guidelines">
    <w:name w:val="Guidelines"/>
    <w:basedOn w:val="Normal"/>
    <w:link w:val="GuidelinesChar"/>
    <w:rsid w:val="00E463F4"/>
    <w:pPr>
      <w:jc w:val="both"/>
    </w:pPr>
    <w:rPr>
      <w:vanish/>
      <w:color w:val="C00000"/>
    </w:rPr>
  </w:style>
  <w:style w:type="character" w:customStyle="1" w:styleId="GuidelinesChar">
    <w:name w:val="Guidelines Char"/>
    <w:basedOn w:val="DefaultParagraphFont"/>
    <w:link w:val="Guidelines"/>
    <w:rsid w:val="00E463F4"/>
    <w:rPr>
      <w:rFonts w:ascii="Calibri" w:hAnsi="Calibri" w:cs="Tahoma"/>
      <w:vanish/>
      <w:color w:val="C00000"/>
      <w:sz w:val="22"/>
      <w:szCs w:val="22"/>
    </w:rPr>
  </w:style>
  <w:style w:type="character" w:customStyle="1" w:styleId="Heading5Char">
    <w:name w:val="Heading 5 Char"/>
    <w:basedOn w:val="DefaultParagraphFont"/>
    <w:link w:val="Heading5"/>
    <w:uiPriority w:val="9"/>
    <w:rsid w:val="0074195F"/>
    <w:rPr>
      <w:rFonts w:eastAsiaTheme="majorEastAsia" w:cstheme="majorBidi"/>
      <w:b/>
      <w:color w:val="3F4A75"/>
      <w:sz w:val="24"/>
    </w:rPr>
  </w:style>
  <w:style w:type="paragraph" w:customStyle="1" w:styleId="Style5">
    <w:name w:val="Style5"/>
    <w:basedOn w:val="Normal"/>
    <w:link w:val="Style5Char"/>
    <w:rsid w:val="00990F57"/>
    <w:pPr>
      <w:numPr>
        <w:numId w:val="10"/>
      </w:numPr>
    </w:pPr>
    <w:rPr>
      <w:b/>
      <w:bCs/>
      <w:szCs w:val="24"/>
      <w:lang w:eastAsia="en-US"/>
    </w:rPr>
  </w:style>
  <w:style w:type="character" w:customStyle="1" w:styleId="Style5Char">
    <w:name w:val="Style5 Char"/>
    <w:link w:val="Style5"/>
    <w:rsid w:val="00990F57"/>
    <w:rPr>
      <w:b/>
      <w:bCs/>
      <w:szCs w:val="24"/>
      <w:lang w:eastAsia="en-US"/>
    </w:rPr>
  </w:style>
  <w:style w:type="character" w:customStyle="1" w:styleId="ListParagraphChar">
    <w:name w:val="List Paragraph Char"/>
    <w:basedOn w:val="DefaultParagraphFont"/>
    <w:link w:val="ListParagraph"/>
    <w:uiPriority w:val="34"/>
    <w:locked/>
    <w:rsid w:val="00B61DB7"/>
  </w:style>
  <w:style w:type="paragraph" w:customStyle="1" w:styleId="EndNoteBibliographyTitle">
    <w:name w:val="EndNote Bibliography Title"/>
    <w:basedOn w:val="Normal"/>
    <w:link w:val="EndNoteBibliographyTitleChar"/>
    <w:rsid w:val="0054605B"/>
    <w:pPr>
      <w:spacing w:after="0"/>
      <w:jc w:val="center"/>
    </w:pPr>
    <w:rPr>
      <w:rFonts w:ascii="Tahoma" w:hAnsi="Tahoma" w:cs="Tahoma"/>
      <w:noProof/>
    </w:rPr>
  </w:style>
  <w:style w:type="character" w:customStyle="1" w:styleId="EndNoteBibliographyTitleChar">
    <w:name w:val="EndNote Bibliography Title Char"/>
    <w:basedOn w:val="DefaultParagraphFont"/>
    <w:link w:val="EndNoteBibliographyTitle"/>
    <w:rsid w:val="0054605B"/>
    <w:rPr>
      <w:rFonts w:ascii="Tahoma" w:hAnsi="Tahoma" w:cs="Tahoma"/>
      <w:noProof/>
    </w:rPr>
  </w:style>
  <w:style w:type="paragraph" w:customStyle="1" w:styleId="EndNoteBibliography">
    <w:name w:val="EndNote Bibliography"/>
    <w:basedOn w:val="Normal"/>
    <w:link w:val="EndNoteBibliographyChar"/>
    <w:rsid w:val="00DF0E59"/>
    <w:pPr>
      <w:spacing w:line="240" w:lineRule="auto"/>
      <w:ind w:left="567" w:hanging="567"/>
    </w:pPr>
    <w:rPr>
      <w:rFonts w:ascii="Tahoma" w:hAnsi="Tahoma" w:cs="Tahoma"/>
      <w:noProof/>
    </w:rPr>
  </w:style>
  <w:style w:type="character" w:customStyle="1" w:styleId="EndNoteBibliographyChar">
    <w:name w:val="EndNote Bibliography Char"/>
    <w:basedOn w:val="DefaultParagraphFont"/>
    <w:link w:val="EndNoteBibliography"/>
    <w:rsid w:val="00DF0E59"/>
    <w:rPr>
      <w:rFonts w:ascii="Tahoma" w:hAnsi="Tahoma" w:cs="Tahoma"/>
      <w:noProof/>
    </w:rPr>
  </w:style>
  <w:style w:type="paragraph" w:customStyle="1" w:styleId="FigureandTablelegend">
    <w:name w:val="Figure and Table legend"/>
    <w:basedOn w:val="Normal"/>
    <w:link w:val="FigureandTablelegendChar"/>
    <w:rsid w:val="00434B26"/>
    <w:pPr>
      <w:spacing w:after="0"/>
    </w:pPr>
    <w:rPr>
      <w:rFonts w:ascii="Arial Narrow" w:eastAsiaTheme="minorHAnsi" w:hAnsi="Arial Narrow"/>
      <w:b/>
      <w:sz w:val="20"/>
      <w:lang w:eastAsia="en-US"/>
    </w:rPr>
  </w:style>
  <w:style w:type="character" w:customStyle="1" w:styleId="FigureandTablelegendChar">
    <w:name w:val="Figure and Table legend Char"/>
    <w:basedOn w:val="DefaultParagraphFont"/>
    <w:link w:val="FigureandTablelegend"/>
    <w:rsid w:val="00434B26"/>
    <w:rPr>
      <w:rFonts w:ascii="Arial Narrow" w:eastAsiaTheme="minorHAnsi" w:hAnsi="Arial Narrow" w:cstheme="minorBidi"/>
      <w:b/>
      <w:lang w:eastAsia="en-US"/>
    </w:rPr>
  </w:style>
  <w:style w:type="table" w:customStyle="1" w:styleId="TableGrid7">
    <w:name w:val="Table Grid7"/>
    <w:basedOn w:val="TableNormal"/>
    <w:next w:val="TableGrid"/>
    <w:uiPriority w:val="59"/>
    <w:rsid w:val="007D6A65"/>
    <w:pPr>
      <w:spacing w:after="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semiHidden/>
    <w:unhideWhenUsed/>
    <w:rsid w:val="004F35AE"/>
    <w:rPr>
      <w:vertAlign w:val="superscript"/>
    </w:rPr>
  </w:style>
  <w:style w:type="numbering" w:customStyle="1" w:styleId="NoList1">
    <w:name w:val="No List1"/>
    <w:next w:val="NoList"/>
    <w:uiPriority w:val="99"/>
    <w:semiHidden/>
    <w:unhideWhenUsed/>
    <w:rsid w:val="00F3418E"/>
  </w:style>
  <w:style w:type="character" w:customStyle="1" w:styleId="Heading6Char">
    <w:name w:val="Heading 6 Char"/>
    <w:basedOn w:val="DefaultParagraphFont"/>
    <w:link w:val="Heading6"/>
    <w:uiPriority w:val="9"/>
    <w:rsid w:val="00557469"/>
    <w:rPr>
      <w:rFonts w:asciiTheme="majorHAnsi" w:eastAsiaTheme="majorEastAsia" w:hAnsiTheme="majorHAnsi" w:cstheme="majorBidi"/>
    </w:rPr>
  </w:style>
  <w:style w:type="character" w:customStyle="1" w:styleId="Heading7Char">
    <w:name w:val="Heading 7 Char"/>
    <w:basedOn w:val="DefaultParagraphFont"/>
    <w:link w:val="Heading7"/>
    <w:uiPriority w:val="9"/>
    <w:rsid w:val="00557469"/>
    <w:rPr>
      <w:rFonts w:asciiTheme="majorHAnsi" w:eastAsiaTheme="majorEastAsia" w:hAnsiTheme="majorHAnsi" w:cstheme="majorBidi"/>
      <w:i/>
      <w:iCs/>
    </w:rPr>
  </w:style>
  <w:style w:type="character" w:customStyle="1" w:styleId="Heading8Char">
    <w:name w:val="Heading 8 Char"/>
    <w:basedOn w:val="DefaultParagraphFont"/>
    <w:link w:val="Heading8"/>
    <w:semiHidden/>
    <w:rsid w:val="00557469"/>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semiHidden/>
    <w:rsid w:val="00557469"/>
    <w:rPr>
      <w:rFonts w:asciiTheme="majorHAnsi" w:eastAsiaTheme="majorEastAsia" w:hAnsiTheme="majorHAnsi" w:cstheme="majorBidi"/>
      <w:i/>
      <w:iCs/>
      <w:color w:val="272727" w:themeColor="text1" w:themeTint="D8"/>
      <w:sz w:val="21"/>
      <w:szCs w:val="21"/>
      <w:lang w:eastAsia="en-US"/>
    </w:rPr>
  </w:style>
  <w:style w:type="numbering" w:customStyle="1" w:styleId="NoList11">
    <w:name w:val="No List11"/>
    <w:next w:val="NoList"/>
    <w:uiPriority w:val="99"/>
    <w:semiHidden/>
    <w:unhideWhenUsed/>
    <w:rsid w:val="00F3418E"/>
  </w:style>
  <w:style w:type="character" w:customStyle="1" w:styleId="DateChar">
    <w:name w:val="Date Char"/>
    <w:basedOn w:val="DefaultParagraphFont"/>
    <w:link w:val="Date"/>
    <w:rsid w:val="00F3418E"/>
    <w:rPr>
      <w:rFonts w:ascii="Arial" w:hAnsi="Arial" w:cs="Arial"/>
      <w:b/>
      <w:sz w:val="36"/>
      <w:szCs w:val="22"/>
    </w:rPr>
  </w:style>
  <w:style w:type="character" w:customStyle="1" w:styleId="TitleChar">
    <w:name w:val="Title Char"/>
    <w:basedOn w:val="DefaultParagraphFont"/>
    <w:link w:val="Title"/>
    <w:rsid w:val="00497504"/>
    <w:rPr>
      <w:rFonts w:ascii="Arial" w:eastAsiaTheme="majorEastAsia" w:hAnsi="Arial" w:cstheme="majorBidi"/>
      <w:b/>
      <w:color w:val="FFFFFF" w:themeColor="background1"/>
      <w:kern w:val="28"/>
      <w:sz w:val="48"/>
      <w:szCs w:val="52"/>
      <w:lang w:eastAsia="en-US"/>
    </w:rPr>
  </w:style>
  <w:style w:type="character" w:customStyle="1" w:styleId="QuoteChar">
    <w:name w:val="Quote Char"/>
    <w:basedOn w:val="DefaultParagraphFont"/>
    <w:link w:val="Quote"/>
    <w:uiPriority w:val="29"/>
    <w:rsid w:val="00497504"/>
    <w:rPr>
      <w:rFonts w:ascii="Arial" w:hAnsi="Arial"/>
      <w:i/>
      <w:iCs/>
      <w:color w:val="000000" w:themeColor="text1"/>
      <w:sz w:val="22"/>
      <w:szCs w:val="24"/>
      <w:lang w:eastAsia="en-US"/>
    </w:rPr>
  </w:style>
  <w:style w:type="paragraph" w:customStyle="1" w:styleId="TOCHeading1">
    <w:name w:val="TOC Heading1"/>
    <w:basedOn w:val="Heading1"/>
    <w:next w:val="Normal"/>
    <w:uiPriority w:val="39"/>
    <w:unhideWhenUsed/>
    <w:rsid w:val="00F3418E"/>
    <w:pPr>
      <w:spacing w:before="480"/>
      <w:outlineLvl w:val="9"/>
    </w:pPr>
    <w:rPr>
      <w:rFonts w:ascii="Cambria" w:hAnsi="Cambria" w:cs="Times New Roman"/>
      <w:bCs w:val="0"/>
      <w:color w:val="365F91"/>
      <w:sz w:val="28"/>
      <w:szCs w:val="28"/>
      <w:lang w:val="en-US"/>
    </w:rPr>
  </w:style>
  <w:style w:type="numbering" w:customStyle="1" w:styleId="ESSectionheading-numbered1">
    <w:name w:val="ES. Section heading - numbered1"/>
    <w:uiPriority w:val="99"/>
    <w:rsid w:val="00F3418E"/>
  </w:style>
  <w:style w:type="character" w:customStyle="1" w:styleId="CaptionChar">
    <w:name w:val="Caption Char"/>
    <w:aliases w:val="Table and Figure Name Char,Table and Figure name Char,Caption Char2 Char Char,Caption Char Char Char2 Char,Caption Char1 Char Char Char1 Char,Caption Char2 Char Char Char1 Char1 Char,Caption Char Char1 Char Char Char1 Char1 Char"/>
    <w:basedOn w:val="DefaultParagraphFont"/>
    <w:link w:val="Caption"/>
    <w:uiPriority w:val="35"/>
    <w:rsid w:val="00897C5B"/>
    <w:rPr>
      <w:b/>
      <w:bCs/>
      <w:color w:val="44546A" w:themeColor="text2"/>
      <w:sz w:val="20"/>
      <w:szCs w:val="20"/>
    </w:rPr>
  </w:style>
  <w:style w:type="table" w:customStyle="1" w:styleId="TableGrid3">
    <w:name w:val="Table Grid3"/>
    <w:basedOn w:val="TableNormal"/>
    <w:next w:val="TableGrid"/>
    <w:uiPriority w:val="39"/>
    <w:rsid w:val="008921EC"/>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2A25FD"/>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locked/>
    <w:rsid w:val="002A25FD"/>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b w:val="0"/>
        <w:sz w:val="20"/>
      </w:rPr>
    </w:tblStylePr>
  </w:style>
  <w:style w:type="paragraph" w:styleId="Subtitle">
    <w:name w:val="Subtitle"/>
    <w:next w:val="Normal"/>
    <w:link w:val="SubtitleChar"/>
    <w:qFormat/>
    <w:rsid w:val="00497504"/>
    <w:pPr>
      <w:numPr>
        <w:ilvl w:val="1"/>
      </w:numPr>
      <w:spacing w:before="120" w:after="60"/>
    </w:pPr>
    <w:rPr>
      <w:rFonts w:eastAsiaTheme="majorEastAsia" w:cstheme="majorBidi"/>
      <w:b/>
      <w:iCs/>
      <w:color w:val="FFFFFF" w:themeColor="background1"/>
      <w:spacing w:val="15"/>
      <w:sz w:val="40"/>
      <w:szCs w:val="24"/>
      <w:lang w:eastAsia="en-US"/>
    </w:rPr>
  </w:style>
  <w:style w:type="character" w:customStyle="1" w:styleId="SubtitleChar">
    <w:name w:val="Subtitle Char"/>
    <w:basedOn w:val="DefaultParagraphFont"/>
    <w:link w:val="Subtitle"/>
    <w:rsid w:val="00497504"/>
    <w:rPr>
      <w:rFonts w:ascii="Arial" w:eastAsiaTheme="majorEastAsia" w:hAnsi="Arial" w:cstheme="majorBidi"/>
      <w:b/>
      <w:iCs/>
      <w:color w:val="FFFFFF" w:themeColor="background1"/>
      <w:spacing w:val="15"/>
      <w:sz w:val="40"/>
      <w:szCs w:val="24"/>
      <w:lang w:eastAsia="en-US"/>
    </w:rPr>
  </w:style>
  <w:style w:type="paragraph" w:styleId="NoSpacing">
    <w:name w:val="No Spacing"/>
    <w:uiPriority w:val="1"/>
    <w:rsid w:val="00557469"/>
  </w:style>
  <w:style w:type="paragraph" w:styleId="IntenseQuote">
    <w:name w:val="Intense Quote"/>
    <w:basedOn w:val="Normal"/>
    <w:next w:val="Normal"/>
    <w:link w:val="IntenseQuoteChar"/>
    <w:uiPriority w:val="30"/>
    <w:rsid w:val="00557469"/>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557469"/>
    <w:rPr>
      <w:i/>
      <w:iCs/>
      <w:color w:val="404040" w:themeColor="text1" w:themeTint="BF"/>
    </w:rPr>
  </w:style>
  <w:style w:type="character" w:styleId="SubtleEmphasis">
    <w:name w:val="Subtle Emphasis"/>
    <w:basedOn w:val="DefaultParagraphFont"/>
    <w:uiPriority w:val="19"/>
    <w:rsid w:val="00557469"/>
    <w:rPr>
      <w:i/>
      <w:iCs/>
      <w:color w:val="404040" w:themeColor="text1" w:themeTint="BF"/>
    </w:rPr>
  </w:style>
  <w:style w:type="character" w:styleId="IntenseEmphasis">
    <w:name w:val="Intense Emphasis"/>
    <w:basedOn w:val="DefaultParagraphFont"/>
    <w:uiPriority w:val="21"/>
    <w:rsid w:val="00557469"/>
    <w:rPr>
      <w:b/>
      <w:bCs/>
      <w:i/>
      <w:iCs/>
      <w:color w:val="auto"/>
    </w:rPr>
  </w:style>
  <w:style w:type="character" w:styleId="SubtleReference">
    <w:name w:val="Subtle Reference"/>
    <w:basedOn w:val="DefaultParagraphFont"/>
    <w:uiPriority w:val="31"/>
    <w:rsid w:val="00557469"/>
    <w:rPr>
      <w:smallCaps/>
      <w:color w:val="404040" w:themeColor="text1" w:themeTint="BF"/>
    </w:rPr>
  </w:style>
  <w:style w:type="character" w:styleId="IntenseReference">
    <w:name w:val="Intense Reference"/>
    <w:basedOn w:val="DefaultParagraphFont"/>
    <w:uiPriority w:val="32"/>
    <w:rsid w:val="00557469"/>
    <w:rPr>
      <w:b/>
      <w:bCs/>
      <w:smallCaps/>
      <w:color w:val="404040" w:themeColor="text1" w:themeTint="BF"/>
      <w:spacing w:val="5"/>
    </w:rPr>
  </w:style>
  <w:style w:type="character" w:styleId="BookTitle">
    <w:name w:val="Book Title"/>
    <w:basedOn w:val="DefaultParagraphFont"/>
    <w:uiPriority w:val="33"/>
    <w:rsid w:val="00557469"/>
    <w:rPr>
      <w:b/>
      <w:bCs/>
      <w:i/>
      <w:iCs/>
      <w:spacing w:val="5"/>
    </w:rPr>
  </w:style>
  <w:style w:type="table" w:styleId="PlainTable1">
    <w:name w:val="Plain Table 1"/>
    <w:basedOn w:val="TableNormal"/>
    <w:uiPriority w:val="41"/>
    <w:rsid w:val="00E62636"/>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DefaultParagraphFont"/>
    <w:uiPriority w:val="99"/>
    <w:semiHidden/>
    <w:unhideWhenUsed/>
    <w:rsid w:val="00E62636"/>
    <w:rPr>
      <w:color w:val="605E5C"/>
      <w:shd w:val="clear" w:color="auto" w:fill="E1DFDD"/>
    </w:rPr>
  </w:style>
  <w:style w:type="character" w:customStyle="1" w:styleId="UnresolvedMention2">
    <w:name w:val="Unresolved Mention2"/>
    <w:basedOn w:val="DefaultParagraphFont"/>
    <w:uiPriority w:val="99"/>
    <w:semiHidden/>
    <w:unhideWhenUsed/>
    <w:rsid w:val="00E62636"/>
    <w:rPr>
      <w:color w:val="605E5C"/>
      <w:shd w:val="clear" w:color="auto" w:fill="E1DFDD"/>
    </w:rPr>
  </w:style>
  <w:style w:type="paragraph" w:customStyle="1" w:styleId="msonormal0">
    <w:name w:val="msonormal"/>
    <w:basedOn w:val="Normal"/>
    <w:rsid w:val="00E62636"/>
    <w:pPr>
      <w:spacing w:before="100" w:beforeAutospacing="1" w:after="100" w:afterAutospacing="1" w:line="240" w:lineRule="auto"/>
    </w:pPr>
    <w:rPr>
      <w:rFonts w:ascii="Times New Roman" w:hAnsi="Times New Roman"/>
      <w:sz w:val="24"/>
      <w:szCs w:val="24"/>
    </w:rPr>
  </w:style>
  <w:style w:type="paragraph" w:customStyle="1" w:styleId="xl64">
    <w:name w:val="xl64"/>
    <w:basedOn w:val="Normal"/>
    <w:rsid w:val="00E62636"/>
    <w:pPr>
      <w:spacing w:before="100" w:beforeAutospacing="1" w:after="100" w:afterAutospacing="1" w:line="240" w:lineRule="auto"/>
    </w:pPr>
    <w:rPr>
      <w:rFonts w:ascii="Times New Roman" w:hAnsi="Times New Roman"/>
      <w:sz w:val="24"/>
      <w:szCs w:val="24"/>
    </w:rPr>
  </w:style>
  <w:style w:type="table" w:customStyle="1" w:styleId="TableGrid4">
    <w:name w:val="Table Grid4"/>
    <w:basedOn w:val="TableNormal"/>
    <w:next w:val="TableGrid"/>
    <w:uiPriority w:val="39"/>
    <w:rsid w:val="000F5008"/>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D66295"/>
    <w:pPr>
      <w:spacing w:after="240"/>
      <w:ind w:left="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locked/>
    <w:rsid w:val="00D66295"/>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b w:val="0"/>
        <w:sz w:val="20"/>
      </w:rPr>
    </w:tblStylePr>
  </w:style>
  <w:style w:type="table" w:customStyle="1" w:styleId="PlainTable11">
    <w:name w:val="Plain Table 11"/>
    <w:basedOn w:val="TableNormal"/>
    <w:next w:val="PlainTable1"/>
    <w:uiPriority w:val="41"/>
    <w:rsid w:val="005C6A83"/>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textleft">
    <w:name w:val="Table text left"/>
    <w:autoRedefine/>
    <w:qFormat/>
    <w:locked/>
    <w:rsid w:val="00497504"/>
    <w:pPr>
      <w:spacing w:before="60" w:after="60"/>
    </w:pPr>
    <w:rPr>
      <w:color w:val="000000" w:themeColor="text1"/>
      <w:sz w:val="18"/>
      <w:szCs w:val="24"/>
      <w:lang w:eastAsia="en-US"/>
    </w:rPr>
  </w:style>
  <w:style w:type="paragraph" w:customStyle="1" w:styleId="TableTitle">
    <w:name w:val="Table Title"/>
    <w:link w:val="TableTitleChar"/>
    <w:qFormat/>
    <w:locked/>
    <w:rsid w:val="00497504"/>
    <w:pPr>
      <w:spacing w:before="120" w:after="120"/>
    </w:pPr>
    <w:rPr>
      <w:b/>
      <w:color w:val="000000" w:themeColor="text1"/>
      <w:szCs w:val="24"/>
      <w:lang w:val="en-US" w:eastAsia="en-US"/>
    </w:rPr>
  </w:style>
  <w:style w:type="character" w:customStyle="1" w:styleId="TableTitleChar">
    <w:name w:val="Table Title Char"/>
    <w:basedOn w:val="DefaultParagraphFont"/>
    <w:link w:val="TableTitle"/>
    <w:rsid w:val="00497504"/>
    <w:rPr>
      <w:rFonts w:ascii="Arial" w:hAnsi="Arial"/>
      <w:b/>
      <w:color w:val="000000" w:themeColor="text1"/>
      <w:sz w:val="22"/>
      <w:szCs w:val="24"/>
      <w:lang w:val="en-US" w:eastAsia="en-US"/>
    </w:rPr>
  </w:style>
  <w:style w:type="paragraph" w:customStyle="1" w:styleId="TableHeaderWhite">
    <w:name w:val="Table Header White"/>
    <w:basedOn w:val="Normal"/>
    <w:next w:val="Tabletextleft"/>
    <w:qFormat/>
    <w:rsid w:val="00497504"/>
    <w:pPr>
      <w:spacing w:before="80" w:after="80"/>
    </w:pPr>
    <w:rPr>
      <w:rFonts w:eastAsia="Cambria"/>
      <w:b/>
      <w:color w:val="FFFFFF" w:themeColor="background1"/>
      <w:lang w:val="en-US" w:eastAsia="en-US"/>
    </w:rPr>
  </w:style>
  <w:style w:type="paragraph" w:customStyle="1" w:styleId="FigureTitle">
    <w:name w:val="Figure Title"/>
    <w:next w:val="Normal"/>
    <w:qFormat/>
    <w:rsid w:val="00497504"/>
    <w:pPr>
      <w:spacing w:before="120" w:after="120"/>
    </w:pPr>
    <w:rPr>
      <w:rFonts w:cs="Arial"/>
      <w:b/>
      <w:bCs/>
      <w:iCs/>
      <w:color w:val="000000" w:themeColor="text1"/>
      <w:lang w:eastAsia="en-US"/>
    </w:rPr>
  </w:style>
  <w:style w:type="paragraph" w:customStyle="1" w:styleId="Tablelistbullet">
    <w:name w:val="Table list bullet"/>
    <w:basedOn w:val="Tabletextleft"/>
    <w:qFormat/>
    <w:rsid w:val="00497504"/>
    <w:pPr>
      <w:numPr>
        <w:numId w:val="22"/>
      </w:numPr>
    </w:pPr>
    <w:rPr>
      <w:szCs w:val="20"/>
    </w:rPr>
  </w:style>
  <w:style w:type="paragraph" w:customStyle="1" w:styleId="Tablelistnumber">
    <w:name w:val="Table list number"/>
    <w:basedOn w:val="Tabletextleft"/>
    <w:qFormat/>
    <w:rsid w:val="00497504"/>
    <w:pPr>
      <w:numPr>
        <w:numId w:val="23"/>
      </w:numPr>
    </w:pPr>
    <w:rPr>
      <w:bCs/>
      <w14:numSpacing w14:val="proportional"/>
    </w:rPr>
  </w:style>
  <w:style w:type="paragraph" w:customStyle="1" w:styleId="TableHeader">
    <w:name w:val="Table Header"/>
    <w:basedOn w:val="Normal"/>
    <w:next w:val="Tabletextleft"/>
    <w:qFormat/>
    <w:rsid w:val="00480188"/>
    <w:pPr>
      <w:spacing w:before="80" w:after="80" w:line="240" w:lineRule="auto"/>
    </w:pPr>
    <w:rPr>
      <w:rFonts w:eastAsia="Cambria"/>
      <w:b/>
      <w:color w:val="FFFFFF" w:themeColor="background1"/>
      <w:lang w:val="en-US" w:eastAsia="en-US"/>
    </w:rPr>
  </w:style>
  <w:style w:type="paragraph" w:customStyle="1" w:styleId="VisionBox">
    <w:name w:val="VisionBox"/>
    <w:basedOn w:val="Normal"/>
    <w:qFormat/>
    <w:rsid w:val="00497504"/>
    <w:pPr>
      <w:pBdr>
        <w:top w:val="single" w:sz="4" w:space="15" w:color="358189"/>
        <w:bottom w:val="single" w:sz="4" w:space="10" w:color="358189"/>
      </w:pBdr>
      <w:spacing w:before="240" w:after="240" w:line="340" w:lineRule="exact"/>
    </w:pPr>
    <w:rPr>
      <w:rFonts w:eastAsiaTheme="minorHAnsi"/>
      <w:color w:val="358189"/>
      <w:szCs w:val="24"/>
      <w:lang w:eastAsia="en-US"/>
    </w:rPr>
  </w:style>
  <w:style w:type="paragraph" w:customStyle="1" w:styleId="PolicyStatement">
    <w:name w:val="PolicyStatement"/>
    <w:basedOn w:val="Normal"/>
    <w:qFormat/>
    <w:rsid w:val="00497504"/>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rPr>
      <w:color w:val="000000" w:themeColor="text1"/>
      <w:szCs w:val="24"/>
      <w:lang w:eastAsia="en-US"/>
    </w:rPr>
  </w:style>
  <w:style w:type="paragraph" w:customStyle="1" w:styleId="IntroPara">
    <w:name w:val="Intro Para"/>
    <w:basedOn w:val="Normal"/>
    <w:next w:val="Normal"/>
    <w:qFormat/>
    <w:rsid w:val="00497504"/>
    <w:pPr>
      <w:spacing w:before="480" w:line="400" w:lineRule="exact"/>
    </w:pPr>
    <w:rPr>
      <w:color w:val="358189"/>
      <w:sz w:val="28"/>
      <w:szCs w:val="24"/>
      <w:lang w:eastAsia="en-US"/>
    </w:rPr>
  </w:style>
  <w:style w:type="paragraph" w:customStyle="1" w:styleId="Boxheading">
    <w:name w:val="Box heading"/>
    <w:basedOn w:val="Boxtype"/>
    <w:qFormat/>
    <w:rsid w:val="00497504"/>
    <w:pPr>
      <w:spacing w:before="240"/>
    </w:pPr>
    <w:rPr>
      <w:rFonts w:cs="Times New Roman"/>
      <w:b/>
      <w:bCs/>
      <w:caps/>
      <w:color w:val="358189"/>
      <w:szCs w:val="20"/>
    </w:rPr>
  </w:style>
  <w:style w:type="paragraph" w:customStyle="1" w:styleId="Boxtype">
    <w:name w:val="Box type"/>
    <w:next w:val="Normal"/>
    <w:qFormat/>
    <w:rsid w:val="00497504"/>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cs="Arial"/>
      <w:color w:val="000000" w:themeColor="text1"/>
      <w:szCs w:val="24"/>
      <w:lang w:val="en" w:eastAsia="en-US"/>
    </w:rPr>
  </w:style>
  <w:style w:type="paragraph" w:styleId="ListBullet">
    <w:name w:val="List Bullet"/>
    <w:basedOn w:val="Normal"/>
    <w:qFormat/>
    <w:rsid w:val="00CA47CA"/>
    <w:pPr>
      <w:numPr>
        <w:numId w:val="20"/>
      </w:numPr>
      <w:spacing w:line="240" w:lineRule="auto"/>
      <w:contextualSpacing/>
    </w:pPr>
    <w:rPr>
      <w:color w:val="000000" w:themeColor="text1"/>
      <w:szCs w:val="24"/>
      <w:lang w:eastAsia="en-US"/>
    </w:rPr>
  </w:style>
  <w:style w:type="paragraph" w:styleId="ListNumber2">
    <w:name w:val="List Number 2"/>
    <w:basedOn w:val="ListBullet"/>
    <w:qFormat/>
    <w:rsid w:val="00497504"/>
    <w:pPr>
      <w:numPr>
        <w:numId w:val="21"/>
      </w:numPr>
    </w:pPr>
  </w:style>
  <w:style w:type="table" w:styleId="ListTable3">
    <w:name w:val="List Table 3"/>
    <w:basedOn w:val="TableNormal"/>
    <w:uiPriority w:val="48"/>
    <w:rsid w:val="0011266C"/>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styleId="UnresolvedMention">
    <w:name w:val="Unresolved Mention"/>
    <w:basedOn w:val="DefaultParagraphFont"/>
    <w:uiPriority w:val="99"/>
    <w:semiHidden/>
    <w:unhideWhenUsed/>
    <w:rsid w:val="007501B9"/>
    <w:rPr>
      <w:color w:val="605E5C"/>
      <w:shd w:val="clear" w:color="auto" w:fill="E1DFDD"/>
    </w:rPr>
  </w:style>
  <w:style w:type="paragraph" w:customStyle="1" w:styleId="Heading2-SectionA">
    <w:name w:val="Heading 2 - Section A"/>
    <w:basedOn w:val="Heading2"/>
    <w:rsid w:val="000B41FA"/>
    <w:pPr>
      <w:numPr>
        <w:numId w:val="8"/>
      </w:numPr>
      <w:ind w:left="357" w:hanging="357"/>
    </w:pPr>
  </w:style>
  <w:style w:type="paragraph" w:customStyle="1" w:styleId="Heading2-SectionB">
    <w:name w:val="Heading 2 - Section B"/>
    <w:basedOn w:val="Heading2-SectionA"/>
    <w:rsid w:val="00857F40"/>
    <w:pPr>
      <w:numPr>
        <w:numId w:val="26"/>
      </w:numPr>
      <w:ind w:left="357" w:hanging="357"/>
    </w:pPr>
  </w:style>
  <w:style w:type="paragraph" w:customStyle="1" w:styleId="Heading2-SectionC">
    <w:name w:val="Heading 2 - Section C"/>
    <w:basedOn w:val="Heading2-SectionB"/>
    <w:rsid w:val="00857F40"/>
    <w:pPr>
      <w:numPr>
        <w:numId w:val="27"/>
      </w:numPr>
      <w:ind w:left="357" w:hanging="357"/>
    </w:pPr>
  </w:style>
  <w:style w:type="paragraph" w:customStyle="1" w:styleId="Heading2-SectionD">
    <w:name w:val="Heading 2 - Section D"/>
    <w:basedOn w:val="Heading2-SectionC"/>
    <w:rsid w:val="00903BC5"/>
    <w:pPr>
      <w:numPr>
        <w:numId w:val="28"/>
      </w:numPr>
      <w:ind w:left="1134" w:hanging="1134"/>
    </w:pPr>
  </w:style>
  <w:style w:type="paragraph" w:customStyle="1" w:styleId="Heading2-SectionE">
    <w:name w:val="Heading 2 - Section E"/>
    <w:basedOn w:val="Heading2-SectionD"/>
    <w:rsid w:val="0084765B"/>
    <w:pPr>
      <w:numPr>
        <w:numId w:val="29"/>
      </w:numPr>
      <w:ind w:left="1134" w:hanging="1134"/>
    </w:pPr>
  </w:style>
  <w:style w:type="paragraph" w:customStyle="1" w:styleId="Heading2-SectionF">
    <w:name w:val="Heading 2 - Section F"/>
    <w:basedOn w:val="Heading2-SectionE"/>
    <w:rsid w:val="0084765B"/>
    <w:pPr>
      <w:numPr>
        <w:numId w:val="30"/>
      </w:numPr>
      <w:ind w:left="1134" w:hanging="1134"/>
    </w:pPr>
  </w:style>
  <w:style w:type="paragraph" w:customStyle="1" w:styleId="Heading3-SectionA1">
    <w:name w:val="Heading 3 - Section A1"/>
    <w:basedOn w:val="Heading3"/>
    <w:rsid w:val="0084765B"/>
    <w:pPr>
      <w:numPr>
        <w:numId w:val="31"/>
      </w:numPr>
      <w:ind w:left="1134" w:hanging="1134"/>
    </w:pPr>
  </w:style>
  <w:style w:type="paragraph" w:customStyle="1" w:styleId="Heading3-SectionA3">
    <w:name w:val="Heading 3 - Section A3"/>
    <w:basedOn w:val="Heading3-SectionA1"/>
    <w:rsid w:val="0084765B"/>
    <w:pPr>
      <w:numPr>
        <w:numId w:val="32"/>
      </w:numPr>
      <w:ind w:left="1134" w:hanging="1134"/>
    </w:pPr>
  </w:style>
  <w:style w:type="paragraph" w:customStyle="1" w:styleId="Heading3-SectionB3">
    <w:name w:val="Heading 3 - Section B3"/>
    <w:basedOn w:val="Heading3-SectionA3"/>
    <w:rsid w:val="0084765B"/>
    <w:pPr>
      <w:numPr>
        <w:numId w:val="33"/>
      </w:numPr>
      <w:ind w:left="1134" w:hanging="1134"/>
    </w:pPr>
  </w:style>
  <w:style w:type="paragraph" w:customStyle="1" w:styleId="Heading3-SectionB5">
    <w:name w:val="Heading 3 - Section B5"/>
    <w:basedOn w:val="Heading3-SectionB3"/>
    <w:rsid w:val="00FF37D6"/>
    <w:pPr>
      <w:numPr>
        <w:numId w:val="34"/>
      </w:numPr>
      <w:ind w:left="1134" w:hanging="1134"/>
    </w:pPr>
  </w:style>
  <w:style w:type="paragraph" w:customStyle="1" w:styleId="Heading3-SectionB6">
    <w:name w:val="Heading 3 - Section B6"/>
    <w:basedOn w:val="Heading3-SectionB5"/>
    <w:rsid w:val="00FF37D6"/>
    <w:pPr>
      <w:numPr>
        <w:numId w:val="35"/>
      </w:numPr>
      <w:ind w:left="1134" w:hanging="1134"/>
    </w:pPr>
  </w:style>
  <w:style w:type="paragraph" w:customStyle="1" w:styleId="Heading3-SectionB7">
    <w:name w:val="Heading 3 - Section B7"/>
    <w:basedOn w:val="Heading3-SectionB6"/>
    <w:rsid w:val="00FF37D6"/>
    <w:pPr>
      <w:numPr>
        <w:numId w:val="37"/>
      </w:numPr>
      <w:ind w:left="1134" w:hanging="1134"/>
    </w:pPr>
  </w:style>
  <w:style w:type="paragraph" w:customStyle="1" w:styleId="ListQuotes">
    <w:name w:val="List Quotes"/>
    <w:basedOn w:val="ListParagraph"/>
    <w:rsid w:val="00976D0B"/>
    <w:pPr>
      <w:numPr>
        <w:numId w:val="9"/>
      </w:numPr>
      <w:spacing w:line="276" w:lineRule="auto"/>
      <w:ind w:left="357" w:hanging="357"/>
    </w:pPr>
    <w:rPr>
      <w:color w:val="0070C0"/>
    </w:rPr>
  </w:style>
  <w:style w:type="paragraph" w:styleId="ListNumber">
    <w:name w:val="List Number"/>
    <w:basedOn w:val="Normal"/>
    <w:rsid w:val="00D17045"/>
    <w:pPr>
      <w:numPr>
        <w:numId w:val="38"/>
      </w:numPr>
      <w:contextualSpacing/>
    </w:pPr>
  </w:style>
  <w:style w:type="table" w:styleId="ListTable4">
    <w:name w:val="List Table 4"/>
    <w:basedOn w:val="TableNormal"/>
    <w:uiPriority w:val="49"/>
    <w:rsid w:val="00D1704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18227">
      <w:bodyDiv w:val="1"/>
      <w:marLeft w:val="0"/>
      <w:marRight w:val="0"/>
      <w:marTop w:val="0"/>
      <w:marBottom w:val="0"/>
      <w:divBdr>
        <w:top w:val="none" w:sz="0" w:space="0" w:color="auto"/>
        <w:left w:val="none" w:sz="0" w:space="0" w:color="auto"/>
        <w:bottom w:val="none" w:sz="0" w:space="0" w:color="auto"/>
        <w:right w:val="none" w:sz="0" w:space="0" w:color="auto"/>
      </w:divBdr>
      <w:divsChild>
        <w:div w:id="721296983">
          <w:marLeft w:val="446"/>
          <w:marRight w:val="0"/>
          <w:marTop w:val="0"/>
          <w:marBottom w:val="0"/>
          <w:divBdr>
            <w:top w:val="none" w:sz="0" w:space="0" w:color="auto"/>
            <w:left w:val="none" w:sz="0" w:space="0" w:color="auto"/>
            <w:bottom w:val="none" w:sz="0" w:space="0" w:color="auto"/>
            <w:right w:val="none" w:sz="0" w:space="0" w:color="auto"/>
          </w:divBdr>
        </w:div>
        <w:div w:id="367070983">
          <w:marLeft w:val="446"/>
          <w:marRight w:val="0"/>
          <w:marTop w:val="0"/>
          <w:marBottom w:val="0"/>
          <w:divBdr>
            <w:top w:val="none" w:sz="0" w:space="0" w:color="auto"/>
            <w:left w:val="none" w:sz="0" w:space="0" w:color="auto"/>
            <w:bottom w:val="none" w:sz="0" w:space="0" w:color="auto"/>
            <w:right w:val="none" w:sz="0" w:space="0" w:color="auto"/>
          </w:divBdr>
        </w:div>
        <w:div w:id="383263273">
          <w:marLeft w:val="446"/>
          <w:marRight w:val="0"/>
          <w:marTop w:val="0"/>
          <w:marBottom w:val="0"/>
          <w:divBdr>
            <w:top w:val="none" w:sz="0" w:space="0" w:color="auto"/>
            <w:left w:val="none" w:sz="0" w:space="0" w:color="auto"/>
            <w:bottom w:val="none" w:sz="0" w:space="0" w:color="auto"/>
            <w:right w:val="none" w:sz="0" w:space="0" w:color="auto"/>
          </w:divBdr>
        </w:div>
      </w:divsChild>
    </w:div>
    <w:div w:id="23335421">
      <w:bodyDiv w:val="1"/>
      <w:marLeft w:val="0"/>
      <w:marRight w:val="0"/>
      <w:marTop w:val="0"/>
      <w:marBottom w:val="0"/>
      <w:divBdr>
        <w:top w:val="none" w:sz="0" w:space="0" w:color="auto"/>
        <w:left w:val="none" w:sz="0" w:space="0" w:color="auto"/>
        <w:bottom w:val="none" w:sz="0" w:space="0" w:color="auto"/>
        <w:right w:val="none" w:sz="0" w:space="0" w:color="auto"/>
      </w:divBdr>
    </w:div>
    <w:div w:id="44721479">
      <w:bodyDiv w:val="1"/>
      <w:marLeft w:val="0"/>
      <w:marRight w:val="0"/>
      <w:marTop w:val="0"/>
      <w:marBottom w:val="0"/>
      <w:divBdr>
        <w:top w:val="none" w:sz="0" w:space="0" w:color="auto"/>
        <w:left w:val="none" w:sz="0" w:space="0" w:color="auto"/>
        <w:bottom w:val="none" w:sz="0" w:space="0" w:color="auto"/>
        <w:right w:val="none" w:sz="0" w:space="0" w:color="auto"/>
      </w:divBdr>
    </w:div>
    <w:div w:id="68574738">
      <w:bodyDiv w:val="1"/>
      <w:marLeft w:val="0"/>
      <w:marRight w:val="0"/>
      <w:marTop w:val="0"/>
      <w:marBottom w:val="0"/>
      <w:divBdr>
        <w:top w:val="none" w:sz="0" w:space="0" w:color="auto"/>
        <w:left w:val="none" w:sz="0" w:space="0" w:color="auto"/>
        <w:bottom w:val="none" w:sz="0" w:space="0" w:color="auto"/>
        <w:right w:val="none" w:sz="0" w:space="0" w:color="auto"/>
      </w:divBdr>
    </w:div>
    <w:div w:id="90400322">
      <w:bodyDiv w:val="1"/>
      <w:marLeft w:val="0"/>
      <w:marRight w:val="0"/>
      <w:marTop w:val="0"/>
      <w:marBottom w:val="0"/>
      <w:divBdr>
        <w:top w:val="none" w:sz="0" w:space="0" w:color="auto"/>
        <w:left w:val="none" w:sz="0" w:space="0" w:color="auto"/>
        <w:bottom w:val="none" w:sz="0" w:space="0" w:color="auto"/>
        <w:right w:val="none" w:sz="0" w:space="0" w:color="auto"/>
      </w:divBdr>
    </w:div>
    <w:div w:id="185215284">
      <w:bodyDiv w:val="1"/>
      <w:marLeft w:val="0"/>
      <w:marRight w:val="0"/>
      <w:marTop w:val="0"/>
      <w:marBottom w:val="0"/>
      <w:divBdr>
        <w:top w:val="none" w:sz="0" w:space="0" w:color="auto"/>
        <w:left w:val="none" w:sz="0" w:space="0" w:color="auto"/>
        <w:bottom w:val="none" w:sz="0" w:space="0" w:color="auto"/>
        <w:right w:val="none" w:sz="0" w:space="0" w:color="auto"/>
      </w:divBdr>
    </w:div>
    <w:div w:id="194470657">
      <w:bodyDiv w:val="1"/>
      <w:marLeft w:val="0"/>
      <w:marRight w:val="0"/>
      <w:marTop w:val="0"/>
      <w:marBottom w:val="0"/>
      <w:divBdr>
        <w:top w:val="none" w:sz="0" w:space="0" w:color="auto"/>
        <w:left w:val="none" w:sz="0" w:space="0" w:color="auto"/>
        <w:bottom w:val="none" w:sz="0" w:space="0" w:color="auto"/>
        <w:right w:val="none" w:sz="0" w:space="0" w:color="auto"/>
      </w:divBdr>
    </w:div>
    <w:div w:id="201094550">
      <w:bodyDiv w:val="1"/>
      <w:marLeft w:val="0"/>
      <w:marRight w:val="0"/>
      <w:marTop w:val="0"/>
      <w:marBottom w:val="0"/>
      <w:divBdr>
        <w:top w:val="none" w:sz="0" w:space="0" w:color="auto"/>
        <w:left w:val="none" w:sz="0" w:space="0" w:color="auto"/>
        <w:bottom w:val="none" w:sz="0" w:space="0" w:color="auto"/>
        <w:right w:val="none" w:sz="0" w:space="0" w:color="auto"/>
      </w:divBdr>
    </w:div>
    <w:div w:id="227109199">
      <w:bodyDiv w:val="1"/>
      <w:marLeft w:val="0"/>
      <w:marRight w:val="0"/>
      <w:marTop w:val="0"/>
      <w:marBottom w:val="0"/>
      <w:divBdr>
        <w:top w:val="none" w:sz="0" w:space="0" w:color="auto"/>
        <w:left w:val="none" w:sz="0" w:space="0" w:color="auto"/>
        <w:bottom w:val="none" w:sz="0" w:space="0" w:color="auto"/>
        <w:right w:val="none" w:sz="0" w:space="0" w:color="auto"/>
      </w:divBdr>
    </w:div>
    <w:div w:id="237252292">
      <w:bodyDiv w:val="1"/>
      <w:marLeft w:val="0"/>
      <w:marRight w:val="0"/>
      <w:marTop w:val="0"/>
      <w:marBottom w:val="0"/>
      <w:divBdr>
        <w:top w:val="none" w:sz="0" w:space="0" w:color="auto"/>
        <w:left w:val="none" w:sz="0" w:space="0" w:color="auto"/>
        <w:bottom w:val="none" w:sz="0" w:space="0" w:color="auto"/>
        <w:right w:val="none" w:sz="0" w:space="0" w:color="auto"/>
      </w:divBdr>
    </w:div>
    <w:div w:id="263850539">
      <w:bodyDiv w:val="1"/>
      <w:marLeft w:val="0"/>
      <w:marRight w:val="0"/>
      <w:marTop w:val="0"/>
      <w:marBottom w:val="0"/>
      <w:divBdr>
        <w:top w:val="none" w:sz="0" w:space="0" w:color="auto"/>
        <w:left w:val="none" w:sz="0" w:space="0" w:color="auto"/>
        <w:bottom w:val="none" w:sz="0" w:space="0" w:color="auto"/>
        <w:right w:val="none" w:sz="0" w:space="0" w:color="auto"/>
      </w:divBdr>
    </w:div>
    <w:div w:id="270015614">
      <w:bodyDiv w:val="1"/>
      <w:marLeft w:val="0"/>
      <w:marRight w:val="0"/>
      <w:marTop w:val="0"/>
      <w:marBottom w:val="0"/>
      <w:divBdr>
        <w:top w:val="none" w:sz="0" w:space="0" w:color="auto"/>
        <w:left w:val="none" w:sz="0" w:space="0" w:color="auto"/>
        <w:bottom w:val="none" w:sz="0" w:space="0" w:color="auto"/>
        <w:right w:val="none" w:sz="0" w:space="0" w:color="auto"/>
      </w:divBdr>
    </w:div>
    <w:div w:id="270205793">
      <w:bodyDiv w:val="1"/>
      <w:marLeft w:val="0"/>
      <w:marRight w:val="0"/>
      <w:marTop w:val="0"/>
      <w:marBottom w:val="0"/>
      <w:divBdr>
        <w:top w:val="none" w:sz="0" w:space="0" w:color="auto"/>
        <w:left w:val="none" w:sz="0" w:space="0" w:color="auto"/>
        <w:bottom w:val="none" w:sz="0" w:space="0" w:color="auto"/>
        <w:right w:val="none" w:sz="0" w:space="0" w:color="auto"/>
      </w:divBdr>
    </w:div>
    <w:div w:id="287049758">
      <w:bodyDiv w:val="1"/>
      <w:marLeft w:val="0"/>
      <w:marRight w:val="0"/>
      <w:marTop w:val="0"/>
      <w:marBottom w:val="0"/>
      <w:divBdr>
        <w:top w:val="none" w:sz="0" w:space="0" w:color="auto"/>
        <w:left w:val="none" w:sz="0" w:space="0" w:color="auto"/>
        <w:bottom w:val="none" w:sz="0" w:space="0" w:color="auto"/>
        <w:right w:val="none" w:sz="0" w:space="0" w:color="auto"/>
      </w:divBdr>
    </w:div>
    <w:div w:id="303127052">
      <w:bodyDiv w:val="1"/>
      <w:marLeft w:val="0"/>
      <w:marRight w:val="0"/>
      <w:marTop w:val="0"/>
      <w:marBottom w:val="0"/>
      <w:divBdr>
        <w:top w:val="none" w:sz="0" w:space="0" w:color="auto"/>
        <w:left w:val="none" w:sz="0" w:space="0" w:color="auto"/>
        <w:bottom w:val="none" w:sz="0" w:space="0" w:color="auto"/>
        <w:right w:val="none" w:sz="0" w:space="0" w:color="auto"/>
      </w:divBdr>
    </w:div>
    <w:div w:id="314456309">
      <w:bodyDiv w:val="1"/>
      <w:marLeft w:val="0"/>
      <w:marRight w:val="0"/>
      <w:marTop w:val="0"/>
      <w:marBottom w:val="0"/>
      <w:divBdr>
        <w:top w:val="none" w:sz="0" w:space="0" w:color="auto"/>
        <w:left w:val="none" w:sz="0" w:space="0" w:color="auto"/>
        <w:bottom w:val="none" w:sz="0" w:space="0" w:color="auto"/>
        <w:right w:val="none" w:sz="0" w:space="0" w:color="auto"/>
      </w:divBdr>
    </w:div>
    <w:div w:id="323435338">
      <w:bodyDiv w:val="1"/>
      <w:marLeft w:val="0"/>
      <w:marRight w:val="0"/>
      <w:marTop w:val="0"/>
      <w:marBottom w:val="0"/>
      <w:divBdr>
        <w:top w:val="none" w:sz="0" w:space="0" w:color="auto"/>
        <w:left w:val="none" w:sz="0" w:space="0" w:color="auto"/>
        <w:bottom w:val="none" w:sz="0" w:space="0" w:color="auto"/>
        <w:right w:val="none" w:sz="0" w:space="0" w:color="auto"/>
      </w:divBdr>
    </w:div>
    <w:div w:id="339695907">
      <w:bodyDiv w:val="1"/>
      <w:marLeft w:val="0"/>
      <w:marRight w:val="0"/>
      <w:marTop w:val="0"/>
      <w:marBottom w:val="0"/>
      <w:divBdr>
        <w:top w:val="none" w:sz="0" w:space="0" w:color="auto"/>
        <w:left w:val="none" w:sz="0" w:space="0" w:color="auto"/>
        <w:bottom w:val="none" w:sz="0" w:space="0" w:color="auto"/>
        <w:right w:val="none" w:sz="0" w:space="0" w:color="auto"/>
      </w:divBdr>
    </w:div>
    <w:div w:id="342828412">
      <w:bodyDiv w:val="1"/>
      <w:marLeft w:val="0"/>
      <w:marRight w:val="0"/>
      <w:marTop w:val="0"/>
      <w:marBottom w:val="0"/>
      <w:divBdr>
        <w:top w:val="none" w:sz="0" w:space="0" w:color="auto"/>
        <w:left w:val="none" w:sz="0" w:space="0" w:color="auto"/>
        <w:bottom w:val="none" w:sz="0" w:space="0" w:color="auto"/>
        <w:right w:val="none" w:sz="0" w:space="0" w:color="auto"/>
      </w:divBdr>
    </w:div>
    <w:div w:id="349263256">
      <w:bodyDiv w:val="1"/>
      <w:marLeft w:val="0"/>
      <w:marRight w:val="0"/>
      <w:marTop w:val="0"/>
      <w:marBottom w:val="0"/>
      <w:divBdr>
        <w:top w:val="none" w:sz="0" w:space="0" w:color="auto"/>
        <w:left w:val="none" w:sz="0" w:space="0" w:color="auto"/>
        <w:bottom w:val="none" w:sz="0" w:space="0" w:color="auto"/>
        <w:right w:val="none" w:sz="0" w:space="0" w:color="auto"/>
      </w:divBdr>
      <w:divsChild>
        <w:div w:id="1008098438">
          <w:marLeft w:val="0"/>
          <w:marRight w:val="0"/>
          <w:marTop w:val="0"/>
          <w:marBottom w:val="0"/>
          <w:divBdr>
            <w:top w:val="none" w:sz="0" w:space="0" w:color="auto"/>
            <w:left w:val="none" w:sz="0" w:space="0" w:color="auto"/>
            <w:bottom w:val="none" w:sz="0" w:space="0" w:color="auto"/>
            <w:right w:val="none" w:sz="0" w:space="0" w:color="auto"/>
          </w:divBdr>
        </w:div>
        <w:div w:id="1495754264">
          <w:marLeft w:val="0"/>
          <w:marRight w:val="0"/>
          <w:marTop w:val="0"/>
          <w:marBottom w:val="0"/>
          <w:divBdr>
            <w:top w:val="none" w:sz="0" w:space="0" w:color="auto"/>
            <w:left w:val="none" w:sz="0" w:space="0" w:color="auto"/>
            <w:bottom w:val="none" w:sz="0" w:space="0" w:color="auto"/>
            <w:right w:val="none" w:sz="0" w:space="0" w:color="auto"/>
          </w:divBdr>
        </w:div>
      </w:divsChild>
    </w:div>
    <w:div w:id="380640153">
      <w:bodyDiv w:val="1"/>
      <w:marLeft w:val="0"/>
      <w:marRight w:val="0"/>
      <w:marTop w:val="0"/>
      <w:marBottom w:val="0"/>
      <w:divBdr>
        <w:top w:val="none" w:sz="0" w:space="0" w:color="auto"/>
        <w:left w:val="none" w:sz="0" w:space="0" w:color="auto"/>
        <w:bottom w:val="none" w:sz="0" w:space="0" w:color="auto"/>
        <w:right w:val="none" w:sz="0" w:space="0" w:color="auto"/>
      </w:divBdr>
    </w:div>
    <w:div w:id="409470734">
      <w:bodyDiv w:val="1"/>
      <w:marLeft w:val="0"/>
      <w:marRight w:val="0"/>
      <w:marTop w:val="0"/>
      <w:marBottom w:val="0"/>
      <w:divBdr>
        <w:top w:val="none" w:sz="0" w:space="0" w:color="auto"/>
        <w:left w:val="none" w:sz="0" w:space="0" w:color="auto"/>
        <w:bottom w:val="none" w:sz="0" w:space="0" w:color="auto"/>
        <w:right w:val="none" w:sz="0" w:space="0" w:color="auto"/>
      </w:divBdr>
    </w:div>
    <w:div w:id="424306319">
      <w:bodyDiv w:val="1"/>
      <w:marLeft w:val="0"/>
      <w:marRight w:val="0"/>
      <w:marTop w:val="0"/>
      <w:marBottom w:val="0"/>
      <w:divBdr>
        <w:top w:val="none" w:sz="0" w:space="0" w:color="auto"/>
        <w:left w:val="none" w:sz="0" w:space="0" w:color="auto"/>
        <w:bottom w:val="none" w:sz="0" w:space="0" w:color="auto"/>
        <w:right w:val="none" w:sz="0" w:space="0" w:color="auto"/>
      </w:divBdr>
    </w:div>
    <w:div w:id="425813258">
      <w:bodyDiv w:val="1"/>
      <w:marLeft w:val="0"/>
      <w:marRight w:val="0"/>
      <w:marTop w:val="0"/>
      <w:marBottom w:val="0"/>
      <w:divBdr>
        <w:top w:val="none" w:sz="0" w:space="0" w:color="auto"/>
        <w:left w:val="none" w:sz="0" w:space="0" w:color="auto"/>
        <w:bottom w:val="none" w:sz="0" w:space="0" w:color="auto"/>
        <w:right w:val="none" w:sz="0" w:space="0" w:color="auto"/>
      </w:divBdr>
    </w:div>
    <w:div w:id="426197672">
      <w:bodyDiv w:val="1"/>
      <w:marLeft w:val="0"/>
      <w:marRight w:val="0"/>
      <w:marTop w:val="0"/>
      <w:marBottom w:val="0"/>
      <w:divBdr>
        <w:top w:val="none" w:sz="0" w:space="0" w:color="auto"/>
        <w:left w:val="none" w:sz="0" w:space="0" w:color="auto"/>
        <w:bottom w:val="none" w:sz="0" w:space="0" w:color="auto"/>
        <w:right w:val="none" w:sz="0" w:space="0" w:color="auto"/>
      </w:divBdr>
    </w:div>
    <w:div w:id="436288957">
      <w:bodyDiv w:val="1"/>
      <w:marLeft w:val="0"/>
      <w:marRight w:val="0"/>
      <w:marTop w:val="0"/>
      <w:marBottom w:val="0"/>
      <w:divBdr>
        <w:top w:val="none" w:sz="0" w:space="0" w:color="auto"/>
        <w:left w:val="none" w:sz="0" w:space="0" w:color="auto"/>
        <w:bottom w:val="none" w:sz="0" w:space="0" w:color="auto"/>
        <w:right w:val="none" w:sz="0" w:space="0" w:color="auto"/>
      </w:divBdr>
    </w:div>
    <w:div w:id="455804499">
      <w:bodyDiv w:val="1"/>
      <w:marLeft w:val="0"/>
      <w:marRight w:val="0"/>
      <w:marTop w:val="0"/>
      <w:marBottom w:val="0"/>
      <w:divBdr>
        <w:top w:val="none" w:sz="0" w:space="0" w:color="auto"/>
        <w:left w:val="none" w:sz="0" w:space="0" w:color="auto"/>
        <w:bottom w:val="none" w:sz="0" w:space="0" w:color="auto"/>
        <w:right w:val="none" w:sz="0" w:space="0" w:color="auto"/>
      </w:divBdr>
      <w:divsChild>
        <w:div w:id="683093469">
          <w:marLeft w:val="0"/>
          <w:marRight w:val="0"/>
          <w:marTop w:val="0"/>
          <w:marBottom w:val="0"/>
          <w:divBdr>
            <w:top w:val="none" w:sz="0" w:space="0" w:color="auto"/>
            <w:left w:val="none" w:sz="0" w:space="0" w:color="auto"/>
            <w:bottom w:val="none" w:sz="0" w:space="0" w:color="auto"/>
            <w:right w:val="none" w:sz="0" w:space="0" w:color="auto"/>
          </w:divBdr>
          <w:divsChild>
            <w:div w:id="1492791787">
              <w:marLeft w:val="0"/>
              <w:marRight w:val="0"/>
              <w:marTop w:val="0"/>
              <w:marBottom w:val="0"/>
              <w:divBdr>
                <w:top w:val="none" w:sz="0" w:space="0" w:color="auto"/>
                <w:left w:val="none" w:sz="0" w:space="0" w:color="auto"/>
                <w:bottom w:val="none" w:sz="0" w:space="0" w:color="auto"/>
                <w:right w:val="none" w:sz="0" w:space="0" w:color="auto"/>
              </w:divBdr>
              <w:divsChild>
                <w:div w:id="2005889574">
                  <w:marLeft w:val="0"/>
                  <w:marRight w:val="0"/>
                  <w:marTop w:val="0"/>
                  <w:marBottom w:val="0"/>
                  <w:divBdr>
                    <w:top w:val="none" w:sz="0" w:space="0" w:color="auto"/>
                    <w:left w:val="none" w:sz="0" w:space="0" w:color="auto"/>
                    <w:bottom w:val="none" w:sz="0" w:space="0" w:color="auto"/>
                    <w:right w:val="none" w:sz="0" w:space="0" w:color="auto"/>
                  </w:divBdr>
                  <w:divsChild>
                    <w:div w:id="111609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185767">
      <w:bodyDiv w:val="1"/>
      <w:marLeft w:val="0"/>
      <w:marRight w:val="0"/>
      <w:marTop w:val="0"/>
      <w:marBottom w:val="0"/>
      <w:divBdr>
        <w:top w:val="none" w:sz="0" w:space="0" w:color="auto"/>
        <w:left w:val="none" w:sz="0" w:space="0" w:color="auto"/>
        <w:bottom w:val="none" w:sz="0" w:space="0" w:color="auto"/>
        <w:right w:val="none" w:sz="0" w:space="0" w:color="auto"/>
      </w:divBdr>
    </w:div>
    <w:div w:id="520629547">
      <w:bodyDiv w:val="1"/>
      <w:marLeft w:val="0"/>
      <w:marRight w:val="0"/>
      <w:marTop w:val="0"/>
      <w:marBottom w:val="0"/>
      <w:divBdr>
        <w:top w:val="none" w:sz="0" w:space="0" w:color="auto"/>
        <w:left w:val="none" w:sz="0" w:space="0" w:color="auto"/>
        <w:bottom w:val="none" w:sz="0" w:space="0" w:color="auto"/>
        <w:right w:val="none" w:sz="0" w:space="0" w:color="auto"/>
      </w:divBdr>
    </w:div>
    <w:div w:id="554126170">
      <w:bodyDiv w:val="1"/>
      <w:marLeft w:val="0"/>
      <w:marRight w:val="0"/>
      <w:marTop w:val="0"/>
      <w:marBottom w:val="0"/>
      <w:divBdr>
        <w:top w:val="none" w:sz="0" w:space="0" w:color="auto"/>
        <w:left w:val="none" w:sz="0" w:space="0" w:color="auto"/>
        <w:bottom w:val="none" w:sz="0" w:space="0" w:color="auto"/>
        <w:right w:val="none" w:sz="0" w:space="0" w:color="auto"/>
      </w:divBdr>
    </w:div>
    <w:div w:id="569997609">
      <w:bodyDiv w:val="1"/>
      <w:marLeft w:val="0"/>
      <w:marRight w:val="0"/>
      <w:marTop w:val="0"/>
      <w:marBottom w:val="0"/>
      <w:divBdr>
        <w:top w:val="none" w:sz="0" w:space="0" w:color="auto"/>
        <w:left w:val="none" w:sz="0" w:space="0" w:color="auto"/>
        <w:bottom w:val="none" w:sz="0" w:space="0" w:color="auto"/>
        <w:right w:val="none" w:sz="0" w:space="0" w:color="auto"/>
      </w:divBdr>
    </w:div>
    <w:div w:id="586231862">
      <w:bodyDiv w:val="1"/>
      <w:marLeft w:val="0"/>
      <w:marRight w:val="0"/>
      <w:marTop w:val="0"/>
      <w:marBottom w:val="0"/>
      <w:divBdr>
        <w:top w:val="none" w:sz="0" w:space="0" w:color="auto"/>
        <w:left w:val="none" w:sz="0" w:space="0" w:color="auto"/>
        <w:bottom w:val="none" w:sz="0" w:space="0" w:color="auto"/>
        <w:right w:val="none" w:sz="0" w:space="0" w:color="auto"/>
      </w:divBdr>
    </w:div>
    <w:div w:id="590822394">
      <w:bodyDiv w:val="1"/>
      <w:marLeft w:val="0"/>
      <w:marRight w:val="0"/>
      <w:marTop w:val="0"/>
      <w:marBottom w:val="0"/>
      <w:divBdr>
        <w:top w:val="none" w:sz="0" w:space="0" w:color="auto"/>
        <w:left w:val="none" w:sz="0" w:space="0" w:color="auto"/>
        <w:bottom w:val="none" w:sz="0" w:space="0" w:color="auto"/>
        <w:right w:val="none" w:sz="0" w:space="0" w:color="auto"/>
      </w:divBdr>
    </w:div>
    <w:div w:id="592319168">
      <w:bodyDiv w:val="1"/>
      <w:marLeft w:val="0"/>
      <w:marRight w:val="0"/>
      <w:marTop w:val="0"/>
      <w:marBottom w:val="0"/>
      <w:divBdr>
        <w:top w:val="none" w:sz="0" w:space="0" w:color="auto"/>
        <w:left w:val="none" w:sz="0" w:space="0" w:color="auto"/>
        <w:bottom w:val="none" w:sz="0" w:space="0" w:color="auto"/>
        <w:right w:val="none" w:sz="0" w:space="0" w:color="auto"/>
      </w:divBdr>
    </w:div>
    <w:div w:id="602879509">
      <w:bodyDiv w:val="1"/>
      <w:marLeft w:val="0"/>
      <w:marRight w:val="0"/>
      <w:marTop w:val="0"/>
      <w:marBottom w:val="0"/>
      <w:divBdr>
        <w:top w:val="none" w:sz="0" w:space="0" w:color="auto"/>
        <w:left w:val="none" w:sz="0" w:space="0" w:color="auto"/>
        <w:bottom w:val="none" w:sz="0" w:space="0" w:color="auto"/>
        <w:right w:val="none" w:sz="0" w:space="0" w:color="auto"/>
      </w:divBdr>
    </w:div>
    <w:div w:id="619993469">
      <w:bodyDiv w:val="1"/>
      <w:marLeft w:val="0"/>
      <w:marRight w:val="0"/>
      <w:marTop w:val="0"/>
      <w:marBottom w:val="0"/>
      <w:divBdr>
        <w:top w:val="none" w:sz="0" w:space="0" w:color="auto"/>
        <w:left w:val="none" w:sz="0" w:space="0" w:color="auto"/>
        <w:bottom w:val="none" w:sz="0" w:space="0" w:color="auto"/>
        <w:right w:val="none" w:sz="0" w:space="0" w:color="auto"/>
      </w:divBdr>
    </w:div>
    <w:div w:id="624192910">
      <w:bodyDiv w:val="1"/>
      <w:marLeft w:val="0"/>
      <w:marRight w:val="0"/>
      <w:marTop w:val="0"/>
      <w:marBottom w:val="0"/>
      <w:divBdr>
        <w:top w:val="none" w:sz="0" w:space="0" w:color="auto"/>
        <w:left w:val="none" w:sz="0" w:space="0" w:color="auto"/>
        <w:bottom w:val="none" w:sz="0" w:space="0" w:color="auto"/>
        <w:right w:val="none" w:sz="0" w:space="0" w:color="auto"/>
      </w:divBdr>
    </w:div>
    <w:div w:id="642124262">
      <w:bodyDiv w:val="1"/>
      <w:marLeft w:val="0"/>
      <w:marRight w:val="0"/>
      <w:marTop w:val="0"/>
      <w:marBottom w:val="0"/>
      <w:divBdr>
        <w:top w:val="none" w:sz="0" w:space="0" w:color="auto"/>
        <w:left w:val="none" w:sz="0" w:space="0" w:color="auto"/>
        <w:bottom w:val="none" w:sz="0" w:space="0" w:color="auto"/>
        <w:right w:val="none" w:sz="0" w:space="0" w:color="auto"/>
      </w:divBdr>
    </w:div>
    <w:div w:id="659693507">
      <w:bodyDiv w:val="1"/>
      <w:marLeft w:val="0"/>
      <w:marRight w:val="0"/>
      <w:marTop w:val="0"/>
      <w:marBottom w:val="0"/>
      <w:divBdr>
        <w:top w:val="none" w:sz="0" w:space="0" w:color="auto"/>
        <w:left w:val="none" w:sz="0" w:space="0" w:color="auto"/>
        <w:bottom w:val="none" w:sz="0" w:space="0" w:color="auto"/>
        <w:right w:val="none" w:sz="0" w:space="0" w:color="auto"/>
      </w:divBdr>
    </w:div>
    <w:div w:id="713315926">
      <w:bodyDiv w:val="1"/>
      <w:marLeft w:val="0"/>
      <w:marRight w:val="0"/>
      <w:marTop w:val="0"/>
      <w:marBottom w:val="0"/>
      <w:divBdr>
        <w:top w:val="none" w:sz="0" w:space="0" w:color="auto"/>
        <w:left w:val="none" w:sz="0" w:space="0" w:color="auto"/>
        <w:bottom w:val="none" w:sz="0" w:space="0" w:color="auto"/>
        <w:right w:val="none" w:sz="0" w:space="0" w:color="auto"/>
      </w:divBdr>
    </w:div>
    <w:div w:id="735124890">
      <w:bodyDiv w:val="1"/>
      <w:marLeft w:val="0"/>
      <w:marRight w:val="0"/>
      <w:marTop w:val="0"/>
      <w:marBottom w:val="0"/>
      <w:divBdr>
        <w:top w:val="none" w:sz="0" w:space="0" w:color="auto"/>
        <w:left w:val="none" w:sz="0" w:space="0" w:color="auto"/>
        <w:bottom w:val="none" w:sz="0" w:space="0" w:color="auto"/>
        <w:right w:val="none" w:sz="0" w:space="0" w:color="auto"/>
      </w:divBdr>
    </w:div>
    <w:div w:id="758214720">
      <w:bodyDiv w:val="1"/>
      <w:marLeft w:val="0"/>
      <w:marRight w:val="0"/>
      <w:marTop w:val="0"/>
      <w:marBottom w:val="0"/>
      <w:divBdr>
        <w:top w:val="none" w:sz="0" w:space="0" w:color="auto"/>
        <w:left w:val="none" w:sz="0" w:space="0" w:color="auto"/>
        <w:bottom w:val="none" w:sz="0" w:space="0" w:color="auto"/>
        <w:right w:val="none" w:sz="0" w:space="0" w:color="auto"/>
      </w:divBdr>
    </w:div>
    <w:div w:id="802500328">
      <w:bodyDiv w:val="1"/>
      <w:marLeft w:val="0"/>
      <w:marRight w:val="0"/>
      <w:marTop w:val="0"/>
      <w:marBottom w:val="0"/>
      <w:divBdr>
        <w:top w:val="none" w:sz="0" w:space="0" w:color="auto"/>
        <w:left w:val="none" w:sz="0" w:space="0" w:color="auto"/>
        <w:bottom w:val="none" w:sz="0" w:space="0" w:color="auto"/>
        <w:right w:val="none" w:sz="0" w:space="0" w:color="auto"/>
      </w:divBdr>
    </w:div>
    <w:div w:id="838041516">
      <w:bodyDiv w:val="1"/>
      <w:marLeft w:val="0"/>
      <w:marRight w:val="0"/>
      <w:marTop w:val="0"/>
      <w:marBottom w:val="0"/>
      <w:divBdr>
        <w:top w:val="none" w:sz="0" w:space="0" w:color="auto"/>
        <w:left w:val="none" w:sz="0" w:space="0" w:color="auto"/>
        <w:bottom w:val="none" w:sz="0" w:space="0" w:color="auto"/>
        <w:right w:val="none" w:sz="0" w:space="0" w:color="auto"/>
      </w:divBdr>
    </w:div>
    <w:div w:id="875460534">
      <w:bodyDiv w:val="1"/>
      <w:marLeft w:val="0"/>
      <w:marRight w:val="0"/>
      <w:marTop w:val="0"/>
      <w:marBottom w:val="0"/>
      <w:divBdr>
        <w:top w:val="none" w:sz="0" w:space="0" w:color="auto"/>
        <w:left w:val="none" w:sz="0" w:space="0" w:color="auto"/>
        <w:bottom w:val="none" w:sz="0" w:space="0" w:color="auto"/>
        <w:right w:val="none" w:sz="0" w:space="0" w:color="auto"/>
      </w:divBdr>
      <w:divsChild>
        <w:div w:id="1436560732">
          <w:marLeft w:val="0"/>
          <w:marRight w:val="0"/>
          <w:marTop w:val="0"/>
          <w:marBottom w:val="0"/>
          <w:divBdr>
            <w:top w:val="none" w:sz="0" w:space="0" w:color="auto"/>
            <w:left w:val="none" w:sz="0" w:space="0" w:color="auto"/>
            <w:bottom w:val="none" w:sz="0" w:space="0" w:color="auto"/>
            <w:right w:val="none" w:sz="0" w:space="0" w:color="auto"/>
          </w:divBdr>
          <w:divsChild>
            <w:div w:id="1610431818">
              <w:marLeft w:val="0"/>
              <w:marRight w:val="0"/>
              <w:marTop w:val="0"/>
              <w:marBottom w:val="0"/>
              <w:divBdr>
                <w:top w:val="none" w:sz="0" w:space="0" w:color="auto"/>
                <w:left w:val="none" w:sz="0" w:space="0" w:color="auto"/>
                <w:bottom w:val="none" w:sz="0" w:space="0" w:color="auto"/>
                <w:right w:val="none" w:sz="0" w:space="0" w:color="auto"/>
              </w:divBdr>
              <w:divsChild>
                <w:div w:id="484592634">
                  <w:blockQuote w:val="1"/>
                  <w:marLeft w:val="720"/>
                  <w:marRight w:val="0"/>
                  <w:marTop w:val="100"/>
                  <w:marBottom w:val="100"/>
                  <w:divBdr>
                    <w:top w:val="none" w:sz="0" w:space="0" w:color="auto"/>
                    <w:left w:val="none" w:sz="0" w:space="0" w:color="auto"/>
                    <w:bottom w:val="none" w:sz="0" w:space="0" w:color="auto"/>
                    <w:right w:val="none" w:sz="0" w:space="0" w:color="auto"/>
                  </w:divBdr>
                </w:div>
                <w:div w:id="213832664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908274842">
      <w:bodyDiv w:val="1"/>
      <w:marLeft w:val="0"/>
      <w:marRight w:val="0"/>
      <w:marTop w:val="0"/>
      <w:marBottom w:val="0"/>
      <w:divBdr>
        <w:top w:val="none" w:sz="0" w:space="0" w:color="auto"/>
        <w:left w:val="none" w:sz="0" w:space="0" w:color="auto"/>
        <w:bottom w:val="none" w:sz="0" w:space="0" w:color="auto"/>
        <w:right w:val="none" w:sz="0" w:space="0" w:color="auto"/>
      </w:divBdr>
    </w:div>
    <w:div w:id="926304389">
      <w:bodyDiv w:val="1"/>
      <w:marLeft w:val="0"/>
      <w:marRight w:val="0"/>
      <w:marTop w:val="0"/>
      <w:marBottom w:val="0"/>
      <w:divBdr>
        <w:top w:val="none" w:sz="0" w:space="0" w:color="auto"/>
        <w:left w:val="none" w:sz="0" w:space="0" w:color="auto"/>
        <w:bottom w:val="none" w:sz="0" w:space="0" w:color="auto"/>
        <w:right w:val="none" w:sz="0" w:space="0" w:color="auto"/>
      </w:divBdr>
    </w:div>
    <w:div w:id="946424486">
      <w:bodyDiv w:val="1"/>
      <w:marLeft w:val="0"/>
      <w:marRight w:val="0"/>
      <w:marTop w:val="0"/>
      <w:marBottom w:val="0"/>
      <w:divBdr>
        <w:top w:val="none" w:sz="0" w:space="0" w:color="auto"/>
        <w:left w:val="none" w:sz="0" w:space="0" w:color="auto"/>
        <w:bottom w:val="none" w:sz="0" w:space="0" w:color="auto"/>
        <w:right w:val="none" w:sz="0" w:space="0" w:color="auto"/>
      </w:divBdr>
    </w:div>
    <w:div w:id="946887986">
      <w:bodyDiv w:val="1"/>
      <w:marLeft w:val="0"/>
      <w:marRight w:val="0"/>
      <w:marTop w:val="0"/>
      <w:marBottom w:val="0"/>
      <w:divBdr>
        <w:top w:val="none" w:sz="0" w:space="0" w:color="auto"/>
        <w:left w:val="none" w:sz="0" w:space="0" w:color="auto"/>
        <w:bottom w:val="none" w:sz="0" w:space="0" w:color="auto"/>
        <w:right w:val="none" w:sz="0" w:space="0" w:color="auto"/>
      </w:divBdr>
    </w:div>
    <w:div w:id="948901432">
      <w:bodyDiv w:val="1"/>
      <w:marLeft w:val="0"/>
      <w:marRight w:val="0"/>
      <w:marTop w:val="0"/>
      <w:marBottom w:val="0"/>
      <w:divBdr>
        <w:top w:val="none" w:sz="0" w:space="0" w:color="auto"/>
        <w:left w:val="none" w:sz="0" w:space="0" w:color="auto"/>
        <w:bottom w:val="none" w:sz="0" w:space="0" w:color="auto"/>
        <w:right w:val="none" w:sz="0" w:space="0" w:color="auto"/>
      </w:divBdr>
    </w:div>
    <w:div w:id="972826291">
      <w:bodyDiv w:val="1"/>
      <w:marLeft w:val="0"/>
      <w:marRight w:val="0"/>
      <w:marTop w:val="0"/>
      <w:marBottom w:val="0"/>
      <w:divBdr>
        <w:top w:val="none" w:sz="0" w:space="0" w:color="auto"/>
        <w:left w:val="none" w:sz="0" w:space="0" w:color="auto"/>
        <w:bottom w:val="none" w:sz="0" w:space="0" w:color="auto"/>
        <w:right w:val="none" w:sz="0" w:space="0" w:color="auto"/>
      </w:divBdr>
    </w:div>
    <w:div w:id="1001277645">
      <w:bodyDiv w:val="1"/>
      <w:marLeft w:val="0"/>
      <w:marRight w:val="0"/>
      <w:marTop w:val="0"/>
      <w:marBottom w:val="0"/>
      <w:divBdr>
        <w:top w:val="none" w:sz="0" w:space="0" w:color="auto"/>
        <w:left w:val="none" w:sz="0" w:space="0" w:color="auto"/>
        <w:bottom w:val="none" w:sz="0" w:space="0" w:color="auto"/>
        <w:right w:val="none" w:sz="0" w:space="0" w:color="auto"/>
      </w:divBdr>
    </w:div>
    <w:div w:id="1025978957">
      <w:bodyDiv w:val="1"/>
      <w:marLeft w:val="0"/>
      <w:marRight w:val="0"/>
      <w:marTop w:val="0"/>
      <w:marBottom w:val="0"/>
      <w:divBdr>
        <w:top w:val="none" w:sz="0" w:space="0" w:color="auto"/>
        <w:left w:val="none" w:sz="0" w:space="0" w:color="auto"/>
        <w:bottom w:val="none" w:sz="0" w:space="0" w:color="auto"/>
        <w:right w:val="none" w:sz="0" w:space="0" w:color="auto"/>
      </w:divBdr>
    </w:div>
    <w:div w:id="1034503230">
      <w:bodyDiv w:val="1"/>
      <w:marLeft w:val="120"/>
      <w:marRight w:val="120"/>
      <w:marTop w:val="0"/>
      <w:marBottom w:val="0"/>
      <w:divBdr>
        <w:top w:val="none" w:sz="0" w:space="0" w:color="auto"/>
        <w:left w:val="none" w:sz="0" w:space="0" w:color="auto"/>
        <w:bottom w:val="none" w:sz="0" w:space="0" w:color="auto"/>
        <w:right w:val="none" w:sz="0" w:space="0" w:color="auto"/>
      </w:divBdr>
      <w:divsChild>
        <w:div w:id="1391079796">
          <w:marLeft w:val="0"/>
          <w:marRight w:val="0"/>
          <w:marTop w:val="0"/>
          <w:marBottom w:val="0"/>
          <w:divBdr>
            <w:top w:val="none" w:sz="0" w:space="0" w:color="auto"/>
            <w:left w:val="none" w:sz="0" w:space="0" w:color="auto"/>
            <w:bottom w:val="none" w:sz="0" w:space="0" w:color="auto"/>
            <w:right w:val="none" w:sz="0" w:space="0" w:color="auto"/>
          </w:divBdr>
          <w:divsChild>
            <w:div w:id="147575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185938">
      <w:bodyDiv w:val="1"/>
      <w:marLeft w:val="0"/>
      <w:marRight w:val="0"/>
      <w:marTop w:val="0"/>
      <w:marBottom w:val="0"/>
      <w:divBdr>
        <w:top w:val="none" w:sz="0" w:space="0" w:color="auto"/>
        <w:left w:val="none" w:sz="0" w:space="0" w:color="auto"/>
        <w:bottom w:val="none" w:sz="0" w:space="0" w:color="auto"/>
        <w:right w:val="none" w:sz="0" w:space="0" w:color="auto"/>
      </w:divBdr>
    </w:div>
    <w:div w:id="1069227355">
      <w:bodyDiv w:val="1"/>
      <w:marLeft w:val="0"/>
      <w:marRight w:val="0"/>
      <w:marTop w:val="0"/>
      <w:marBottom w:val="0"/>
      <w:divBdr>
        <w:top w:val="none" w:sz="0" w:space="0" w:color="auto"/>
        <w:left w:val="none" w:sz="0" w:space="0" w:color="auto"/>
        <w:bottom w:val="none" w:sz="0" w:space="0" w:color="auto"/>
        <w:right w:val="none" w:sz="0" w:space="0" w:color="auto"/>
      </w:divBdr>
    </w:div>
    <w:div w:id="1083646542">
      <w:bodyDiv w:val="1"/>
      <w:marLeft w:val="0"/>
      <w:marRight w:val="0"/>
      <w:marTop w:val="0"/>
      <w:marBottom w:val="0"/>
      <w:divBdr>
        <w:top w:val="none" w:sz="0" w:space="0" w:color="auto"/>
        <w:left w:val="none" w:sz="0" w:space="0" w:color="auto"/>
        <w:bottom w:val="none" w:sz="0" w:space="0" w:color="auto"/>
        <w:right w:val="none" w:sz="0" w:space="0" w:color="auto"/>
      </w:divBdr>
    </w:div>
    <w:div w:id="1129009919">
      <w:bodyDiv w:val="1"/>
      <w:marLeft w:val="0"/>
      <w:marRight w:val="0"/>
      <w:marTop w:val="0"/>
      <w:marBottom w:val="0"/>
      <w:divBdr>
        <w:top w:val="none" w:sz="0" w:space="0" w:color="auto"/>
        <w:left w:val="none" w:sz="0" w:space="0" w:color="auto"/>
        <w:bottom w:val="none" w:sz="0" w:space="0" w:color="auto"/>
        <w:right w:val="none" w:sz="0" w:space="0" w:color="auto"/>
      </w:divBdr>
    </w:div>
    <w:div w:id="1133403089">
      <w:bodyDiv w:val="1"/>
      <w:marLeft w:val="0"/>
      <w:marRight w:val="0"/>
      <w:marTop w:val="0"/>
      <w:marBottom w:val="0"/>
      <w:divBdr>
        <w:top w:val="none" w:sz="0" w:space="0" w:color="auto"/>
        <w:left w:val="none" w:sz="0" w:space="0" w:color="auto"/>
        <w:bottom w:val="none" w:sz="0" w:space="0" w:color="auto"/>
        <w:right w:val="none" w:sz="0" w:space="0" w:color="auto"/>
      </w:divBdr>
    </w:div>
    <w:div w:id="1157265967">
      <w:bodyDiv w:val="1"/>
      <w:marLeft w:val="0"/>
      <w:marRight w:val="0"/>
      <w:marTop w:val="0"/>
      <w:marBottom w:val="0"/>
      <w:divBdr>
        <w:top w:val="none" w:sz="0" w:space="0" w:color="auto"/>
        <w:left w:val="none" w:sz="0" w:space="0" w:color="auto"/>
        <w:bottom w:val="none" w:sz="0" w:space="0" w:color="auto"/>
        <w:right w:val="none" w:sz="0" w:space="0" w:color="auto"/>
      </w:divBdr>
    </w:div>
    <w:div w:id="1198665108">
      <w:bodyDiv w:val="1"/>
      <w:marLeft w:val="0"/>
      <w:marRight w:val="0"/>
      <w:marTop w:val="0"/>
      <w:marBottom w:val="0"/>
      <w:divBdr>
        <w:top w:val="none" w:sz="0" w:space="0" w:color="auto"/>
        <w:left w:val="none" w:sz="0" w:space="0" w:color="auto"/>
        <w:bottom w:val="none" w:sz="0" w:space="0" w:color="auto"/>
        <w:right w:val="none" w:sz="0" w:space="0" w:color="auto"/>
      </w:divBdr>
    </w:div>
    <w:div w:id="1230194485">
      <w:bodyDiv w:val="1"/>
      <w:marLeft w:val="0"/>
      <w:marRight w:val="0"/>
      <w:marTop w:val="0"/>
      <w:marBottom w:val="0"/>
      <w:divBdr>
        <w:top w:val="none" w:sz="0" w:space="0" w:color="auto"/>
        <w:left w:val="none" w:sz="0" w:space="0" w:color="auto"/>
        <w:bottom w:val="none" w:sz="0" w:space="0" w:color="auto"/>
        <w:right w:val="none" w:sz="0" w:space="0" w:color="auto"/>
      </w:divBdr>
    </w:div>
    <w:div w:id="1233151750">
      <w:bodyDiv w:val="1"/>
      <w:marLeft w:val="0"/>
      <w:marRight w:val="0"/>
      <w:marTop w:val="0"/>
      <w:marBottom w:val="0"/>
      <w:divBdr>
        <w:top w:val="none" w:sz="0" w:space="0" w:color="auto"/>
        <w:left w:val="none" w:sz="0" w:space="0" w:color="auto"/>
        <w:bottom w:val="none" w:sz="0" w:space="0" w:color="auto"/>
        <w:right w:val="none" w:sz="0" w:space="0" w:color="auto"/>
      </w:divBdr>
    </w:div>
    <w:div w:id="1252079447">
      <w:bodyDiv w:val="1"/>
      <w:marLeft w:val="0"/>
      <w:marRight w:val="0"/>
      <w:marTop w:val="0"/>
      <w:marBottom w:val="0"/>
      <w:divBdr>
        <w:top w:val="none" w:sz="0" w:space="0" w:color="auto"/>
        <w:left w:val="none" w:sz="0" w:space="0" w:color="auto"/>
        <w:bottom w:val="none" w:sz="0" w:space="0" w:color="auto"/>
        <w:right w:val="none" w:sz="0" w:space="0" w:color="auto"/>
      </w:divBdr>
    </w:div>
    <w:div w:id="1265068322">
      <w:bodyDiv w:val="1"/>
      <w:marLeft w:val="0"/>
      <w:marRight w:val="0"/>
      <w:marTop w:val="0"/>
      <w:marBottom w:val="0"/>
      <w:divBdr>
        <w:top w:val="none" w:sz="0" w:space="0" w:color="auto"/>
        <w:left w:val="none" w:sz="0" w:space="0" w:color="auto"/>
        <w:bottom w:val="none" w:sz="0" w:space="0" w:color="auto"/>
        <w:right w:val="none" w:sz="0" w:space="0" w:color="auto"/>
      </w:divBdr>
    </w:div>
    <w:div w:id="1267154314">
      <w:bodyDiv w:val="1"/>
      <w:marLeft w:val="0"/>
      <w:marRight w:val="0"/>
      <w:marTop w:val="0"/>
      <w:marBottom w:val="0"/>
      <w:divBdr>
        <w:top w:val="none" w:sz="0" w:space="0" w:color="auto"/>
        <w:left w:val="none" w:sz="0" w:space="0" w:color="auto"/>
        <w:bottom w:val="none" w:sz="0" w:space="0" w:color="auto"/>
        <w:right w:val="none" w:sz="0" w:space="0" w:color="auto"/>
      </w:divBdr>
    </w:div>
    <w:div w:id="1274558720">
      <w:bodyDiv w:val="1"/>
      <w:marLeft w:val="0"/>
      <w:marRight w:val="0"/>
      <w:marTop w:val="0"/>
      <w:marBottom w:val="0"/>
      <w:divBdr>
        <w:top w:val="none" w:sz="0" w:space="0" w:color="auto"/>
        <w:left w:val="none" w:sz="0" w:space="0" w:color="auto"/>
        <w:bottom w:val="none" w:sz="0" w:space="0" w:color="auto"/>
        <w:right w:val="none" w:sz="0" w:space="0" w:color="auto"/>
      </w:divBdr>
    </w:div>
    <w:div w:id="1302228593">
      <w:bodyDiv w:val="1"/>
      <w:marLeft w:val="0"/>
      <w:marRight w:val="0"/>
      <w:marTop w:val="0"/>
      <w:marBottom w:val="0"/>
      <w:divBdr>
        <w:top w:val="none" w:sz="0" w:space="0" w:color="auto"/>
        <w:left w:val="none" w:sz="0" w:space="0" w:color="auto"/>
        <w:bottom w:val="none" w:sz="0" w:space="0" w:color="auto"/>
        <w:right w:val="none" w:sz="0" w:space="0" w:color="auto"/>
      </w:divBdr>
    </w:div>
    <w:div w:id="1314411822">
      <w:bodyDiv w:val="1"/>
      <w:marLeft w:val="0"/>
      <w:marRight w:val="0"/>
      <w:marTop w:val="0"/>
      <w:marBottom w:val="0"/>
      <w:divBdr>
        <w:top w:val="none" w:sz="0" w:space="0" w:color="auto"/>
        <w:left w:val="none" w:sz="0" w:space="0" w:color="auto"/>
        <w:bottom w:val="none" w:sz="0" w:space="0" w:color="auto"/>
        <w:right w:val="none" w:sz="0" w:space="0" w:color="auto"/>
      </w:divBdr>
    </w:div>
    <w:div w:id="1338533151">
      <w:bodyDiv w:val="1"/>
      <w:marLeft w:val="0"/>
      <w:marRight w:val="0"/>
      <w:marTop w:val="0"/>
      <w:marBottom w:val="0"/>
      <w:divBdr>
        <w:top w:val="none" w:sz="0" w:space="0" w:color="auto"/>
        <w:left w:val="none" w:sz="0" w:space="0" w:color="auto"/>
        <w:bottom w:val="none" w:sz="0" w:space="0" w:color="auto"/>
        <w:right w:val="none" w:sz="0" w:space="0" w:color="auto"/>
      </w:divBdr>
    </w:div>
    <w:div w:id="1340502452">
      <w:bodyDiv w:val="1"/>
      <w:marLeft w:val="0"/>
      <w:marRight w:val="0"/>
      <w:marTop w:val="0"/>
      <w:marBottom w:val="0"/>
      <w:divBdr>
        <w:top w:val="none" w:sz="0" w:space="0" w:color="auto"/>
        <w:left w:val="none" w:sz="0" w:space="0" w:color="auto"/>
        <w:bottom w:val="none" w:sz="0" w:space="0" w:color="auto"/>
        <w:right w:val="none" w:sz="0" w:space="0" w:color="auto"/>
      </w:divBdr>
    </w:div>
    <w:div w:id="1419057409">
      <w:bodyDiv w:val="1"/>
      <w:marLeft w:val="0"/>
      <w:marRight w:val="0"/>
      <w:marTop w:val="0"/>
      <w:marBottom w:val="0"/>
      <w:divBdr>
        <w:top w:val="none" w:sz="0" w:space="0" w:color="auto"/>
        <w:left w:val="none" w:sz="0" w:space="0" w:color="auto"/>
        <w:bottom w:val="none" w:sz="0" w:space="0" w:color="auto"/>
        <w:right w:val="none" w:sz="0" w:space="0" w:color="auto"/>
      </w:divBdr>
    </w:div>
    <w:div w:id="1431969939">
      <w:bodyDiv w:val="1"/>
      <w:marLeft w:val="0"/>
      <w:marRight w:val="0"/>
      <w:marTop w:val="0"/>
      <w:marBottom w:val="0"/>
      <w:divBdr>
        <w:top w:val="none" w:sz="0" w:space="0" w:color="auto"/>
        <w:left w:val="none" w:sz="0" w:space="0" w:color="auto"/>
        <w:bottom w:val="none" w:sz="0" w:space="0" w:color="auto"/>
        <w:right w:val="none" w:sz="0" w:space="0" w:color="auto"/>
      </w:divBdr>
    </w:div>
    <w:div w:id="1437939725">
      <w:bodyDiv w:val="1"/>
      <w:marLeft w:val="0"/>
      <w:marRight w:val="0"/>
      <w:marTop w:val="0"/>
      <w:marBottom w:val="0"/>
      <w:divBdr>
        <w:top w:val="none" w:sz="0" w:space="0" w:color="auto"/>
        <w:left w:val="none" w:sz="0" w:space="0" w:color="auto"/>
        <w:bottom w:val="none" w:sz="0" w:space="0" w:color="auto"/>
        <w:right w:val="none" w:sz="0" w:space="0" w:color="auto"/>
      </w:divBdr>
    </w:div>
    <w:div w:id="1533106271">
      <w:bodyDiv w:val="1"/>
      <w:marLeft w:val="0"/>
      <w:marRight w:val="0"/>
      <w:marTop w:val="0"/>
      <w:marBottom w:val="0"/>
      <w:divBdr>
        <w:top w:val="none" w:sz="0" w:space="0" w:color="auto"/>
        <w:left w:val="none" w:sz="0" w:space="0" w:color="auto"/>
        <w:bottom w:val="none" w:sz="0" w:space="0" w:color="auto"/>
        <w:right w:val="none" w:sz="0" w:space="0" w:color="auto"/>
      </w:divBdr>
    </w:div>
    <w:div w:id="1545752214">
      <w:bodyDiv w:val="1"/>
      <w:marLeft w:val="0"/>
      <w:marRight w:val="0"/>
      <w:marTop w:val="0"/>
      <w:marBottom w:val="0"/>
      <w:divBdr>
        <w:top w:val="none" w:sz="0" w:space="0" w:color="auto"/>
        <w:left w:val="none" w:sz="0" w:space="0" w:color="auto"/>
        <w:bottom w:val="none" w:sz="0" w:space="0" w:color="auto"/>
        <w:right w:val="none" w:sz="0" w:space="0" w:color="auto"/>
      </w:divBdr>
    </w:div>
    <w:div w:id="1557161320">
      <w:bodyDiv w:val="1"/>
      <w:marLeft w:val="0"/>
      <w:marRight w:val="0"/>
      <w:marTop w:val="0"/>
      <w:marBottom w:val="0"/>
      <w:divBdr>
        <w:top w:val="none" w:sz="0" w:space="0" w:color="auto"/>
        <w:left w:val="none" w:sz="0" w:space="0" w:color="auto"/>
        <w:bottom w:val="none" w:sz="0" w:space="0" w:color="auto"/>
        <w:right w:val="none" w:sz="0" w:space="0" w:color="auto"/>
      </w:divBdr>
      <w:divsChild>
        <w:div w:id="918906596">
          <w:marLeft w:val="0"/>
          <w:marRight w:val="0"/>
          <w:marTop w:val="0"/>
          <w:marBottom w:val="0"/>
          <w:divBdr>
            <w:top w:val="none" w:sz="0" w:space="0" w:color="auto"/>
            <w:left w:val="none" w:sz="0" w:space="0" w:color="auto"/>
            <w:bottom w:val="none" w:sz="0" w:space="0" w:color="auto"/>
            <w:right w:val="none" w:sz="0" w:space="0" w:color="auto"/>
          </w:divBdr>
          <w:divsChild>
            <w:div w:id="1233853673">
              <w:marLeft w:val="0"/>
              <w:marRight w:val="0"/>
              <w:marTop w:val="0"/>
              <w:marBottom w:val="0"/>
              <w:divBdr>
                <w:top w:val="none" w:sz="0" w:space="0" w:color="auto"/>
                <w:left w:val="none" w:sz="0" w:space="0" w:color="auto"/>
                <w:bottom w:val="none" w:sz="0" w:space="0" w:color="auto"/>
                <w:right w:val="none" w:sz="0" w:space="0" w:color="auto"/>
              </w:divBdr>
              <w:divsChild>
                <w:div w:id="701250827">
                  <w:blockQuote w:val="1"/>
                  <w:marLeft w:val="720"/>
                  <w:marRight w:val="0"/>
                  <w:marTop w:val="100"/>
                  <w:marBottom w:val="100"/>
                  <w:divBdr>
                    <w:top w:val="none" w:sz="0" w:space="0" w:color="auto"/>
                    <w:left w:val="none" w:sz="0" w:space="0" w:color="auto"/>
                    <w:bottom w:val="none" w:sz="0" w:space="0" w:color="auto"/>
                    <w:right w:val="none" w:sz="0" w:space="0" w:color="auto"/>
                  </w:divBdr>
                </w:div>
                <w:div w:id="151179631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600332296">
      <w:bodyDiv w:val="1"/>
      <w:marLeft w:val="0"/>
      <w:marRight w:val="0"/>
      <w:marTop w:val="0"/>
      <w:marBottom w:val="0"/>
      <w:divBdr>
        <w:top w:val="none" w:sz="0" w:space="0" w:color="auto"/>
        <w:left w:val="none" w:sz="0" w:space="0" w:color="auto"/>
        <w:bottom w:val="none" w:sz="0" w:space="0" w:color="auto"/>
        <w:right w:val="none" w:sz="0" w:space="0" w:color="auto"/>
      </w:divBdr>
    </w:div>
    <w:div w:id="1631015879">
      <w:bodyDiv w:val="1"/>
      <w:marLeft w:val="0"/>
      <w:marRight w:val="0"/>
      <w:marTop w:val="0"/>
      <w:marBottom w:val="0"/>
      <w:divBdr>
        <w:top w:val="none" w:sz="0" w:space="0" w:color="auto"/>
        <w:left w:val="none" w:sz="0" w:space="0" w:color="auto"/>
        <w:bottom w:val="none" w:sz="0" w:space="0" w:color="auto"/>
        <w:right w:val="none" w:sz="0" w:space="0" w:color="auto"/>
      </w:divBdr>
    </w:div>
    <w:div w:id="1666662417">
      <w:bodyDiv w:val="1"/>
      <w:marLeft w:val="0"/>
      <w:marRight w:val="0"/>
      <w:marTop w:val="0"/>
      <w:marBottom w:val="0"/>
      <w:divBdr>
        <w:top w:val="none" w:sz="0" w:space="0" w:color="auto"/>
        <w:left w:val="none" w:sz="0" w:space="0" w:color="auto"/>
        <w:bottom w:val="none" w:sz="0" w:space="0" w:color="auto"/>
        <w:right w:val="none" w:sz="0" w:space="0" w:color="auto"/>
      </w:divBdr>
    </w:div>
    <w:div w:id="1669598810">
      <w:bodyDiv w:val="1"/>
      <w:marLeft w:val="0"/>
      <w:marRight w:val="0"/>
      <w:marTop w:val="0"/>
      <w:marBottom w:val="0"/>
      <w:divBdr>
        <w:top w:val="none" w:sz="0" w:space="0" w:color="auto"/>
        <w:left w:val="none" w:sz="0" w:space="0" w:color="auto"/>
        <w:bottom w:val="none" w:sz="0" w:space="0" w:color="auto"/>
        <w:right w:val="none" w:sz="0" w:space="0" w:color="auto"/>
      </w:divBdr>
    </w:div>
    <w:div w:id="1728063689">
      <w:bodyDiv w:val="1"/>
      <w:marLeft w:val="0"/>
      <w:marRight w:val="0"/>
      <w:marTop w:val="0"/>
      <w:marBottom w:val="0"/>
      <w:divBdr>
        <w:top w:val="none" w:sz="0" w:space="0" w:color="auto"/>
        <w:left w:val="none" w:sz="0" w:space="0" w:color="auto"/>
        <w:bottom w:val="none" w:sz="0" w:space="0" w:color="auto"/>
        <w:right w:val="none" w:sz="0" w:space="0" w:color="auto"/>
      </w:divBdr>
    </w:div>
    <w:div w:id="1735424605">
      <w:bodyDiv w:val="1"/>
      <w:marLeft w:val="0"/>
      <w:marRight w:val="0"/>
      <w:marTop w:val="0"/>
      <w:marBottom w:val="0"/>
      <w:divBdr>
        <w:top w:val="none" w:sz="0" w:space="0" w:color="auto"/>
        <w:left w:val="none" w:sz="0" w:space="0" w:color="auto"/>
        <w:bottom w:val="none" w:sz="0" w:space="0" w:color="auto"/>
        <w:right w:val="none" w:sz="0" w:space="0" w:color="auto"/>
      </w:divBdr>
    </w:div>
    <w:div w:id="1744252327">
      <w:bodyDiv w:val="1"/>
      <w:marLeft w:val="0"/>
      <w:marRight w:val="0"/>
      <w:marTop w:val="0"/>
      <w:marBottom w:val="0"/>
      <w:divBdr>
        <w:top w:val="none" w:sz="0" w:space="0" w:color="auto"/>
        <w:left w:val="none" w:sz="0" w:space="0" w:color="auto"/>
        <w:bottom w:val="none" w:sz="0" w:space="0" w:color="auto"/>
        <w:right w:val="none" w:sz="0" w:space="0" w:color="auto"/>
      </w:divBdr>
    </w:div>
    <w:div w:id="1773086627">
      <w:bodyDiv w:val="1"/>
      <w:marLeft w:val="0"/>
      <w:marRight w:val="0"/>
      <w:marTop w:val="0"/>
      <w:marBottom w:val="0"/>
      <w:divBdr>
        <w:top w:val="none" w:sz="0" w:space="0" w:color="auto"/>
        <w:left w:val="none" w:sz="0" w:space="0" w:color="auto"/>
        <w:bottom w:val="none" w:sz="0" w:space="0" w:color="auto"/>
        <w:right w:val="none" w:sz="0" w:space="0" w:color="auto"/>
      </w:divBdr>
    </w:div>
    <w:div w:id="1862552291">
      <w:bodyDiv w:val="1"/>
      <w:marLeft w:val="0"/>
      <w:marRight w:val="0"/>
      <w:marTop w:val="0"/>
      <w:marBottom w:val="0"/>
      <w:divBdr>
        <w:top w:val="none" w:sz="0" w:space="0" w:color="auto"/>
        <w:left w:val="none" w:sz="0" w:space="0" w:color="auto"/>
        <w:bottom w:val="none" w:sz="0" w:space="0" w:color="auto"/>
        <w:right w:val="none" w:sz="0" w:space="0" w:color="auto"/>
      </w:divBdr>
    </w:div>
    <w:div w:id="1911845922">
      <w:bodyDiv w:val="1"/>
      <w:marLeft w:val="0"/>
      <w:marRight w:val="0"/>
      <w:marTop w:val="0"/>
      <w:marBottom w:val="0"/>
      <w:divBdr>
        <w:top w:val="none" w:sz="0" w:space="0" w:color="auto"/>
        <w:left w:val="none" w:sz="0" w:space="0" w:color="auto"/>
        <w:bottom w:val="none" w:sz="0" w:space="0" w:color="auto"/>
        <w:right w:val="none" w:sz="0" w:space="0" w:color="auto"/>
      </w:divBdr>
    </w:div>
    <w:div w:id="1923368987">
      <w:bodyDiv w:val="1"/>
      <w:marLeft w:val="0"/>
      <w:marRight w:val="0"/>
      <w:marTop w:val="0"/>
      <w:marBottom w:val="0"/>
      <w:divBdr>
        <w:top w:val="none" w:sz="0" w:space="0" w:color="auto"/>
        <w:left w:val="none" w:sz="0" w:space="0" w:color="auto"/>
        <w:bottom w:val="none" w:sz="0" w:space="0" w:color="auto"/>
        <w:right w:val="none" w:sz="0" w:space="0" w:color="auto"/>
      </w:divBdr>
    </w:div>
    <w:div w:id="1931039305">
      <w:bodyDiv w:val="1"/>
      <w:marLeft w:val="0"/>
      <w:marRight w:val="0"/>
      <w:marTop w:val="0"/>
      <w:marBottom w:val="0"/>
      <w:divBdr>
        <w:top w:val="none" w:sz="0" w:space="0" w:color="auto"/>
        <w:left w:val="none" w:sz="0" w:space="0" w:color="auto"/>
        <w:bottom w:val="none" w:sz="0" w:space="0" w:color="auto"/>
        <w:right w:val="none" w:sz="0" w:space="0" w:color="auto"/>
      </w:divBdr>
    </w:div>
    <w:div w:id="1955359853">
      <w:bodyDiv w:val="1"/>
      <w:marLeft w:val="0"/>
      <w:marRight w:val="0"/>
      <w:marTop w:val="0"/>
      <w:marBottom w:val="0"/>
      <w:divBdr>
        <w:top w:val="none" w:sz="0" w:space="0" w:color="auto"/>
        <w:left w:val="none" w:sz="0" w:space="0" w:color="auto"/>
        <w:bottom w:val="none" w:sz="0" w:space="0" w:color="auto"/>
        <w:right w:val="none" w:sz="0" w:space="0" w:color="auto"/>
      </w:divBdr>
    </w:div>
    <w:div w:id="2002539645">
      <w:bodyDiv w:val="1"/>
      <w:marLeft w:val="0"/>
      <w:marRight w:val="0"/>
      <w:marTop w:val="0"/>
      <w:marBottom w:val="0"/>
      <w:divBdr>
        <w:top w:val="none" w:sz="0" w:space="0" w:color="auto"/>
        <w:left w:val="none" w:sz="0" w:space="0" w:color="auto"/>
        <w:bottom w:val="none" w:sz="0" w:space="0" w:color="auto"/>
        <w:right w:val="none" w:sz="0" w:space="0" w:color="auto"/>
      </w:divBdr>
    </w:div>
    <w:div w:id="2005083955">
      <w:bodyDiv w:val="1"/>
      <w:marLeft w:val="0"/>
      <w:marRight w:val="0"/>
      <w:marTop w:val="0"/>
      <w:marBottom w:val="0"/>
      <w:divBdr>
        <w:top w:val="none" w:sz="0" w:space="0" w:color="auto"/>
        <w:left w:val="none" w:sz="0" w:space="0" w:color="auto"/>
        <w:bottom w:val="none" w:sz="0" w:space="0" w:color="auto"/>
        <w:right w:val="none" w:sz="0" w:space="0" w:color="auto"/>
      </w:divBdr>
    </w:div>
    <w:div w:id="2041975585">
      <w:bodyDiv w:val="1"/>
      <w:marLeft w:val="0"/>
      <w:marRight w:val="0"/>
      <w:marTop w:val="0"/>
      <w:marBottom w:val="0"/>
      <w:divBdr>
        <w:top w:val="none" w:sz="0" w:space="0" w:color="auto"/>
        <w:left w:val="none" w:sz="0" w:space="0" w:color="auto"/>
        <w:bottom w:val="none" w:sz="0" w:space="0" w:color="auto"/>
        <w:right w:val="none" w:sz="0" w:space="0" w:color="auto"/>
      </w:divBdr>
    </w:div>
    <w:div w:id="2051146078">
      <w:bodyDiv w:val="1"/>
      <w:marLeft w:val="0"/>
      <w:marRight w:val="0"/>
      <w:marTop w:val="0"/>
      <w:marBottom w:val="0"/>
      <w:divBdr>
        <w:top w:val="none" w:sz="0" w:space="0" w:color="auto"/>
        <w:left w:val="none" w:sz="0" w:space="0" w:color="auto"/>
        <w:bottom w:val="none" w:sz="0" w:space="0" w:color="auto"/>
        <w:right w:val="none" w:sz="0" w:space="0" w:color="auto"/>
      </w:divBdr>
    </w:div>
    <w:div w:id="2098745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hyperlink" Target="https://agsjournals.onlinelibrary.wiley.com/doi/full/10.1111/j.1532-5415.2009.02617.x" TargetMode="External"/><Relationship Id="rId39" Type="http://schemas.openxmlformats.org/officeDocument/2006/relationships/hyperlink" Target="https://euroqol.org/publications/user-guides/" TargetMode="External"/><Relationship Id="rId21" Type="http://schemas.openxmlformats.org/officeDocument/2006/relationships/header" Target="header7.xml"/><Relationship Id="rId34" Type="http://schemas.openxmlformats.org/officeDocument/2006/relationships/image" Target="media/image8.png"/><Relationship Id="rId42" Type="http://schemas.openxmlformats.org/officeDocument/2006/relationships/image" Target="media/image14.tiff"/><Relationship Id="rId47" Type="http://schemas.openxmlformats.org/officeDocument/2006/relationships/hyperlink" Target="https://www.health.gov.au/resources/publications/schedule-of-subsidies-and-supplements-for-aged-care" TargetMode="External"/><Relationship Id="rId50" Type="http://schemas.openxmlformats.org/officeDocument/2006/relationships/image" Target="media/image18.png"/><Relationship Id="rId55" Type="http://schemas.openxmlformats.org/officeDocument/2006/relationships/image" Target="media/image22.png"/><Relationship Id="rId63" Type="http://schemas.openxmlformats.org/officeDocument/2006/relationships/hyperlink" Target="https://www.claritywellness.com.au/remedial-massage/remedial-massage-prices/" TargetMode="External"/><Relationship Id="rId68" Type="http://schemas.openxmlformats.org/officeDocument/2006/relationships/hyperlink" Target="http://www" TargetMode="External"/><Relationship Id="rId7" Type="http://schemas.openxmlformats.org/officeDocument/2006/relationships/endnotes" Target="endnotes.xml"/><Relationship Id="rId71"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yperlink" Target="https://webarchive.nla.gov.au/awa/20191107022039/https:/agedcare.health.gov.au/funding/schedule-of-subsidies-and-supplements-from-20-september-2018" TargetMode="External"/><Relationship Id="rId11" Type="http://schemas.openxmlformats.org/officeDocument/2006/relationships/footer" Target="footer1.xml"/><Relationship Id="rId24" Type="http://schemas.openxmlformats.org/officeDocument/2006/relationships/header" Target="header10.xml"/><Relationship Id="rId32" Type="http://schemas.openxmlformats.org/officeDocument/2006/relationships/chart" Target="charts/chart1.xml"/><Relationship Id="rId37" Type="http://schemas.openxmlformats.org/officeDocument/2006/relationships/image" Target="media/image11.png"/><Relationship Id="rId40" Type="http://schemas.openxmlformats.org/officeDocument/2006/relationships/footer" Target="footer4.xml"/><Relationship Id="rId45" Type="http://schemas.openxmlformats.org/officeDocument/2006/relationships/hyperlink" Target="https://www.ihpa.gov.au/publications/national-efficient-price-determination-2019-20" TargetMode="External"/><Relationship Id="rId53" Type="http://schemas.openxmlformats.org/officeDocument/2006/relationships/image" Target="media/image20.png"/><Relationship Id="rId58" Type="http://schemas.openxmlformats.org/officeDocument/2006/relationships/image" Target="media/image25.emf"/><Relationship Id="rId66" Type="http://schemas.openxmlformats.org/officeDocument/2006/relationships/hyperlink" Target="https://www.nhmrc.gov.au/guidelines-publications/e72"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9.xml"/><Relationship Id="rId28" Type="http://schemas.openxmlformats.org/officeDocument/2006/relationships/hyperlink" Target="https://itt.abs.gov.au/itt/r.jsp?ABSMaps" TargetMode="External"/><Relationship Id="rId36" Type="http://schemas.openxmlformats.org/officeDocument/2006/relationships/image" Target="media/image10.png"/><Relationship Id="rId49" Type="http://schemas.openxmlformats.org/officeDocument/2006/relationships/image" Target="media/image17.png"/><Relationship Id="rId57" Type="http://schemas.openxmlformats.org/officeDocument/2006/relationships/image" Target="media/image24.png"/><Relationship Id="rId61" Type="http://schemas.openxmlformats.org/officeDocument/2006/relationships/hyperlink" Target="https://www.silverchain.org.au/sa/understanding-your-options/costs-and-eligibility/" TargetMode="Externa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image" Target="media/image7.png"/><Relationship Id="rId44" Type="http://schemas.openxmlformats.org/officeDocument/2006/relationships/image" Target="media/image15.png"/><Relationship Id="rId52" Type="http://schemas.openxmlformats.org/officeDocument/2006/relationships/hyperlink" Target="https://agsjournals.onlinelibrary.wiley.com/doi/full/10.1111/j.1532-5415.2009.02617.x" TargetMode="External"/><Relationship Id="rId60" Type="http://schemas.openxmlformats.org/officeDocument/2006/relationships/hyperlink" Target="http://www.hearingservices.gov.au/wps/portal/hso/site/about/legislation/contracts/schedule_fees_2020-21" TargetMode="External"/><Relationship Id="rId65" Type="http://schemas.openxmlformats.org/officeDocument/2006/relationships/hyperlink" Target="https://agedcare.health.gov.au/aged-care-funding/residential-care-subsidy/basic-subsidy-amount-aged-care-funding-instrument/psychogeriatric-assessment-scales-pas-user-guide" TargetMode="External"/><Relationship Id="rId73"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hyperlink" Target="http://www.ag.gov.au/" TargetMode="External"/><Relationship Id="rId14" Type="http://schemas.openxmlformats.org/officeDocument/2006/relationships/footer" Target="footer2.xml"/><Relationship Id="rId22" Type="http://schemas.openxmlformats.org/officeDocument/2006/relationships/header" Target="header8.xml"/><Relationship Id="rId27" Type="http://schemas.openxmlformats.org/officeDocument/2006/relationships/image" Target="media/image6.png"/><Relationship Id="rId30" Type="http://schemas.openxmlformats.org/officeDocument/2006/relationships/hyperlink" Target="https://www.abs.gov.au/ausstats/abs@.nsf/Lookup/by%20Subject/2033.0.55.001~2016~Main%20Features~IRSD%20Interactive%20Map~15" TargetMode="External"/><Relationship Id="rId35" Type="http://schemas.openxmlformats.org/officeDocument/2006/relationships/image" Target="media/image9.png"/><Relationship Id="rId43" Type="http://schemas.openxmlformats.org/officeDocument/2006/relationships/chart" Target="charts/chart3.xml"/><Relationship Id="rId48" Type="http://schemas.openxmlformats.org/officeDocument/2006/relationships/image" Target="media/image16.png"/><Relationship Id="rId56" Type="http://schemas.openxmlformats.org/officeDocument/2006/relationships/image" Target="media/image23.png"/><Relationship Id="rId64" Type="http://schemas.openxmlformats.org/officeDocument/2006/relationships/hyperlink" Target="http://6cpa.com.au/medication-management-programs/residential-medication-management-review/" TargetMode="External"/><Relationship Id="rId69" Type="http://schemas.openxmlformats.org/officeDocument/2006/relationships/hyperlink" Target="http://www.flinders.edu.au/sabs/fcas/alsa/" TargetMode="External"/><Relationship Id="rId8" Type="http://schemas.openxmlformats.org/officeDocument/2006/relationships/hyperlink" Target="mailto:libby.roughead@unisa.edu.au" TargetMode="External"/><Relationship Id="rId51" Type="http://schemas.openxmlformats.org/officeDocument/2006/relationships/image" Target="media/image19.png"/><Relationship Id="rId72" Type="http://schemas.openxmlformats.org/officeDocument/2006/relationships/footer" Target="footer5.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3.emf"/><Relationship Id="rId25" Type="http://schemas.openxmlformats.org/officeDocument/2006/relationships/image" Target="media/image5.png"/><Relationship Id="rId33" Type="http://schemas.openxmlformats.org/officeDocument/2006/relationships/chart" Target="charts/chart2.xml"/><Relationship Id="rId38" Type="http://schemas.openxmlformats.org/officeDocument/2006/relationships/image" Target="media/image12.tiff"/><Relationship Id="rId46" Type="http://schemas.openxmlformats.org/officeDocument/2006/relationships/hyperlink" Target="https://www.ihpa.gov.au/publications/national-efficient-price-determination-2019-20" TargetMode="External"/><Relationship Id="rId59" Type="http://schemas.openxmlformats.org/officeDocument/2006/relationships/hyperlink" Target="https://www.ihpa.gov.au/publications/national-efficient-price-determination-2019-20" TargetMode="External"/><Relationship Id="rId67" Type="http://schemas.openxmlformats.org/officeDocument/2006/relationships/hyperlink" Target="https://www.aihw.gov.au/reports-data/health-conditions-disability-deaths/dementia/overview" TargetMode="External"/><Relationship Id="rId20" Type="http://schemas.openxmlformats.org/officeDocument/2006/relationships/header" Target="header6.xml"/><Relationship Id="rId41" Type="http://schemas.openxmlformats.org/officeDocument/2006/relationships/image" Target="media/image13.png"/><Relationship Id="rId54" Type="http://schemas.openxmlformats.org/officeDocument/2006/relationships/image" Target="media/image21.png"/><Relationship Id="rId62" Type="http://schemas.openxmlformats.org/officeDocument/2006/relationships/hyperlink" Target="https://www.silverchain.org.au/sa/understanding-your-options/costs-and-eligibility/" TargetMode="External"/><Relationship Id="rId70" Type="http://schemas.openxmlformats.org/officeDocument/2006/relationships/header" Target="header1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s://www.ihpa.gov.au/publications/national-efficient-price-determination-2019-20"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mavis\ReMInDAR\ReMInDAR%20Trial\Data%20analysis\Deaths%20matched%20to%20session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mavis\ReMInDAR\ReMInDAR%20Trial\Statistical%20analysis\results\Medication%20related%20problems%20and%20communications.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'Deaths within 160 days'!$BD$48</c:f>
              <c:strCache>
                <c:ptCount val="1"/>
                <c:pt idx="0">
                  <c:v># of deaths in control</c:v>
                </c:pt>
              </c:strCache>
            </c:strRef>
          </c:tx>
          <c:spPr>
            <a:pattFill prst="ltHorz">
              <a:fgClr>
                <a:schemeClr val="tx1"/>
              </a:fgClr>
              <a:bgClr>
                <a:schemeClr val="bg1"/>
              </a:bgClr>
            </a:pattFill>
            <a:ln>
              <a:noFill/>
            </a:ln>
            <a:effectLst>
              <a:innerShdw blurRad="114300">
                <a:schemeClr val="dk1">
                  <a:tint val="885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'Deaths within 160 days'!$BC$49:$BC$55</c:f>
              <c:strCache>
                <c:ptCount val="7"/>
                <c:pt idx="0">
                  <c:v>prior to any session</c:v>
                </c:pt>
                <c:pt idx="1">
                  <c:v>session 1</c:v>
                </c:pt>
                <c:pt idx="2">
                  <c:v>session 2</c:v>
                </c:pt>
                <c:pt idx="3">
                  <c:v>session 3</c:v>
                </c:pt>
                <c:pt idx="4">
                  <c:v>session 4</c:v>
                </c:pt>
                <c:pt idx="5">
                  <c:v>session 5</c:v>
                </c:pt>
                <c:pt idx="6">
                  <c:v>session 6</c:v>
                </c:pt>
              </c:strCache>
            </c:strRef>
          </c:cat>
          <c:val>
            <c:numRef>
              <c:f>'Deaths within 160 days'!$BD$49:$BD$55</c:f>
              <c:numCache>
                <c:formatCode>General</c:formatCode>
                <c:ptCount val="7"/>
                <c:pt idx="0">
                  <c:v>2</c:v>
                </c:pt>
                <c:pt idx="1">
                  <c:v>5</c:v>
                </c:pt>
                <c:pt idx="2">
                  <c:v>2</c:v>
                </c:pt>
                <c:pt idx="3">
                  <c:v>2</c:v>
                </c:pt>
                <c:pt idx="4">
                  <c:v>2</c:v>
                </c:pt>
                <c:pt idx="5">
                  <c:v>1</c:v>
                </c:pt>
                <c:pt idx="6">
                  <c:v>2</c:v>
                </c:pt>
              </c:numCache>
            </c:numRef>
          </c:val>
          <c:extLst>
            <c:ext xmlns:c16="http://schemas.microsoft.com/office/drawing/2014/chart" uri="{C3380CC4-5D6E-409C-BE32-E72D297353CC}">
              <c16:uniqueId val="{00000000-6E4A-458C-BE7A-A529915F11BA}"/>
            </c:ext>
          </c:extLst>
        </c:ser>
        <c:ser>
          <c:idx val="1"/>
          <c:order val="1"/>
          <c:tx>
            <c:strRef>
              <c:f>'Deaths within 160 days'!$BE$48</c:f>
              <c:strCache>
                <c:ptCount val="1"/>
              </c:strCache>
            </c:strRef>
          </c:tx>
          <c:spPr>
            <a:pattFill prst="narHorz">
              <a:fgClr>
                <a:schemeClr val="dk1">
                  <a:tint val="55000"/>
                </a:schemeClr>
              </a:fgClr>
              <a:bgClr>
                <a:schemeClr val="dk1">
                  <a:tint val="55000"/>
                  <a:lumMod val="20000"/>
                  <a:lumOff val="80000"/>
                </a:schemeClr>
              </a:bgClr>
            </a:pattFill>
            <a:ln>
              <a:noFill/>
            </a:ln>
            <a:effectLst>
              <a:innerShdw blurRad="114300">
                <a:schemeClr val="dk1">
                  <a:tint val="55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'Deaths within 160 days'!$BC$49:$BC$55</c:f>
              <c:strCache>
                <c:ptCount val="7"/>
                <c:pt idx="0">
                  <c:v>prior to any session</c:v>
                </c:pt>
                <c:pt idx="1">
                  <c:v>session 1</c:v>
                </c:pt>
                <c:pt idx="2">
                  <c:v>session 2</c:v>
                </c:pt>
                <c:pt idx="3">
                  <c:v>session 3</c:v>
                </c:pt>
                <c:pt idx="4">
                  <c:v>session 4</c:v>
                </c:pt>
                <c:pt idx="5">
                  <c:v>session 5</c:v>
                </c:pt>
                <c:pt idx="6">
                  <c:v>session 6</c:v>
                </c:pt>
              </c:strCache>
            </c:strRef>
          </c:cat>
          <c:val>
            <c:numRef>
              <c:f>'Deaths within 160 days'!$BE$49:$BE$55</c:f>
            </c:numRef>
          </c:val>
          <c:extLst>
            <c:ext xmlns:c16="http://schemas.microsoft.com/office/drawing/2014/chart" uri="{C3380CC4-5D6E-409C-BE32-E72D297353CC}">
              <c16:uniqueId val="{00000001-6E4A-458C-BE7A-A529915F11BA}"/>
            </c:ext>
          </c:extLst>
        </c:ser>
        <c:ser>
          <c:idx val="2"/>
          <c:order val="2"/>
          <c:tx>
            <c:strRef>
              <c:f>'Deaths within 160 days'!$BF$48</c:f>
              <c:strCache>
                <c:ptCount val="1"/>
                <c:pt idx="0">
                  <c:v># of deaths in intervention</c:v>
                </c:pt>
              </c:strCache>
            </c:strRef>
          </c:tx>
          <c:spPr>
            <a:pattFill prst="pct60">
              <a:fgClr>
                <a:schemeClr val="tx1"/>
              </a:fgClr>
              <a:bgClr>
                <a:schemeClr val="bg1"/>
              </a:bgClr>
            </a:pattFill>
            <a:ln>
              <a:noFill/>
            </a:ln>
            <a:effectLst>
              <a:innerShdw blurRad="114300">
                <a:schemeClr val="dk1">
                  <a:tint val="75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'Deaths within 160 days'!$BC$49:$BC$55</c:f>
              <c:strCache>
                <c:ptCount val="7"/>
                <c:pt idx="0">
                  <c:v>prior to any session</c:v>
                </c:pt>
                <c:pt idx="1">
                  <c:v>session 1</c:v>
                </c:pt>
                <c:pt idx="2">
                  <c:v>session 2</c:v>
                </c:pt>
                <c:pt idx="3">
                  <c:v>session 3</c:v>
                </c:pt>
                <c:pt idx="4">
                  <c:v>session 4</c:v>
                </c:pt>
                <c:pt idx="5">
                  <c:v>session 5</c:v>
                </c:pt>
                <c:pt idx="6">
                  <c:v>session 6</c:v>
                </c:pt>
              </c:strCache>
            </c:strRef>
          </c:cat>
          <c:val>
            <c:numRef>
              <c:f>'Deaths within 160 days'!$BF$49:$BF$55</c:f>
              <c:numCache>
                <c:formatCode>General</c:formatCode>
                <c:ptCount val="7"/>
                <c:pt idx="0">
                  <c:v>5</c:v>
                </c:pt>
                <c:pt idx="1">
                  <c:v>7</c:v>
                </c:pt>
                <c:pt idx="2">
                  <c:v>2</c:v>
                </c:pt>
                <c:pt idx="3">
                  <c:v>3</c:v>
                </c:pt>
                <c:pt idx="4">
                  <c:v>3</c:v>
                </c:pt>
                <c:pt idx="5">
                  <c:v>2</c:v>
                </c:pt>
                <c:pt idx="6">
                  <c:v>1</c:v>
                </c:pt>
              </c:numCache>
            </c:numRef>
          </c:val>
          <c:extLst>
            <c:ext xmlns:c16="http://schemas.microsoft.com/office/drawing/2014/chart" uri="{C3380CC4-5D6E-409C-BE32-E72D297353CC}">
              <c16:uniqueId val="{00000002-6E4A-458C-BE7A-A529915F11BA}"/>
            </c:ext>
          </c:extLst>
        </c:ser>
        <c:dLbls>
          <c:dLblPos val="outEnd"/>
          <c:showLegendKey val="0"/>
          <c:showVal val="1"/>
          <c:showCatName val="0"/>
          <c:showSerName val="0"/>
          <c:showPercent val="0"/>
          <c:showBubbleSize val="0"/>
        </c:dLbls>
        <c:gapWidth val="164"/>
        <c:overlap val="-22"/>
        <c:axId val="1077035384"/>
        <c:axId val="1077035712"/>
      </c:barChart>
      <c:catAx>
        <c:axId val="1077035384"/>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7035712"/>
        <c:crosses val="autoZero"/>
        <c:auto val="1"/>
        <c:lblAlgn val="ctr"/>
        <c:lblOffset val="100"/>
        <c:noMultiLvlLbl val="0"/>
      </c:catAx>
      <c:valAx>
        <c:axId val="107703571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703538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AU"/>
              <a:t>Pharmacist documentation by recipient</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pattFill prst="pct30">
                <a:fgClr>
                  <a:sysClr val="windowText" lastClr="000000"/>
                </a:fgClr>
                <a:bgClr>
                  <a:sysClr val="window" lastClr="FFFFFF"/>
                </a:bgClr>
              </a:patt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6498-4714-9397-1C260EEE90CF}"/>
              </c:ext>
            </c:extLst>
          </c:dPt>
          <c:dPt>
            <c:idx val="1"/>
            <c:bubble3D val="0"/>
            <c:spPr>
              <a:pattFill prst="narHorz">
                <a:fgClr>
                  <a:sysClr val="windowText" lastClr="000000"/>
                </a:fgClr>
                <a:bgClr>
                  <a:sysClr val="window" lastClr="FFFFFF"/>
                </a:bgClr>
              </a:pattFill>
              <a:ln>
                <a:solidFill>
                  <a:sysClr val="window" lastClr="FFFFFF"/>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6498-4714-9397-1C260EEE90CF}"/>
              </c:ext>
            </c:extLst>
          </c:dPt>
          <c:dPt>
            <c:idx val="2"/>
            <c:bubble3D val="0"/>
            <c:spPr>
              <a:pattFill prst="horzBrick">
                <a:fgClr>
                  <a:sysClr val="windowText" lastClr="000000"/>
                </a:fgClr>
                <a:bgClr>
                  <a:sysClr val="window" lastClr="FFFFFF"/>
                </a:bgClr>
              </a:patt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6498-4714-9397-1C260EEE90CF}"/>
              </c:ext>
            </c:extLst>
          </c:dPt>
          <c:dPt>
            <c:idx val="3"/>
            <c:bubble3D val="0"/>
            <c:spPr>
              <a:pattFill prst="dkUpDiag">
                <a:fgClr>
                  <a:sysClr val="windowText" lastClr="000000"/>
                </a:fgClr>
                <a:bgClr>
                  <a:sysClr val="window" lastClr="FFFFFF"/>
                </a:bgClr>
              </a:patt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6498-4714-9397-1C260EEE90CF}"/>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6498-4714-9397-1C260EEE90CF}"/>
                </c:ext>
              </c:extLst>
            </c:dLbl>
            <c:dLbl>
              <c:idx val="1"/>
              <c:layout>
                <c:manualLayout>
                  <c:x val="-0.16962084791931076"/>
                  <c:y val="-2.200082806266264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498-4714-9397-1C260EEE90CF}"/>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6498-4714-9397-1C260EEE90CF}"/>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6498-4714-9397-1C260EEE90CF}"/>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Sheet1!$L$12:$L$15</c:f>
              <c:strCache>
                <c:ptCount val="4"/>
                <c:pt idx="0">
                  <c:v>GP</c:v>
                </c:pt>
                <c:pt idx="1">
                  <c:v>Pharmacist progress note or patient care record notes</c:v>
                </c:pt>
                <c:pt idx="2">
                  <c:v>Nurse</c:v>
                </c:pt>
                <c:pt idx="3">
                  <c:v>Residents</c:v>
                </c:pt>
              </c:strCache>
            </c:strRef>
          </c:cat>
          <c:val>
            <c:numRef>
              <c:f>Sheet1!$T$12:$T$15</c:f>
              <c:numCache>
                <c:formatCode>General</c:formatCode>
                <c:ptCount val="4"/>
                <c:pt idx="0">
                  <c:v>228</c:v>
                </c:pt>
                <c:pt idx="1">
                  <c:v>427</c:v>
                </c:pt>
                <c:pt idx="2">
                  <c:v>42</c:v>
                </c:pt>
                <c:pt idx="3">
                  <c:v>129</c:v>
                </c:pt>
              </c:numCache>
            </c:numRef>
          </c:val>
          <c:extLst>
            <c:ext xmlns:c16="http://schemas.microsoft.com/office/drawing/2014/chart" uri="{C3380CC4-5D6E-409C-BE32-E72D297353CC}">
              <c16:uniqueId val="{00000008-6498-4714-9397-1C260EEE90CF}"/>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Sheet1!$E$1</c:f>
              <c:strCache>
                <c:ptCount val="1"/>
                <c:pt idx="0">
                  <c:v>Preventable</c:v>
                </c:pt>
              </c:strCache>
            </c:strRef>
          </c:tx>
          <c:spPr>
            <a:pattFill prst="pct70">
              <a:fgClr>
                <a:schemeClr val="tx2"/>
              </a:fgClr>
              <a:bgClr>
                <a:schemeClr val="bg1"/>
              </a:bgClr>
            </a:pattFill>
            <a:ln>
              <a:solidFill>
                <a:schemeClr val="tx1"/>
              </a:solidFill>
            </a:ln>
            <a:effectLst/>
          </c:spPr>
          <c:invertIfNegative val="0"/>
          <c:cat>
            <c:strRef>
              <c:f>Sheet1!$D$2:$D$10</c:f>
              <c:strCache>
                <c:ptCount val="9"/>
                <c:pt idx="0">
                  <c:v>Bleeding (any)</c:v>
                </c:pt>
                <c:pt idx="1">
                  <c:v>Bruising</c:v>
                </c:pt>
                <c:pt idx="2">
                  <c:v>Confusion </c:v>
                </c:pt>
                <c:pt idx="3">
                  <c:v>Constipation</c:v>
                </c:pt>
                <c:pt idx="4">
                  <c:v>Coughing</c:v>
                </c:pt>
                <c:pt idx="5">
                  <c:v>Dizziness</c:v>
                </c:pt>
                <c:pt idx="6">
                  <c:v>Fall</c:v>
                </c:pt>
                <c:pt idx="7">
                  <c:v>Vomiting, nausea</c:v>
                </c:pt>
                <c:pt idx="8">
                  <c:v>Urticaria (rash)</c:v>
                </c:pt>
              </c:strCache>
            </c:strRef>
          </c:cat>
          <c:val>
            <c:numRef>
              <c:f>Sheet1!$E$2:$E$10</c:f>
              <c:numCache>
                <c:formatCode>General</c:formatCode>
                <c:ptCount val="9"/>
                <c:pt idx="0">
                  <c:v>56</c:v>
                </c:pt>
                <c:pt idx="1">
                  <c:v>30</c:v>
                </c:pt>
                <c:pt idx="2">
                  <c:v>18</c:v>
                </c:pt>
                <c:pt idx="3">
                  <c:v>7</c:v>
                </c:pt>
                <c:pt idx="4">
                  <c:v>1</c:v>
                </c:pt>
                <c:pt idx="5">
                  <c:v>38</c:v>
                </c:pt>
                <c:pt idx="6">
                  <c:v>318</c:v>
                </c:pt>
                <c:pt idx="7">
                  <c:v>2</c:v>
                </c:pt>
                <c:pt idx="8">
                  <c:v>4</c:v>
                </c:pt>
              </c:numCache>
            </c:numRef>
          </c:val>
          <c:extLst>
            <c:ext xmlns:c16="http://schemas.microsoft.com/office/drawing/2014/chart" uri="{C3380CC4-5D6E-409C-BE32-E72D297353CC}">
              <c16:uniqueId val="{00000000-C230-4CD7-B899-3ACB8D7E526A}"/>
            </c:ext>
          </c:extLst>
        </c:ser>
        <c:ser>
          <c:idx val="1"/>
          <c:order val="1"/>
          <c:tx>
            <c:strRef>
              <c:f>Sheet1!$F$1</c:f>
              <c:strCache>
                <c:ptCount val="1"/>
                <c:pt idx="0">
                  <c:v>Non-Preventable</c:v>
                </c:pt>
              </c:strCache>
            </c:strRef>
          </c:tx>
          <c:spPr>
            <a:pattFill prst="ltUpDiag">
              <a:fgClr>
                <a:schemeClr val="tx2"/>
              </a:fgClr>
              <a:bgClr>
                <a:schemeClr val="bg1"/>
              </a:bgClr>
            </a:pattFill>
            <a:ln>
              <a:solidFill>
                <a:schemeClr val="tx1"/>
              </a:solidFill>
            </a:ln>
            <a:effectLst/>
          </c:spPr>
          <c:invertIfNegative val="0"/>
          <c:cat>
            <c:strRef>
              <c:f>Sheet1!$D$2:$D$10</c:f>
              <c:strCache>
                <c:ptCount val="9"/>
                <c:pt idx="0">
                  <c:v>Bleeding (any)</c:v>
                </c:pt>
                <c:pt idx="1">
                  <c:v>Bruising</c:v>
                </c:pt>
                <c:pt idx="2">
                  <c:v>Confusion </c:v>
                </c:pt>
                <c:pt idx="3">
                  <c:v>Constipation</c:v>
                </c:pt>
                <c:pt idx="4">
                  <c:v>Coughing</c:v>
                </c:pt>
                <c:pt idx="5">
                  <c:v>Dizziness</c:v>
                </c:pt>
                <c:pt idx="6">
                  <c:v>Fall</c:v>
                </c:pt>
                <c:pt idx="7">
                  <c:v>Vomiting, nausea</c:v>
                </c:pt>
                <c:pt idx="8">
                  <c:v>Urticaria (rash)</c:v>
                </c:pt>
              </c:strCache>
            </c:strRef>
          </c:cat>
          <c:val>
            <c:numRef>
              <c:f>Sheet1!$F$2:$F$10</c:f>
              <c:numCache>
                <c:formatCode>General</c:formatCode>
                <c:ptCount val="9"/>
                <c:pt idx="0">
                  <c:v>48</c:v>
                </c:pt>
                <c:pt idx="1">
                  <c:v>24</c:v>
                </c:pt>
                <c:pt idx="2">
                  <c:v>3</c:v>
                </c:pt>
                <c:pt idx="3">
                  <c:v>2</c:v>
                </c:pt>
                <c:pt idx="4">
                  <c:v>2</c:v>
                </c:pt>
                <c:pt idx="5">
                  <c:v>8</c:v>
                </c:pt>
                <c:pt idx="6">
                  <c:v>6</c:v>
                </c:pt>
                <c:pt idx="7">
                  <c:v>3</c:v>
                </c:pt>
                <c:pt idx="8">
                  <c:v>2</c:v>
                </c:pt>
              </c:numCache>
            </c:numRef>
          </c:val>
          <c:extLst>
            <c:ext xmlns:c16="http://schemas.microsoft.com/office/drawing/2014/chart" uri="{C3380CC4-5D6E-409C-BE32-E72D297353CC}">
              <c16:uniqueId val="{00000001-C230-4CD7-B899-3ACB8D7E526A}"/>
            </c:ext>
          </c:extLst>
        </c:ser>
        <c:dLbls>
          <c:showLegendKey val="0"/>
          <c:showVal val="0"/>
          <c:showCatName val="0"/>
          <c:showSerName val="0"/>
          <c:showPercent val="0"/>
          <c:showBubbleSize val="0"/>
        </c:dLbls>
        <c:gapWidth val="150"/>
        <c:overlap val="100"/>
        <c:axId val="648367039"/>
        <c:axId val="648349151"/>
      </c:barChart>
      <c:catAx>
        <c:axId val="6483670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crossAx val="648349151"/>
        <c:crosses val="autoZero"/>
        <c:auto val="1"/>
        <c:lblAlgn val="ctr"/>
        <c:lblOffset val="100"/>
        <c:noMultiLvlLbl val="0"/>
      </c:catAx>
      <c:valAx>
        <c:axId val="648349151"/>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crossAx val="6483670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0CC618-7CBB-4878-BE13-9A9B341B4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465</TotalTime>
  <Pages>176</Pages>
  <Words>48768</Words>
  <Characters>414476</Characters>
  <Application>Microsoft Office Word</Application>
  <DocSecurity>0</DocSecurity>
  <Lines>13815</Lines>
  <Paragraphs>8422</Paragraphs>
  <ScaleCrop>false</ScaleCrop>
  <HeadingPairs>
    <vt:vector size="2" baseType="variant">
      <vt:variant>
        <vt:lpstr>Title</vt:lpstr>
      </vt:variant>
      <vt:variant>
        <vt:i4>1</vt:i4>
      </vt:variant>
    </vt:vector>
  </HeadingPairs>
  <TitlesOfParts>
    <vt:vector size="1" baseType="lpstr">
      <vt:lpstr>MSAC Assessment Report Template</vt:lpstr>
    </vt:vector>
  </TitlesOfParts>
  <Company>DHA</Company>
  <LinksUpToDate>false</LinksUpToDate>
  <CharactersWithSpaces>454822</CharactersWithSpaces>
  <SharedDoc>false</SharedDoc>
  <HLinks>
    <vt:vector size="1110" baseType="variant">
      <vt:variant>
        <vt:i4>2359340</vt:i4>
      </vt:variant>
      <vt:variant>
        <vt:i4>1016</vt:i4>
      </vt:variant>
      <vt:variant>
        <vt:i4>0</vt:i4>
      </vt:variant>
      <vt:variant>
        <vt:i4>5</vt:i4>
      </vt:variant>
      <vt:variant>
        <vt:lpwstr>http://www.nhmrc.gov.au/consult/index.htm&gt;</vt:lpwstr>
      </vt:variant>
      <vt:variant>
        <vt:lpwstr/>
      </vt:variant>
      <vt:variant>
        <vt:i4>1507338</vt:i4>
      </vt:variant>
      <vt:variant>
        <vt:i4>1008</vt:i4>
      </vt:variant>
      <vt:variant>
        <vt:i4>0</vt:i4>
      </vt:variant>
      <vt:variant>
        <vt:i4>5</vt:i4>
      </vt:variant>
      <vt:variant>
        <vt:lpwstr>http://www.nhmrc.gov.au/guidelines/consult/consultations/add_levels_grades_dev_guidelines2.htm</vt:lpwstr>
      </vt:variant>
      <vt:variant>
        <vt:lpwstr/>
      </vt:variant>
      <vt:variant>
        <vt:i4>4980748</vt:i4>
      </vt:variant>
      <vt:variant>
        <vt:i4>996</vt:i4>
      </vt:variant>
      <vt:variant>
        <vt:i4>0</vt:i4>
      </vt:variant>
      <vt:variant>
        <vt:i4>5</vt:i4>
      </vt:variant>
      <vt:variant>
        <vt:lpwstr>http://text.nlm.nih.gov/</vt:lpwstr>
      </vt:variant>
      <vt:variant>
        <vt:lpwstr/>
      </vt:variant>
      <vt:variant>
        <vt:i4>1966149</vt:i4>
      </vt:variant>
      <vt:variant>
        <vt:i4>993</vt:i4>
      </vt:variant>
      <vt:variant>
        <vt:i4>0</vt:i4>
      </vt:variant>
      <vt:variant>
        <vt:i4>5</vt:i4>
      </vt:variant>
      <vt:variant>
        <vt:lpwstr>http://controlled-trials.com/</vt:lpwstr>
      </vt:variant>
      <vt:variant>
        <vt:lpwstr/>
      </vt:variant>
      <vt:variant>
        <vt:i4>5832792</vt:i4>
      </vt:variant>
      <vt:variant>
        <vt:i4>990</vt:i4>
      </vt:variant>
      <vt:variant>
        <vt:i4>0</vt:i4>
      </vt:variant>
      <vt:variant>
        <vt:i4>5</vt:i4>
      </vt:variant>
      <vt:variant>
        <vt:lpwstr>http://www.tripdatabase.com/</vt:lpwstr>
      </vt:variant>
      <vt:variant>
        <vt:lpwstr/>
      </vt:variant>
      <vt:variant>
        <vt:i4>8126514</vt:i4>
      </vt:variant>
      <vt:variant>
        <vt:i4>987</vt:i4>
      </vt:variant>
      <vt:variant>
        <vt:i4>0</vt:i4>
      </vt:variant>
      <vt:variant>
        <vt:i4>5</vt:i4>
      </vt:variant>
      <vt:variant>
        <vt:lpwstr>http://www.nyam.org/library/greylit/index.shtml</vt:lpwstr>
      </vt:variant>
      <vt:variant>
        <vt:lpwstr/>
      </vt:variant>
      <vt:variant>
        <vt:i4>6291566</vt:i4>
      </vt:variant>
      <vt:variant>
        <vt:i4>984</vt:i4>
      </vt:variant>
      <vt:variant>
        <vt:i4>0</vt:i4>
      </vt:variant>
      <vt:variant>
        <vt:i4>5</vt:i4>
      </vt:variant>
      <vt:variant>
        <vt:lpwstr>http://www.os.dhhs.gov/</vt:lpwstr>
      </vt:variant>
      <vt:variant>
        <vt:lpwstr/>
      </vt:variant>
      <vt:variant>
        <vt:i4>2883700</vt:i4>
      </vt:variant>
      <vt:variant>
        <vt:i4>981</vt:i4>
      </vt:variant>
      <vt:variant>
        <vt:i4>0</vt:i4>
      </vt:variant>
      <vt:variant>
        <vt:i4>5</vt:i4>
      </vt:variant>
      <vt:variant>
        <vt:lpwstr>http://www.health.gov.au/nhmrc/</vt:lpwstr>
      </vt:variant>
      <vt:variant>
        <vt:lpwstr/>
      </vt:variant>
      <vt:variant>
        <vt:i4>8061042</vt:i4>
      </vt:variant>
      <vt:variant>
        <vt:i4>978</vt:i4>
      </vt:variant>
      <vt:variant>
        <vt:i4>0</vt:i4>
      </vt:variant>
      <vt:variant>
        <vt:i4>5</vt:i4>
      </vt:variant>
      <vt:variant>
        <vt:lpwstr>http://www.research.va.gov/default.cfm</vt:lpwstr>
      </vt:variant>
      <vt:variant>
        <vt:lpwstr/>
      </vt:variant>
      <vt:variant>
        <vt:i4>3407914</vt:i4>
      </vt:variant>
      <vt:variant>
        <vt:i4>975</vt:i4>
      </vt:variant>
      <vt:variant>
        <vt:i4>0</vt:i4>
      </vt:variant>
      <vt:variant>
        <vt:i4>5</vt:i4>
      </vt:variant>
      <vt:variant>
        <vt:lpwstr>http://www.bcbs.com/blueresources/tec/</vt:lpwstr>
      </vt:variant>
      <vt:variant>
        <vt:lpwstr/>
      </vt:variant>
      <vt:variant>
        <vt:i4>3670127</vt:i4>
      </vt:variant>
      <vt:variant>
        <vt:i4>972</vt:i4>
      </vt:variant>
      <vt:variant>
        <vt:i4>0</vt:i4>
      </vt:variant>
      <vt:variant>
        <vt:i4>5</vt:i4>
      </vt:variant>
      <vt:variant>
        <vt:lpwstr>http://fas.org/ota</vt:lpwstr>
      </vt:variant>
      <vt:variant>
        <vt:lpwstr/>
      </vt:variant>
      <vt:variant>
        <vt:i4>3145739</vt:i4>
      </vt:variant>
      <vt:variant>
        <vt:i4>969</vt:i4>
      </vt:variant>
      <vt:variant>
        <vt:i4>0</vt:i4>
      </vt:variant>
      <vt:variant>
        <vt:i4>5</vt:i4>
      </vt:variant>
      <vt:variant>
        <vt:lpwstr>http://egov.oregon.gov/DAS/OHPPR/HRC/about_us.shtml</vt:lpwstr>
      </vt:variant>
      <vt:variant>
        <vt:lpwstr/>
      </vt:variant>
      <vt:variant>
        <vt:i4>4718668</vt:i4>
      </vt:variant>
      <vt:variant>
        <vt:i4>966</vt:i4>
      </vt:variant>
      <vt:variant>
        <vt:i4>0</vt:i4>
      </vt:variant>
      <vt:variant>
        <vt:i4>5</vt:i4>
      </vt:variant>
      <vt:variant>
        <vt:lpwstr>http://www.nlm.nih.gov/hsrph.html</vt:lpwstr>
      </vt:variant>
      <vt:variant>
        <vt:lpwstr/>
      </vt:variant>
      <vt:variant>
        <vt:i4>327681</vt:i4>
      </vt:variant>
      <vt:variant>
        <vt:i4>963</vt:i4>
      </vt:variant>
      <vt:variant>
        <vt:i4>0</vt:i4>
      </vt:variant>
      <vt:variant>
        <vt:i4>5</vt:i4>
      </vt:variant>
      <vt:variant>
        <vt:lpwstr>http://www.health.state.mn.us/htac/index.htm</vt:lpwstr>
      </vt:variant>
      <vt:variant>
        <vt:lpwstr/>
      </vt:variant>
      <vt:variant>
        <vt:i4>4325458</vt:i4>
      </vt:variant>
      <vt:variant>
        <vt:i4>960</vt:i4>
      </vt:variant>
      <vt:variant>
        <vt:i4>0</vt:i4>
      </vt:variant>
      <vt:variant>
        <vt:i4>5</vt:i4>
      </vt:variant>
      <vt:variant>
        <vt:lpwstr>http://www.icsi.org/</vt:lpwstr>
      </vt:variant>
      <vt:variant>
        <vt:lpwstr/>
      </vt:variant>
      <vt:variant>
        <vt:i4>7929980</vt:i4>
      </vt:variant>
      <vt:variant>
        <vt:i4>957</vt:i4>
      </vt:variant>
      <vt:variant>
        <vt:i4>0</vt:i4>
      </vt:variant>
      <vt:variant>
        <vt:i4>5</vt:i4>
      </vt:variant>
      <vt:variant>
        <vt:lpwstr>http://www.icer-review.org/</vt:lpwstr>
      </vt:variant>
      <vt:variant>
        <vt:lpwstr/>
      </vt:variant>
      <vt:variant>
        <vt:i4>1900612</vt:i4>
      </vt:variant>
      <vt:variant>
        <vt:i4>954</vt:i4>
      </vt:variant>
      <vt:variant>
        <vt:i4>0</vt:i4>
      </vt:variant>
      <vt:variant>
        <vt:i4>5</vt:i4>
      </vt:variant>
      <vt:variant>
        <vt:lpwstr>http://www.hsph.harvard.edu/</vt:lpwstr>
      </vt:variant>
      <vt:variant>
        <vt:lpwstr/>
      </vt:variant>
      <vt:variant>
        <vt:i4>5636184</vt:i4>
      </vt:variant>
      <vt:variant>
        <vt:i4>951</vt:i4>
      </vt:variant>
      <vt:variant>
        <vt:i4>0</vt:i4>
      </vt:variant>
      <vt:variant>
        <vt:i4>5</vt:i4>
      </vt:variant>
      <vt:variant>
        <vt:lpwstr>http://www.ahrq.gov/</vt:lpwstr>
      </vt:variant>
      <vt:variant>
        <vt:lpwstr/>
      </vt:variant>
      <vt:variant>
        <vt:i4>2752567</vt:i4>
      </vt:variant>
      <vt:variant>
        <vt:i4>948</vt:i4>
      </vt:variant>
      <vt:variant>
        <vt:i4>0</vt:i4>
      </vt:variant>
      <vt:variant>
        <vt:i4>5</vt:i4>
      </vt:variant>
      <vt:variant>
        <vt:lpwstr>http://www.york.ac.uk/inst/crd/</vt:lpwstr>
      </vt:variant>
      <vt:variant>
        <vt:lpwstr/>
      </vt:variant>
      <vt:variant>
        <vt:i4>2162812</vt:i4>
      </vt:variant>
      <vt:variant>
        <vt:i4>945</vt:i4>
      </vt:variant>
      <vt:variant>
        <vt:i4>0</vt:i4>
      </vt:variant>
      <vt:variant>
        <vt:i4>5</vt:i4>
      </vt:variant>
      <vt:variant>
        <vt:lpwstr>http://www.euroscan.bham.ac.uk/</vt:lpwstr>
      </vt:variant>
      <vt:variant>
        <vt:lpwstr/>
      </vt:variant>
      <vt:variant>
        <vt:i4>4128801</vt:i4>
      </vt:variant>
      <vt:variant>
        <vt:i4>942</vt:i4>
      </vt:variant>
      <vt:variant>
        <vt:i4>0</vt:i4>
      </vt:variant>
      <vt:variant>
        <vt:i4>5</vt:i4>
      </vt:variant>
      <vt:variant>
        <vt:lpwstr>http://www.nice.org.uk/</vt:lpwstr>
      </vt:variant>
      <vt:variant>
        <vt:lpwstr/>
      </vt:variant>
      <vt:variant>
        <vt:i4>4784205</vt:i4>
      </vt:variant>
      <vt:variant>
        <vt:i4>939</vt:i4>
      </vt:variant>
      <vt:variant>
        <vt:i4>0</vt:i4>
      </vt:variant>
      <vt:variant>
        <vt:i4>5</vt:i4>
      </vt:variant>
      <vt:variant>
        <vt:lpwstr>http://www.nhshealthquality.org/</vt:lpwstr>
      </vt:variant>
      <vt:variant>
        <vt:lpwstr/>
      </vt:variant>
      <vt:variant>
        <vt:i4>393244</vt:i4>
      </vt:variant>
      <vt:variant>
        <vt:i4>936</vt:i4>
      </vt:variant>
      <vt:variant>
        <vt:i4>0</vt:i4>
      </vt:variant>
      <vt:variant>
        <vt:i4>5</vt:i4>
      </vt:variant>
      <vt:variant>
        <vt:lpwstr>http://www.hta.ac.uk/</vt:lpwstr>
      </vt:variant>
      <vt:variant>
        <vt:lpwstr/>
      </vt:variant>
      <vt:variant>
        <vt:i4>1900556</vt:i4>
      </vt:variant>
      <vt:variant>
        <vt:i4>933</vt:i4>
      </vt:variant>
      <vt:variant>
        <vt:i4>0</vt:i4>
      </vt:variant>
      <vt:variant>
        <vt:i4>5</vt:i4>
      </vt:variant>
      <vt:variant>
        <vt:lpwstr>http://www.snhta.ch/</vt:lpwstr>
      </vt:variant>
      <vt:variant>
        <vt:lpwstr/>
      </vt:variant>
      <vt:variant>
        <vt:i4>2031644</vt:i4>
      </vt:variant>
      <vt:variant>
        <vt:i4>930</vt:i4>
      </vt:variant>
      <vt:variant>
        <vt:i4>0</vt:i4>
      </vt:variant>
      <vt:variant>
        <vt:i4>5</vt:i4>
      </vt:variant>
      <vt:variant>
        <vt:lpwstr>http://www.sbu.se/en/</vt:lpwstr>
      </vt:variant>
      <vt:variant>
        <vt:lpwstr/>
      </vt:variant>
      <vt:variant>
        <vt:i4>3407969</vt:i4>
      </vt:variant>
      <vt:variant>
        <vt:i4>927</vt:i4>
      </vt:variant>
      <vt:variant>
        <vt:i4>0</vt:i4>
      </vt:variant>
      <vt:variant>
        <vt:i4>5</vt:i4>
      </vt:variant>
      <vt:variant>
        <vt:lpwstr>http://www.cmt.liu.se/?l=en&amp;sc=true</vt:lpwstr>
      </vt:variant>
      <vt:variant>
        <vt:lpwstr/>
      </vt:variant>
      <vt:variant>
        <vt:i4>2293813</vt:i4>
      </vt:variant>
      <vt:variant>
        <vt:i4>924</vt:i4>
      </vt:variant>
      <vt:variant>
        <vt:i4>0</vt:i4>
      </vt:variant>
      <vt:variant>
        <vt:i4>5</vt:i4>
      </vt:variant>
      <vt:variant>
        <vt:lpwstr>http://www.gencat.cat/</vt:lpwstr>
      </vt:variant>
      <vt:variant>
        <vt:lpwstr/>
      </vt:variant>
      <vt:variant>
        <vt:i4>6619195</vt:i4>
      </vt:variant>
      <vt:variant>
        <vt:i4>921</vt:i4>
      </vt:variant>
      <vt:variant>
        <vt:i4>0</vt:i4>
      </vt:variant>
      <vt:variant>
        <vt:i4>5</vt:i4>
      </vt:variant>
      <vt:variant>
        <vt:lpwstr>http://www.juntadeandalucia.es/</vt:lpwstr>
      </vt:variant>
      <vt:variant>
        <vt:lpwstr/>
      </vt:variant>
      <vt:variant>
        <vt:i4>1376326</vt:i4>
      </vt:variant>
      <vt:variant>
        <vt:i4>918</vt:i4>
      </vt:variant>
      <vt:variant>
        <vt:i4>0</vt:i4>
      </vt:variant>
      <vt:variant>
        <vt:i4>5</vt:i4>
      </vt:variant>
      <vt:variant>
        <vt:lpwstr>http://www.isciii.es/</vt:lpwstr>
      </vt:variant>
      <vt:variant>
        <vt:lpwstr/>
      </vt:variant>
      <vt:variant>
        <vt:i4>1638412</vt:i4>
      </vt:variant>
      <vt:variant>
        <vt:i4>915</vt:i4>
      </vt:variant>
      <vt:variant>
        <vt:i4>0</vt:i4>
      </vt:variant>
      <vt:variant>
        <vt:i4>5</vt:i4>
      </vt:variant>
      <vt:variant>
        <vt:lpwstr>http://www.kunnskapssenteret.no/</vt:lpwstr>
      </vt:variant>
      <vt:variant>
        <vt:lpwstr/>
      </vt:variant>
      <vt:variant>
        <vt:i4>2752610</vt:i4>
      </vt:variant>
      <vt:variant>
        <vt:i4>912</vt:i4>
      </vt:variant>
      <vt:variant>
        <vt:i4>0</vt:i4>
      </vt:variant>
      <vt:variant>
        <vt:i4>5</vt:i4>
      </vt:variant>
      <vt:variant>
        <vt:lpwstr>http://nzhta.chmeds.ac.nz/</vt:lpwstr>
      </vt:variant>
      <vt:variant>
        <vt:lpwstr/>
      </vt:variant>
      <vt:variant>
        <vt:i4>7602226</vt:i4>
      </vt:variant>
      <vt:variant>
        <vt:i4>909</vt:i4>
      </vt:variant>
      <vt:variant>
        <vt:i4>0</vt:i4>
      </vt:variant>
      <vt:variant>
        <vt:i4>5</vt:i4>
      </vt:variant>
      <vt:variant>
        <vt:lpwstr>http://www.imta.nl/</vt:lpwstr>
      </vt:variant>
      <vt:variant>
        <vt:lpwstr/>
      </vt:variant>
      <vt:variant>
        <vt:i4>11</vt:i4>
      </vt:variant>
      <vt:variant>
        <vt:i4>906</vt:i4>
      </vt:variant>
      <vt:variant>
        <vt:i4>0</vt:i4>
      </vt:variant>
      <vt:variant>
        <vt:i4>5</vt:i4>
      </vt:variant>
      <vt:variant>
        <vt:lpwstr>http://www.gezondheidsraad.nl/en/</vt:lpwstr>
      </vt:variant>
      <vt:variant>
        <vt:lpwstr/>
      </vt:variant>
      <vt:variant>
        <vt:i4>1638403</vt:i4>
      </vt:variant>
      <vt:variant>
        <vt:i4>903</vt:i4>
      </vt:variant>
      <vt:variant>
        <vt:i4>0</vt:i4>
      </vt:variant>
      <vt:variant>
        <vt:i4>5</vt:i4>
      </vt:variant>
      <vt:variant>
        <vt:lpwstr>http://www.iqwig.de/</vt:lpwstr>
      </vt:variant>
      <vt:variant>
        <vt:lpwstr/>
      </vt:variant>
      <vt:variant>
        <vt:i4>1310812</vt:i4>
      </vt:variant>
      <vt:variant>
        <vt:i4>900</vt:i4>
      </vt:variant>
      <vt:variant>
        <vt:i4>0</vt:i4>
      </vt:variant>
      <vt:variant>
        <vt:i4>5</vt:i4>
      </vt:variant>
      <vt:variant>
        <vt:lpwstr>http://www.dimdi.de/static/en/index.html</vt:lpwstr>
      </vt:variant>
      <vt:variant>
        <vt:lpwstr/>
      </vt:variant>
      <vt:variant>
        <vt:i4>4390988</vt:i4>
      </vt:variant>
      <vt:variant>
        <vt:i4>897</vt:i4>
      </vt:variant>
      <vt:variant>
        <vt:i4>0</vt:i4>
      </vt:variant>
      <vt:variant>
        <vt:i4>5</vt:i4>
      </vt:variant>
      <vt:variant>
        <vt:lpwstr>http://www.has-sante.fr/portail/jcms/c_5443/english?cid=c_5443</vt:lpwstr>
      </vt:variant>
      <vt:variant>
        <vt:lpwstr/>
      </vt:variant>
      <vt:variant>
        <vt:i4>65539</vt:i4>
      </vt:variant>
      <vt:variant>
        <vt:i4>894</vt:i4>
      </vt:variant>
      <vt:variant>
        <vt:i4>0</vt:i4>
      </vt:variant>
      <vt:variant>
        <vt:i4>5</vt:i4>
      </vt:variant>
      <vt:variant>
        <vt:lpwstr>http://finohta.stakes.fi/EN/index.htm</vt:lpwstr>
      </vt:variant>
      <vt:variant>
        <vt:lpwstr/>
      </vt:variant>
      <vt:variant>
        <vt:i4>3342396</vt:i4>
      </vt:variant>
      <vt:variant>
        <vt:i4>891</vt:i4>
      </vt:variant>
      <vt:variant>
        <vt:i4>0</vt:i4>
      </vt:variant>
      <vt:variant>
        <vt:i4>5</vt:i4>
      </vt:variant>
      <vt:variant>
        <vt:lpwstr>http://dsi.dk/english/</vt:lpwstr>
      </vt:variant>
      <vt:variant>
        <vt:lpwstr/>
      </vt:variant>
      <vt:variant>
        <vt:i4>2293785</vt:i4>
      </vt:variant>
      <vt:variant>
        <vt:i4>888</vt:i4>
      </vt:variant>
      <vt:variant>
        <vt:i4>0</vt:i4>
      </vt:variant>
      <vt:variant>
        <vt:i4>5</vt:i4>
      </vt:variant>
      <vt:variant>
        <vt:lpwstr>http://www.sst.dk/english/dacehta.aspx?sc_lang=en</vt:lpwstr>
      </vt:variant>
      <vt:variant>
        <vt:lpwstr/>
      </vt:variant>
      <vt:variant>
        <vt:i4>1835015</vt:i4>
      </vt:variant>
      <vt:variant>
        <vt:i4>885</vt:i4>
      </vt:variant>
      <vt:variant>
        <vt:i4>0</vt:i4>
      </vt:variant>
      <vt:variant>
        <vt:i4>5</vt:i4>
      </vt:variant>
      <vt:variant>
        <vt:lpwstr>http://www.hqc.sk.ca/</vt:lpwstr>
      </vt:variant>
      <vt:variant>
        <vt:lpwstr/>
      </vt:variant>
      <vt:variant>
        <vt:i4>2818144</vt:i4>
      </vt:variant>
      <vt:variant>
        <vt:i4>882</vt:i4>
      </vt:variant>
      <vt:variant>
        <vt:i4>0</vt:i4>
      </vt:variant>
      <vt:variant>
        <vt:i4>5</vt:i4>
      </vt:variant>
      <vt:variant>
        <vt:lpwstr>http://www.ices.on.ca/</vt:lpwstr>
      </vt:variant>
      <vt:variant>
        <vt:lpwstr/>
      </vt:variant>
      <vt:variant>
        <vt:i4>1572949</vt:i4>
      </vt:variant>
      <vt:variant>
        <vt:i4>879</vt:i4>
      </vt:variant>
      <vt:variant>
        <vt:i4>0</vt:i4>
      </vt:variant>
      <vt:variant>
        <vt:i4>5</vt:i4>
      </vt:variant>
      <vt:variant>
        <vt:lpwstr>http://www.fhs.mcmaster.ca/hug/index.htm/</vt:lpwstr>
      </vt:variant>
      <vt:variant>
        <vt:lpwstr/>
      </vt:variant>
      <vt:variant>
        <vt:i4>1245259</vt:i4>
      </vt:variant>
      <vt:variant>
        <vt:i4>876</vt:i4>
      </vt:variant>
      <vt:variant>
        <vt:i4>0</vt:i4>
      </vt:variant>
      <vt:variant>
        <vt:i4>5</vt:i4>
      </vt:variant>
      <vt:variant>
        <vt:lpwstr>http://www.chspr.ubc.ca/</vt:lpwstr>
      </vt:variant>
      <vt:variant>
        <vt:lpwstr/>
      </vt:variant>
      <vt:variant>
        <vt:i4>4456468</vt:i4>
      </vt:variant>
      <vt:variant>
        <vt:i4>873</vt:i4>
      </vt:variant>
      <vt:variant>
        <vt:i4>0</vt:i4>
      </vt:variant>
      <vt:variant>
        <vt:i4>5</vt:i4>
      </vt:variant>
      <vt:variant>
        <vt:lpwstr>http://www.chepa.org/</vt:lpwstr>
      </vt:variant>
      <vt:variant>
        <vt:lpwstr/>
      </vt:variant>
      <vt:variant>
        <vt:i4>8323176</vt:i4>
      </vt:variant>
      <vt:variant>
        <vt:i4>870</vt:i4>
      </vt:variant>
      <vt:variant>
        <vt:i4>0</vt:i4>
      </vt:variant>
      <vt:variant>
        <vt:i4>5</vt:i4>
      </vt:variant>
      <vt:variant>
        <vt:lpwstr>http://www.mycabot.ca/</vt:lpwstr>
      </vt:variant>
      <vt:variant>
        <vt:lpwstr/>
      </vt:variant>
      <vt:variant>
        <vt:i4>262170</vt:i4>
      </vt:variant>
      <vt:variant>
        <vt:i4>867</vt:i4>
      </vt:variant>
      <vt:variant>
        <vt:i4>0</vt:i4>
      </vt:variant>
      <vt:variant>
        <vt:i4>5</vt:i4>
      </vt:variant>
      <vt:variant>
        <vt:lpwstr>http://www.cadth.ca/index.php/en/</vt:lpwstr>
      </vt:variant>
      <vt:variant>
        <vt:lpwstr/>
      </vt:variant>
      <vt:variant>
        <vt:i4>7012471</vt:i4>
      </vt:variant>
      <vt:variant>
        <vt:i4>864</vt:i4>
      </vt:variant>
      <vt:variant>
        <vt:i4>0</vt:i4>
      </vt:variant>
      <vt:variant>
        <vt:i4>5</vt:i4>
      </vt:variant>
      <vt:variant>
        <vt:lpwstr>http://www.ihe.ca/</vt:lpwstr>
      </vt:variant>
      <vt:variant>
        <vt:lpwstr/>
      </vt:variant>
      <vt:variant>
        <vt:i4>7340154</vt:i4>
      </vt:variant>
      <vt:variant>
        <vt:i4>861</vt:i4>
      </vt:variant>
      <vt:variant>
        <vt:i4>0</vt:i4>
      </vt:variant>
      <vt:variant>
        <vt:i4>5</vt:i4>
      </vt:variant>
      <vt:variant>
        <vt:lpwstr>http://www.ahfmr.ab.ca/</vt:lpwstr>
      </vt:variant>
      <vt:variant>
        <vt:lpwstr/>
      </vt:variant>
      <vt:variant>
        <vt:i4>1310746</vt:i4>
      </vt:variant>
      <vt:variant>
        <vt:i4>858</vt:i4>
      </vt:variant>
      <vt:variant>
        <vt:i4>0</vt:i4>
      </vt:variant>
      <vt:variant>
        <vt:i4>5</vt:i4>
      </vt:variant>
      <vt:variant>
        <vt:lpwstr>http://www.aetmis.gouv.qc.ca/site/home.phtml</vt:lpwstr>
      </vt:variant>
      <vt:variant>
        <vt:lpwstr/>
      </vt:variant>
      <vt:variant>
        <vt:i4>5373968</vt:i4>
      </vt:variant>
      <vt:variant>
        <vt:i4>855</vt:i4>
      </vt:variant>
      <vt:variant>
        <vt:i4>0</vt:i4>
      </vt:variant>
      <vt:variant>
        <vt:i4>5</vt:i4>
      </vt:variant>
      <vt:variant>
        <vt:lpwstr>http://www.oeaw.ac.at/ita</vt:lpwstr>
      </vt:variant>
      <vt:variant>
        <vt:lpwstr/>
      </vt:variant>
      <vt:variant>
        <vt:i4>5439556</vt:i4>
      </vt:variant>
      <vt:variant>
        <vt:i4>852</vt:i4>
      </vt:variant>
      <vt:variant>
        <vt:i4>0</vt:i4>
      </vt:variant>
      <vt:variant>
        <vt:i4>5</vt:i4>
      </vt:variant>
      <vt:variant>
        <vt:lpwstr>http://www.buseco.monash.edu.au/centres/che/</vt:lpwstr>
      </vt:variant>
      <vt:variant>
        <vt:lpwstr/>
      </vt:variant>
      <vt:variant>
        <vt:i4>4915204</vt:i4>
      </vt:variant>
      <vt:variant>
        <vt:i4>849</vt:i4>
      </vt:variant>
      <vt:variant>
        <vt:i4>0</vt:i4>
      </vt:variant>
      <vt:variant>
        <vt:i4>5</vt:i4>
      </vt:variant>
      <vt:variant>
        <vt:lpwstr>http://www.southernhealth.org.au/cce</vt:lpwstr>
      </vt:variant>
      <vt:variant>
        <vt:lpwstr/>
      </vt:variant>
      <vt:variant>
        <vt:i4>4653087</vt:i4>
      </vt:variant>
      <vt:variant>
        <vt:i4>846</vt:i4>
      </vt:variant>
      <vt:variant>
        <vt:i4>0</vt:i4>
      </vt:variant>
      <vt:variant>
        <vt:i4>5</vt:i4>
      </vt:variant>
      <vt:variant>
        <vt:lpwstr>http://www.surgeons.org/Content/NavigationMenu/Research/ASERNIPS/default.htm</vt:lpwstr>
      </vt:variant>
      <vt:variant>
        <vt:lpwstr/>
      </vt:variant>
      <vt:variant>
        <vt:i4>4390923</vt:i4>
      </vt:variant>
      <vt:variant>
        <vt:i4>836</vt:i4>
      </vt:variant>
      <vt:variant>
        <vt:i4>0</vt:i4>
      </vt:variant>
      <vt:variant>
        <vt:i4>5</vt:i4>
      </vt:variant>
      <vt:variant>
        <vt:lpwstr/>
      </vt:variant>
      <vt:variant>
        <vt:lpwstr>_ENREF_26</vt:lpwstr>
      </vt:variant>
      <vt:variant>
        <vt:i4>4390923</vt:i4>
      </vt:variant>
      <vt:variant>
        <vt:i4>824</vt:i4>
      </vt:variant>
      <vt:variant>
        <vt:i4>0</vt:i4>
      </vt:variant>
      <vt:variant>
        <vt:i4>5</vt:i4>
      </vt:variant>
      <vt:variant>
        <vt:lpwstr/>
      </vt:variant>
      <vt:variant>
        <vt:lpwstr>_ENREF_26</vt:lpwstr>
      </vt:variant>
      <vt:variant>
        <vt:i4>4390923</vt:i4>
      </vt:variant>
      <vt:variant>
        <vt:i4>815</vt:i4>
      </vt:variant>
      <vt:variant>
        <vt:i4>0</vt:i4>
      </vt:variant>
      <vt:variant>
        <vt:i4>5</vt:i4>
      </vt:variant>
      <vt:variant>
        <vt:lpwstr/>
      </vt:variant>
      <vt:variant>
        <vt:lpwstr>_ENREF_26</vt:lpwstr>
      </vt:variant>
      <vt:variant>
        <vt:i4>4390923</vt:i4>
      </vt:variant>
      <vt:variant>
        <vt:i4>806</vt:i4>
      </vt:variant>
      <vt:variant>
        <vt:i4>0</vt:i4>
      </vt:variant>
      <vt:variant>
        <vt:i4>5</vt:i4>
      </vt:variant>
      <vt:variant>
        <vt:lpwstr/>
      </vt:variant>
      <vt:variant>
        <vt:lpwstr>_ENREF_26</vt:lpwstr>
      </vt:variant>
      <vt:variant>
        <vt:i4>4390923</vt:i4>
      </vt:variant>
      <vt:variant>
        <vt:i4>800</vt:i4>
      </vt:variant>
      <vt:variant>
        <vt:i4>0</vt:i4>
      </vt:variant>
      <vt:variant>
        <vt:i4>5</vt:i4>
      </vt:variant>
      <vt:variant>
        <vt:lpwstr/>
      </vt:variant>
      <vt:variant>
        <vt:lpwstr>_ENREF_25</vt:lpwstr>
      </vt:variant>
      <vt:variant>
        <vt:i4>4390923</vt:i4>
      </vt:variant>
      <vt:variant>
        <vt:i4>794</vt:i4>
      </vt:variant>
      <vt:variant>
        <vt:i4>0</vt:i4>
      </vt:variant>
      <vt:variant>
        <vt:i4>5</vt:i4>
      </vt:variant>
      <vt:variant>
        <vt:lpwstr/>
      </vt:variant>
      <vt:variant>
        <vt:lpwstr>_ENREF_25</vt:lpwstr>
      </vt:variant>
      <vt:variant>
        <vt:i4>4194315</vt:i4>
      </vt:variant>
      <vt:variant>
        <vt:i4>788</vt:i4>
      </vt:variant>
      <vt:variant>
        <vt:i4>0</vt:i4>
      </vt:variant>
      <vt:variant>
        <vt:i4>5</vt:i4>
      </vt:variant>
      <vt:variant>
        <vt:lpwstr/>
      </vt:variant>
      <vt:variant>
        <vt:lpwstr>_ENREF_13</vt:lpwstr>
      </vt:variant>
      <vt:variant>
        <vt:i4>4390923</vt:i4>
      </vt:variant>
      <vt:variant>
        <vt:i4>782</vt:i4>
      </vt:variant>
      <vt:variant>
        <vt:i4>0</vt:i4>
      </vt:variant>
      <vt:variant>
        <vt:i4>5</vt:i4>
      </vt:variant>
      <vt:variant>
        <vt:lpwstr/>
      </vt:variant>
      <vt:variant>
        <vt:lpwstr>_ENREF_24</vt:lpwstr>
      </vt:variant>
      <vt:variant>
        <vt:i4>4390923</vt:i4>
      </vt:variant>
      <vt:variant>
        <vt:i4>770</vt:i4>
      </vt:variant>
      <vt:variant>
        <vt:i4>0</vt:i4>
      </vt:variant>
      <vt:variant>
        <vt:i4>5</vt:i4>
      </vt:variant>
      <vt:variant>
        <vt:lpwstr/>
      </vt:variant>
      <vt:variant>
        <vt:lpwstr>_ENREF_26</vt:lpwstr>
      </vt:variant>
      <vt:variant>
        <vt:i4>4325387</vt:i4>
      </vt:variant>
      <vt:variant>
        <vt:i4>749</vt:i4>
      </vt:variant>
      <vt:variant>
        <vt:i4>0</vt:i4>
      </vt:variant>
      <vt:variant>
        <vt:i4>5</vt:i4>
      </vt:variant>
      <vt:variant>
        <vt:lpwstr/>
      </vt:variant>
      <vt:variant>
        <vt:lpwstr>_ENREF_31</vt:lpwstr>
      </vt:variant>
      <vt:variant>
        <vt:i4>4390923</vt:i4>
      </vt:variant>
      <vt:variant>
        <vt:i4>743</vt:i4>
      </vt:variant>
      <vt:variant>
        <vt:i4>0</vt:i4>
      </vt:variant>
      <vt:variant>
        <vt:i4>5</vt:i4>
      </vt:variant>
      <vt:variant>
        <vt:lpwstr/>
      </vt:variant>
      <vt:variant>
        <vt:lpwstr>_ENREF_21</vt:lpwstr>
      </vt:variant>
      <vt:variant>
        <vt:i4>4390923</vt:i4>
      </vt:variant>
      <vt:variant>
        <vt:i4>737</vt:i4>
      </vt:variant>
      <vt:variant>
        <vt:i4>0</vt:i4>
      </vt:variant>
      <vt:variant>
        <vt:i4>5</vt:i4>
      </vt:variant>
      <vt:variant>
        <vt:lpwstr/>
      </vt:variant>
      <vt:variant>
        <vt:lpwstr>_ENREF_2</vt:lpwstr>
      </vt:variant>
      <vt:variant>
        <vt:i4>4194315</vt:i4>
      </vt:variant>
      <vt:variant>
        <vt:i4>734</vt:i4>
      </vt:variant>
      <vt:variant>
        <vt:i4>0</vt:i4>
      </vt:variant>
      <vt:variant>
        <vt:i4>5</vt:i4>
      </vt:variant>
      <vt:variant>
        <vt:lpwstr/>
      </vt:variant>
      <vt:variant>
        <vt:lpwstr>_ENREF_1</vt:lpwstr>
      </vt:variant>
      <vt:variant>
        <vt:i4>4194315</vt:i4>
      </vt:variant>
      <vt:variant>
        <vt:i4>728</vt:i4>
      </vt:variant>
      <vt:variant>
        <vt:i4>0</vt:i4>
      </vt:variant>
      <vt:variant>
        <vt:i4>5</vt:i4>
      </vt:variant>
      <vt:variant>
        <vt:lpwstr/>
      </vt:variant>
      <vt:variant>
        <vt:lpwstr>_ENREF_17</vt:lpwstr>
      </vt:variant>
      <vt:variant>
        <vt:i4>4390923</vt:i4>
      </vt:variant>
      <vt:variant>
        <vt:i4>710</vt:i4>
      </vt:variant>
      <vt:variant>
        <vt:i4>0</vt:i4>
      </vt:variant>
      <vt:variant>
        <vt:i4>5</vt:i4>
      </vt:variant>
      <vt:variant>
        <vt:lpwstr/>
      </vt:variant>
      <vt:variant>
        <vt:lpwstr>_ENREF_22</vt:lpwstr>
      </vt:variant>
      <vt:variant>
        <vt:i4>4325387</vt:i4>
      </vt:variant>
      <vt:variant>
        <vt:i4>677</vt:i4>
      </vt:variant>
      <vt:variant>
        <vt:i4>0</vt:i4>
      </vt:variant>
      <vt:variant>
        <vt:i4>5</vt:i4>
      </vt:variant>
      <vt:variant>
        <vt:lpwstr/>
      </vt:variant>
      <vt:variant>
        <vt:lpwstr>_ENREF_34</vt:lpwstr>
      </vt:variant>
      <vt:variant>
        <vt:i4>4325387</vt:i4>
      </vt:variant>
      <vt:variant>
        <vt:i4>674</vt:i4>
      </vt:variant>
      <vt:variant>
        <vt:i4>0</vt:i4>
      </vt:variant>
      <vt:variant>
        <vt:i4>5</vt:i4>
      </vt:variant>
      <vt:variant>
        <vt:lpwstr/>
      </vt:variant>
      <vt:variant>
        <vt:lpwstr>_ENREF_33</vt:lpwstr>
      </vt:variant>
      <vt:variant>
        <vt:i4>4325387</vt:i4>
      </vt:variant>
      <vt:variant>
        <vt:i4>671</vt:i4>
      </vt:variant>
      <vt:variant>
        <vt:i4>0</vt:i4>
      </vt:variant>
      <vt:variant>
        <vt:i4>5</vt:i4>
      </vt:variant>
      <vt:variant>
        <vt:lpwstr/>
      </vt:variant>
      <vt:variant>
        <vt:lpwstr>_ENREF_32</vt:lpwstr>
      </vt:variant>
      <vt:variant>
        <vt:i4>4784139</vt:i4>
      </vt:variant>
      <vt:variant>
        <vt:i4>668</vt:i4>
      </vt:variant>
      <vt:variant>
        <vt:i4>0</vt:i4>
      </vt:variant>
      <vt:variant>
        <vt:i4>5</vt:i4>
      </vt:variant>
      <vt:variant>
        <vt:lpwstr/>
      </vt:variant>
      <vt:variant>
        <vt:lpwstr>_ENREF_8</vt:lpwstr>
      </vt:variant>
      <vt:variant>
        <vt:i4>4390923</vt:i4>
      </vt:variant>
      <vt:variant>
        <vt:i4>660</vt:i4>
      </vt:variant>
      <vt:variant>
        <vt:i4>0</vt:i4>
      </vt:variant>
      <vt:variant>
        <vt:i4>5</vt:i4>
      </vt:variant>
      <vt:variant>
        <vt:lpwstr/>
      </vt:variant>
      <vt:variant>
        <vt:lpwstr>_ENREF_29</vt:lpwstr>
      </vt:variant>
      <vt:variant>
        <vt:i4>4718603</vt:i4>
      </vt:variant>
      <vt:variant>
        <vt:i4>657</vt:i4>
      </vt:variant>
      <vt:variant>
        <vt:i4>0</vt:i4>
      </vt:variant>
      <vt:variant>
        <vt:i4>5</vt:i4>
      </vt:variant>
      <vt:variant>
        <vt:lpwstr/>
      </vt:variant>
      <vt:variant>
        <vt:lpwstr>_ENREF_9</vt:lpwstr>
      </vt:variant>
      <vt:variant>
        <vt:i4>4784139</vt:i4>
      </vt:variant>
      <vt:variant>
        <vt:i4>654</vt:i4>
      </vt:variant>
      <vt:variant>
        <vt:i4>0</vt:i4>
      </vt:variant>
      <vt:variant>
        <vt:i4>5</vt:i4>
      </vt:variant>
      <vt:variant>
        <vt:lpwstr/>
      </vt:variant>
      <vt:variant>
        <vt:lpwstr>_ENREF_8</vt:lpwstr>
      </vt:variant>
      <vt:variant>
        <vt:i4>4390923</vt:i4>
      </vt:variant>
      <vt:variant>
        <vt:i4>646</vt:i4>
      </vt:variant>
      <vt:variant>
        <vt:i4>0</vt:i4>
      </vt:variant>
      <vt:variant>
        <vt:i4>5</vt:i4>
      </vt:variant>
      <vt:variant>
        <vt:lpwstr/>
      </vt:variant>
      <vt:variant>
        <vt:lpwstr>_ENREF_23</vt:lpwstr>
      </vt:variant>
      <vt:variant>
        <vt:i4>4718603</vt:i4>
      </vt:variant>
      <vt:variant>
        <vt:i4>643</vt:i4>
      </vt:variant>
      <vt:variant>
        <vt:i4>0</vt:i4>
      </vt:variant>
      <vt:variant>
        <vt:i4>5</vt:i4>
      </vt:variant>
      <vt:variant>
        <vt:lpwstr/>
      </vt:variant>
      <vt:variant>
        <vt:lpwstr>_ENREF_9</vt:lpwstr>
      </vt:variant>
      <vt:variant>
        <vt:i4>4521995</vt:i4>
      </vt:variant>
      <vt:variant>
        <vt:i4>640</vt:i4>
      </vt:variant>
      <vt:variant>
        <vt:i4>0</vt:i4>
      </vt:variant>
      <vt:variant>
        <vt:i4>5</vt:i4>
      </vt:variant>
      <vt:variant>
        <vt:lpwstr/>
      </vt:variant>
      <vt:variant>
        <vt:lpwstr>_ENREF_4</vt:lpwstr>
      </vt:variant>
      <vt:variant>
        <vt:i4>4194315</vt:i4>
      </vt:variant>
      <vt:variant>
        <vt:i4>632</vt:i4>
      </vt:variant>
      <vt:variant>
        <vt:i4>0</vt:i4>
      </vt:variant>
      <vt:variant>
        <vt:i4>5</vt:i4>
      </vt:variant>
      <vt:variant>
        <vt:lpwstr/>
      </vt:variant>
      <vt:variant>
        <vt:lpwstr>_ENREF_14</vt:lpwstr>
      </vt:variant>
      <vt:variant>
        <vt:i4>4194315</vt:i4>
      </vt:variant>
      <vt:variant>
        <vt:i4>626</vt:i4>
      </vt:variant>
      <vt:variant>
        <vt:i4>0</vt:i4>
      </vt:variant>
      <vt:variant>
        <vt:i4>5</vt:i4>
      </vt:variant>
      <vt:variant>
        <vt:lpwstr/>
      </vt:variant>
      <vt:variant>
        <vt:lpwstr>_ENREF_12</vt:lpwstr>
      </vt:variant>
      <vt:variant>
        <vt:i4>4194315</vt:i4>
      </vt:variant>
      <vt:variant>
        <vt:i4>620</vt:i4>
      </vt:variant>
      <vt:variant>
        <vt:i4>0</vt:i4>
      </vt:variant>
      <vt:variant>
        <vt:i4>5</vt:i4>
      </vt:variant>
      <vt:variant>
        <vt:lpwstr/>
      </vt:variant>
      <vt:variant>
        <vt:lpwstr>_ENREF_19</vt:lpwstr>
      </vt:variant>
      <vt:variant>
        <vt:i4>4194315</vt:i4>
      </vt:variant>
      <vt:variant>
        <vt:i4>614</vt:i4>
      </vt:variant>
      <vt:variant>
        <vt:i4>0</vt:i4>
      </vt:variant>
      <vt:variant>
        <vt:i4>5</vt:i4>
      </vt:variant>
      <vt:variant>
        <vt:lpwstr/>
      </vt:variant>
      <vt:variant>
        <vt:lpwstr>_ENREF_12</vt:lpwstr>
      </vt:variant>
      <vt:variant>
        <vt:i4>4194315</vt:i4>
      </vt:variant>
      <vt:variant>
        <vt:i4>608</vt:i4>
      </vt:variant>
      <vt:variant>
        <vt:i4>0</vt:i4>
      </vt:variant>
      <vt:variant>
        <vt:i4>5</vt:i4>
      </vt:variant>
      <vt:variant>
        <vt:lpwstr/>
      </vt:variant>
      <vt:variant>
        <vt:lpwstr>_ENREF_15</vt:lpwstr>
      </vt:variant>
      <vt:variant>
        <vt:i4>4390923</vt:i4>
      </vt:variant>
      <vt:variant>
        <vt:i4>602</vt:i4>
      </vt:variant>
      <vt:variant>
        <vt:i4>0</vt:i4>
      </vt:variant>
      <vt:variant>
        <vt:i4>5</vt:i4>
      </vt:variant>
      <vt:variant>
        <vt:lpwstr/>
      </vt:variant>
      <vt:variant>
        <vt:lpwstr>_ENREF_20</vt:lpwstr>
      </vt:variant>
      <vt:variant>
        <vt:i4>4194315</vt:i4>
      </vt:variant>
      <vt:variant>
        <vt:i4>599</vt:i4>
      </vt:variant>
      <vt:variant>
        <vt:i4>0</vt:i4>
      </vt:variant>
      <vt:variant>
        <vt:i4>5</vt:i4>
      </vt:variant>
      <vt:variant>
        <vt:lpwstr/>
      </vt:variant>
      <vt:variant>
        <vt:lpwstr>_ENREF_10</vt:lpwstr>
      </vt:variant>
      <vt:variant>
        <vt:i4>4587531</vt:i4>
      </vt:variant>
      <vt:variant>
        <vt:i4>596</vt:i4>
      </vt:variant>
      <vt:variant>
        <vt:i4>0</vt:i4>
      </vt:variant>
      <vt:variant>
        <vt:i4>5</vt:i4>
      </vt:variant>
      <vt:variant>
        <vt:lpwstr/>
      </vt:variant>
      <vt:variant>
        <vt:lpwstr>_ENREF_7</vt:lpwstr>
      </vt:variant>
      <vt:variant>
        <vt:i4>4194315</vt:i4>
      </vt:variant>
      <vt:variant>
        <vt:i4>588</vt:i4>
      </vt:variant>
      <vt:variant>
        <vt:i4>0</vt:i4>
      </vt:variant>
      <vt:variant>
        <vt:i4>5</vt:i4>
      </vt:variant>
      <vt:variant>
        <vt:lpwstr/>
      </vt:variant>
      <vt:variant>
        <vt:lpwstr>_ENREF_15</vt:lpwstr>
      </vt:variant>
      <vt:variant>
        <vt:i4>4194315</vt:i4>
      </vt:variant>
      <vt:variant>
        <vt:i4>582</vt:i4>
      </vt:variant>
      <vt:variant>
        <vt:i4>0</vt:i4>
      </vt:variant>
      <vt:variant>
        <vt:i4>5</vt:i4>
      </vt:variant>
      <vt:variant>
        <vt:lpwstr/>
      </vt:variant>
      <vt:variant>
        <vt:lpwstr>_ENREF_18</vt:lpwstr>
      </vt:variant>
      <vt:variant>
        <vt:i4>4718603</vt:i4>
      </vt:variant>
      <vt:variant>
        <vt:i4>576</vt:i4>
      </vt:variant>
      <vt:variant>
        <vt:i4>0</vt:i4>
      </vt:variant>
      <vt:variant>
        <vt:i4>5</vt:i4>
      </vt:variant>
      <vt:variant>
        <vt:lpwstr/>
      </vt:variant>
      <vt:variant>
        <vt:lpwstr>_ENREF_9</vt:lpwstr>
      </vt:variant>
      <vt:variant>
        <vt:i4>4390923</vt:i4>
      </vt:variant>
      <vt:variant>
        <vt:i4>570</vt:i4>
      </vt:variant>
      <vt:variant>
        <vt:i4>0</vt:i4>
      </vt:variant>
      <vt:variant>
        <vt:i4>5</vt:i4>
      </vt:variant>
      <vt:variant>
        <vt:lpwstr/>
      </vt:variant>
      <vt:variant>
        <vt:lpwstr>_ENREF_28</vt:lpwstr>
      </vt:variant>
      <vt:variant>
        <vt:i4>4390923</vt:i4>
      </vt:variant>
      <vt:variant>
        <vt:i4>562</vt:i4>
      </vt:variant>
      <vt:variant>
        <vt:i4>0</vt:i4>
      </vt:variant>
      <vt:variant>
        <vt:i4>5</vt:i4>
      </vt:variant>
      <vt:variant>
        <vt:lpwstr/>
      </vt:variant>
      <vt:variant>
        <vt:lpwstr>_ENREF_28</vt:lpwstr>
      </vt:variant>
      <vt:variant>
        <vt:i4>4194315</vt:i4>
      </vt:variant>
      <vt:variant>
        <vt:i4>559</vt:i4>
      </vt:variant>
      <vt:variant>
        <vt:i4>0</vt:i4>
      </vt:variant>
      <vt:variant>
        <vt:i4>5</vt:i4>
      </vt:variant>
      <vt:variant>
        <vt:lpwstr/>
      </vt:variant>
      <vt:variant>
        <vt:lpwstr>_ENREF_18</vt:lpwstr>
      </vt:variant>
      <vt:variant>
        <vt:i4>4390923</vt:i4>
      </vt:variant>
      <vt:variant>
        <vt:i4>551</vt:i4>
      </vt:variant>
      <vt:variant>
        <vt:i4>0</vt:i4>
      </vt:variant>
      <vt:variant>
        <vt:i4>5</vt:i4>
      </vt:variant>
      <vt:variant>
        <vt:lpwstr/>
      </vt:variant>
      <vt:variant>
        <vt:lpwstr>_ENREF_27</vt:lpwstr>
      </vt:variant>
      <vt:variant>
        <vt:i4>4325387</vt:i4>
      </vt:variant>
      <vt:variant>
        <vt:i4>543</vt:i4>
      </vt:variant>
      <vt:variant>
        <vt:i4>0</vt:i4>
      </vt:variant>
      <vt:variant>
        <vt:i4>5</vt:i4>
      </vt:variant>
      <vt:variant>
        <vt:lpwstr/>
      </vt:variant>
      <vt:variant>
        <vt:lpwstr>_ENREF_33</vt:lpwstr>
      </vt:variant>
      <vt:variant>
        <vt:i4>4194315</vt:i4>
      </vt:variant>
      <vt:variant>
        <vt:i4>540</vt:i4>
      </vt:variant>
      <vt:variant>
        <vt:i4>0</vt:i4>
      </vt:variant>
      <vt:variant>
        <vt:i4>5</vt:i4>
      </vt:variant>
      <vt:variant>
        <vt:lpwstr/>
      </vt:variant>
      <vt:variant>
        <vt:lpwstr>_ENREF_18</vt:lpwstr>
      </vt:variant>
      <vt:variant>
        <vt:i4>4325387</vt:i4>
      </vt:variant>
      <vt:variant>
        <vt:i4>532</vt:i4>
      </vt:variant>
      <vt:variant>
        <vt:i4>0</vt:i4>
      </vt:variant>
      <vt:variant>
        <vt:i4>5</vt:i4>
      </vt:variant>
      <vt:variant>
        <vt:lpwstr/>
      </vt:variant>
      <vt:variant>
        <vt:lpwstr>_ENREF_33</vt:lpwstr>
      </vt:variant>
      <vt:variant>
        <vt:i4>4653067</vt:i4>
      </vt:variant>
      <vt:variant>
        <vt:i4>529</vt:i4>
      </vt:variant>
      <vt:variant>
        <vt:i4>0</vt:i4>
      </vt:variant>
      <vt:variant>
        <vt:i4>5</vt:i4>
      </vt:variant>
      <vt:variant>
        <vt:lpwstr/>
      </vt:variant>
      <vt:variant>
        <vt:lpwstr>_ENREF_6</vt:lpwstr>
      </vt:variant>
      <vt:variant>
        <vt:i4>4325387</vt:i4>
      </vt:variant>
      <vt:variant>
        <vt:i4>521</vt:i4>
      </vt:variant>
      <vt:variant>
        <vt:i4>0</vt:i4>
      </vt:variant>
      <vt:variant>
        <vt:i4>5</vt:i4>
      </vt:variant>
      <vt:variant>
        <vt:lpwstr/>
      </vt:variant>
      <vt:variant>
        <vt:lpwstr>_ENREF_33</vt:lpwstr>
      </vt:variant>
      <vt:variant>
        <vt:i4>4194315</vt:i4>
      </vt:variant>
      <vt:variant>
        <vt:i4>513</vt:i4>
      </vt:variant>
      <vt:variant>
        <vt:i4>0</vt:i4>
      </vt:variant>
      <vt:variant>
        <vt:i4>5</vt:i4>
      </vt:variant>
      <vt:variant>
        <vt:lpwstr/>
      </vt:variant>
      <vt:variant>
        <vt:lpwstr>_ENREF_12</vt:lpwstr>
      </vt:variant>
      <vt:variant>
        <vt:i4>4194315</vt:i4>
      </vt:variant>
      <vt:variant>
        <vt:i4>507</vt:i4>
      </vt:variant>
      <vt:variant>
        <vt:i4>0</vt:i4>
      </vt:variant>
      <vt:variant>
        <vt:i4>5</vt:i4>
      </vt:variant>
      <vt:variant>
        <vt:lpwstr/>
      </vt:variant>
      <vt:variant>
        <vt:lpwstr>_ENREF_12</vt:lpwstr>
      </vt:variant>
      <vt:variant>
        <vt:i4>4718603</vt:i4>
      </vt:variant>
      <vt:variant>
        <vt:i4>504</vt:i4>
      </vt:variant>
      <vt:variant>
        <vt:i4>0</vt:i4>
      </vt:variant>
      <vt:variant>
        <vt:i4>5</vt:i4>
      </vt:variant>
      <vt:variant>
        <vt:lpwstr/>
      </vt:variant>
      <vt:variant>
        <vt:lpwstr>_ENREF_9</vt:lpwstr>
      </vt:variant>
      <vt:variant>
        <vt:i4>4456459</vt:i4>
      </vt:variant>
      <vt:variant>
        <vt:i4>496</vt:i4>
      </vt:variant>
      <vt:variant>
        <vt:i4>0</vt:i4>
      </vt:variant>
      <vt:variant>
        <vt:i4>5</vt:i4>
      </vt:variant>
      <vt:variant>
        <vt:lpwstr/>
      </vt:variant>
      <vt:variant>
        <vt:lpwstr>_ENREF_5</vt:lpwstr>
      </vt:variant>
      <vt:variant>
        <vt:i4>4194315</vt:i4>
      </vt:variant>
      <vt:variant>
        <vt:i4>488</vt:i4>
      </vt:variant>
      <vt:variant>
        <vt:i4>0</vt:i4>
      </vt:variant>
      <vt:variant>
        <vt:i4>5</vt:i4>
      </vt:variant>
      <vt:variant>
        <vt:lpwstr/>
      </vt:variant>
      <vt:variant>
        <vt:lpwstr>_ENREF_10</vt:lpwstr>
      </vt:variant>
      <vt:variant>
        <vt:i4>4587531</vt:i4>
      </vt:variant>
      <vt:variant>
        <vt:i4>485</vt:i4>
      </vt:variant>
      <vt:variant>
        <vt:i4>0</vt:i4>
      </vt:variant>
      <vt:variant>
        <vt:i4>5</vt:i4>
      </vt:variant>
      <vt:variant>
        <vt:lpwstr/>
      </vt:variant>
      <vt:variant>
        <vt:lpwstr>_ENREF_7</vt:lpwstr>
      </vt:variant>
      <vt:variant>
        <vt:i4>4194315</vt:i4>
      </vt:variant>
      <vt:variant>
        <vt:i4>477</vt:i4>
      </vt:variant>
      <vt:variant>
        <vt:i4>0</vt:i4>
      </vt:variant>
      <vt:variant>
        <vt:i4>5</vt:i4>
      </vt:variant>
      <vt:variant>
        <vt:lpwstr/>
      </vt:variant>
      <vt:variant>
        <vt:lpwstr>_ENREF_10</vt:lpwstr>
      </vt:variant>
      <vt:variant>
        <vt:i4>4587531</vt:i4>
      </vt:variant>
      <vt:variant>
        <vt:i4>471</vt:i4>
      </vt:variant>
      <vt:variant>
        <vt:i4>0</vt:i4>
      </vt:variant>
      <vt:variant>
        <vt:i4>5</vt:i4>
      </vt:variant>
      <vt:variant>
        <vt:lpwstr/>
      </vt:variant>
      <vt:variant>
        <vt:lpwstr>_ENREF_7</vt:lpwstr>
      </vt:variant>
      <vt:variant>
        <vt:i4>4194315</vt:i4>
      </vt:variant>
      <vt:variant>
        <vt:i4>465</vt:i4>
      </vt:variant>
      <vt:variant>
        <vt:i4>0</vt:i4>
      </vt:variant>
      <vt:variant>
        <vt:i4>5</vt:i4>
      </vt:variant>
      <vt:variant>
        <vt:lpwstr/>
      </vt:variant>
      <vt:variant>
        <vt:lpwstr>_ENREF_10</vt:lpwstr>
      </vt:variant>
      <vt:variant>
        <vt:i4>4587531</vt:i4>
      </vt:variant>
      <vt:variant>
        <vt:i4>462</vt:i4>
      </vt:variant>
      <vt:variant>
        <vt:i4>0</vt:i4>
      </vt:variant>
      <vt:variant>
        <vt:i4>5</vt:i4>
      </vt:variant>
      <vt:variant>
        <vt:lpwstr/>
      </vt:variant>
      <vt:variant>
        <vt:lpwstr>_ENREF_7</vt:lpwstr>
      </vt:variant>
      <vt:variant>
        <vt:i4>4325387</vt:i4>
      </vt:variant>
      <vt:variant>
        <vt:i4>454</vt:i4>
      </vt:variant>
      <vt:variant>
        <vt:i4>0</vt:i4>
      </vt:variant>
      <vt:variant>
        <vt:i4>5</vt:i4>
      </vt:variant>
      <vt:variant>
        <vt:lpwstr/>
      </vt:variant>
      <vt:variant>
        <vt:lpwstr>_ENREF_30</vt:lpwstr>
      </vt:variant>
      <vt:variant>
        <vt:i4>4194315</vt:i4>
      </vt:variant>
      <vt:variant>
        <vt:i4>446</vt:i4>
      </vt:variant>
      <vt:variant>
        <vt:i4>0</vt:i4>
      </vt:variant>
      <vt:variant>
        <vt:i4>5</vt:i4>
      </vt:variant>
      <vt:variant>
        <vt:lpwstr/>
      </vt:variant>
      <vt:variant>
        <vt:lpwstr>_ENREF_16</vt:lpwstr>
      </vt:variant>
      <vt:variant>
        <vt:i4>4194315</vt:i4>
      </vt:variant>
      <vt:variant>
        <vt:i4>443</vt:i4>
      </vt:variant>
      <vt:variant>
        <vt:i4>0</vt:i4>
      </vt:variant>
      <vt:variant>
        <vt:i4>5</vt:i4>
      </vt:variant>
      <vt:variant>
        <vt:lpwstr/>
      </vt:variant>
      <vt:variant>
        <vt:lpwstr>_ENREF_10</vt:lpwstr>
      </vt:variant>
      <vt:variant>
        <vt:i4>4587531</vt:i4>
      </vt:variant>
      <vt:variant>
        <vt:i4>435</vt:i4>
      </vt:variant>
      <vt:variant>
        <vt:i4>0</vt:i4>
      </vt:variant>
      <vt:variant>
        <vt:i4>5</vt:i4>
      </vt:variant>
      <vt:variant>
        <vt:lpwstr/>
      </vt:variant>
      <vt:variant>
        <vt:lpwstr>_ENREF_7</vt:lpwstr>
      </vt:variant>
      <vt:variant>
        <vt:i4>6684772</vt:i4>
      </vt:variant>
      <vt:variant>
        <vt:i4>430</vt:i4>
      </vt:variant>
      <vt:variant>
        <vt:i4>0</vt:i4>
      </vt:variant>
      <vt:variant>
        <vt:i4>5</vt:i4>
      </vt:variant>
      <vt:variant>
        <vt:lpwstr>http://www.gesa.org.au/consumer.asp?cid=7&amp;id=79</vt:lpwstr>
      </vt:variant>
      <vt:variant>
        <vt:lpwstr/>
      </vt:variant>
      <vt:variant>
        <vt:i4>5767182</vt:i4>
      </vt:variant>
      <vt:variant>
        <vt:i4>427</vt:i4>
      </vt:variant>
      <vt:variant>
        <vt:i4>0</vt:i4>
      </vt:variant>
      <vt:variant>
        <vt:i4>5</vt:i4>
      </vt:variant>
      <vt:variant>
        <vt:lpwstr>http://www.aboutgerd.org/</vt:lpwstr>
      </vt:variant>
      <vt:variant>
        <vt:lpwstr/>
      </vt:variant>
      <vt:variant>
        <vt:i4>4194315</vt:i4>
      </vt:variant>
      <vt:variant>
        <vt:i4>423</vt:i4>
      </vt:variant>
      <vt:variant>
        <vt:i4>0</vt:i4>
      </vt:variant>
      <vt:variant>
        <vt:i4>5</vt:i4>
      </vt:variant>
      <vt:variant>
        <vt:lpwstr/>
      </vt:variant>
      <vt:variant>
        <vt:lpwstr>_ENREF_11</vt:lpwstr>
      </vt:variant>
      <vt:variant>
        <vt:i4>4194315</vt:i4>
      </vt:variant>
      <vt:variant>
        <vt:i4>420</vt:i4>
      </vt:variant>
      <vt:variant>
        <vt:i4>0</vt:i4>
      </vt:variant>
      <vt:variant>
        <vt:i4>5</vt:i4>
      </vt:variant>
      <vt:variant>
        <vt:lpwstr/>
      </vt:variant>
      <vt:variant>
        <vt:lpwstr>_ENREF_10</vt:lpwstr>
      </vt:variant>
      <vt:variant>
        <vt:i4>4194315</vt:i4>
      </vt:variant>
      <vt:variant>
        <vt:i4>412</vt:i4>
      </vt:variant>
      <vt:variant>
        <vt:i4>0</vt:i4>
      </vt:variant>
      <vt:variant>
        <vt:i4>5</vt:i4>
      </vt:variant>
      <vt:variant>
        <vt:lpwstr/>
      </vt:variant>
      <vt:variant>
        <vt:lpwstr>_ENREF_12</vt:lpwstr>
      </vt:variant>
      <vt:variant>
        <vt:i4>4325387</vt:i4>
      </vt:variant>
      <vt:variant>
        <vt:i4>409</vt:i4>
      </vt:variant>
      <vt:variant>
        <vt:i4>0</vt:i4>
      </vt:variant>
      <vt:variant>
        <vt:i4>5</vt:i4>
      </vt:variant>
      <vt:variant>
        <vt:lpwstr/>
      </vt:variant>
      <vt:variant>
        <vt:lpwstr>_ENREF_3</vt:lpwstr>
      </vt:variant>
      <vt:variant>
        <vt:i4>4587531</vt:i4>
      </vt:variant>
      <vt:variant>
        <vt:i4>401</vt:i4>
      </vt:variant>
      <vt:variant>
        <vt:i4>0</vt:i4>
      </vt:variant>
      <vt:variant>
        <vt:i4>5</vt:i4>
      </vt:variant>
      <vt:variant>
        <vt:lpwstr/>
      </vt:variant>
      <vt:variant>
        <vt:lpwstr>_ENREF_7</vt:lpwstr>
      </vt:variant>
      <vt:variant>
        <vt:i4>1835059</vt:i4>
      </vt:variant>
      <vt:variant>
        <vt:i4>392</vt:i4>
      </vt:variant>
      <vt:variant>
        <vt:i4>0</vt:i4>
      </vt:variant>
      <vt:variant>
        <vt:i4>5</vt:i4>
      </vt:variant>
      <vt:variant>
        <vt:lpwstr/>
      </vt:variant>
      <vt:variant>
        <vt:lpwstr>_Toc356463093</vt:lpwstr>
      </vt:variant>
      <vt:variant>
        <vt:i4>1835059</vt:i4>
      </vt:variant>
      <vt:variant>
        <vt:i4>386</vt:i4>
      </vt:variant>
      <vt:variant>
        <vt:i4>0</vt:i4>
      </vt:variant>
      <vt:variant>
        <vt:i4>5</vt:i4>
      </vt:variant>
      <vt:variant>
        <vt:lpwstr/>
      </vt:variant>
      <vt:variant>
        <vt:lpwstr>_Toc356463092</vt:lpwstr>
      </vt:variant>
      <vt:variant>
        <vt:i4>1310768</vt:i4>
      </vt:variant>
      <vt:variant>
        <vt:i4>377</vt:i4>
      </vt:variant>
      <vt:variant>
        <vt:i4>0</vt:i4>
      </vt:variant>
      <vt:variant>
        <vt:i4>5</vt:i4>
      </vt:variant>
      <vt:variant>
        <vt:lpwstr/>
      </vt:variant>
      <vt:variant>
        <vt:lpwstr>_Toc257626766</vt:lpwstr>
      </vt:variant>
      <vt:variant>
        <vt:i4>1310768</vt:i4>
      </vt:variant>
      <vt:variant>
        <vt:i4>371</vt:i4>
      </vt:variant>
      <vt:variant>
        <vt:i4>0</vt:i4>
      </vt:variant>
      <vt:variant>
        <vt:i4>5</vt:i4>
      </vt:variant>
      <vt:variant>
        <vt:lpwstr/>
      </vt:variant>
      <vt:variant>
        <vt:lpwstr>_Toc257626765</vt:lpwstr>
      </vt:variant>
      <vt:variant>
        <vt:i4>1310768</vt:i4>
      </vt:variant>
      <vt:variant>
        <vt:i4>362</vt:i4>
      </vt:variant>
      <vt:variant>
        <vt:i4>0</vt:i4>
      </vt:variant>
      <vt:variant>
        <vt:i4>5</vt:i4>
      </vt:variant>
      <vt:variant>
        <vt:lpwstr/>
      </vt:variant>
      <vt:variant>
        <vt:lpwstr>_Toc257626764</vt:lpwstr>
      </vt:variant>
      <vt:variant>
        <vt:i4>1310768</vt:i4>
      </vt:variant>
      <vt:variant>
        <vt:i4>356</vt:i4>
      </vt:variant>
      <vt:variant>
        <vt:i4>0</vt:i4>
      </vt:variant>
      <vt:variant>
        <vt:i4>5</vt:i4>
      </vt:variant>
      <vt:variant>
        <vt:lpwstr/>
      </vt:variant>
      <vt:variant>
        <vt:lpwstr>_Toc257626763</vt:lpwstr>
      </vt:variant>
      <vt:variant>
        <vt:i4>1310768</vt:i4>
      </vt:variant>
      <vt:variant>
        <vt:i4>350</vt:i4>
      </vt:variant>
      <vt:variant>
        <vt:i4>0</vt:i4>
      </vt:variant>
      <vt:variant>
        <vt:i4>5</vt:i4>
      </vt:variant>
      <vt:variant>
        <vt:lpwstr/>
      </vt:variant>
      <vt:variant>
        <vt:lpwstr>_Toc257626762</vt:lpwstr>
      </vt:variant>
      <vt:variant>
        <vt:i4>1310768</vt:i4>
      </vt:variant>
      <vt:variant>
        <vt:i4>344</vt:i4>
      </vt:variant>
      <vt:variant>
        <vt:i4>0</vt:i4>
      </vt:variant>
      <vt:variant>
        <vt:i4>5</vt:i4>
      </vt:variant>
      <vt:variant>
        <vt:lpwstr/>
      </vt:variant>
      <vt:variant>
        <vt:lpwstr>_Toc257626761</vt:lpwstr>
      </vt:variant>
      <vt:variant>
        <vt:i4>1310768</vt:i4>
      </vt:variant>
      <vt:variant>
        <vt:i4>338</vt:i4>
      </vt:variant>
      <vt:variant>
        <vt:i4>0</vt:i4>
      </vt:variant>
      <vt:variant>
        <vt:i4>5</vt:i4>
      </vt:variant>
      <vt:variant>
        <vt:lpwstr/>
      </vt:variant>
      <vt:variant>
        <vt:lpwstr>_Toc257626760</vt:lpwstr>
      </vt:variant>
      <vt:variant>
        <vt:i4>1507376</vt:i4>
      </vt:variant>
      <vt:variant>
        <vt:i4>332</vt:i4>
      </vt:variant>
      <vt:variant>
        <vt:i4>0</vt:i4>
      </vt:variant>
      <vt:variant>
        <vt:i4>5</vt:i4>
      </vt:variant>
      <vt:variant>
        <vt:lpwstr/>
      </vt:variant>
      <vt:variant>
        <vt:lpwstr>_Toc257626759</vt:lpwstr>
      </vt:variant>
      <vt:variant>
        <vt:i4>1048627</vt:i4>
      </vt:variant>
      <vt:variant>
        <vt:i4>323</vt:i4>
      </vt:variant>
      <vt:variant>
        <vt:i4>0</vt:i4>
      </vt:variant>
      <vt:variant>
        <vt:i4>5</vt:i4>
      </vt:variant>
      <vt:variant>
        <vt:lpwstr/>
      </vt:variant>
      <vt:variant>
        <vt:lpwstr>_Toc356463050</vt:lpwstr>
      </vt:variant>
      <vt:variant>
        <vt:i4>1114163</vt:i4>
      </vt:variant>
      <vt:variant>
        <vt:i4>317</vt:i4>
      </vt:variant>
      <vt:variant>
        <vt:i4>0</vt:i4>
      </vt:variant>
      <vt:variant>
        <vt:i4>5</vt:i4>
      </vt:variant>
      <vt:variant>
        <vt:lpwstr/>
      </vt:variant>
      <vt:variant>
        <vt:lpwstr>_Toc356463049</vt:lpwstr>
      </vt:variant>
      <vt:variant>
        <vt:i4>1114163</vt:i4>
      </vt:variant>
      <vt:variant>
        <vt:i4>311</vt:i4>
      </vt:variant>
      <vt:variant>
        <vt:i4>0</vt:i4>
      </vt:variant>
      <vt:variant>
        <vt:i4>5</vt:i4>
      </vt:variant>
      <vt:variant>
        <vt:lpwstr/>
      </vt:variant>
      <vt:variant>
        <vt:lpwstr>_Toc356463048</vt:lpwstr>
      </vt:variant>
      <vt:variant>
        <vt:i4>1114163</vt:i4>
      </vt:variant>
      <vt:variant>
        <vt:i4>305</vt:i4>
      </vt:variant>
      <vt:variant>
        <vt:i4>0</vt:i4>
      </vt:variant>
      <vt:variant>
        <vt:i4>5</vt:i4>
      </vt:variant>
      <vt:variant>
        <vt:lpwstr/>
      </vt:variant>
      <vt:variant>
        <vt:lpwstr>_Toc356463047</vt:lpwstr>
      </vt:variant>
      <vt:variant>
        <vt:i4>1114163</vt:i4>
      </vt:variant>
      <vt:variant>
        <vt:i4>299</vt:i4>
      </vt:variant>
      <vt:variant>
        <vt:i4>0</vt:i4>
      </vt:variant>
      <vt:variant>
        <vt:i4>5</vt:i4>
      </vt:variant>
      <vt:variant>
        <vt:lpwstr/>
      </vt:variant>
      <vt:variant>
        <vt:lpwstr>_Toc356463046</vt:lpwstr>
      </vt:variant>
      <vt:variant>
        <vt:i4>1114163</vt:i4>
      </vt:variant>
      <vt:variant>
        <vt:i4>293</vt:i4>
      </vt:variant>
      <vt:variant>
        <vt:i4>0</vt:i4>
      </vt:variant>
      <vt:variant>
        <vt:i4>5</vt:i4>
      </vt:variant>
      <vt:variant>
        <vt:lpwstr/>
      </vt:variant>
      <vt:variant>
        <vt:lpwstr>_Toc356463045</vt:lpwstr>
      </vt:variant>
      <vt:variant>
        <vt:i4>1114163</vt:i4>
      </vt:variant>
      <vt:variant>
        <vt:i4>287</vt:i4>
      </vt:variant>
      <vt:variant>
        <vt:i4>0</vt:i4>
      </vt:variant>
      <vt:variant>
        <vt:i4>5</vt:i4>
      </vt:variant>
      <vt:variant>
        <vt:lpwstr/>
      </vt:variant>
      <vt:variant>
        <vt:lpwstr>_Toc356463044</vt:lpwstr>
      </vt:variant>
      <vt:variant>
        <vt:i4>1114163</vt:i4>
      </vt:variant>
      <vt:variant>
        <vt:i4>281</vt:i4>
      </vt:variant>
      <vt:variant>
        <vt:i4>0</vt:i4>
      </vt:variant>
      <vt:variant>
        <vt:i4>5</vt:i4>
      </vt:variant>
      <vt:variant>
        <vt:lpwstr/>
      </vt:variant>
      <vt:variant>
        <vt:lpwstr>_Toc356463043</vt:lpwstr>
      </vt:variant>
      <vt:variant>
        <vt:i4>1114163</vt:i4>
      </vt:variant>
      <vt:variant>
        <vt:i4>275</vt:i4>
      </vt:variant>
      <vt:variant>
        <vt:i4>0</vt:i4>
      </vt:variant>
      <vt:variant>
        <vt:i4>5</vt:i4>
      </vt:variant>
      <vt:variant>
        <vt:lpwstr/>
      </vt:variant>
      <vt:variant>
        <vt:lpwstr>_Toc356463042</vt:lpwstr>
      </vt:variant>
      <vt:variant>
        <vt:i4>1114163</vt:i4>
      </vt:variant>
      <vt:variant>
        <vt:i4>269</vt:i4>
      </vt:variant>
      <vt:variant>
        <vt:i4>0</vt:i4>
      </vt:variant>
      <vt:variant>
        <vt:i4>5</vt:i4>
      </vt:variant>
      <vt:variant>
        <vt:lpwstr/>
      </vt:variant>
      <vt:variant>
        <vt:lpwstr>_Toc356463041</vt:lpwstr>
      </vt:variant>
      <vt:variant>
        <vt:i4>1114163</vt:i4>
      </vt:variant>
      <vt:variant>
        <vt:i4>263</vt:i4>
      </vt:variant>
      <vt:variant>
        <vt:i4>0</vt:i4>
      </vt:variant>
      <vt:variant>
        <vt:i4>5</vt:i4>
      </vt:variant>
      <vt:variant>
        <vt:lpwstr/>
      </vt:variant>
      <vt:variant>
        <vt:lpwstr>_Toc356463040</vt:lpwstr>
      </vt:variant>
      <vt:variant>
        <vt:i4>1441843</vt:i4>
      </vt:variant>
      <vt:variant>
        <vt:i4>257</vt:i4>
      </vt:variant>
      <vt:variant>
        <vt:i4>0</vt:i4>
      </vt:variant>
      <vt:variant>
        <vt:i4>5</vt:i4>
      </vt:variant>
      <vt:variant>
        <vt:lpwstr/>
      </vt:variant>
      <vt:variant>
        <vt:lpwstr>_Toc356463039</vt:lpwstr>
      </vt:variant>
      <vt:variant>
        <vt:i4>1441843</vt:i4>
      </vt:variant>
      <vt:variant>
        <vt:i4>251</vt:i4>
      </vt:variant>
      <vt:variant>
        <vt:i4>0</vt:i4>
      </vt:variant>
      <vt:variant>
        <vt:i4>5</vt:i4>
      </vt:variant>
      <vt:variant>
        <vt:lpwstr/>
      </vt:variant>
      <vt:variant>
        <vt:lpwstr>_Toc356463038</vt:lpwstr>
      </vt:variant>
      <vt:variant>
        <vt:i4>1441843</vt:i4>
      </vt:variant>
      <vt:variant>
        <vt:i4>245</vt:i4>
      </vt:variant>
      <vt:variant>
        <vt:i4>0</vt:i4>
      </vt:variant>
      <vt:variant>
        <vt:i4>5</vt:i4>
      </vt:variant>
      <vt:variant>
        <vt:lpwstr/>
      </vt:variant>
      <vt:variant>
        <vt:lpwstr>_Toc356463037</vt:lpwstr>
      </vt:variant>
      <vt:variant>
        <vt:i4>1441843</vt:i4>
      </vt:variant>
      <vt:variant>
        <vt:i4>239</vt:i4>
      </vt:variant>
      <vt:variant>
        <vt:i4>0</vt:i4>
      </vt:variant>
      <vt:variant>
        <vt:i4>5</vt:i4>
      </vt:variant>
      <vt:variant>
        <vt:lpwstr/>
      </vt:variant>
      <vt:variant>
        <vt:lpwstr>_Toc356463036</vt:lpwstr>
      </vt:variant>
      <vt:variant>
        <vt:i4>1441843</vt:i4>
      </vt:variant>
      <vt:variant>
        <vt:i4>233</vt:i4>
      </vt:variant>
      <vt:variant>
        <vt:i4>0</vt:i4>
      </vt:variant>
      <vt:variant>
        <vt:i4>5</vt:i4>
      </vt:variant>
      <vt:variant>
        <vt:lpwstr/>
      </vt:variant>
      <vt:variant>
        <vt:lpwstr>_Toc356463035</vt:lpwstr>
      </vt:variant>
      <vt:variant>
        <vt:i4>1441843</vt:i4>
      </vt:variant>
      <vt:variant>
        <vt:i4>227</vt:i4>
      </vt:variant>
      <vt:variant>
        <vt:i4>0</vt:i4>
      </vt:variant>
      <vt:variant>
        <vt:i4>5</vt:i4>
      </vt:variant>
      <vt:variant>
        <vt:lpwstr/>
      </vt:variant>
      <vt:variant>
        <vt:lpwstr>_Toc356463034</vt:lpwstr>
      </vt:variant>
      <vt:variant>
        <vt:i4>1441843</vt:i4>
      </vt:variant>
      <vt:variant>
        <vt:i4>221</vt:i4>
      </vt:variant>
      <vt:variant>
        <vt:i4>0</vt:i4>
      </vt:variant>
      <vt:variant>
        <vt:i4>5</vt:i4>
      </vt:variant>
      <vt:variant>
        <vt:lpwstr/>
      </vt:variant>
      <vt:variant>
        <vt:lpwstr>_Toc356463033</vt:lpwstr>
      </vt:variant>
      <vt:variant>
        <vt:i4>1441843</vt:i4>
      </vt:variant>
      <vt:variant>
        <vt:i4>215</vt:i4>
      </vt:variant>
      <vt:variant>
        <vt:i4>0</vt:i4>
      </vt:variant>
      <vt:variant>
        <vt:i4>5</vt:i4>
      </vt:variant>
      <vt:variant>
        <vt:lpwstr/>
      </vt:variant>
      <vt:variant>
        <vt:lpwstr>_Toc356463032</vt:lpwstr>
      </vt:variant>
      <vt:variant>
        <vt:i4>1441843</vt:i4>
      </vt:variant>
      <vt:variant>
        <vt:i4>209</vt:i4>
      </vt:variant>
      <vt:variant>
        <vt:i4>0</vt:i4>
      </vt:variant>
      <vt:variant>
        <vt:i4>5</vt:i4>
      </vt:variant>
      <vt:variant>
        <vt:lpwstr/>
      </vt:variant>
      <vt:variant>
        <vt:lpwstr>_Toc356463031</vt:lpwstr>
      </vt:variant>
      <vt:variant>
        <vt:i4>1441843</vt:i4>
      </vt:variant>
      <vt:variant>
        <vt:i4>203</vt:i4>
      </vt:variant>
      <vt:variant>
        <vt:i4>0</vt:i4>
      </vt:variant>
      <vt:variant>
        <vt:i4>5</vt:i4>
      </vt:variant>
      <vt:variant>
        <vt:lpwstr/>
      </vt:variant>
      <vt:variant>
        <vt:lpwstr>_Toc356463030</vt:lpwstr>
      </vt:variant>
      <vt:variant>
        <vt:i4>1507379</vt:i4>
      </vt:variant>
      <vt:variant>
        <vt:i4>197</vt:i4>
      </vt:variant>
      <vt:variant>
        <vt:i4>0</vt:i4>
      </vt:variant>
      <vt:variant>
        <vt:i4>5</vt:i4>
      </vt:variant>
      <vt:variant>
        <vt:lpwstr/>
      </vt:variant>
      <vt:variant>
        <vt:lpwstr>_Toc356463029</vt:lpwstr>
      </vt:variant>
      <vt:variant>
        <vt:i4>1507379</vt:i4>
      </vt:variant>
      <vt:variant>
        <vt:i4>191</vt:i4>
      </vt:variant>
      <vt:variant>
        <vt:i4>0</vt:i4>
      </vt:variant>
      <vt:variant>
        <vt:i4>5</vt:i4>
      </vt:variant>
      <vt:variant>
        <vt:lpwstr/>
      </vt:variant>
      <vt:variant>
        <vt:lpwstr>_Toc356463028</vt:lpwstr>
      </vt:variant>
      <vt:variant>
        <vt:i4>1507379</vt:i4>
      </vt:variant>
      <vt:variant>
        <vt:i4>185</vt:i4>
      </vt:variant>
      <vt:variant>
        <vt:i4>0</vt:i4>
      </vt:variant>
      <vt:variant>
        <vt:i4>5</vt:i4>
      </vt:variant>
      <vt:variant>
        <vt:lpwstr/>
      </vt:variant>
      <vt:variant>
        <vt:lpwstr>_Toc356463027</vt:lpwstr>
      </vt:variant>
      <vt:variant>
        <vt:i4>1507379</vt:i4>
      </vt:variant>
      <vt:variant>
        <vt:i4>179</vt:i4>
      </vt:variant>
      <vt:variant>
        <vt:i4>0</vt:i4>
      </vt:variant>
      <vt:variant>
        <vt:i4>5</vt:i4>
      </vt:variant>
      <vt:variant>
        <vt:lpwstr/>
      </vt:variant>
      <vt:variant>
        <vt:lpwstr>_Toc356463026</vt:lpwstr>
      </vt:variant>
      <vt:variant>
        <vt:i4>1507379</vt:i4>
      </vt:variant>
      <vt:variant>
        <vt:i4>173</vt:i4>
      </vt:variant>
      <vt:variant>
        <vt:i4>0</vt:i4>
      </vt:variant>
      <vt:variant>
        <vt:i4>5</vt:i4>
      </vt:variant>
      <vt:variant>
        <vt:lpwstr/>
      </vt:variant>
      <vt:variant>
        <vt:lpwstr>_Toc356463025</vt:lpwstr>
      </vt:variant>
      <vt:variant>
        <vt:i4>1507379</vt:i4>
      </vt:variant>
      <vt:variant>
        <vt:i4>167</vt:i4>
      </vt:variant>
      <vt:variant>
        <vt:i4>0</vt:i4>
      </vt:variant>
      <vt:variant>
        <vt:i4>5</vt:i4>
      </vt:variant>
      <vt:variant>
        <vt:lpwstr/>
      </vt:variant>
      <vt:variant>
        <vt:lpwstr>_Toc356463024</vt:lpwstr>
      </vt:variant>
      <vt:variant>
        <vt:i4>1507379</vt:i4>
      </vt:variant>
      <vt:variant>
        <vt:i4>161</vt:i4>
      </vt:variant>
      <vt:variant>
        <vt:i4>0</vt:i4>
      </vt:variant>
      <vt:variant>
        <vt:i4>5</vt:i4>
      </vt:variant>
      <vt:variant>
        <vt:lpwstr/>
      </vt:variant>
      <vt:variant>
        <vt:lpwstr>_Toc356463023</vt:lpwstr>
      </vt:variant>
      <vt:variant>
        <vt:i4>1507379</vt:i4>
      </vt:variant>
      <vt:variant>
        <vt:i4>155</vt:i4>
      </vt:variant>
      <vt:variant>
        <vt:i4>0</vt:i4>
      </vt:variant>
      <vt:variant>
        <vt:i4>5</vt:i4>
      </vt:variant>
      <vt:variant>
        <vt:lpwstr/>
      </vt:variant>
      <vt:variant>
        <vt:lpwstr>_Toc356463022</vt:lpwstr>
      </vt:variant>
      <vt:variant>
        <vt:i4>1507379</vt:i4>
      </vt:variant>
      <vt:variant>
        <vt:i4>149</vt:i4>
      </vt:variant>
      <vt:variant>
        <vt:i4>0</vt:i4>
      </vt:variant>
      <vt:variant>
        <vt:i4>5</vt:i4>
      </vt:variant>
      <vt:variant>
        <vt:lpwstr/>
      </vt:variant>
      <vt:variant>
        <vt:lpwstr>_Toc356463021</vt:lpwstr>
      </vt:variant>
      <vt:variant>
        <vt:i4>1507379</vt:i4>
      </vt:variant>
      <vt:variant>
        <vt:i4>143</vt:i4>
      </vt:variant>
      <vt:variant>
        <vt:i4>0</vt:i4>
      </vt:variant>
      <vt:variant>
        <vt:i4>5</vt:i4>
      </vt:variant>
      <vt:variant>
        <vt:lpwstr/>
      </vt:variant>
      <vt:variant>
        <vt:lpwstr>_Toc356463020</vt:lpwstr>
      </vt:variant>
      <vt:variant>
        <vt:i4>1310771</vt:i4>
      </vt:variant>
      <vt:variant>
        <vt:i4>137</vt:i4>
      </vt:variant>
      <vt:variant>
        <vt:i4>0</vt:i4>
      </vt:variant>
      <vt:variant>
        <vt:i4>5</vt:i4>
      </vt:variant>
      <vt:variant>
        <vt:lpwstr/>
      </vt:variant>
      <vt:variant>
        <vt:lpwstr>_Toc356463019</vt:lpwstr>
      </vt:variant>
      <vt:variant>
        <vt:i4>1310771</vt:i4>
      </vt:variant>
      <vt:variant>
        <vt:i4>131</vt:i4>
      </vt:variant>
      <vt:variant>
        <vt:i4>0</vt:i4>
      </vt:variant>
      <vt:variant>
        <vt:i4>5</vt:i4>
      </vt:variant>
      <vt:variant>
        <vt:lpwstr/>
      </vt:variant>
      <vt:variant>
        <vt:lpwstr>_Toc356463018</vt:lpwstr>
      </vt:variant>
      <vt:variant>
        <vt:i4>1310771</vt:i4>
      </vt:variant>
      <vt:variant>
        <vt:i4>125</vt:i4>
      </vt:variant>
      <vt:variant>
        <vt:i4>0</vt:i4>
      </vt:variant>
      <vt:variant>
        <vt:i4>5</vt:i4>
      </vt:variant>
      <vt:variant>
        <vt:lpwstr/>
      </vt:variant>
      <vt:variant>
        <vt:lpwstr>_Toc356463017</vt:lpwstr>
      </vt:variant>
      <vt:variant>
        <vt:i4>1310771</vt:i4>
      </vt:variant>
      <vt:variant>
        <vt:i4>119</vt:i4>
      </vt:variant>
      <vt:variant>
        <vt:i4>0</vt:i4>
      </vt:variant>
      <vt:variant>
        <vt:i4>5</vt:i4>
      </vt:variant>
      <vt:variant>
        <vt:lpwstr/>
      </vt:variant>
      <vt:variant>
        <vt:lpwstr>_Toc356463016</vt:lpwstr>
      </vt:variant>
      <vt:variant>
        <vt:i4>1310771</vt:i4>
      </vt:variant>
      <vt:variant>
        <vt:i4>113</vt:i4>
      </vt:variant>
      <vt:variant>
        <vt:i4>0</vt:i4>
      </vt:variant>
      <vt:variant>
        <vt:i4>5</vt:i4>
      </vt:variant>
      <vt:variant>
        <vt:lpwstr/>
      </vt:variant>
      <vt:variant>
        <vt:lpwstr>_Toc356463015</vt:lpwstr>
      </vt:variant>
      <vt:variant>
        <vt:i4>1310771</vt:i4>
      </vt:variant>
      <vt:variant>
        <vt:i4>107</vt:i4>
      </vt:variant>
      <vt:variant>
        <vt:i4>0</vt:i4>
      </vt:variant>
      <vt:variant>
        <vt:i4>5</vt:i4>
      </vt:variant>
      <vt:variant>
        <vt:lpwstr/>
      </vt:variant>
      <vt:variant>
        <vt:lpwstr>_Toc356463014</vt:lpwstr>
      </vt:variant>
      <vt:variant>
        <vt:i4>1310771</vt:i4>
      </vt:variant>
      <vt:variant>
        <vt:i4>101</vt:i4>
      </vt:variant>
      <vt:variant>
        <vt:i4>0</vt:i4>
      </vt:variant>
      <vt:variant>
        <vt:i4>5</vt:i4>
      </vt:variant>
      <vt:variant>
        <vt:lpwstr/>
      </vt:variant>
      <vt:variant>
        <vt:lpwstr>_Toc356463013</vt:lpwstr>
      </vt:variant>
      <vt:variant>
        <vt:i4>1310771</vt:i4>
      </vt:variant>
      <vt:variant>
        <vt:i4>95</vt:i4>
      </vt:variant>
      <vt:variant>
        <vt:i4>0</vt:i4>
      </vt:variant>
      <vt:variant>
        <vt:i4>5</vt:i4>
      </vt:variant>
      <vt:variant>
        <vt:lpwstr/>
      </vt:variant>
      <vt:variant>
        <vt:lpwstr>_Toc356463012</vt:lpwstr>
      </vt:variant>
      <vt:variant>
        <vt:i4>1310771</vt:i4>
      </vt:variant>
      <vt:variant>
        <vt:i4>89</vt:i4>
      </vt:variant>
      <vt:variant>
        <vt:i4>0</vt:i4>
      </vt:variant>
      <vt:variant>
        <vt:i4>5</vt:i4>
      </vt:variant>
      <vt:variant>
        <vt:lpwstr/>
      </vt:variant>
      <vt:variant>
        <vt:lpwstr>_Toc356463011</vt:lpwstr>
      </vt:variant>
      <vt:variant>
        <vt:i4>1310771</vt:i4>
      </vt:variant>
      <vt:variant>
        <vt:i4>83</vt:i4>
      </vt:variant>
      <vt:variant>
        <vt:i4>0</vt:i4>
      </vt:variant>
      <vt:variant>
        <vt:i4>5</vt:i4>
      </vt:variant>
      <vt:variant>
        <vt:lpwstr/>
      </vt:variant>
      <vt:variant>
        <vt:lpwstr>_Toc356463010</vt:lpwstr>
      </vt:variant>
      <vt:variant>
        <vt:i4>1376307</vt:i4>
      </vt:variant>
      <vt:variant>
        <vt:i4>77</vt:i4>
      </vt:variant>
      <vt:variant>
        <vt:i4>0</vt:i4>
      </vt:variant>
      <vt:variant>
        <vt:i4>5</vt:i4>
      </vt:variant>
      <vt:variant>
        <vt:lpwstr/>
      </vt:variant>
      <vt:variant>
        <vt:lpwstr>_Toc356463009</vt:lpwstr>
      </vt:variant>
      <vt:variant>
        <vt:i4>1376307</vt:i4>
      </vt:variant>
      <vt:variant>
        <vt:i4>71</vt:i4>
      </vt:variant>
      <vt:variant>
        <vt:i4>0</vt:i4>
      </vt:variant>
      <vt:variant>
        <vt:i4>5</vt:i4>
      </vt:variant>
      <vt:variant>
        <vt:lpwstr/>
      </vt:variant>
      <vt:variant>
        <vt:lpwstr>_Toc356463008</vt:lpwstr>
      </vt:variant>
      <vt:variant>
        <vt:i4>1376307</vt:i4>
      </vt:variant>
      <vt:variant>
        <vt:i4>65</vt:i4>
      </vt:variant>
      <vt:variant>
        <vt:i4>0</vt:i4>
      </vt:variant>
      <vt:variant>
        <vt:i4>5</vt:i4>
      </vt:variant>
      <vt:variant>
        <vt:lpwstr/>
      </vt:variant>
      <vt:variant>
        <vt:lpwstr>_Toc356463007</vt:lpwstr>
      </vt:variant>
      <vt:variant>
        <vt:i4>1376307</vt:i4>
      </vt:variant>
      <vt:variant>
        <vt:i4>59</vt:i4>
      </vt:variant>
      <vt:variant>
        <vt:i4>0</vt:i4>
      </vt:variant>
      <vt:variant>
        <vt:i4>5</vt:i4>
      </vt:variant>
      <vt:variant>
        <vt:lpwstr/>
      </vt:variant>
      <vt:variant>
        <vt:lpwstr>_Toc356463006</vt:lpwstr>
      </vt:variant>
      <vt:variant>
        <vt:i4>1376307</vt:i4>
      </vt:variant>
      <vt:variant>
        <vt:i4>53</vt:i4>
      </vt:variant>
      <vt:variant>
        <vt:i4>0</vt:i4>
      </vt:variant>
      <vt:variant>
        <vt:i4>5</vt:i4>
      </vt:variant>
      <vt:variant>
        <vt:lpwstr/>
      </vt:variant>
      <vt:variant>
        <vt:lpwstr>_Toc356463005</vt:lpwstr>
      </vt:variant>
      <vt:variant>
        <vt:i4>1376307</vt:i4>
      </vt:variant>
      <vt:variant>
        <vt:i4>47</vt:i4>
      </vt:variant>
      <vt:variant>
        <vt:i4>0</vt:i4>
      </vt:variant>
      <vt:variant>
        <vt:i4>5</vt:i4>
      </vt:variant>
      <vt:variant>
        <vt:lpwstr/>
      </vt:variant>
      <vt:variant>
        <vt:lpwstr>_Toc356463004</vt:lpwstr>
      </vt:variant>
      <vt:variant>
        <vt:i4>1376307</vt:i4>
      </vt:variant>
      <vt:variant>
        <vt:i4>41</vt:i4>
      </vt:variant>
      <vt:variant>
        <vt:i4>0</vt:i4>
      </vt:variant>
      <vt:variant>
        <vt:i4>5</vt:i4>
      </vt:variant>
      <vt:variant>
        <vt:lpwstr/>
      </vt:variant>
      <vt:variant>
        <vt:lpwstr>_Toc356463003</vt:lpwstr>
      </vt:variant>
      <vt:variant>
        <vt:i4>1376307</vt:i4>
      </vt:variant>
      <vt:variant>
        <vt:i4>35</vt:i4>
      </vt:variant>
      <vt:variant>
        <vt:i4>0</vt:i4>
      </vt:variant>
      <vt:variant>
        <vt:i4>5</vt:i4>
      </vt:variant>
      <vt:variant>
        <vt:lpwstr/>
      </vt:variant>
      <vt:variant>
        <vt:lpwstr>_Toc356463002</vt:lpwstr>
      </vt:variant>
      <vt:variant>
        <vt:i4>1376307</vt:i4>
      </vt:variant>
      <vt:variant>
        <vt:i4>29</vt:i4>
      </vt:variant>
      <vt:variant>
        <vt:i4>0</vt:i4>
      </vt:variant>
      <vt:variant>
        <vt:i4>5</vt:i4>
      </vt:variant>
      <vt:variant>
        <vt:lpwstr/>
      </vt:variant>
      <vt:variant>
        <vt:lpwstr>_Toc356463001</vt:lpwstr>
      </vt:variant>
      <vt:variant>
        <vt:i4>1376307</vt:i4>
      </vt:variant>
      <vt:variant>
        <vt:i4>23</vt:i4>
      </vt:variant>
      <vt:variant>
        <vt:i4>0</vt:i4>
      </vt:variant>
      <vt:variant>
        <vt:i4>5</vt:i4>
      </vt:variant>
      <vt:variant>
        <vt:lpwstr/>
      </vt:variant>
      <vt:variant>
        <vt:lpwstr>_Toc356463000</vt:lpwstr>
      </vt:variant>
      <vt:variant>
        <vt:i4>1900602</vt:i4>
      </vt:variant>
      <vt:variant>
        <vt:i4>17</vt:i4>
      </vt:variant>
      <vt:variant>
        <vt:i4>0</vt:i4>
      </vt:variant>
      <vt:variant>
        <vt:i4>5</vt:i4>
      </vt:variant>
      <vt:variant>
        <vt:lpwstr/>
      </vt:variant>
      <vt:variant>
        <vt:lpwstr>_Toc356462999</vt:lpwstr>
      </vt:variant>
      <vt:variant>
        <vt:i4>1900602</vt:i4>
      </vt:variant>
      <vt:variant>
        <vt:i4>11</vt:i4>
      </vt:variant>
      <vt:variant>
        <vt:i4>0</vt:i4>
      </vt:variant>
      <vt:variant>
        <vt:i4>5</vt:i4>
      </vt:variant>
      <vt:variant>
        <vt:lpwstr/>
      </vt:variant>
      <vt:variant>
        <vt:lpwstr>_Toc356462998</vt:lpwstr>
      </vt:variant>
      <vt:variant>
        <vt:i4>3997744</vt:i4>
      </vt:variant>
      <vt:variant>
        <vt:i4>6</vt:i4>
      </vt:variant>
      <vt:variant>
        <vt:i4>0</vt:i4>
      </vt:variant>
      <vt:variant>
        <vt:i4>5</vt:i4>
      </vt:variant>
      <vt:variant>
        <vt:lpwstr>http://www.msac.gov.au/</vt:lpwstr>
      </vt:variant>
      <vt:variant>
        <vt:lpwstr/>
      </vt:variant>
      <vt:variant>
        <vt:i4>3997744</vt:i4>
      </vt:variant>
      <vt:variant>
        <vt:i4>3</vt:i4>
      </vt:variant>
      <vt:variant>
        <vt:i4>0</vt:i4>
      </vt:variant>
      <vt:variant>
        <vt:i4>5</vt:i4>
      </vt:variant>
      <vt:variant>
        <vt:lpwstr>http://www.msac.gov.au/</vt:lpwstr>
      </vt:variant>
      <vt:variant>
        <vt:lpwstr/>
      </vt:variant>
      <vt:variant>
        <vt:i4>3997744</vt:i4>
      </vt:variant>
      <vt:variant>
        <vt:i4>0</vt:i4>
      </vt:variant>
      <vt:variant>
        <vt:i4>0</vt:i4>
      </vt:variant>
      <vt:variant>
        <vt:i4>5</vt:i4>
      </vt:variant>
      <vt:variant>
        <vt:lpwstr>http://www.msac.gov.au/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Reducing Medicine-induced Deterioration and Adverse Reactions (ReMInDAR) Trial – Assessment report</dc:title>
  <dc:subject>Medicines</dc:subject>
  <dc:creator>Australian Government Department of Health and Aged Care</dc:creator>
  <cp:keywords>Pharmacy Trial Program; PTP</cp:keywords>
  <cp:lastModifiedBy>MCCAY, Meryl</cp:lastModifiedBy>
  <cp:revision>40</cp:revision>
  <cp:lastPrinted>2021-03-30T21:57:00Z</cp:lastPrinted>
  <dcterms:created xsi:type="dcterms:W3CDTF">2022-10-24T06:49:00Z</dcterms:created>
  <dcterms:modified xsi:type="dcterms:W3CDTF">2022-10-26T23:41:00Z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ies>
</file>