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F6D" w14:textId="77777777" w:rsidR="00B37AC6" w:rsidRPr="00874331" w:rsidRDefault="008977C0" w:rsidP="00B37AC6">
      <w:pPr>
        <w:pStyle w:val="Title"/>
      </w:pPr>
      <w:r w:rsidRPr="00874331">
        <w:t>P</w:t>
      </w:r>
      <w:r w:rsidR="00B37AC6" w:rsidRPr="00874331">
        <w:t>ractice Incentive</w:t>
      </w:r>
      <w:r w:rsidR="00CA13BC">
        <w:t>s</w:t>
      </w:r>
      <w:r w:rsidR="00B37AC6" w:rsidRPr="00874331">
        <w:t xml:space="preserve"> Program </w:t>
      </w:r>
      <w:r w:rsidRPr="00874331">
        <w:t>Quality Improvement Measures</w:t>
      </w:r>
    </w:p>
    <w:p w14:paraId="3FF4EFB3" w14:textId="77777777" w:rsidR="00B37AC6" w:rsidRPr="00874331" w:rsidRDefault="00B37AC6" w:rsidP="00B37AC6">
      <w:pPr>
        <w:rPr>
          <w:rFonts w:eastAsiaTheme="majorEastAsia" w:cstheme="majorBidi"/>
          <w:color w:val="003D69"/>
          <w:sz w:val="36"/>
          <w:szCs w:val="32"/>
        </w:rPr>
      </w:pPr>
      <w:r w:rsidRPr="00874331">
        <w:br w:type="page"/>
      </w:r>
    </w:p>
    <w:p w14:paraId="329C7D78" w14:textId="77777777" w:rsidR="008977C0" w:rsidRPr="00874331" w:rsidRDefault="008977C0" w:rsidP="00B37AC6">
      <w:pPr>
        <w:pStyle w:val="Heading1"/>
      </w:pPr>
      <w:r w:rsidRPr="00874331">
        <w:lastRenderedPageBreak/>
        <w:t>Quality Improvement</w:t>
      </w:r>
    </w:p>
    <w:p w14:paraId="38863D76" w14:textId="77777777" w:rsidR="008977C0" w:rsidRPr="00874331" w:rsidRDefault="008977C0" w:rsidP="00B37AC6">
      <w:r w:rsidRPr="00874331">
        <w:t>Quality improvement is foundational to contemporary high performing primary care.  It includes team based approaches, peer review, reflective practice, best practice, and data analysis. It can improve uptake of evidence-based practices for better patient outcomes, better professional development, and better system performance.</w:t>
      </w:r>
    </w:p>
    <w:p w14:paraId="10F09BAE" w14:textId="77777777" w:rsidR="008977C0" w:rsidRPr="00874331" w:rsidRDefault="008977C0" w:rsidP="00B37AC6">
      <w:pPr>
        <w:pStyle w:val="Heading1"/>
      </w:pPr>
      <w:r w:rsidRPr="00874331">
        <w:t>P</w:t>
      </w:r>
      <w:r w:rsidR="00B37AC6" w:rsidRPr="00874331">
        <w:t>ractice Incentive</w:t>
      </w:r>
      <w:r w:rsidR="00CA13BC">
        <w:t>s</w:t>
      </w:r>
      <w:r w:rsidR="00B37AC6" w:rsidRPr="00874331">
        <w:t xml:space="preserve"> Program Quality Improvement </w:t>
      </w:r>
      <w:r w:rsidRPr="00874331">
        <w:t>Incentive</w:t>
      </w:r>
    </w:p>
    <w:p w14:paraId="79912472" w14:textId="77777777" w:rsidR="008977C0" w:rsidRPr="00874331" w:rsidRDefault="008977C0" w:rsidP="00B37AC6">
      <w:r w:rsidRPr="00874331">
        <w:t>The P</w:t>
      </w:r>
      <w:r w:rsidR="00B37AC6" w:rsidRPr="00874331">
        <w:t>ractice Incentive</w:t>
      </w:r>
      <w:r w:rsidR="00CA13BC">
        <w:t>s</w:t>
      </w:r>
      <w:r w:rsidR="00B37AC6" w:rsidRPr="00874331">
        <w:t xml:space="preserve"> Program (PIP) Quality Improvement (</w:t>
      </w:r>
      <w:r w:rsidRPr="00874331">
        <w:t>QI</w:t>
      </w:r>
      <w:r w:rsidR="00B37AC6" w:rsidRPr="00874331">
        <w:t>)</w:t>
      </w:r>
      <w:r w:rsidRPr="00874331">
        <w:t xml:space="preserve"> Incentive is a payment to general practices for activities that support continuous quality improvement in patient outcomes and the delivery of best practice care.  General practices enrolled in the PIP</w:t>
      </w:r>
      <w:r w:rsidR="00BF2393" w:rsidRPr="00874331">
        <w:t xml:space="preserve"> </w:t>
      </w:r>
      <w:r w:rsidRPr="00874331">
        <w:t>QI Incentive commit to implementing continuous quality improvement activities that support them in their role of managing thei</w:t>
      </w:r>
      <w:r w:rsidR="00226CA5">
        <w:t>r patient</w:t>
      </w:r>
      <w:r w:rsidR="00B37AC6" w:rsidRPr="00874331">
        <w:t>s</w:t>
      </w:r>
      <w:r w:rsidR="00226CA5">
        <w:t>’</w:t>
      </w:r>
      <w:r w:rsidR="00B37AC6" w:rsidRPr="00874331">
        <w:t xml:space="preserve"> health.</w:t>
      </w:r>
      <w:r w:rsidRPr="00874331">
        <w:t xml:space="preserve"> They also commit to submitting nationally consistent, de-identifie</w:t>
      </w:r>
      <w:r w:rsidR="00B37AC6" w:rsidRPr="00874331">
        <w:t>d general practice data, against</w:t>
      </w:r>
      <w:r w:rsidRPr="00874331">
        <w:t xml:space="preserve"> ten key Improvement Measures that contribute to local, regiona</w:t>
      </w:r>
      <w:r w:rsidR="00B37AC6" w:rsidRPr="00874331">
        <w:t>l and national health outcomes.</w:t>
      </w:r>
      <w:r w:rsidRPr="00874331">
        <w:t xml:space="preserve"> The Improvement Measures allow general practices to understand which patients may benefit from preventative treatments, or may need recall to ensure effective management of a specified chronic disease (e.g. diabetes).  This can help delay progression of the condition, improve quality of life, increase life expectancy, and decrease the nee</w:t>
      </w:r>
      <w:r w:rsidR="00B37AC6" w:rsidRPr="00874331">
        <w:t>d for high cost interventions.</w:t>
      </w:r>
    </w:p>
    <w:p w14:paraId="50301922" w14:textId="77777777" w:rsidR="008977C0" w:rsidRPr="00874331" w:rsidRDefault="008977C0" w:rsidP="00B37AC6">
      <w:pPr>
        <w:pStyle w:val="Heading1"/>
      </w:pPr>
      <w:r w:rsidRPr="00874331">
        <w:t>Quality Improvement Measures</w:t>
      </w:r>
    </w:p>
    <w:p w14:paraId="60410098" w14:textId="77777777" w:rsidR="00BF2393" w:rsidRPr="00874331" w:rsidRDefault="008977C0" w:rsidP="00B37AC6">
      <w:r w:rsidRPr="00874331">
        <w:t xml:space="preserve">The collection of the de-identified Improvement Measures that form the PIP Eligible Data Set are part of a system of quality improvement that includes reflective practice, a common data baseline, and data analysis. The Improvement Measures are not designed to assess individual general practice or general practitioner performance. They do support a regional and national understanding of chronic disease management in areas of high need, and future iterations will respond to emerging evidence on areas of high need. </w:t>
      </w:r>
    </w:p>
    <w:p w14:paraId="38C0BFDB" w14:textId="77777777" w:rsidR="008977C0" w:rsidRPr="00874331" w:rsidRDefault="008977C0" w:rsidP="008977C0">
      <w:r w:rsidRPr="00874331">
        <w:t>The Improvement Measures are:</w:t>
      </w:r>
    </w:p>
    <w:p w14:paraId="558CF8F8" w14:textId="77777777" w:rsidR="008977C0" w:rsidRPr="00874331" w:rsidRDefault="008977C0" w:rsidP="008977C0">
      <w:pPr>
        <w:ind w:left="851" w:hanging="425"/>
      </w:pPr>
      <w:r w:rsidRPr="00874331">
        <w:t>1.</w:t>
      </w:r>
      <w:r w:rsidRPr="00874331">
        <w:tab/>
        <w:t xml:space="preserve">Proportion of patients with diabetes with a current HbA1c result </w:t>
      </w:r>
    </w:p>
    <w:p w14:paraId="1C3815B7" w14:textId="77777777" w:rsidR="008977C0" w:rsidRPr="00874331" w:rsidRDefault="008977C0" w:rsidP="008977C0">
      <w:pPr>
        <w:ind w:left="851" w:hanging="425"/>
      </w:pPr>
      <w:r w:rsidRPr="00874331">
        <w:t>2.</w:t>
      </w:r>
      <w:r w:rsidRPr="00874331">
        <w:tab/>
        <w:t>Proportion of patients with a smoking status</w:t>
      </w:r>
    </w:p>
    <w:p w14:paraId="2EA5DC3B" w14:textId="77777777" w:rsidR="008977C0" w:rsidRPr="00874331" w:rsidRDefault="008977C0" w:rsidP="008977C0">
      <w:pPr>
        <w:ind w:left="851" w:hanging="425"/>
      </w:pPr>
      <w:r w:rsidRPr="00874331">
        <w:t>3.</w:t>
      </w:r>
      <w:r w:rsidRPr="00874331">
        <w:tab/>
        <w:t xml:space="preserve">Proportion of patients with a weight classification </w:t>
      </w:r>
    </w:p>
    <w:p w14:paraId="2BFE999A" w14:textId="77777777" w:rsidR="008977C0" w:rsidRPr="00874331" w:rsidRDefault="008977C0" w:rsidP="008977C0">
      <w:pPr>
        <w:ind w:left="851" w:hanging="425"/>
      </w:pPr>
      <w:r w:rsidRPr="00874331">
        <w:t>4.</w:t>
      </w:r>
      <w:r w:rsidRPr="00874331">
        <w:tab/>
        <w:t>Proportion of patients aged 65 and over who were immunised against influenza</w:t>
      </w:r>
    </w:p>
    <w:p w14:paraId="61577E70" w14:textId="77777777" w:rsidR="008977C0" w:rsidRPr="00874331" w:rsidRDefault="008977C0" w:rsidP="008977C0">
      <w:pPr>
        <w:ind w:left="851" w:hanging="425"/>
      </w:pPr>
      <w:r w:rsidRPr="00874331">
        <w:t>5.</w:t>
      </w:r>
      <w:r w:rsidRPr="00874331">
        <w:tab/>
        <w:t>Proportion of patients with diabetes who were immunised against influenza</w:t>
      </w:r>
    </w:p>
    <w:p w14:paraId="749A7230" w14:textId="77777777" w:rsidR="008977C0" w:rsidRPr="00874331" w:rsidRDefault="008977C0" w:rsidP="008977C0">
      <w:pPr>
        <w:ind w:left="851" w:hanging="425"/>
      </w:pPr>
      <w:r w:rsidRPr="00874331">
        <w:t>6.</w:t>
      </w:r>
      <w:r w:rsidRPr="00874331">
        <w:tab/>
        <w:t>Proportion of patients with COPD who were immunised against influenza</w:t>
      </w:r>
    </w:p>
    <w:p w14:paraId="641BA408" w14:textId="77777777" w:rsidR="008977C0" w:rsidRPr="00874331" w:rsidRDefault="008977C0" w:rsidP="008977C0">
      <w:pPr>
        <w:ind w:left="851" w:hanging="425"/>
      </w:pPr>
      <w:r w:rsidRPr="00874331">
        <w:t>7.</w:t>
      </w:r>
      <w:r w:rsidRPr="00874331">
        <w:tab/>
        <w:t xml:space="preserve">Proportion of patients with an alcohol consumption status </w:t>
      </w:r>
    </w:p>
    <w:p w14:paraId="1370A5D8" w14:textId="77777777" w:rsidR="008977C0" w:rsidRPr="00874331" w:rsidRDefault="008977C0" w:rsidP="008977C0">
      <w:pPr>
        <w:ind w:left="851" w:hanging="425"/>
      </w:pPr>
      <w:r w:rsidRPr="00874331">
        <w:t>8.</w:t>
      </w:r>
      <w:r w:rsidRPr="00874331">
        <w:tab/>
        <w:t>Proportion of patients with the necessary risk factors assessed to enable CVD assessment</w:t>
      </w:r>
    </w:p>
    <w:p w14:paraId="63970843" w14:textId="77777777" w:rsidR="008977C0" w:rsidRPr="00874331" w:rsidRDefault="008977C0" w:rsidP="008977C0">
      <w:pPr>
        <w:ind w:left="851" w:hanging="425"/>
      </w:pPr>
      <w:r w:rsidRPr="00874331">
        <w:t>9.</w:t>
      </w:r>
      <w:r w:rsidRPr="00874331">
        <w:tab/>
        <w:t>Proportion of female patients with an up-to-</w:t>
      </w:r>
      <w:r w:rsidR="00B37AC6" w:rsidRPr="00874331">
        <w:t>date cervical screening</w:t>
      </w:r>
    </w:p>
    <w:p w14:paraId="3424E668" w14:textId="77777777" w:rsidR="00280050" w:rsidRPr="00874331" w:rsidRDefault="008977C0" w:rsidP="008977C0">
      <w:pPr>
        <w:ind w:left="851" w:hanging="425"/>
      </w:pPr>
      <w:r w:rsidRPr="00874331">
        <w:t>10.</w:t>
      </w:r>
      <w:r w:rsidRPr="00874331">
        <w:tab/>
        <w:t>Proportion of patients with diabetes with a blood pressure result</w:t>
      </w:r>
      <w:r w:rsidR="00B37AC6" w:rsidRPr="00874331">
        <w:t>.</w:t>
      </w:r>
    </w:p>
    <w:sectPr w:rsidR="00280050" w:rsidRPr="00874331" w:rsidSect="00B37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FC97" w14:textId="77777777" w:rsidR="008977C0" w:rsidRDefault="008977C0" w:rsidP="008977C0">
      <w:pPr>
        <w:spacing w:before="0" w:after="0" w:line="240" w:lineRule="auto"/>
      </w:pPr>
      <w:r>
        <w:separator/>
      </w:r>
    </w:p>
  </w:endnote>
  <w:endnote w:type="continuationSeparator" w:id="0">
    <w:p w14:paraId="1703EA6A" w14:textId="77777777" w:rsidR="008977C0" w:rsidRDefault="008977C0" w:rsidP="008977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6CEC" w14:textId="77777777" w:rsidR="009A2D89" w:rsidRDefault="009A2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BE565" w14:textId="77777777" w:rsidR="00B37AC6" w:rsidRDefault="00B37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C1D0C" w14:textId="77777777" w:rsidR="008977C0" w:rsidRDefault="00B37AC6" w:rsidP="00B37AC6">
    <w:pPr>
      <w:pStyle w:val="Footer"/>
    </w:pPr>
    <w:r w:rsidRPr="00B37AC6">
      <w:t>Practice Incentive</w:t>
    </w:r>
    <w:r w:rsidR="00CA13BC">
      <w:t>s</w:t>
    </w:r>
    <w:r w:rsidRPr="00B37AC6">
      <w:t xml:space="preserve"> Program Quality Improvement Measures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1D8D" w14:textId="77777777" w:rsidR="009A2D89" w:rsidRDefault="009A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E51F" w14:textId="77777777" w:rsidR="008977C0" w:rsidRDefault="008977C0" w:rsidP="008977C0">
      <w:pPr>
        <w:spacing w:before="0" w:after="0" w:line="240" w:lineRule="auto"/>
      </w:pPr>
      <w:r>
        <w:separator/>
      </w:r>
    </w:p>
  </w:footnote>
  <w:footnote w:type="continuationSeparator" w:id="0">
    <w:p w14:paraId="0EA8CF78" w14:textId="77777777" w:rsidR="008977C0" w:rsidRDefault="008977C0" w:rsidP="008977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0BC0" w14:textId="77777777" w:rsidR="009A2D89" w:rsidRDefault="009A2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6CB3" w14:textId="77777777" w:rsidR="009A2D89" w:rsidRDefault="009A2D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B4B5" w14:textId="77777777" w:rsidR="008977C0" w:rsidRDefault="00B37AC6">
    <w:pPr>
      <w:pStyle w:val="Header"/>
    </w:pPr>
    <w:r>
      <w:rPr>
        <w:noProof/>
        <w:lang w:eastAsia="en-AU"/>
      </w:rPr>
      <w:drawing>
        <wp:inline distT="0" distB="0" distL="0" distR="0" wp14:anchorId="3A5AB05F" wp14:editId="442CFBA3">
          <wp:extent cx="1467293" cy="1057275"/>
          <wp:effectExtent l="0" t="0" r="0" b="0"/>
          <wp:docPr id="2" name="Picture 2" descr="Australian Government Department of Health logo and PHN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anner-100-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20"/>
                  <a:stretch/>
                </pic:blipFill>
                <pic:spPr bwMode="auto">
                  <a:xfrm>
                    <a:off x="0" y="0"/>
                    <a:ext cx="1467591" cy="1057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C0"/>
    <w:rsid w:val="00184AAB"/>
    <w:rsid w:val="00226CA5"/>
    <w:rsid w:val="00280050"/>
    <w:rsid w:val="00784E82"/>
    <w:rsid w:val="00874331"/>
    <w:rsid w:val="008977C0"/>
    <w:rsid w:val="009A2D89"/>
    <w:rsid w:val="00B37AC6"/>
    <w:rsid w:val="00BF2393"/>
    <w:rsid w:val="00CA13BC"/>
    <w:rsid w:val="00F14D6C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AFD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C6"/>
    <w:pPr>
      <w:spacing w:before="80" w:after="80" w:line="32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AC6"/>
    <w:pPr>
      <w:keepNext/>
      <w:keepLines/>
      <w:spacing w:before="240" w:after="0"/>
      <w:outlineLvl w:val="0"/>
    </w:pPr>
    <w:rPr>
      <w:rFonts w:eastAsiaTheme="majorEastAsia" w:cstheme="majorBidi"/>
      <w:b/>
      <w:color w:val="003D6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7C0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003D6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AC6"/>
    <w:pPr>
      <w:spacing w:before="2760" w:after="240" w:line="240" w:lineRule="auto"/>
      <w:contextualSpacing/>
    </w:pPr>
    <w:rPr>
      <w:rFonts w:eastAsiaTheme="majorEastAsia" w:cstheme="majorBidi"/>
      <w:b/>
      <w:color w:val="003D69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AC6"/>
    <w:rPr>
      <w:rFonts w:ascii="Arial" w:eastAsiaTheme="majorEastAsia" w:hAnsi="Arial" w:cstheme="majorBidi"/>
      <w:b/>
      <w:color w:val="003D69"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37AC6"/>
    <w:rPr>
      <w:rFonts w:ascii="Arial" w:eastAsiaTheme="majorEastAsia" w:hAnsi="Arial" w:cstheme="majorBidi"/>
      <w:b/>
      <w:color w:val="003D6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7C0"/>
    <w:rPr>
      <w:rFonts w:ascii="Arial" w:eastAsiaTheme="majorEastAsia" w:hAnsi="Arial" w:cstheme="majorBidi"/>
      <w:b/>
      <w:color w:val="003D69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977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7C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977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7C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2296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Incentives Program Quality Improvement Measures</dc:title>
  <dc:subject/>
  <dc:creator/>
  <cp:keywords/>
  <dc:description/>
  <cp:lastModifiedBy/>
  <cp:revision>1</cp:revision>
  <dcterms:created xsi:type="dcterms:W3CDTF">2019-07-24T00:48:00Z</dcterms:created>
  <dcterms:modified xsi:type="dcterms:W3CDTF">2022-10-19T04:00:00Z</dcterms:modified>
</cp:coreProperties>
</file>