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2056" w14:textId="77777777" w:rsidR="0099461A" w:rsidRPr="00CF1118" w:rsidRDefault="00D0758A" w:rsidP="001D54D2">
      <w:pPr>
        <w:pStyle w:val="Title"/>
        <w:rPr>
          <w:rFonts w:asciiTheme="minorHAnsi" w:hAnsiTheme="minorHAnsi" w:cs="Calibri"/>
          <w:color w:val="000000" w:themeColor="text1"/>
          <w:spacing w:val="-1"/>
          <w:sz w:val="24"/>
          <w:szCs w:val="20"/>
          <w:lang w:val="en-GB"/>
        </w:rPr>
      </w:pPr>
      <w:r w:rsidRPr="00CF1118">
        <w:rPr>
          <w:rFonts w:eastAsiaTheme="majorEastAsia"/>
        </w:rPr>
        <w:t xml:space="preserve">Practice </w:t>
      </w:r>
      <w:r w:rsidRPr="00CF1118">
        <w:t>Incentives</w:t>
      </w:r>
      <w:r w:rsidRPr="00CF1118">
        <w:rPr>
          <w:rFonts w:eastAsiaTheme="majorEastAsia"/>
        </w:rPr>
        <w:t xml:space="preserve"> Program </w:t>
      </w:r>
      <w:r w:rsidR="009D4220" w:rsidRPr="00CF1118">
        <w:rPr>
          <w:rFonts w:eastAsiaTheme="majorEastAsia"/>
        </w:rPr>
        <w:t>Quality</w:t>
      </w:r>
      <w:r w:rsidR="00534CAD" w:rsidRPr="00CF1118">
        <w:rPr>
          <w:rFonts w:eastAsiaTheme="majorEastAsia"/>
        </w:rPr>
        <w:t xml:space="preserve"> </w:t>
      </w:r>
      <w:r w:rsidR="009D4220" w:rsidRPr="00CF1118">
        <w:rPr>
          <w:rFonts w:eastAsiaTheme="majorEastAsia"/>
        </w:rPr>
        <w:t>Improvement</w:t>
      </w:r>
      <w:r w:rsidR="00DE1B1A" w:rsidRPr="00CF1118">
        <w:rPr>
          <w:rFonts w:eastAsiaTheme="majorEastAsia"/>
        </w:rPr>
        <w:t xml:space="preserve"> </w:t>
      </w:r>
      <w:r w:rsidR="009D4220" w:rsidRPr="00CF1118">
        <w:rPr>
          <w:rFonts w:eastAsiaTheme="majorEastAsia"/>
        </w:rPr>
        <w:t>Incentive</w:t>
      </w:r>
      <w:r w:rsidR="00CB6E6D" w:rsidRPr="00CF1118">
        <w:rPr>
          <w:rFonts w:eastAsiaTheme="majorEastAsia"/>
        </w:rPr>
        <w:t xml:space="preserve"> </w:t>
      </w:r>
      <w:r w:rsidR="00CB0578" w:rsidRPr="00CF1118">
        <w:rPr>
          <w:rFonts w:eastAsiaTheme="majorEastAsia"/>
        </w:rPr>
        <w:t>Guidelines</w:t>
      </w:r>
      <w:r w:rsidR="0099461A" w:rsidRPr="00CF1118">
        <w:rPr>
          <w:rFonts w:asciiTheme="minorHAnsi" w:hAnsiTheme="minorHAnsi" w:cs="Calibri"/>
        </w:rPr>
        <w:br w:type="page"/>
      </w:r>
    </w:p>
    <w:p w14:paraId="621742DB" w14:textId="77777777" w:rsidR="0099461A" w:rsidRPr="00CF1118" w:rsidRDefault="0099461A" w:rsidP="00296619">
      <w:pPr>
        <w:pStyle w:val="Heading1"/>
      </w:pPr>
      <w:bookmarkStart w:id="0" w:name="_Toc511304497"/>
      <w:bookmarkStart w:id="1" w:name="_Toc11931235"/>
      <w:r w:rsidRPr="00CF1118">
        <w:lastRenderedPageBreak/>
        <w:t>Acknowledgement</w:t>
      </w:r>
      <w:bookmarkEnd w:id="0"/>
      <w:bookmarkEnd w:id="1"/>
    </w:p>
    <w:p w14:paraId="316CAD91" w14:textId="77777777" w:rsidR="00296619" w:rsidRPr="002F2A22" w:rsidRDefault="0099461A" w:rsidP="00296619">
      <w:pPr>
        <w:pStyle w:val="Paragraphtext"/>
        <w:spacing w:beforeLines="60" w:before="144"/>
        <w:rPr>
          <w:i/>
        </w:rPr>
      </w:pPr>
      <w:r w:rsidRPr="002F2A22">
        <w:rPr>
          <w:i/>
        </w:rPr>
        <w:t>© Commonwealth of Australia 2019</w:t>
      </w:r>
    </w:p>
    <w:p w14:paraId="314B5DA2" w14:textId="77777777" w:rsidR="00296619" w:rsidRPr="00CF1118" w:rsidRDefault="0099461A" w:rsidP="00296619">
      <w:pPr>
        <w:pStyle w:val="Paragraphtext"/>
        <w:spacing w:beforeLines="60" w:before="144"/>
      </w:pPr>
      <w:r w:rsidRPr="00CF1118">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F2A22">
        <w:rPr>
          <w:i/>
        </w:rPr>
        <w:t>Copyright Act 1968</w:t>
      </w:r>
      <w:r w:rsidRPr="00CF1118">
        <w:t xml:space="preserve"> or allowed by this copyright notice, all other rights are </w:t>
      </w:r>
      <w:proofErr w:type="gramStart"/>
      <w:r w:rsidRPr="00CF1118">
        <w:t>reserved</w:t>
      </w:r>
      <w:proofErr w:type="gramEnd"/>
      <w:r w:rsidRPr="00CF1118">
        <w:t xml:space="preserve">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8" w:history="1">
        <w:r w:rsidRPr="00CF1118">
          <w:rPr>
            <w:rStyle w:val="Hyperlink"/>
            <w:b/>
          </w:rPr>
          <w:t>copyright@health.gov.au</w:t>
        </w:r>
      </w:hyperlink>
      <w:r w:rsidRPr="00CF1118">
        <w:rPr>
          <w:b/>
          <w:color w:val="0000FF"/>
        </w:rPr>
        <w:t>.</w:t>
      </w:r>
    </w:p>
    <w:p w14:paraId="3353CE0B" w14:textId="77777777" w:rsidR="0099461A" w:rsidRPr="00CF1118" w:rsidRDefault="0099461A" w:rsidP="00296619">
      <w:pPr>
        <w:pStyle w:val="Paragraphtext"/>
        <w:spacing w:beforeLines="60" w:before="144"/>
      </w:pPr>
      <w:r w:rsidRPr="00CF1118">
        <w:t xml:space="preserve">Preferred citation: </w:t>
      </w:r>
      <w:r w:rsidRPr="00CF1118">
        <w:rPr>
          <w:rFonts w:ascii="Helvetica" w:hAnsi="Helvetica"/>
          <w:szCs w:val="20"/>
        </w:rPr>
        <w:t xml:space="preserve">Department of Health. Author. </w:t>
      </w:r>
      <w:r w:rsidR="001D54D2" w:rsidRPr="00CF1118">
        <w:rPr>
          <w:rFonts w:ascii="Helvetica" w:hAnsi="Helvetica"/>
          <w:szCs w:val="20"/>
        </w:rPr>
        <w:t>Practice Incentives Program Quality Improvem</w:t>
      </w:r>
      <w:r w:rsidR="002F2A22">
        <w:rPr>
          <w:rFonts w:ascii="Helvetica" w:hAnsi="Helvetica"/>
          <w:szCs w:val="20"/>
        </w:rPr>
        <w:t>ent Incentive Guidelines</w:t>
      </w:r>
      <w:r w:rsidRPr="00CF1118">
        <w:rPr>
          <w:rFonts w:ascii="Helvetica" w:hAnsi="Helvetica"/>
          <w:szCs w:val="20"/>
        </w:rPr>
        <w:t xml:space="preserve"> Canberra: Australian Government Department of Health; 2019.</w:t>
      </w:r>
    </w:p>
    <w:p w14:paraId="31144CB2" w14:textId="77777777" w:rsidR="0099461A" w:rsidRPr="00CF1118" w:rsidRDefault="0099461A" w:rsidP="0099461A">
      <w:pPr>
        <w:pStyle w:val="Heading1"/>
      </w:pPr>
      <w:r w:rsidRPr="00CF1118">
        <w:t>Disclaimer</w:t>
      </w:r>
    </w:p>
    <w:p w14:paraId="72CF1430" w14:textId="77777777" w:rsidR="0099461A" w:rsidRPr="00CF1118" w:rsidRDefault="0099461A" w:rsidP="00296619">
      <w:pPr>
        <w:pStyle w:val="Paragraphtext"/>
        <w:rPr>
          <w:spacing w:val="-4"/>
        </w:rPr>
      </w:pPr>
      <w:r w:rsidRPr="00CF1118">
        <w:t>These guidelines are for information purposes and provide the basis upon which</w:t>
      </w:r>
      <w:r w:rsidR="0041641F" w:rsidRPr="00CF1118">
        <w:t xml:space="preserve"> Practice Incentive Program Quality Improvement</w:t>
      </w:r>
      <w:r w:rsidRPr="00CF1118">
        <w:t xml:space="preserve"> Incentive payments are made. While it is intended that the government will make payments as set out in these guidelines, the making of payments is at its sole discretion. The government may alter arrangements for the </w:t>
      </w:r>
      <w:r w:rsidR="0041641F" w:rsidRPr="00CF1118">
        <w:t>Practice Incentive Program</w:t>
      </w:r>
      <w:r w:rsidRPr="00CF1118">
        <w:t xml:space="preserve"> at any time and without notice. The Government does not accept any legal liability or responsibility for any injury, loss or damage incurred </w:t>
      </w:r>
      <w:proofErr w:type="gramStart"/>
      <w:r w:rsidRPr="00CF1118">
        <w:t>by the use of</w:t>
      </w:r>
      <w:proofErr w:type="gramEnd"/>
      <w:r w:rsidRPr="00CF1118">
        <w:t>, reliance on, or interpretation of the information provided in these guidelines.</w:t>
      </w:r>
    </w:p>
    <w:p w14:paraId="0D46793D" w14:textId="77777777" w:rsidR="0099461A" w:rsidRPr="00CF1118" w:rsidRDefault="0099461A">
      <w:pPr>
        <w:rPr>
          <w:rFonts w:cs="Calibri"/>
          <w:b/>
          <w:color w:val="313131"/>
          <w:sz w:val="32"/>
          <w:szCs w:val="24"/>
        </w:rPr>
      </w:pPr>
      <w:r w:rsidRPr="00CF1118">
        <w:br w:type="page"/>
      </w:r>
    </w:p>
    <w:p w14:paraId="63A5E01E" w14:textId="77777777" w:rsidR="007D05BC" w:rsidRPr="00CF1118" w:rsidRDefault="007D05BC" w:rsidP="00296619">
      <w:pPr>
        <w:pStyle w:val="Heading1"/>
      </w:pPr>
      <w:r w:rsidRPr="00CF1118">
        <w:lastRenderedPageBreak/>
        <w:t>Introduction</w:t>
      </w:r>
    </w:p>
    <w:p w14:paraId="6D93B942" w14:textId="77777777" w:rsidR="00A11329" w:rsidRPr="00CF1118" w:rsidRDefault="006B2163" w:rsidP="00296619">
      <w:pPr>
        <w:pStyle w:val="Paragraphtext"/>
      </w:pPr>
      <w:r w:rsidRPr="00CF1118">
        <w:t xml:space="preserve">The </w:t>
      </w:r>
      <w:r w:rsidR="004248E7" w:rsidRPr="00CF1118">
        <w:t xml:space="preserve">Practice Incentives Program (PIP) Quality Improvement (QI) Incentive </w:t>
      </w:r>
      <w:r w:rsidRPr="00CF1118">
        <w:t>is a payment to general practices that participate in quality improvement to improve patient outcomes and deliver best practice care</w:t>
      </w:r>
      <w:r w:rsidR="00A3214F" w:rsidRPr="00CF1118">
        <w:t>.</w:t>
      </w:r>
    </w:p>
    <w:p w14:paraId="57371B6D" w14:textId="77777777" w:rsidR="0005256F" w:rsidRPr="00CF1118" w:rsidRDefault="00764C41" w:rsidP="00296619">
      <w:pPr>
        <w:pStyle w:val="Heading1"/>
      </w:pPr>
      <w:r w:rsidRPr="00CF1118">
        <w:t>About</w:t>
      </w:r>
      <w:r w:rsidR="00906DFF" w:rsidRPr="00CF1118">
        <w:t xml:space="preserve"> </w:t>
      </w:r>
      <w:r w:rsidR="001304AC" w:rsidRPr="00CF1118">
        <w:t xml:space="preserve">the </w:t>
      </w:r>
      <w:r w:rsidR="00340570" w:rsidRPr="00CF1118">
        <w:t>P</w:t>
      </w:r>
      <w:r w:rsidR="004248E7" w:rsidRPr="00CF1118">
        <w:t>IP QI I</w:t>
      </w:r>
      <w:r w:rsidR="0005256F" w:rsidRPr="00CF1118">
        <w:t xml:space="preserve">ncentive </w:t>
      </w:r>
    </w:p>
    <w:p w14:paraId="78240793" w14:textId="77777777" w:rsidR="009A7EC3" w:rsidRPr="00CF1118" w:rsidRDefault="00B54D00" w:rsidP="00296619">
      <w:pPr>
        <w:pStyle w:val="Paragraphtext"/>
      </w:pPr>
      <w:r w:rsidRPr="00CF1118">
        <w:t>Under the PIP QI</w:t>
      </w:r>
      <w:r w:rsidR="000240F1" w:rsidRPr="00CF1118">
        <w:t xml:space="preserve"> Incentive</w:t>
      </w:r>
      <w:r w:rsidRPr="00CF1118">
        <w:t xml:space="preserve">, </w:t>
      </w:r>
      <w:r w:rsidR="00A3214F" w:rsidRPr="00CF1118">
        <w:t>g</w:t>
      </w:r>
      <w:r w:rsidRPr="00CF1118">
        <w:t>eneral</w:t>
      </w:r>
      <w:r w:rsidR="00D20C9B" w:rsidRPr="00CF1118">
        <w:t xml:space="preserve"> practices</w:t>
      </w:r>
      <w:r w:rsidR="00DA40E7" w:rsidRPr="00CF1118">
        <w:t xml:space="preserve"> </w:t>
      </w:r>
      <w:r w:rsidR="00D20C9B" w:rsidRPr="00CF1118">
        <w:t>work with their local Primary Health Network (PHN) to undertake continuous quality improvement activities through the collection and review of practice data on specified Improvement Measures</w:t>
      </w:r>
      <w:r w:rsidR="00A11329" w:rsidRPr="00CF1118">
        <w:t xml:space="preserve">. </w:t>
      </w:r>
    </w:p>
    <w:p w14:paraId="19439096" w14:textId="77777777" w:rsidR="00A11329" w:rsidRPr="00CF1118" w:rsidRDefault="00F232F1" w:rsidP="00296619">
      <w:pPr>
        <w:pStyle w:val="Paragraphtext"/>
      </w:pPr>
      <w:r w:rsidRPr="00CF1118">
        <w:t xml:space="preserve">Aboriginal Community Controlled Health Services </w:t>
      </w:r>
      <w:r w:rsidR="004B0B44" w:rsidRPr="00CF1118">
        <w:t xml:space="preserve">(ACCHS) </w:t>
      </w:r>
      <w:r w:rsidR="008A1DB2" w:rsidRPr="00CF1118">
        <w:rPr>
          <w:rFonts w:cs="Calibri"/>
        </w:rPr>
        <w:t xml:space="preserve">and other organisations funded under the Indigenous Australians’ Health Programme (IAHP) </w:t>
      </w:r>
      <w:r w:rsidR="004B0B44" w:rsidRPr="00CF1118">
        <w:t xml:space="preserve">already have a well-established system of using primary health data to undertake quality improvement </w:t>
      </w:r>
      <w:r w:rsidR="00D72911" w:rsidRPr="00CF1118">
        <w:t>activities</w:t>
      </w:r>
      <w:r w:rsidR="00003ABF" w:rsidRPr="00CF1118">
        <w:t>.</w:t>
      </w:r>
      <w:r w:rsidR="000A4D42" w:rsidRPr="00CF1118">
        <w:t xml:space="preserve"> </w:t>
      </w:r>
      <w:r w:rsidR="00533B80" w:rsidRPr="00CF1118">
        <w:t>These activities</w:t>
      </w:r>
      <w:r w:rsidR="00D72911" w:rsidRPr="00CF1118">
        <w:t xml:space="preserve"> </w:t>
      </w:r>
      <w:r w:rsidR="004B0B44" w:rsidRPr="00CF1118">
        <w:t xml:space="preserve">help improve the delivery of primary health care for Aboriginal and Torres Strait Islander people. For the purposes of </w:t>
      </w:r>
      <w:r w:rsidR="000240F1" w:rsidRPr="00CF1118">
        <w:t xml:space="preserve">the </w:t>
      </w:r>
      <w:r w:rsidR="004B0B44" w:rsidRPr="00CF1118">
        <w:t>PIP QI</w:t>
      </w:r>
      <w:r w:rsidR="000240F1" w:rsidRPr="00CF1118">
        <w:t xml:space="preserve"> Incentive</w:t>
      </w:r>
      <w:r w:rsidR="004B0B44" w:rsidRPr="00CF1118">
        <w:t xml:space="preserve">, </w:t>
      </w:r>
      <w:r w:rsidR="000F63B7" w:rsidRPr="00CF1118">
        <w:t xml:space="preserve">IAHP funded organisations </w:t>
      </w:r>
      <w:r w:rsidR="004B0B44" w:rsidRPr="00CF1118">
        <w:t xml:space="preserve">will continue to provide data against the </w:t>
      </w:r>
      <w:hyperlink r:id="rId9" w:history="1">
        <w:r w:rsidR="004B0B44" w:rsidRPr="00CF1118">
          <w:rPr>
            <w:rStyle w:val="Hyperlink"/>
            <w:b/>
          </w:rPr>
          <w:t>Aboriginal and Torres Strait Islander National Key Performance Indicators (</w:t>
        </w:r>
        <w:proofErr w:type="spellStart"/>
        <w:r w:rsidR="007D259D" w:rsidRPr="00CF1118">
          <w:rPr>
            <w:rStyle w:val="Hyperlink"/>
            <w:b/>
          </w:rPr>
          <w:t>n</w:t>
        </w:r>
        <w:r w:rsidR="004B0B44" w:rsidRPr="00CF1118">
          <w:rPr>
            <w:rStyle w:val="Hyperlink"/>
            <w:b/>
          </w:rPr>
          <w:t>KPIs</w:t>
        </w:r>
        <w:proofErr w:type="spellEnd"/>
        <w:r w:rsidR="004B0B44" w:rsidRPr="00CF1118">
          <w:rPr>
            <w:rStyle w:val="Hyperlink"/>
            <w:b/>
          </w:rPr>
          <w:t>)</w:t>
        </w:r>
      </w:hyperlink>
      <w:r w:rsidR="004B0B44" w:rsidRPr="00CF1118">
        <w:rPr>
          <w:b/>
        </w:rPr>
        <w:t>,</w:t>
      </w:r>
      <w:r w:rsidR="004B0B44" w:rsidRPr="00CF1118">
        <w:t xml:space="preserve"> within their existing arrangement with the Department of Health</w:t>
      </w:r>
      <w:r w:rsidR="00A3214F" w:rsidRPr="00CF1118">
        <w:t>.</w:t>
      </w:r>
    </w:p>
    <w:p w14:paraId="500E7979" w14:textId="77777777" w:rsidR="0055246F" w:rsidRPr="00CF1118" w:rsidRDefault="004757A8" w:rsidP="00296619">
      <w:pPr>
        <w:pStyle w:val="Heading1"/>
      </w:pPr>
      <w:r w:rsidRPr="00CF1118">
        <w:t xml:space="preserve">Quality </w:t>
      </w:r>
      <w:r w:rsidR="00DE3DF9" w:rsidRPr="00CF1118">
        <w:t>i</w:t>
      </w:r>
      <w:r w:rsidRPr="00CF1118">
        <w:t xml:space="preserve">mprovement in </w:t>
      </w:r>
      <w:r w:rsidR="00DE3DF9" w:rsidRPr="00CF1118">
        <w:t>g</w:t>
      </w:r>
      <w:r w:rsidRPr="00CF1118">
        <w:t xml:space="preserve">eneral </w:t>
      </w:r>
      <w:r w:rsidR="00DE3DF9" w:rsidRPr="00CF1118">
        <w:t>p</w:t>
      </w:r>
      <w:r w:rsidRPr="00CF1118">
        <w:t>ractice</w:t>
      </w:r>
    </w:p>
    <w:p w14:paraId="5656EC86" w14:textId="77777777" w:rsidR="004248E7" w:rsidRPr="00CF1118" w:rsidRDefault="008E4C01" w:rsidP="00296619">
      <w:pPr>
        <w:pStyle w:val="Paragraphtext"/>
      </w:pPr>
      <w:r w:rsidRPr="00CF1118">
        <w:t xml:space="preserve">Quality improvement is foundational to contemporary high performing primary care. It includes </w:t>
      </w:r>
      <w:proofErr w:type="gramStart"/>
      <w:r w:rsidRPr="00CF1118">
        <w:t>team based</w:t>
      </w:r>
      <w:proofErr w:type="gramEnd"/>
      <w:r w:rsidRPr="00CF1118">
        <w:t xml:space="preserve"> approaches, peer review, reflective practice, best practice, and data analysis. It can improve uptake of evidence-based practices for better patient outcomes, better professional development</w:t>
      </w:r>
      <w:r w:rsidR="004248E7" w:rsidRPr="00CF1118">
        <w:t>, and better system performance.</w:t>
      </w:r>
    </w:p>
    <w:p w14:paraId="5FBCBB27" w14:textId="77777777" w:rsidR="00296619" w:rsidRPr="00CF1118" w:rsidRDefault="00315B4F" w:rsidP="00296619">
      <w:pPr>
        <w:pStyle w:val="Paragraphtext"/>
      </w:pPr>
      <w:r w:rsidRPr="00CF1118">
        <w:t>T</w:t>
      </w:r>
      <w:r w:rsidR="00B6123E" w:rsidRPr="00CF1118">
        <w:t xml:space="preserve">he Royal Australian College of General Practitioners </w:t>
      </w:r>
      <w:r w:rsidRPr="00CF1118">
        <w:t xml:space="preserve">defines continuous quality improvement </w:t>
      </w:r>
      <w:r w:rsidR="00B6123E" w:rsidRPr="00CF1118">
        <w:t xml:space="preserve">as </w:t>
      </w:r>
      <w:r w:rsidR="00823D9A" w:rsidRPr="00CF1118">
        <w:t>an ongoing</w:t>
      </w:r>
      <w:r w:rsidR="008F64BF" w:rsidRPr="00CF1118">
        <w:t xml:space="preserve"> activity undertaken within a general practice with the primary purpose to monitor, evaluate or improve the quality of healthcare delivered to practice patients.</w:t>
      </w:r>
    </w:p>
    <w:p w14:paraId="6664A547" w14:textId="77777777" w:rsidR="00296619" w:rsidRPr="00CF1118" w:rsidRDefault="00296619" w:rsidP="00296619">
      <w:pPr>
        <w:rPr>
          <w:rFonts w:eastAsia="Times New Roman"/>
          <w:szCs w:val="24"/>
          <w:lang w:eastAsia="en-US"/>
        </w:rPr>
      </w:pPr>
      <w:r w:rsidRPr="00CF1118">
        <w:br w:type="page"/>
      </w:r>
    </w:p>
    <w:p w14:paraId="3E257407" w14:textId="77777777" w:rsidR="009F77BE" w:rsidRPr="00CF1118" w:rsidRDefault="00315B4F" w:rsidP="00F513CF">
      <w:pPr>
        <w:rPr>
          <w:rFonts w:cs="Calibri"/>
          <w:bCs/>
        </w:rPr>
      </w:pPr>
      <w:r w:rsidRPr="00CF1118">
        <w:rPr>
          <w:rFonts w:cs="Calibri"/>
          <w:bCs/>
        </w:rPr>
        <w:lastRenderedPageBreak/>
        <w:t xml:space="preserve">A general practice will need to meet </w:t>
      </w:r>
      <w:r w:rsidRPr="00CF1118">
        <w:rPr>
          <w:rFonts w:cs="Arial"/>
          <w:b/>
          <w:bCs/>
        </w:rPr>
        <w:t>two components</w:t>
      </w:r>
      <w:r w:rsidRPr="00CF1118">
        <w:rPr>
          <w:rFonts w:cs="Calibri"/>
          <w:bCs/>
          <w:sz w:val="20"/>
        </w:rPr>
        <w:t xml:space="preserve"> </w:t>
      </w:r>
      <w:r w:rsidRPr="00CF1118">
        <w:rPr>
          <w:rFonts w:cs="Calibri"/>
          <w:bCs/>
        </w:rPr>
        <w:t>to qualify for a PIP</w:t>
      </w:r>
      <w:r w:rsidR="00CF42FB" w:rsidRPr="00CF1118">
        <w:rPr>
          <w:rFonts w:cs="Calibri"/>
          <w:bCs/>
        </w:rPr>
        <w:t xml:space="preserve"> </w:t>
      </w:r>
      <w:r w:rsidRPr="00CF1118">
        <w:rPr>
          <w:rFonts w:cs="Calibri"/>
          <w:bCs/>
        </w:rPr>
        <w:t>QI Incentive payment</w:t>
      </w:r>
      <w:r w:rsidR="008A1DB2" w:rsidRPr="00CF1118">
        <w:rPr>
          <w:rFonts w:cs="Calibri"/>
          <w:bCs/>
        </w:rPr>
        <w:t xml:space="preserve">. </w:t>
      </w:r>
    </w:p>
    <w:p w14:paraId="3DE10536" w14:textId="77777777" w:rsidR="004248E7" w:rsidRPr="00CF1118" w:rsidRDefault="001658FB" w:rsidP="00296619">
      <w:pPr>
        <w:pStyle w:val="Heading2"/>
        <w:rPr>
          <w:rFonts w:cs="Calibri"/>
        </w:rPr>
      </w:pPr>
      <w:r w:rsidRPr="00CF1118">
        <w:t>Participation in</w:t>
      </w:r>
      <w:r w:rsidR="00263839" w:rsidRPr="00CF1118">
        <w:t xml:space="preserve"> </w:t>
      </w:r>
      <w:r w:rsidR="00DE3DF9" w:rsidRPr="00CF1118">
        <w:t>c</w:t>
      </w:r>
      <w:r w:rsidR="00263839" w:rsidRPr="00CF1118">
        <w:t xml:space="preserve">ontinuous </w:t>
      </w:r>
      <w:r w:rsidR="00DE3DF9" w:rsidRPr="00CF1118">
        <w:t>q</w:t>
      </w:r>
      <w:r w:rsidR="00263839" w:rsidRPr="00CF1118">
        <w:t xml:space="preserve">uality </w:t>
      </w:r>
      <w:r w:rsidR="00DE3DF9" w:rsidRPr="00CF1118">
        <w:t>i</w:t>
      </w:r>
      <w:r w:rsidRPr="00CF1118">
        <w:t>mprovement activit</w:t>
      </w:r>
      <w:r w:rsidR="00DE3DF9" w:rsidRPr="00CF1118">
        <w:t>ies</w:t>
      </w:r>
    </w:p>
    <w:p w14:paraId="7C91CC32" w14:textId="77777777" w:rsidR="00085460" w:rsidRPr="00CF1118" w:rsidRDefault="00882734" w:rsidP="00296619">
      <w:pPr>
        <w:pStyle w:val="Paragraphtext"/>
      </w:pPr>
      <w:r w:rsidRPr="00CF1118">
        <w:t>The PIP QI Incentive reward</w:t>
      </w:r>
      <w:r w:rsidR="00F82700" w:rsidRPr="00CF1118">
        <w:t>s</w:t>
      </w:r>
      <w:r w:rsidRPr="00CF1118">
        <w:t xml:space="preserve"> practices for participating in continuous quality improvement activities in partnership with their local PHN. </w:t>
      </w:r>
    </w:p>
    <w:p w14:paraId="0053835E" w14:textId="77777777" w:rsidR="004248E7" w:rsidRPr="00CF1118" w:rsidRDefault="00E37D90" w:rsidP="00296619">
      <w:pPr>
        <w:pStyle w:val="Paragraphtext"/>
      </w:pPr>
      <w:r w:rsidRPr="00CF1118">
        <w:t>Practices m</w:t>
      </w:r>
      <w:r w:rsidR="003E71BD" w:rsidRPr="00CF1118">
        <w:t>ay</w:t>
      </w:r>
      <w:r w:rsidRPr="00CF1118">
        <w:t xml:space="preserve"> </w:t>
      </w:r>
      <w:r w:rsidR="00A84432" w:rsidRPr="00CF1118">
        <w:t xml:space="preserve">focus </w:t>
      </w:r>
      <w:r w:rsidR="00600CC4" w:rsidRPr="00CF1118">
        <w:t xml:space="preserve">their quality improvement activities </w:t>
      </w:r>
      <w:r w:rsidR="00A84432" w:rsidRPr="00CF1118">
        <w:t xml:space="preserve">on </w:t>
      </w:r>
      <w:r w:rsidR="00600CC4" w:rsidRPr="00CF1118">
        <w:t xml:space="preserve">the </w:t>
      </w:r>
      <w:r w:rsidR="00A84432" w:rsidRPr="00CF1118">
        <w:t>specified Improvement Measures</w:t>
      </w:r>
      <w:r w:rsidR="00085460" w:rsidRPr="00CF1118">
        <w:t>. T</w:t>
      </w:r>
      <w:r w:rsidR="00BA2F91" w:rsidRPr="00CF1118">
        <w:t>here are no prescribed targets associated with any of the Improvement Measures. Alternatively</w:t>
      </w:r>
      <w:r w:rsidR="00DE3DF9" w:rsidRPr="00CF1118">
        <w:t>,</w:t>
      </w:r>
      <w:r w:rsidR="00BA2F91" w:rsidRPr="00CF1118">
        <w:t xml:space="preserve"> practices </w:t>
      </w:r>
      <w:r w:rsidR="001806E9" w:rsidRPr="00CF1118">
        <w:t xml:space="preserve">may </w:t>
      </w:r>
      <w:r w:rsidR="00BA2F91" w:rsidRPr="00CF1118">
        <w:t xml:space="preserve">focus their quality improvement activities on </w:t>
      </w:r>
      <w:r w:rsidR="00257783" w:rsidRPr="00CF1118">
        <w:t xml:space="preserve">any </w:t>
      </w:r>
      <w:r w:rsidR="00600CC4" w:rsidRPr="00CF1118">
        <w:t xml:space="preserve">other areas </w:t>
      </w:r>
      <w:r w:rsidR="006655EC" w:rsidRPr="00CF1118">
        <w:t xml:space="preserve">informed by their clinical information system </w:t>
      </w:r>
      <w:r w:rsidR="00F513CF" w:rsidRPr="00CF1118">
        <w:t>data that</w:t>
      </w:r>
      <w:r w:rsidR="00DE3DF9" w:rsidRPr="00CF1118">
        <w:t xml:space="preserve"> </w:t>
      </w:r>
      <w:r w:rsidR="00600CC4" w:rsidRPr="00CF1118">
        <w:t>meet the needs of their practice population</w:t>
      </w:r>
      <w:r w:rsidR="00A84432" w:rsidRPr="00CF1118">
        <w:t>.</w:t>
      </w:r>
    </w:p>
    <w:p w14:paraId="1EE36187" w14:textId="77777777" w:rsidR="004248E7" w:rsidRPr="00CF1118" w:rsidRDefault="00600CC4" w:rsidP="00296619">
      <w:pPr>
        <w:pStyle w:val="Paragraphtext"/>
        <w:rPr>
          <w:rFonts w:cs="Calibri"/>
        </w:rPr>
      </w:pPr>
      <w:r w:rsidRPr="00CF1118">
        <w:rPr>
          <w:rFonts w:cs="Calibri"/>
        </w:rPr>
        <w:t xml:space="preserve">PHNs already work with many general practices to support quality improvement. This includes </w:t>
      </w:r>
      <w:r w:rsidR="00745321" w:rsidRPr="00CF1118">
        <w:rPr>
          <w:rFonts w:cs="Calibri"/>
        </w:rPr>
        <w:t>the collection</w:t>
      </w:r>
      <w:r w:rsidRPr="00CF1118">
        <w:rPr>
          <w:rFonts w:cs="Calibri"/>
        </w:rPr>
        <w:t xml:space="preserve"> and review</w:t>
      </w:r>
      <w:r w:rsidR="00745321" w:rsidRPr="00CF1118">
        <w:rPr>
          <w:rFonts w:cs="Calibri"/>
        </w:rPr>
        <w:t xml:space="preserve"> of</w:t>
      </w:r>
      <w:r w:rsidRPr="00CF1118">
        <w:rPr>
          <w:rFonts w:cs="Calibri"/>
        </w:rPr>
        <w:t xml:space="preserve"> clinical data to inform quality improvements in health care</w:t>
      </w:r>
      <w:r w:rsidR="00AD6F0F" w:rsidRPr="00CF1118">
        <w:rPr>
          <w:rFonts w:cs="Calibri"/>
        </w:rPr>
        <w:t>,</w:t>
      </w:r>
      <w:r w:rsidRPr="00CF1118">
        <w:rPr>
          <w:rFonts w:cs="Calibri"/>
        </w:rPr>
        <w:t xml:space="preserve"> and </w:t>
      </w:r>
      <w:r w:rsidR="000775B6" w:rsidRPr="00CF1118">
        <w:rPr>
          <w:rFonts w:cs="Calibri"/>
        </w:rPr>
        <w:t>adoption of</w:t>
      </w:r>
      <w:r w:rsidR="00745321" w:rsidRPr="00CF1118">
        <w:rPr>
          <w:rFonts w:cs="Calibri"/>
        </w:rPr>
        <w:t xml:space="preserve"> </w:t>
      </w:r>
      <w:r w:rsidRPr="00CF1118">
        <w:rPr>
          <w:rFonts w:cs="Calibri"/>
        </w:rPr>
        <w:t>best practice methods.</w:t>
      </w:r>
    </w:p>
    <w:p w14:paraId="14212A40" w14:textId="77777777" w:rsidR="002B135F" w:rsidRPr="00CF1118" w:rsidRDefault="002B135F" w:rsidP="00296619">
      <w:pPr>
        <w:pStyle w:val="Paragraphtext"/>
      </w:pPr>
      <w:r w:rsidRPr="00CF1118">
        <w:t xml:space="preserve">IAHP funded organisations will meet this requirement </w:t>
      </w:r>
      <w:r w:rsidR="009E6C31" w:rsidRPr="00CF1118">
        <w:t xml:space="preserve">by </w:t>
      </w:r>
      <w:r w:rsidRPr="00CF1118">
        <w:t xml:space="preserve">continuing to </w:t>
      </w:r>
      <w:r w:rsidR="000775B6" w:rsidRPr="00CF1118">
        <w:t>undertake</w:t>
      </w:r>
      <w:r w:rsidRPr="00CF1118">
        <w:t xml:space="preserve"> quality improvement activities in line with their existing arrangement with the Department of Health.</w:t>
      </w:r>
    </w:p>
    <w:p w14:paraId="575E8F92" w14:textId="77777777" w:rsidR="00060AB4" w:rsidRPr="00CF1118" w:rsidRDefault="00060AB4" w:rsidP="00296619">
      <w:pPr>
        <w:pStyle w:val="Paragraphtext"/>
        <w:rPr>
          <w:color w:val="0000FF"/>
          <w:u w:val="single"/>
        </w:rPr>
      </w:pPr>
      <w:r w:rsidRPr="00CF1118">
        <w:rPr>
          <w:rFonts w:cs="Calibri"/>
          <w:b/>
          <w:bCs/>
        </w:rPr>
        <w:t xml:space="preserve">Use the </w:t>
      </w:r>
      <w:hyperlink r:id="rId10" w:history="1">
        <w:r w:rsidRPr="00CF1118">
          <w:rPr>
            <w:rFonts w:cs="Calibri"/>
            <w:b/>
            <w:bCs/>
            <w:color w:val="0000FF"/>
            <w:u w:val="single"/>
          </w:rPr>
          <w:t>PHN Contacts</w:t>
        </w:r>
      </w:hyperlink>
      <w:r w:rsidRPr="00CF1118">
        <w:rPr>
          <w:rFonts w:cs="Calibri"/>
          <w:b/>
          <w:bCs/>
        </w:rPr>
        <w:t xml:space="preserve"> to identify the local PHN for your area.</w:t>
      </w:r>
    </w:p>
    <w:p w14:paraId="61B6C853" w14:textId="77777777" w:rsidR="00A34E94" w:rsidRPr="00CF1118" w:rsidRDefault="00A34E94" w:rsidP="00296619">
      <w:pPr>
        <w:pStyle w:val="Heading2"/>
      </w:pPr>
      <w:r w:rsidRPr="00CF1118">
        <w:t>PIP Eligible Data Set</w:t>
      </w:r>
    </w:p>
    <w:p w14:paraId="3C3014C2" w14:textId="77777777" w:rsidR="004248E7" w:rsidRPr="00CF1118" w:rsidRDefault="00A34E94" w:rsidP="00296619">
      <w:pPr>
        <w:pStyle w:val="Paragraphtext"/>
      </w:pPr>
      <w:r w:rsidRPr="00CF1118">
        <w:t xml:space="preserve">The PIP Eligible Data Set is the data </w:t>
      </w:r>
      <w:r w:rsidR="008E4CF0" w:rsidRPr="00CF1118">
        <w:t xml:space="preserve">collected against the </w:t>
      </w:r>
      <w:r w:rsidR="004F53C7" w:rsidRPr="00CF1118">
        <w:t xml:space="preserve">specified </w:t>
      </w:r>
      <w:r w:rsidRPr="00CF1118">
        <w:t>Improvement Measures</w:t>
      </w:r>
      <w:r w:rsidR="003668BE" w:rsidRPr="00CF1118">
        <w:t>.</w:t>
      </w:r>
    </w:p>
    <w:p w14:paraId="1B9932F1" w14:textId="77777777" w:rsidR="00D470BB" w:rsidRPr="00CF1118" w:rsidRDefault="009E6C31" w:rsidP="00296619">
      <w:pPr>
        <w:pStyle w:val="Paragraphtext"/>
      </w:pPr>
      <w:r w:rsidRPr="00CF1118">
        <w:t>This data set</w:t>
      </w:r>
      <w:r w:rsidR="00AD6F0F" w:rsidRPr="00CF1118">
        <w:t xml:space="preserve"> must </w:t>
      </w:r>
      <w:r w:rsidRPr="00CF1118">
        <w:t xml:space="preserve">be </w:t>
      </w:r>
      <w:r w:rsidR="004123B1" w:rsidRPr="00CF1118">
        <w:t xml:space="preserve">managed in accordance with the PIP Eligible Data </w:t>
      </w:r>
      <w:r w:rsidR="0099224F" w:rsidRPr="00CF1118">
        <w:t xml:space="preserve">Set Data Governance Framework. </w:t>
      </w:r>
      <w:r w:rsidR="000717B4" w:rsidRPr="00CF1118">
        <w:t xml:space="preserve">After </w:t>
      </w:r>
      <w:r w:rsidR="00E170D1">
        <w:t xml:space="preserve">PIP QI Incentive </w:t>
      </w:r>
      <w:proofErr w:type="gramStart"/>
      <w:r w:rsidR="000717B4" w:rsidRPr="00CF1118">
        <w:t>registration</w:t>
      </w:r>
      <w:proofErr w:type="gramEnd"/>
      <w:r w:rsidR="000717B4" w:rsidRPr="00CF1118">
        <w:t xml:space="preserve"> t</w:t>
      </w:r>
      <w:r w:rsidR="004123B1" w:rsidRPr="00CF1118">
        <w:t xml:space="preserve">he data set must be </w:t>
      </w:r>
      <w:r w:rsidRPr="00CF1118">
        <w:t xml:space="preserve">electronically </w:t>
      </w:r>
      <w:r w:rsidR="00A624C5" w:rsidRPr="00CF1118">
        <w:t>submit</w:t>
      </w:r>
      <w:r w:rsidRPr="00CF1118">
        <w:t>ted to a general practice’s local PHN on a quarterly basis within the data submission per</w:t>
      </w:r>
      <w:r w:rsidR="007511E4" w:rsidRPr="00CF1118">
        <w:t xml:space="preserve">iod. </w:t>
      </w:r>
      <w:r w:rsidR="00AD6F0F" w:rsidRPr="00CF1118">
        <w:t xml:space="preserve">PHNs will provide feedback to </w:t>
      </w:r>
      <w:r w:rsidRPr="00CF1118">
        <w:t xml:space="preserve">help </w:t>
      </w:r>
      <w:r w:rsidR="00AD6F0F" w:rsidRPr="00CF1118">
        <w:t>general practices</w:t>
      </w:r>
      <w:r w:rsidR="004C606B" w:rsidRPr="00CF1118">
        <w:t xml:space="preserve"> </w:t>
      </w:r>
      <w:r w:rsidR="00AD6F0F" w:rsidRPr="00CF1118">
        <w:t xml:space="preserve">identify priority areas and </w:t>
      </w:r>
      <w:r w:rsidRPr="00CF1118">
        <w:t xml:space="preserve">continuous </w:t>
      </w:r>
      <w:r w:rsidR="00AD6F0F" w:rsidRPr="00CF1118">
        <w:t>quality improvement activities.</w:t>
      </w:r>
    </w:p>
    <w:p w14:paraId="5F440092" w14:textId="77777777" w:rsidR="004248E7" w:rsidRPr="00CF1118" w:rsidRDefault="00AC6628" w:rsidP="00296619">
      <w:pPr>
        <w:pStyle w:val="Paragraphtext"/>
      </w:pPr>
      <w:r w:rsidRPr="00CF1118">
        <w:t xml:space="preserve">Participation in the PIP QI Incentive </w:t>
      </w:r>
      <w:r w:rsidR="00A37ED4" w:rsidRPr="00CF1118">
        <w:t>does not</w:t>
      </w:r>
      <w:r w:rsidRPr="00CF1118">
        <w:t xml:space="preserve"> change existing data ownership arrangements of patient data</w:t>
      </w:r>
      <w:r w:rsidR="00FD0BC8" w:rsidRPr="00CF1118">
        <w:t>. T</w:t>
      </w:r>
      <w:r w:rsidR="005D01B9" w:rsidRPr="00CF1118">
        <w:t xml:space="preserve">his means </w:t>
      </w:r>
      <w:r w:rsidR="00A624C5" w:rsidRPr="00CF1118">
        <w:t xml:space="preserve">the </w:t>
      </w:r>
      <w:r w:rsidRPr="00CF1118">
        <w:t>Department of Health will not have access to an individual general practice’s PIP Eligible Data Set.</w:t>
      </w:r>
    </w:p>
    <w:p w14:paraId="4ED6C3A5" w14:textId="77777777" w:rsidR="00296619" w:rsidRPr="00CF1118" w:rsidRDefault="00E93881" w:rsidP="00296619">
      <w:pPr>
        <w:pStyle w:val="Paragraphtext"/>
      </w:pPr>
      <w:r w:rsidRPr="00CF1118">
        <w:t>A</w:t>
      </w:r>
      <w:r w:rsidR="00164248" w:rsidRPr="00CF1118">
        <w:t xml:space="preserve"> set of ten Improvement Measures </w:t>
      </w:r>
      <w:r w:rsidR="00BC7D17" w:rsidRPr="00CF1118">
        <w:t xml:space="preserve">has </w:t>
      </w:r>
      <w:r w:rsidR="00164248" w:rsidRPr="00CF1118">
        <w:t xml:space="preserve">been developed based on the </w:t>
      </w:r>
      <w:hyperlink r:id="rId11" w:history="1">
        <w:proofErr w:type="spellStart"/>
        <w:r w:rsidR="00164248" w:rsidRPr="00CF1118">
          <w:rPr>
            <w:rStyle w:val="Hyperlink"/>
            <w:b/>
          </w:rPr>
          <w:t>nKPIs</w:t>
        </w:r>
        <w:proofErr w:type="spellEnd"/>
      </w:hyperlink>
      <w:r w:rsidR="00164248" w:rsidRPr="00CF1118">
        <w:t xml:space="preserve"> and adapted for broader use across all general practices.</w:t>
      </w:r>
    </w:p>
    <w:p w14:paraId="201C6C48" w14:textId="77777777" w:rsidR="00296619" w:rsidRPr="00CF1118" w:rsidRDefault="00296619" w:rsidP="00296619">
      <w:pPr>
        <w:rPr>
          <w:rFonts w:eastAsia="Times New Roman"/>
          <w:szCs w:val="24"/>
          <w:lang w:eastAsia="en-US"/>
        </w:rPr>
      </w:pPr>
      <w:r w:rsidRPr="00CF1118">
        <w:br w:type="page"/>
      </w:r>
    </w:p>
    <w:p w14:paraId="7D72C9BD" w14:textId="77777777" w:rsidR="004248E7" w:rsidRPr="00CF1118" w:rsidRDefault="0025669B" w:rsidP="00296619">
      <w:pPr>
        <w:pStyle w:val="Paragraphtext"/>
      </w:pPr>
      <w:r w:rsidRPr="00CF1118">
        <w:rPr>
          <w:rFonts w:cstheme="minorHAnsi"/>
          <w:color w:val="0D0D0D" w:themeColor="text1" w:themeTint="F2"/>
        </w:rPr>
        <w:lastRenderedPageBreak/>
        <w:t xml:space="preserve">The </w:t>
      </w:r>
      <w:r w:rsidR="005421A5" w:rsidRPr="00CF1118">
        <w:rPr>
          <w:rFonts w:cstheme="minorHAnsi"/>
          <w:color w:val="0D0D0D" w:themeColor="text1" w:themeTint="F2"/>
        </w:rPr>
        <w:t xml:space="preserve">ten </w:t>
      </w:r>
      <w:r w:rsidRPr="00CF1118">
        <w:rPr>
          <w:rFonts w:cstheme="minorHAnsi"/>
          <w:color w:val="0D0D0D" w:themeColor="text1" w:themeTint="F2"/>
        </w:rPr>
        <w:t xml:space="preserve">Improvement Measures </w:t>
      </w:r>
      <w:r w:rsidR="003E1F16" w:rsidRPr="00CF1118">
        <w:rPr>
          <w:rFonts w:cstheme="minorHAnsi"/>
          <w:color w:val="0D0D0D" w:themeColor="text1" w:themeTint="F2"/>
        </w:rPr>
        <w:t>do</w:t>
      </w:r>
      <w:r w:rsidR="00060AB4" w:rsidRPr="00CF1118">
        <w:rPr>
          <w:rFonts w:cstheme="minorHAnsi"/>
          <w:color w:val="0D0D0D" w:themeColor="text1" w:themeTint="F2"/>
        </w:rPr>
        <w:t xml:space="preserve"> not</w:t>
      </w:r>
      <w:r w:rsidRPr="00CF1118">
        <w:rPr>
          <w:rFonts w:cstheme="minorHAnsi"/>
          <w:color w:val="0D0D0D" w:themeColor="text1" w:themeTint="F2"/>
        </w:rPr>
        <w:t xml:space="preserve"> assess </w:t>
      </w:r>
      <w:r w:rsidR="00D470BB" w:rsidRPr="00CF1118">
        <w:rPr>
          <w:rFonts w:cstheme="minorHAnsi"/>
          <w:color w:val="0D0D0D" w:themeColor="text1" w:themeTint="F2"/>
        </w:rPr>
        <w:t xml:space="preserve">an </w:t>
      </w:r>
      <w:r w:rsidR="000C75A9" w:rsidRPr="00CF1118">
        <w:rPr>
          <w:rFonts w:cstheme="minorHAnsi"/>
          <w:color w:val="0D0D0D" w:themeColor="text1" w:themeTint="F2"/>
        </w:rPr>
        <w:t>individual general practice or G</w:t>
      </w:r>
      <w:r w:rsidRPr="00CF1118">
        <w:rPr>
          <w:rFonts w:cstheme="minorHAnsi"/>
          <w:color w:val="0D0D0D" w:themeColor="text1" w:themeTint="F2"/>
        </w:rPr>
        <w:t xml:space="preserve">eneral </w:t>
      </w:r>
      <w:r w:rsidR="000C75A9" w:rsidRPr="00CF1118">
        <w:rPr>
          <w:rFonts w:cstheme="minorHAnsi"/>
          <w:color w:val="0D0D0D" w:themeColor="text1" w:themeTint="F2"/>
        </w:rPr>
        <w:t>P</w:t>
      </w:r>
      <w:r w:rsidRPr="00CF1118">
        <w:rPr>
          <w:rFonts w:cstheme="minorHAnsi"/>
          <w:color w:val="0D0D0D" w:themeColor="text1" w:themeTint="F2"/>
        </w:rPr>
        <w:t xml:space="preserve">ractitioner performance. </w:t>
      </w:r>
      <w:r w:rsidR="00D7173E" w:rsidRPr="00CF1118">
        <w:t>They represent key health priority areas</w:t>
      </w:r>
      <w:r w:rsidR="003E1F16" w:rsidRPr="00CF1118">
        <w:t>,</w:t>
      </w:r>
      <w:r w:rsidR="00D7173E" w:rsidRPr="00CF1118">
        <w:t xml:space="preserve"> including those chronic diseases which reflect the highest areas of disease burden for the Australian population</w:t>
      </w:r>
      <w:r w:rsidR="003E1F16" w:rsidRPr="00CF1118">
        <w:t>,</w:t>
      </w:r>
      <w:r w:rsidR="00D7173E" w:rsidRPr="00CF1118">
        <w:t xml:space="preserve"> and their associated risk factors.</w:t>
      </w:r>
      <w:r w:rsidR="00AC6628" w:rsidRPr="00CF1118">
        <w:t xml:space="preserve"> Data collected through the PIP QI Incentive will be used to benefit patients directly at the practice level and to inform PHN regional planning and contribute to national health policy.</w:t>
      </w:r>
    </w:p>
    <w:p w14:paraId="37B251B8" w14:textId="77777777" w:rsidR="002B135F" w:rsidRPr="00CF1118" w:rsidRDefault="00085460" w:rsidP="00296619">
      <w:pPr>
        <w:pStyle w:val="Paragraphtext"/>
        <w:rPr>
          <w:b/>
          <w:bCs/>
        </w:rPr>
      </w:pPr>
      <w:r w:rsidRPr="00CF1118">
        <w:t>ACCHS and</w:t>
      </w:r>
      <w:r w:rsidR="00922217" w:rsidRPr="00CF1118">
        <w:t xml:space="preserve"> other</w:t>
      </w:r>
      <w:r w:rsidRPr="00CF1118">
        <w:t xml:space="preserve"> </w:t>
      </w:r>
      <w:r w:rsidR="002B135F" w:rsidRPr="00CF1118">
        <w:t xml:space="preserve">IAHP funded organisations will meet this requirement by continuing to </w:t>
      </w:r>
      <w:r w:rsidR="001B1A3A" w:rsidRPr="00CF1118">
        <w:t xml:space="preserve">report on the </w:t>
      </w:r>
      <w:hyperlink r:id="rId12" w:history="1">
        <w:proofErr w:type="spellStart"/>
        <w:r w:rsidR="002B135F" w:rsidRPr="00CF1118">
          <w:rPr>
            <w:rStyle w:val="Hyperlink"/>
            <w:b/>
          </w:rPr>
          <w:t>nKPI</w:t>
        </w:r>
        <w:proofErr w:type="spellEnd"/>
      </w:hyperlink>
      <w:r w:rsidR="002B135F" w:rsidRPr="00CF1118">
        <w:t xml:space="preserve"> data</w:t>
      </w:r>
      <w:r w:rsidR="00E336EB" w:rsidRPr="00CF1118">
        <w:t>.</w:t>
      </w:r>
      <w:r w:rsidR="002B135F" w:rsidRPr="00CF1118">
        <w:t xml:space="preserve"> </w:t>
      </w:r>
    </w:p>
    <w:p w14:paraId="4EF5D5A3" w14:textId="77777777" w:rsidR="002B135F" w:rsidRPr="00CF1118" w:rsidRDefault="00060AB4" w:rsidP="00296619">
      <w:pPr>
        <w:pStyle w:val="Paragraphtext"/>
        <w:rPr>
          <w:b/>
          <w:bCs/>
        </w:rPr>
      </w:pPr>
      <w:r w:rsidRPr="00CF1118">
        <w:rPr>
          <w:rFonts w:cs="Arial"/>
          <w:b/>
        </w:rPr>
        <w:t xml:space="preserve">Read more about the </w:t>
      </w:r>
      <w:hyperlink r:id="rId13" w:history="1">
        <w:r w:rsidRPr="009663B8">
          <w:rPr>
            <w:rStyle w:val="Hyperlink"/>
            <w:rFonts w:cs="Arial"/>
            <w:b/>
          </w:rPr>
          <w:t>Improvement Measures</w:t>
        </w:r>
      </w:hyperlink>
      <w:r w:rsidRPr="00694802">
        <w:rPr>
          <w:rFonts w:cs="Arial"/>
          <w:b/>
        </w:rPr>
        <w:t>.</w:t>
      </w:r>
      <w:r w:rsidRPr="00CF1118">
        <w:rPr>
          <w:b/>
          <w:bCs/>
        </w:rPr>
        <w:t xml:space="preserve"> </w:t>
      </w:r>
    </w:p>
    <w:p w14:paraId="4811A73B" w14:textId="77777777" w:rsidR="0084496D" w:rsidRPr="00CF1118" w:rsidRDefault="0084496D" w:rsidP="00A3214F">
      <w:pPr>
        <w:pStyle w:val="Heading1"/>
      </w:pPr>
      <w:r w:rsidRPr="00CF1118">
        <w:t xml:space="preserve">PIP </w:t>
      </w:r>
      <w:r w:rsidR="00933B2B" w:rsidRPr="00CF1118">
        <w:t xml:space="preserve">Eligible Data Set Data Governance Framework </w:t>
      </w:r>
    </w:p>
    <w:p w14:paraId="6849542E" w14:textId="77777777" w:rsidR="00060AB4" w:rsidRPr="00CF1118" w:rsidRDefault="00060AB4" w:rsidP="00296619">
      <w:pPr>
        <w:pStyle w:val="Paragraphtext"/>
      </w:pPr>
      <w:r w:rsidRPr="00CF1118">
        <w:t xml:space="preserve">The PIP Eligible Data Set Data Governance Framework is a </w:t>
      </w:r>
      <w:proofErr w:type="gramStart"/>
      <w:r w:rsidRPr="00CF1118">
        <w:t>principles based</w:t>
      </w:r>
      <w:proofErr w:type="gramEnd"/>
      <w:r w:rsidRPr="00CF1118">
        <w:t xml:space="preserve"> Framework that details the roles and responsibilities of all data custodians involved in the management of the PIP Eligible Data Set.</w:t>
      </w:r>
      <w:r w:rsidR="004123B1" w:rsidRPr="00CF1118">
        <w:t xml:space="preserve"> The data set must be managed in accordance with the Framework.</w:t>
      </w:r>
    </w:p>
    <w:p w14:paraId="602F4911" w14:textId="77777777" w:rsidR="00060AB4" w:rsidRPr="00CF1118" w:rsidRDefault="00060AB4" w:rsidP="00296619">
      <w:pPr>
        <w:pStyle w:val="Paragraphtext"/>
        <w:rPr>
          <w:u w:val="single"/>
        </w:rPr>
      </w:pPr>
      <w:r w:rsidRPr="00CF1118">
        <w:rPr>
          <w:rFonts w:cs="Arial"/>
          <w:b/>
          <w:bCs/>
        </w:rPr>
        <w:t xml:space="preserve">Read more about the </w:t>
      </w:r>
      <w:hyperlink r:id="rId14" w:history="1">
        <w:r w:rsidRPr="00694802">
          <w:rPr>
            <w:rStyle w:val="Hyperlink"/>
            <w:rFonts w:cs="Arial"/>
            <w:b/>
            <w:bCs/>
          </w:rPr>
          <w:t>PIP Eligible Data Set Data Governance Framework</w:t>
        </w:r>
      </w:hyperlink>
      <w:r w:rsidRPr="00694802">
        <w:rPr>
          <w:rFonts w:cs="Arial"/>
          <w:b/>
          <w:bCs/>
        </w:rPr>
        <w:t>.</w:t>
      </w:r>
      <w:r w:rsidRPr="00694802">
        <w:t xml:space="preserve"> </w:t>
      </w:r>
    </w:p>
    <w:p w14:paraId="111301A5" w14:textId="77777777" w:rsidR="00A34E94" w:rsidRPr="00CF1118" w:rsidRDefault="00A34E94" w:rsidP="00A3214F">
      <w:pPr>
        <w:pStyle w:val="Heading1"/>
      </w:pPr>
      <w:r w:rsidRPr="00CF1118">
        <w:t xml:space="preserve">Eligibility </w:t>
      </w:r>
    </w:p>
    <w:p w14:paraId="2132E312" w14:textId="77777777" w:rsidR="004B0B44" w:rsidRPr="00CF1118" w:rsidRDefault="00553056" w:rsidP="00296619">
      <w:pPr>
        <w:pStyle w:val="Paragraphtext"/>
      </w:pPr>
      <w:r w:rsidRPr="00CF1118">
        <w:t xml:space="preserve">To be eligible to </w:t>
      </w:r>
      <w:r w:rsidR="00724FD8" w:rsidRPr="00CF1118">
        <w:t xml:space="preserve">receive a </w:t>
      </w:r>
      <w:proofErr w:type="gramStart"/>
      <w:r w:rsidR="00724FD8" w:rsidRPr="00CF1118">
        <w:t>PIP QI payment</w:t>
      </w:r>
      <w:r w:rsidR="004123B1" w:rsidRPr="00CF1118">
        <w:t xml:space="preserve"> g</w:t>
      </w:r>
      <w:r w:rsidR="004B0B44" w:rsidRPr="00CF1118">
        <w:t>eneral practices</w:t>
      </w:r>
      <w:proofErr w:type="gramEnd"/>
      <w:r w:rsidR="004B0B44" w:rsidRPr="00CF1118">
        <w:t xml:space="preserve"> </w:t>
      </w:r>
      <w:r w:rsidR="004B0B44" w:rsidRPr="00CF1118">
        <w:rPr>
          <w:b/>
        </w:rPr>
        <w:t>must</w:t>
      </w:r>
      <w:r w:rsidR="004B0B44" w:rsidRPr="00CF1118">
        <w:t>:</w:t>
      </w:r>
    </w:p>
    <w:p w14:paraId="383DF1FF" w14:textId="77777777" w:rsidR="004B0B44" w:rsidRPr="00CF1118" w:rsidRDefault="003873CF" w:rsidP="00AB0475">
      <w:pPr>
        <w:pStyle w:val="Paragraphtext"/>
        <w:numPr>
          <w:ilvl w:val="0"/>
          <w:numId w:val="44"/>
        </w:numPr>
        <w:ind w:left="709" w:hanging="283"/>
        <w:rPr>
          <w:b/>
        </w:rPr>
      </w:pPr>
      <w:r w:rsidRPr="00CF1118">
        <w:t>be eligible for</w:t>
      </w:r>
      <w:r w:rsidR="00AD6F0F" w:rsidRPr="00CF1118">
        <w:t xml:space="preserve"> the</w:t>
      </w:r>
      <w:r w:rsidR="004B0B44" w:rsidRPr="00CF1118">
        <w:t xml:space="preserve"> P</w:t>
      </w:r>
      <w:r w:rsidR="00692673" w:rsidRPr="00CF1118">
        <w:t>IP</w:t>
      </w:r>
    </w:p>
    <w:p w14:paraId="3B798FEA" w14:textId="77777777" w:rsidR="004B0B44" w:rsidRPr="00CF1118" w:rsidRDefault="004B0B44" w:rsidP="00AB0475">
      <w:pPr>
        <w:pStyle w:val="Paragraphtext"/>
        <w:numPr>
          <w:ilvl w:val="0"/>
          <w:numId w:val="44"/>
        </w:numPr>
        <w:ind w:left="709" w:hanging="283"/>
        <w:rPr>
          <w:b/>
        </w:rPr>
      </w:pPr>
      <w:r w:rsidRPr="00CF1118">
        <w:t>re</w:t>
      </w:r>
      <w:r w:rsidR="00D819E0" w:rsidRPr="00CF1118">
        <w:t>gister for the PIP QI Incentive</w:t>
      </w:r>
    </w:p>
    <w:p w14:paraId="4192DA66" w14:textId="77777777" w:rsidR="00340570" w:rsidRPr="00CF1118" w:rsidRDefault="004123B1" w:rsidP="00AB0475">
      <w:pPr>
        <w:pStyle w:val="Paragraphtext"/>
        <w:numPr>
          <w:ilvl w:val="0"/>
          <w:numId w:val="44"/>
        </w:numPr>
        <w:ind w:left="709" w:hanging="283"/>
        <w:rPr>
          <w:b/>
        </w:rPr>
      </w:pPr>
      <w:r w:rsidRPr="00CF1118">
        <w:t xml:space="preserve">electronically submit </w:t>
      </w:r>
      <w:r w:rsidR="00340570" w:rsidRPr="00CF1118">
        <w:t>the PIP Eligible Data Set to their local PHN</w:t>
      </w:r>
      <w:r w:rsidR="00C26A1F" w:rsidRPr="00CF1118">
        <w:t xml:space="preserve"> quarterly</w:t>
      </w:r>
    </w:p>
    <w:p w14:paraId="39D16574" w14:textId="77777777" w:rsidR="009F77BE" w:rsidRPr="00CF1118" w:rsidRDefault="00D819E0" w:rsidP="00AB0475">
      <w:pPr>
        <w:pStyle w:val="Paragraphtext"/>
        <w:numPr>
          <w:ilvl w:val="0"/>
          <w:numId w:val="44"/>
        </w:numPr>
        <w:ind w:left="709" w:hanging="283"/>
        <w:rPr>
          <w:b/>
          <w:bCs/>
        </w:rPr>
      </w:pPr>
      <w:r w:rsidRPr="00CF1118">
        <w:t xml:space="preserve">undertake </w:t>
      </w:r>
      <w:r w:rsidR="004123B1" w:rsidRPr="00CF1118">
        <w:t xml:space="preserve">continuous </w:t>
      </w:r>
      <w:r w:rsidRPr="00CF1118">
        <w:t xml:space="preserve">quality improvement activities </w:t>
      </w:r>
      <w:r w:rsidR="00A47F31" w:rsidRPr="00CF1118">
        <w:t>i</w:t>
      </w:r>
      <w:r w:rsidR="004B0B44" w:rsidRPr="00CF1118">
        <w:t xml:space="preserve">n partnership with </w:t>
      </w:r>
      <w:r w:rsidR="008662B1" w:rsidRPr="00CF1118">
        <w:t>their</w:t>
      </w:r>
      <w:r w:rsidR="004B0B44" w:rsidRPr="00CF1118">
        <w:t xml:space="preserve"> local PHN</w:t>
      </w:r>
      <w:r w:rsidR="000C75A9" w:rsidRPr="00CF1118">
        <w:t>.</w:t>
      </w:r>
    </w:p>
    <w:p w14:paraId="312DEA49" w14:textId="77777777" w:rsidR="004B0B44" w:rsidRPr="00CF1118" w:rsidRDefault="004123B1" w:rsidP="00296619">
      <w:pPr>
        <w:pStyle w:val="Paragraphtext"/>
        <w:rPr>
          <w:bCs/>
        </w:rPr>
      </w:pPr>
      <w:r w:rsidRPr="00CF1118">
        <w:t xml:space="preserve">To be eligible to receive a PIP QI payment </w:t>
      </w:r>
      <w:r w:rsidR="008A1DB2" w:rsidRPr="00CF1118">
        <w:rPr>
          <w:rFonts w:cs="Calibri"/>
          <w:sz w:val="24"/>
        </w:rPr>
        <w:t xml:space="preserve">ACCHS </w:t>
      </w:r>
      <w:r w:rsidR="008A1DB2" w:rsidRPr="00CF1118">
        <w:t xml:space="preserve">and other </w:t>
      </w:r>
      <w:r w:rsidR="00E27B54" w:rsidRPr="00CF1118">
        <w:t xml:space="preserve">IAHP </w:t>
      </w:r>
      <w:r w:rsidR="008A1DB2" w:rsidRPr="00CF1118">
        <w:t>organisations</w:t>
      </w:r>
      <w:r w:rsidR="0099224F" w:rsidRPr="00CF1118">
        <w:t xml:space="preserve"> </w:t>
      </w:r>
      <w:r w:rsidR="004B0B44" w:rsidRPr="00CF1118">
        <w:rPr>
          <w:b/>
          <w:bCs/>
        </w:rPr>
        <w:t>must:</w:t>
      </w:r>
    </w:p>
    <w:p w14:paraId="4981AF83" w14:textId="77777777" w:rsidR="00D819E0" w:rsidRPr="00CF1118" w:rsidRDefault="003873CF" w:rsidP="00AB0475">
      <w:pPr>
        <w:pStyle w:val="Paragraphtext"/>
        <w:numPr>
          <w:ilvl w:val="0"/>
          <w:numId w:val="44"/>
        </w:numPr>
        <w:ind w:left="709" w:hanging="283"/>
        <w:rPr>
          <w:b/>
        </w:rPr>
      </w:pPr>
      <w:r w:rsidRPr="00CF1118">
        <w:t>be eligible for</w:t>
      </w:r>
      <w:r w:rsidR="00D819E0" w:rsidRPr="00CF1118">
        <w:t xml:space="preserve"> the P</w:t>
      </w:r>
      <w:r w:rsidR="00692673" w:rsidRPr="00CF1118">
        <w:t>IP</w:t>
      </w:r>
    </w:p>
    <w:p w14:paraId="0F3708E3" w14:textId="77777777" w:rsidR="00D819E0" w:rsidRPr="00CF1118" w:rsidRDefault="004B0B44" w:rsidP="00AB0475">
      <w:pPr>
        <w:pStyle w:val="Paragraphtext"/>
        <w:numPr>
          <w:ilvl w:val="0"/>
          <w:numId w:val="44"/>
        </w:numPr>
        <w:ind w:left="709" w:hanging="283"/>
        <w:rPr>
          <w:b/>
        </w:rPr>
      </w:pPr>
      <w:r w:rsidRPr="00CF1118">
        <w:t>reg</w:t>
      </w:r>
      <w:r w:rsidR="00D819E0" w:rsidRPr="00CF1118">
        <w:t>ister for the PIP QI Incentive</w:t>
      </w:r>
    </w:p>
    <w:p w14:paraId="4D5CAD34" w14:textId="77777777" w:rsidR="004B0B44" w:rsidRPr="00CF1118" w:rsidRDefault="00DD084F" w:rsidP="00AB0475">
      <w:pPr>
        <w:pStyle w:val="Paragraphtext"/>
        <w:numPr>
          <w:ilvl w:val="0"/>
          <w:numId w:val="44"/>
        </w:numPr>
        <w:ind w:left="709" w:hanging="283"/>
        <w:rPr>
          <w:b/>
        </w:rPr>
      </w:pPr>
      <w:r w:rsidRPr="00CF1118">
        <w:t xml:space="preserve">report </w:t>
      </w:r>
      <w:r w:rsidR="00D819E0" w:rsidRPr="00CF1118">
        <w:t xml:space="preserve">on the </w:t>
      </w:r>
      <w:hyperlink r:id="rId15" w:history="1">
        <w:proofErr w:type="spellStart"/>
        <w:r w:rsidR="00D819E0" w:rsidRPr="00CF1118">
          <w:rPr>
            <w:rStyle w:val="Hyperlink"/>
            <w:b/>
          </w:rPr>
          <w:t>nKPIs</w:t>
        </w:r>
        <w:proofErr w:type="spellEnd"/>
      </w:hyperlink>
      <w:r w:rsidR="00D819E0" w:rsidRPr="00CF1118">
        <w:t xml:space="preserve"> </w:t>
      </w:r>
      <w:r w:rsidR="00340570" w:rsidRPr="00CF1118">
        <w:t>to the Department of Health</w:t>
      </w:r>
    </w:p>
    <w:p w14:paraId="776D7B54" w14:textId="77777777" w:rsidR="004248E7" w:rsidRPr="00CF1118" w:rsidRDefault="00340570" w:rsidP="00AB0475">
      <w:pPr>
        <w:pStyle w:val="Paragraphtext"/>
        <w:numPr>
          <w:ilvl w:val="0"/>
          <w:numId w:val="44"/>
        </w:numPr>
        <w:ind w:left="709" w:hanging="283"/>
      </w:pPr>
      <w:r w:rsidRPr="00CF1118">
        <w:t xml:space="preserve">undertake quality improvement activities </w:t>
      </w:r>
      <w:r w:rsidR="004020DE" w:rsidRPr="00CF1118">
        <w:t>within their existing arrangemen</w:t>
      </w:r>
      <w:r w:rsidR="000C75A9" w:rsidRPr="00CF1118">
        <w:t>t with the Department of Health.</w:t>
      </w:r>
    </w:p>
    <w:p w14:paraId="3E2144BF" w14:textId="77777777" w:rsidR="00C5487C" w:rsidRPr="00CF1118" w:rsidRDefault="00E27B54" w:rsidP="00296619">
      <w:pPr>
        <w:pStyle w:val="Paragraphtext"/>
      </w:pPr>
      <w:r w:rsidRPr="00CF1118">
        <w:rPr>
          <w:szCs w:val="22"/>
        </w:rPr>
        <w:lastRenderedPageBreak/>
        <w:t xml:space="preserve">ACCHS and other </w:t>
      </w:r>
      <w:r w:rsidR="000F63B7" w:rsidRPr="00CF1118">
        <w:rPr>
          <w:szCs w:val="22"/>
        </w:rPr>
        <w:t>IAHP funded organisations</w:t>
      </w:r>
      <w:r w:rsidR="004B0B44" w:rsidRPr="00CF1118">
        <w:rPr>
          <w:szCs w:val="22"/>
        </w:rPr>
        <w:t xml:space="preserve"> may choose to share data with their local PHN</w:t>
      </w:r>
      <w:r w:rsidR="000A6874" w:rsidRPr="00CF1118">
        <w:rPr>
          <w:szCs w:val="22"/>
        </w:rPr>
        <w:t>. H</w:t>
      </w:r>
      <w:r w:rsidR="00761662" w:rsidRPr="00CF1118">
        <w:rPr>
          <w:szCs w:val="22"/>
        </w:rPr>
        <w:t>owever, they</w:t>
      </w:r>
      <w:r w:rsidR="004B0B44" w:rsidRPr="00CF1118">
        <w:rPr>
          <w:szCs w:val="22"/>
        </w:rPr>
        <w:t xml:space="preserve"> </w:t>
      </w:r>
      <w:r w:rsidR="00706D04" w:rsidRPr="00CF1118">
        <w:rPr>
          <w:szCs w:val="22"/>
        </w:rPr>
        <w:t>don’t need</w:t>
      </w:r>
      <w:r w:rsidR="004B0B44" w:rsidRPr="00CF1118">
        <w:rPr>
          <w:szCs w:val="22"/>
        </w:rPr>
        <w:t xml:space="preserve"> to do </w:t>
      </w:r>
      <w:r w:rsidR="00706D04" w:rsidRPr="00CF1118">
        <w:rPr>
          <w:szCs w:val="22"/>
        </w:rPr>
        <w:t>this</w:t>
      </w:r>
      <w:r w:rsidR="00761662" w:rsidRPr="00CF1118">
        <w:rPr>
          <w:szCs w:val="22"/>
        </w:rPr>
        <w:t xml:space="preserve"> </w:t>
      </w:r>
      <w:proofErr w:type="gramStart"/>
      <w:r w:rsidR="004B0B44" w:rsidRPr="00CF1118">
        <w:rPr>
          <w:szCs w:val="22"/>
        </w:rPr>
        <w:t>in order to</w:t>
      </w:r>
      <w:proofErr w:type="gramEnd"/>
      <w:r w:rsidR="004B0B44" w:rsidRPr="00CF1118">
        <w:rPr>
          <w:szCs w:val="22"/>
        </w:rPr>
        <w:t xml:space="preserve"> receive the PIP QI Incentive payment. </w:t>
      </w:r>
      <w:r w:rsidR="000F63B7" w:rsidRPr="00CF1118">
        <w:rPr>
          <w:szCs w:val="22"/>
        </w:rPr>
        <w:t xml:space="preserve">They are not required </w:t>
      </w:r>
      <w:r w:rsidR="00A47F31" w:rsidRPr="00CF1118">
        <w:rPr>
          <w:szCs w:val="22"/>
        </w:rPr>
        <w:t>to report on the ten</w:t>
      </w:r>
      <w:r w:rsidR="00A47F31" w:rsidRPr="00CF1118">
        <w:t xml:space="preserve"> Improvement Measures.</w:t>
      </w:r>
    </w:p>
    <w:p w14:paraId="1D571759" w14:textId="77777777" w:rsidR="001501E0" w:rsidRPr="00CF1118" w:rsidRDefault="00D470BB" w:rsidP="00A3214F">
      <w:pPr>
        <w:pStyle w:val="Heading1"/>
      </w:pPr>
      <w:r w:rsidRPr="00CF1118">
        <w:t>P</w:t>
      </w:r>
      <w:r w:rsidR="001501E0" w:rsidRPr="00CF1118">
        <w:t xml:space="preserve">ayments </w:t>
      </w:r>
    </w:p>
    <w:p w14:paraId="31278182" w14:textId="77777777" w:rsidR="00ED241D" w:rsidRPr="00CF1118" w:rsidRDefault="00D470BB" w:rsidP="00296619">
      <w:pPr>
        <w:pStyle w:val="Paragraphtext"/>
      </w:pPr>
      <w:r w:rsidRPr="00CF1118">
        <w:rPr>
          <w:spacing w:val="-2"/>
        </w:rPr>
        <w:t>T</w:t>
      </w:r>
      <w:r w:rsidR="000525AE" w:rsidRPr="00CF1118">
        <w:rPr>
          <w:spacing w:val="-2"/>
        </w:rPr>
        <w:t xml:space="preserve">he </w:t>
      </w:r>
      <w:r w:rsidR="000525AE" w:rsidRPr="00CF1118">
        <w:t xml:space="preserve">PIP QI Incentive </w:t>
      </w:r>
      <w:r w:rsidR="00F82700" w:rsidRPr="00CF1118">
        <w:t>is</w:t>
      </w:r>
      <w:r w:rsidR="000525AE" w:rsidRPr="00CF1118">
        <w:t xml:space="preserve"> administered </w:t>
      </w:r>
      <w:r w:rsidR="00BC6B2E" w:rsidRPr="00CF1118">
        <w:t xml:space="preserve">by </w:t>
      </w:r>
      <w:r w:rsidR="000525AE" w:rsidRPr="00CF1118">
        <w:t>the Department of Human Services</w:t>
      </w:r>
      <w:r w:rsidR="001D54D2" w:rsidRPr="00CF1118">
        <w:t xml:space="preserve"> (Human Services)</w:t>
      </w:r>
      <w:r w:rsidR="000A6874" w:rsidRPr="00CF1118">
        <w:t xml:space="preserve">. </w:t>
      </w:r>
      <w:r w:rsidR="006B1B86" w:rsidRPr="00CF1118">
        <w:t>Human Services</w:t>
      </w:r>
      <w:r w:rsidR="00ED241D" w:rsidRPr="00CF1118">
        <w:t xml:space="preserve"> will </w:t>
      </w:r>
      <w:r w:rsidR="00BC6B2E" w:rsidRPr="00CF1118">
        <w:t xml:space="preserve">make </w:t>
      </w:r>
      <w:r w:rsidR="00ED241D" w:rsidRPr="00CF1118">
        <w:t xml:space="preserve">the PIP QI payment </w:t>
      </w:r>
      <w:r w:rsidR="00BC6B2E" w:rsidRPr="00CF1118">
        <w:t xml:space="preserve">quarterly </w:t>
      </w:r>
      <w:r w:rsidR="00ED241D" w:rsidRPr="00CF1118">
        <w:t xml:space="preserve">to the </w:t>
      </w:r>
      <w:r w:rsidR="00BC6B2E" w:rsidRPr="00CF1118">
        <w:t xml:space="preserve">nominated bank account of the </w:t>
      </w:r>
      <w:r w:rsidR="00ED241D" w:rsidRPr="00CF1118">
        <w:t>practice</w:t>
      </w:r>
      <w:r w:rsidR="00BC6B2E" w:rsidRPr="00CF1118">
        <w:t>.</w:t>
      </w:r>
      <w:r w:rsidR="00ED241D" w:rsidRPr="00CF1118">
        <w:t xml:space="preserve"> </w:t>
      </w:r>
    </w:p>
    <w:p w14:paraId="53A01957" w14:textId="77777777" w:rsidR="00060AB4" w:rsidRPr="00CF1118" w:rsidRDefault="00060AB4" w:rsidP="00296619">
      <w:pPr>
        <w:pStyle w:val="Paragraphtext"/>
        <w:rPr>
          <w:rFonts w:cs="Arial"/>
        </w:rPr>
      </w:pPr>
      <w:r w:rsidRPr="00CF1118">
        <w:rPr>
          <w:rFonts w:cs="Arial"/>
        </w:rPr>
        <w:t>Eligible practices can receive a maximum payment of $</w:t>
      </w:r>
      <w:r w:rsidR="00780D9D" w:rsidRPr="00CF1118">
        <w:rPr>
          <w:rFonts w:cs="Arial"/>
        </w:rPr>
        <w:t>12,5</w:t>
      </w:r>
      <w:r w:rsidR="004123B1" w:rsidRPr="00CF1118">
        <w:rPr>
          <w:rFonts w:cs="Arial"/>
        </w:rPr>
        <w:t>00</w:t>
      </w:r>
      <w:r w:rsidRPr="00CF1118">
        <w:rPr>
          <w:rFonts w:cs="Arial"/>
        </w:rPr>
        <w:t xml:space="preserve"> </w:t>
      </w:r>
      <w:r w:rsidR="00780D9D" w:rsidRPr="00CF1118">
        <w:rPr>
          <w:rFonts w:cs="Arial"/>
        </w:rPr>
        <w:t xml:space="preserve">per quarter, based on </w:t>
      </w:r>
      <w:r w:rsidRPr="00CF1118">
        <w:rPr>
          <w:rFonts w:cs="Arial"/>
        </w:rPr>
        <w:t>$</w:t>
      </w:r>
      <w:r w:rsidR="004123B1" w:rsidRPr="00CF1118">
        <w:rPr>
          <w:rFonts w:cs="Arial"/>
        </w:rPr>
        <w:t xml:space="preserve">5.00 </w:t>
      </w:r>
      <w:r w:rsidRPr="00CF1118">
        <w:rPr>
          <w:rFonts w:cs="Arial"/>
        </w:rPr>
        <w:t xml:space="preserve">per Standardised Whole Patient Equivalent, per year. </w:t>
      </w:r>
      <w:r w:rsidR="00105A27" w:rsidRPr="00CF1118">
        <w:rPr>
          <w:rFonts w:cs="Arial"/>
        </w:rPr>
        <w:t xml:space="preserve">In order to receive a </w:t>
      </w:r>
      <w:proofErr w:type="gramStart"/>
      <w:r w:rsidR="00105A27" w:rsidRPr="00CF1118">
        <w:rPr>
          <w:rFonts w:cs="Arial"/>
        </w:rPr>
        <w:t>payment general practices</w:t>
      </w:r>
      <w:proofErr w:type="gramEnd"/>
      <w:r w:rsidR="00105A27" w:rsidRPr="00CF1118">
        <w:rPr>
          <w:rFonts w:cs="Arial"/>
        </w:rPr>
        <w:t xml:space="preserve"> must have submitted their quarterly data </w:t>
      </w:r>
      <w:r w:rsidR="00314455" w:rsidRPr="00CF1118">
        <w:rPr>
          <w:rFonts w:cs="Arial"/>
        </w:rPr>
        <w:t xml:space="preserve">at least once </w:t>
      </w:r>
      <w:r w:rsidR="00105A27" w:rsidRPr="00CF1118">
        <w:rPr>
          <w:rFonts w:cs="Arial"/>
        </w:rPr>
        <w:t xml:space="preserve">during the data submission period for that quarter. ACCHS </w:t>
      </w:r>
      <w:r w:rsidR="0004266F" w:rsidRPr="00CF1118">
        <w:rPr>
          <w:rFonts w:cs="Arial"/>
        </w:rPr>
        <w:t xml:space="preserve">and </w:t>
      </w:r>
      <w:r w:rsidR="00BF5B99" w:rsidRPr="00CF1118">
        <w:rPr>
          <w:rFonts w:cs="Arial"/>
        </w:rPr>
        <w:t xml:space="preserve">other </w:t>
      </w:r>
      <w:r w:rsidR="0004266F" w:rsidRPr="00CF1118">
        <w:rPr>
          <w:rFonts w:cs="Arial"/>
        </w:rPr>
        <w:t xml:space="preserve">IAHP organisations </w:t>
      </w:r>
      <w:r w:rsidR="00105A27" w:rsidRPr="00CF1118">
        <w:rPr>
          <w:rFonts w:cs="Arial"/>
        </w:rPr>
        <w:t xml:space="preserve">will provide </w:t>
      </w:r>
      <w:hyperlink r:id="rId16" w:history="1">
        <w:proofErr w:type="spellStart"/>
        <w:r w:rsidR="00105A27" w:rsidRPr="00CF1118">
          <w:rPr>
            <w:rStyle w:val="Hyperlink"/>
            <w:rFonts w:cs="Arial"/>
            <w:b/>
          </w:rPr>
          <w:t>nKPI</w:t>
        </w:r>
        <w:proofErr w:type="spellEnd"/>
      </w:hyperlink>
      <w:r w:rsidR="00105A27" w:rsidRPr="00CF1118">
        <w:rPr>
          <w:rFonts w:cs="Arial"/>
        </w:rPr>
        <w:t xml:space="preserve"> data within their existing arrangement with the Department of Health.</w:t>
      </w:r>
    </w:p>
    <w:p w14:paraId="3FF8F287" w14:textId="77777777" w:rsidR="00CC5C58" w:rsidRPr="00CF1118" w:rsidRDefault="00296619" w:rsidP="00AB0475">
      <w:pPr>
        <w:pStyle w:val="Paragraphtext"/>
        <w:rPr>
          <w:b/>
        </w:rPr>
      </w:pPr>
      <w:r w:rsidRPr="00E170D1">
        <w:rPr>
          <w:b/>
        </w:rPr>
        <w:t xml:space="preserve">Table </w:t>
      </w:r>
      <w:r w:rsidRPr="00E170D1">
        <w:rPr>
          <w:b/>
        </w:rPr>
        <w:fldChar w:fldCharType="begin"/>
      </w:r>
      <w:r w:rsidRPr="00E170D1">
        <w:rPr>
          <w:b/>
        </w:rPr>
        <w:instrText xml:space="preserve"> SEQ Table \* ARABIC </w:instrText>
      </w:r>
      <w:r w:rsidRPr="00E170D1">
        <w:rPr>
          <w:b/>
        </w:rPr>
        <w:fldChar w:fldCharType="separate"/>
      </w:r>
      <w:r w:rsidR="00673270">
        <w:rPr>
          <w:b/>
          <w:noProof/>
        </w:rPr>
        <w:t>1</w:t>
      </w:r>
      <w:r w:rsidRPr="00E170D1">
        <w:rPr>
          <w:b/>
        </w:rPr>
        <w:fldChar w:fldCharType="end"/>
      </w:r>
      <w:r w:rsidRPr="00E170D1">
        <w:rPr>
          <w:b/>
        </w:rPr>
        <w:t xml:space="preserve">: </w:t>
      </w:r>
      <w:r w:rsidR="00A12E13" w:rsidRPr="00E170D1">
        <w:rPr>
          <w:b/>
        </w:rPr>
        <w:t>Reference periods with corresponding data submission periods and payment months</w:t>
      </w:r>
    </w:p>
    <w:tbl>
      <w:tblPr>
        <w:tblStyle w:val="TableGrid"/>
        <w:tblW w:w="9628" w:type="dxa"/>
        <w:tblLook w:val="04A0" w:firstRow="1" w:lastRow="0" w:firstColumn="1" w:lastColumn="0" w:noHBand="0" w:noVBand="1"/>
        <w:tblDescription w:val="This table contains 3 columns and 5 rows.  This table outlines the reference periods throughout the year, with their data submission period and patment month for that period. "/>
      </w:tblPr>
      <w:tblGrid>
        <w:gridCol w:w="3208"/>
        <w:gridCol w:w="3210"/>
        <w:gridCol w:w="3210"/>
      </w:tblGrid>
      <w:tr w:rsidR="00713D03" w:rsidRPr="00CF1118" w14:paraId="722A8BB1" w14:textId="77777777" w:rsidTr="00AB0475">
        <w:trPr>
          <w:tblHeader/>
        </w:trPr>
        <w:tc>
          <w:tcPr>
            <w:tcW w:w="3208" w:type="dxa"/>
            <w:shd w:val="clear" w:color="auto" w:fill="003D69"/>
          </w:tcPr>
          <w:p w14:paraId="4C7CE94D" w14:textId="77777777" w:rsidR="00713D03" w:rsidRPr="00CF1118" w:rsidRDefault="00713D03" w:rsidP="00296619">
            <w:pPr>
              <w:pStyle w:val="Paragraphtext"/>
              <w:rPr>
                <w:b/>
              </w:rPr>
            </w:pPr>
            <w:r w:rsidRPr="00CF1118">
              <w:rPr>
                <w:b/>
              </w:rPr>
              <w:t>Reference period</w:t>
            </w:r>
          </w:p>
        </w:tc>
        <w:tc>
          <w:tcPr>
            <w:tcW w:w="3210" w:type="dxa"/>
            <w:shd w:val="clear" w:color="auto" w:fill="003D69"/>
          </w:tcPr>
          <w:p w14:paraId="6F0F1B04" w14:textId="77777777" w:rsidR="00713D03" w:rsidRPr="00CF1118" w:rsidRDefault="00713D03" w:rsidP="00296619">
            <w:pPr>
              <w:pStyle w:val="Paragraphtext"/>
              <w:rPr>
                <w:b/>
              </w:rPr>
            </w:pPr>
            <w:r w:rsidRPr="00CF1118">
              <w:rPr>
                <w:b/>
              </w:rPr>
              <w:t>Data submission period</w:t>
            </w:r>
          </w:p>
        </w:tc>
        <w:tc>
          <w:tcPr>
            <w:tcW w:w="3210" w:type="dxa"/>
            <w:shd w:val="clear" w:color="auto" w:fill="003D69"/>
          </w:tcPr>
          <w:p w14:paraId="318C65CF" w14:textId="77777777" w:rsidR="00713D03" w:rsidRPr="00CF1118" w:rsidRDefault="00713D03" w:rsidP="00296619">
            <w:pPr>
              <w:pStyle w:val="Paragraphtext"/>
              <w:rPr>
                <w:b/>
              </w:rPr>
            </w:pPr>
            <w:r w:rsidRPr="00CF1118">
              <w:rPr>
                <w:b/>
              </w:rPr>
              <w:t>Payment month</w:t>
            </w:r>
          </w:p>
        </w:tc>
      </w:tr>
      <w:tr w:rsidR="00713D03" w:rsidRPr="00CF1118" w14:paraId="6AD72175" w14:textId="77777777" w:rsidTr="0099224F">
        <w:trPr>
          <w:trHeight w:val="356"/>
        </w:trPr>
        <w:tc>
          <w:tcPr>
            <w:tcW w:w="3208" w:type="dxa"/>
          </w:tcPr>
          <w:p w14:paraId="653DE8CE" w14:textId="77777777" w:rsidR="00713D03" w:rsidRPr="00CF1118" w:rsidRDefault="00713D03" w:rsidP="00296619">
            <w:pPr>
              <w:pStyle w:val="Paragraphtext"/>
            </w:pPr>
            <w:r w:rsidRPr="00CF1118">
              <w:t>1 August to 31 October</w:t>
            </w:r>
          </w:p>
        </w:tc>
        <w:tc>
          <w:tcPr>
            <w:tcW w:w="3210" w:type="dxa"/>
          </w:tcPr>
          <w:p w14:paraId="13190912" w14:textId="77777777" w:rsidR="00713D03" w:rsidRPr="00CF1118" w:rsidRDefault="00713D03" w:rsidP="00296619">
            <w:pPr>
              <w:pStyle w:val="Paragraphtext"/>
            </w:pPr>
            <w:r w:rsidRPr="00CF1118">
              <w:t>1 August to 15 October</w:t>
            </w:r>
          </w:p>
        </w:tc>
        <w:tc>
          <w:tcPr>
            <w:tcW w:w="3210" w:type="dxa"/>
          </w:tcPr>
          <w:p w14:paraId="427DB009" w14:textId="77777777" w:rsidR="00713D03" w:rsidRPr="00CF1118" w:rsidRDefault="00713D03" w:rsidP="00296619">
            <w:pPr>
              <w:pStyle w:val="Paragraphtext"/>
            </w:pPr>
            <w:r w:rsidRPr="00CF1118">
              <w:t>November</w:t>
            </w:r>
          </w:p>
        </w:tc>
      </w:tr>
      <w:tr w:rsidR="00713D03" w:rsidRPr="00CF1118" w14:paraId="68C5BA70" w14:textId="77777777" w:rsidTr="0099224F">
        <w:tc>
          <w:tcPr>
            <w:tcW w:w="3208" w:type="dxa"/>
          </w:tcPr>
          <w:p w14:paraId="5A2B7DB0" w14:textId="77777777" w:rsidR="00713D03" w:rsidRPr="00CF1118" w:rsidRDefault="00713D03" w:rsidP="00296619">
            <w:pPr>
              <w:pStyle w:val="Paragraphtext"/>
            </w:pPr>
            <w:r w:rsidRPr="00CF1118">
              <w:t xml:space="preserve">1 November to 31 January </w:t>
            </w:r>
          </w:p>
        </w:tc>
        <w:tc>
          <w:tcPr>
            <w:tcW w:w="3210" w:type="dxa"/>
          </w:tcPr>
          <w:p w14:paraId="5181B043" w14:textId="77777777" w:rsidR="00713D03" w:rsidRPr="00CF1118" w:rsidRDefault="00713D03" w:rsidP="00296619">
            <w:pPr>
              <w:pStyle w:val="Paragraphtext"/>
            </w:pPr>
            <w:r w:rsidRPr="00CF1118">
              <w:t>1 November to 15</w:t>
            </w:r>
            <w:r w:rsidR="00520405" w:rsidRPr="00CF1118">
              <w:t xml:space="preserve"> </w:t>
            </w:r>
            <w:r w:rsidRPr="00CF1118">
              <w:t xml:space="preserve">January </w:t>
            </w:r>
          </w:p>
        </w:tc>
        <w:tc>
          <w:tcPr>
            <w:tcW w:w="3210" w:type="dxa"/>
          </w:tcPr>
          <w:p w14:paraId="7753E6AF" w14:textId="77777777" w:rsidR="00713D03" w:rsidRPr="00CF1118" w:rsidRDefault="00713D03" w:rsidP="00296619">
            <w:pPr>
              <w:pStyle w:val="Paragraphtext"/>
            </w:pPr>
            <w:r w:rsidRPr="00CF1118">
              <w:t>February</w:t>
            </w:r>
          </w:p>
        </w:tc>
      </w:tr>
      <w:tr w:rsidR="00713D03" w:rsidRPr="00CF1118" w14:paraId="290409B0" w14:textId="77777777" w:rsidTr="0099224F">
        <w:tc>
          <w:tcPr>
            <w:tcW w:w="3208" w:type="dxa"/>
          </w:tcPr>
          <w:p w14:paraId="048E4610" w14:textId="77777777" w:rsidR="00713D03" w:rsidRPr="00CF1118" w:rsidRDefault="00713D03" w:rsidP="00296619">
            <w:pPr>
              <w:pStyle w:val="Paragraphtext"/>
            </w:pPr>
            <w:r w:rsidRPr="00CF1118">
              <w:t>1 February to 30 April</w:t>
            </w:r>
          </w:p>
        </w:tc>
        <w:tc>
          <w:tcPr>
            <w:tcW w:w="3210" w:type="dxa"/>
          </w:tcPr>
          <w:p w14:paraId="61229273" w14:textId="77777777" w:rsidR="00713D03" w:rsidRPr="00CF1118" w:rsidRDefault="00713D03" w:rsidP="00296619">
            <w:pPr>
              <w:pStyle w:val="Paragraphtext"/>
            </w:pPr>
            <w:r w:rsidRPr="00CF1118">
              <w:t>1 February to 15 April</w:t>
            </w:r>
          </w:p>
        </w:tc>
        <w:tc>
          <w:tcPr>
            <w:tcW w:w="3210" w:type="dxa"/>
          </w:tcPr>
          <w:p w14:paraId="0659404A" w14:textId="77777777" w:rsidR="00713D03" w:rsidRPr="00CF1118" w:rsidRDefault="00713D03" w:rsidP="00296619">
            <w:pPr>
              <w:pStyle w:val="Paragraphtext"/>
            </w:pPr>
            <w:r w:rsidRPr="00CF1118">
              <w:t>May</w:t>
            </w:r>
          </w:p>
        </w:tc>
      </w:tr>
      <w:tr w:rsidR="00713D03" w:rsidRPr="00CF1118" w14:paraId="1AA4357D" w14:textId="77777777" w:rsidTr="0099224F">
        <w:tc>
          <w:tcPr>
            <w:tcW w:w="3208" w:type="dxa"/>
          </w:tcPr>
          <w:p w14:paraId="1AF45E43" w14:textId="77777777" w:rsidR="00713D03" w:rsidRPr="00CF1118" w:rsidRDefault="00713D03" w:rsidP="00296619">
            <w:pPr>
              <w:pStyle w:val="Paragraphtext"/>
            </w:pPr>
            <w:r w:rsidRPr="00CF1118">
              <w:t>1 May to 31 July</w:t>
            </w:r>
          </w:p>
        </w:tc>
        <w:tc>
          <w:tcPr>
            <w:tcW w:w="3210" w:type="dxa"/>
          </w:tcPr>
          <w:p w14:paraId="2BD0E218" w14:textId="77777777" w:rsidR="00713D03" w:rsidRPr="00CF1118" w:rsidRDefault="00713D03" w:rsidP="00296619">
            <w:pPr>
              <w:pStyle w:val="Paragraphtext"/>
            </w:pPr>
            <w:r w:rsidRPr="00CF1118">
              <w:t>1 May to 15 July</w:t>
            </w:r>
          </w:p>
        </w:tc>
        <w:tc>
          <w:tcPr>
            <w:tcW w:w="3210" w:type="dxa"/>
          </w:tcPr>
          <w:p w14:paraId="077E7D93" w14:textId="77777777" w:rsidR="00713D03" w:rsidRPr="00CF1118" w:rsidRDefault="00713D03" w:rsidP="00296619">
            <w:pPr>
              <w:pStyle w:val="Paragraphtext"/>
            </w:pPr>
            <w:r w:rsidRPr="00CF1118">
              <w:t>August</w:t>
            </w:r>
          </w:p>
        </w:tc>
      </w:tr>
    </w:tbl>
    <w:p w14:paraId="28A4C205" w14:textId="77777777" w:rsidR="004248E7" w:rsidRPr="00CF1118" w:rsidRDefault="001942CF" w:rsidP="000525AE">
      <w:pPr>
        <w:pStyle w:val="Heading1"/>
      </w:pPr>
      <w:r w:rsidRPr="00CF1118">
        <w:t>Applying</w:t>
      </w:r>
    </w:p>
    <w:p w14:paraId="53B409D7" w14:textId="77777777" w:rsidR="006568CB" w:rsidRPr="00CF1118" w:rsidRDefault="00C24288" w:rsidP="00296619">
      <w:pPr>
        <w:pStyle w:val="Paragraphtext"/>
      </w:pPr>
      <w:r w:rsidRPr="00CF1118">
        <w:t xml:space="preserve">General practices, ACCHS and </w:t>
      </w:r>
      <w:r w:rsidR="00BF5B99" w:rsidRPr="00CF1118">
        <w:t xml:space="preserve">other </w:t>
      </w:r>
      <w:r w:rsidRPr="00CF1118">
        <w:t xml:space="preserve">IAHP organisations </w:t>
      </w:r>
      <w:r w:rsidR="00B478E5" w:rsidRPr="00CF1118">
        <w:t xml:space="preserve">may </w:t>
      </w:r>
      <w:r w:rsidR="00405C06" w:rsidRPr="00CF1118">
        <w:t>apply</w:t>
      </w:r>
      <w:r w:rsidR="004B0B44" w:rsidRPr="00CF1118">
        <w:t xml:space="preserve"> </w:t>
      </w:r>
      <w:r w:rsidR="00B43624" w:rsidRPr="00CF1118">
        <w:t xml:space="preserve">for the PIP QI </w:t>
      </w:r>
      <w:r w:rsidRPr="00CF1118">
        <w:t xml:space="preserve">Incentive </w:t>
      </w:r>
      <w:r w:rsidR="00405C06" w:rsidRPr="00CF1118">
        <w:t xml:space="preserve">online </w:t>
      </w:r>
      <w:r w:rsidR="00D3381B" w:rsidRPr="00CF1118">
        <w:t>through </w:t>
      </w:r>
      <w:hyperlink r:id="rId17" w:history="1">
        <w:r w:rsidR="00D3381B" w:rsidRPr="00CF1118">
          <w:t>Health Professional Online Services (HPOS)</w:t>
        </w:r>
      </w:hyperlink>
      <w:r w:rsidR="00D3381B" w:rsidRPr="00CF1118">
        <w:t xml:space="preserve"> using </w:t>
      </w:r>
      <w:r w:rsidRPr="00CF1118">
        <w:t xml:space="preserve">their </w:t>
      </w:r>
      <w:r w:rsidR="00D3381B" w:rsidRPr="00CF1118">
        <w:t>Provider Digital Access (PRODA) account</w:t>
      </w:r>
      <w:r w:rsidR="00B43624" w:rsidRPr="00CF1118">
        <w:t xml:space="preserve">. Read more </w:t>
      </w:r>
      <w:r w:rsidR="00F079FF" w:rsidRPr="00CF1118">
        <w:t>at</w:t>
      </w:r>
      <w:r w:rsidR="006568CB" w:rsidRPr="00CF1118">
        <w:t xml:space="preserve"> </w:t>
      </w:r>
      <w:hyperlink r:id="rId18" w:history="1">
        <w:r w:rsidR="006568CB" w:rsidRPr="00CF1118">
          <w:rPr>
            <w:rStyle w:val="Hyperlink"/>
            <w:b/>
            <w:szCs w:val="22"/>
          </w:rPr>
          <w:t>humanservices.gov.au/</w:t>
        </w:r>
        <w:proofErr w:type="spellStart"/>
        <w:r w:rsidR="006568CB" w:rsidRPr="00CF1118">
          <w:rPr>
            <w:rStyle w:val="Hyperlink"/>
            <w:b/>
            <w:szCs w:val="22"/>
          </w:rPr>
          <w:t>hpos</w:t>
        </w:r>
        <w:proofErr w:type="spellEnd"/>
      </w:hyperlink>
      <w:r w:rsidR="00F079FF" w:rsidRPr="00CF1118">
        <w:t>.</w:t>
      </w:r>
    </w:p>
    <w:p w14:paraId="3CEA56A5" w14:textId="77777777" w:rsidR="0082347C" w:rsidRPr="00CF1118" w:rsidRDefault="0082347C" w:rsidP="00A3214F">
      <w:pPr>
        <w:pStyle w:val="Heading1"/>
      </w:pPr>
      <w:r w:rsidRPr="00CF1118">
        <w:t>Withdrawing</w:t>
      </w:r>
    </w:p>
    <w:p w14:paraId="050AD41B" w14:textId="77777777" w:rsidR="00F823F8" w:rsidRPr="00CF1118" w:rsidRDefault="00F3603C" w:rsidP="00296619">
      <w:pPr>
        <w:pStyle w:val="Paragraphtext"/>
      </w:pPr>
      <w:r w:rsidRPr="00CF1118">
        <w:t xml:space="preserve">General practices, ACCHS and </w:t>
      </w:r>
      <w:r w:rsidR="00FC47E3" w:rsidRPr="00CF1118">
        <w:t xml:space="preserve">other </w:t>
      </w:r>
      <w:r w:rsidRPr="00CF1118">
        <w:t>IAHP organisations</w:t>
      </w:r>
      <w:r w:rsidRPr="00CF1118">
        <w:rPr>
          <w:b/>
        </w:rPr>
        <w:t xml:space="preserve"> </w:t>
      </w:r>
      <w:r w:rsidR="0082347C" w:rsidRPr="00CF1118">
        <w:t xml:space="preserve">can withdraw from the </w:t>
      </w:r>
      <w:r w:rsidR="000E48BF" w:rsidRPr="00CF1118">
        <w:t>PIP QI</w:t>
      </w:r>
      <w:r w:rsidR="0082347C" w:rsidRPr="00CF1118">
        <w:t xml:space="preserve"> Incentive online through HPOS</w:t>
      </w:r>
      <w:r w:rsidRPr="00CF1118">
        <w:t xml:space="preserve"> </w:t>
      </w:r>
      <w:r w:rsidR="0082347C" w:rsidRPr="00CF1118">
        <w:t xml:space="preserve">by the </w:t>
      </w:r>
      <w:r w:rsidRPr="00CF1118">
        <w:t>data submission period</w:t>
      </w:r>
      <w:r w:rsidR="0082347C" w:rsidRPr="00CF1118">
        <w:t xml:space="preserve"> </w:t>
      </w:r>
      <w:r w:rsidR="006835BA" w:rsidRPr="00CF1118">
        <w:t xml:space="preserve">end date </w:t>
      </w:r>
      <w:r w:rsidR="006E3528" w:rsidRPr="00CF1118">
        <w:t xml:space="preserve">for </w:t>
      </w:r>
      <w:r w:rsidR="0082347C" w:rsidRPr="00CF1118">
        <w:t xml:space="preserve">the </w:t>
      </w:r>
      <w:r w:rsidRPr="00CF1118">
        <w:t xml:space="preserve">relevant </w:t>
      </w:r>
      <w:r w:rsidR="0082347C" w:rsidRPr="00CF1118">
        <w:t>quarter</w:t>
      </w:r>
      <w:r w:rsidR="006E3528" w:rsidRPr="00CF1118">
        <w:t xml:space="preserve">. </w:t>
      </w:r>
      <w:r w:rsidR="004B1332" w:rsidRPr="00CF1118">
        <w:t>General practices, ACCHS and</w:t>
      </w:r>
      <w:r w:rsidR="00C54432" w:rsidRPr="00CF1118">
        <w:t xml:space="preserve"> other</w:t>
      </w:r>
      <w:r w:rsidR="004B1332" w:rsidRPr="00CF1118">
        <w:t xml:space="preserve"> IAHP organisations</w:t>
      </w:r>
      <w:r w:rsidR="00B43624" w:rsidRPr="00CF1118">
        <w:t xml:space="preserve"> </w:t>
      </w:r>
      <w:r w:rsidR="0082347C" w:rsidRPr="00CF1118">
        <w:t xml:space="preserve">can re-apply </w:t>
      </w:r>
      <w:r w:rsidR="00480332" w:rsidRPr="00CF1118">
        <w:t xml:space="preserve">at any time </w:t>
      </w:r>
      <w:r w:rsidR="0082347C" w:rsidRPr="00CF1118">
        <w:t xml:space="preserve">for the </w:t>
      </w:r>
      <w:r w:rsidR="000E48BF" w:rsidRPr="00CF1118">
        <w:t>PIP QI</w:t>
      </w:r>
      <w:r w:rsidR="0082347C" w:rsidRPr="00CF1118">
        <w:t xml:space="preserve"> </w:t>
      </w:r>
      <w:r w:rsidR="003668BE" w:rsidRPr="00CF1118">
        <w:t>Incentive online through HPOS.</w:t>
      </w:r>
    </w:p>
    <w:p w14:paraId="0B77D353" w14:textId="77777777" w:rsidR="000209DF" w:rsidRPr="00CF1118" w:rsidRDefault="00CB0578" w:rsidP="006E3528">
      <w:pPr>
        <w:pStyle w:val="Heading1"/>
      </w:pPr>
      <w:r w:rsidRPr="00CF1118">
        <w:lastRenderedPageBreak/>
        <w:t>Obligations</w:t>
      </w:r>
    </w:p>
    <w:p w14:paraId="0EF2BD85" w14:textId="77777777" w:rsidR="000209DF" w:rsidRPr="00CF1118" w:rsidRDefault="006835BA" w:rsidP="00296619">
      <w:pPr>
        <w:pStyle w:val="Paragraphtext"/>
        <w:rPr>
          <w:rFonts w:cs="Arial"/>
        </w:rPr>
      </w:pPr>
      <w:r w:rsidRPr="00CF1118">
        <w:t>General practices, ACCHS and</w:t>
      </w:r>
      <w:r w:rsidR="00922217" w:rsidRPr="00CF1118">
        <w:t xml:space="preserve"> other</w:t>
      </w:r>
      <w:r w:rsidRPr="00CF1118">
        <w:t xml:space="preserve"> IAHP organisations</w:t>
      </w:r>
      <w:r w:rsidRPr="00CF1118">
        <w:rPr>
          <w:b/>
        </w:rPr>
        <w:t xml:space="preserve"> </w:t>
      </w:r>
      <w:r w:rsidR="009B481C" w:rsidRPr="00CF1118">
        <w:rPr>
          <w:rFonts w:cs="Arial"/>
        </w:rPr>
        <w:t>need to</w:t>
      </w:r>
      <w:r w:rsidR="000209DF" w:rsidRPr="00CF1118">
        <w:rPr>
          <w:rFonts w:cs="Arial"/>
        </w:rPr>
        <w:t>:</w:t>
      </w:r>
    </w:p>
    <w:p w14:paraId="115D4ACC" w14:textId="77777777" w:rsidR="000209DF" w:rsidRPr="00CF1118" w:rsidRDefault="000209DF" w:rsidP="00AB0475">
      <w:pPr>
        <w:pStyle w:val="Paragraphtext"/>
        <w:numPr>
          <w:ilvl w:val="0"/>
          <w:numId w:val="45"/>
        </w:numPr>
        <w:ind w:left="709" w:hanging="283"/>
        <w:rPr>
          <w:rFonts w:cs="Arial"/>
        </w:rPr>
      </w:pPr>
      <w:r w:rsidRPr="00CF1118">
        <w:rPr>
          <w:rFonts w:cs="Arial"/>
          <w:szCs w:val="22"/>
        </w:rPr>
        <w:t xml:space="preserve">give information to </w:t>
      </w:r>
      <w:r w:rsidR="006835BA" w:rsidRPr="00CF1118">
        <w:rPr>
          <w:rFonts w:cs="Arial"/>
          <w:szCs w:val="22"/>
        </w:rPr>
        <w:t xml:space="preserve">Human Services </w:t>
      </w:r>
      <w:r w:rsidRPr="00CF1118">
        <w:rPr>
          <w:rFonts w:cs="Arial"/>
          <w:szCs w:val="22"/>
        </w:rPr>
        <w:t xml:space="preserve">as part of the ongoing </w:t>
      </w:r>
      <w:r w:rsidR="006E3528" w:rsidRPr="00CF1118">
        <w:rPr>
          <w:rFonts w:cs="Arial"/>
          <w:szCs w:val="22"/>
        </w:rPr>
        <w:t xml:space="preserve">annual </w:t>
      </w:r>
      <w:r w:rsidRPr="00CF1118">
        <w:rPr>
          <w:rFonts w:cs="Arial"/>
          <w:szCs w:val="22"/>
        </w:rPr>
        <w:t>confirmation statement process to make sure the</w:t>
      </w:r>
      <w:r w:rsidR="006E3528" w:rsidRPr="00CF1118">
        <w:rPr>
          <w:rFonts w:cs="Arial"/>
          <w:szCs w:val="22"/>
        </w:rPr>
        <w:t xml:space="preserve"> </w:t>
      </w:r>
      <w:r w:rsidRPr="00CF1118">
        <w:rPr>
          <w:rFonts w:cs="Arial"/>
          <w:szCs w:val="22"/>
        </w:rPr>
        <w:t>practice has met the PIP eligibility requirements</w:t>
      </w:r>
    </w:p>
    <w:p w14:paraId="430B1F6B" w14:textId="77777777" w:rsidR="000209DF" w:rsidRPr="00CF1118" w:rsidRDefault="000209DF" w:rsidP="00AB0475">
      <w:pPr>
        <w:pStyle w:val="Paragraphtext"/>
        <w:numPr>
          <w:ilvl w:val="0"/>
          <w:numId w:val="45"/>
        </w:numPr>
        <w:ind w:left="709" w:hanging="283"/>
        <w:rPr>
          <w:rFonts w:cs="Arial"/>
        </w:rPr>
      </w:pPr>
      <w:r w:rsidRPr="00CF1118">
        <w:rPr>
          <w:rFonts w:cs="Arial"/>
          <w:szCs w:val="22"/>
        </w:rPr>
        <w:t>give information to the Department of Health as part of the ongoing audit process to verify that the practice has met eligibility requirements</w:t>
      </w:r>
    </w:p>
    <w:p w14:paraId="1CC12543" w14:textId="77777777" w:rsidR="000209DF" w:rsidRPr="00CF1118" w:rsidRDefault="000209DF" w:rsidP="00AB0475">
      <w:pPr>
        <w:pStyle w:val="Paragraphtext"/>
        <w:numPr>
          <w:ilvl w:val="0"/>
          <w:numId w:val="45"/>
        </w:numPr>
        <w:ind w:left="709" w:hanging="283"/>
        <w:rPr>
          <w:rFonts w:cs="Arial"/>
        </w:rPr>
      </w:pPr>
      <w:r w:rsidRPr="00CF1118">
        <w:rPr>
          <w:rFonts w:cs="Arial"/>
          <w:szCs w:val="22"/>
        </w:rPr>
        <w:t xml:space="preserve">make sure </w:t>
      </w:r>
      <w:r w:rsidR="006E3528" w:rsidRPr="00CF1118">
        <w:rPr>
          <w:rFonts w:cs="Arial"/>
          <w:szCs w:val="22"/>
        </w:rPr>
        <w:t xml:space="preserve">all </w:t>
      </w:r>
      <w:r w:rsidRPr="00CF1118">
        <w:rPr>
          <w:rFonts w:cs="Arial"/>
          <w:szCs w:val="22"/>
        </w:rPr>
        <w:t xml:space="preserve">information </w:t>
      </w:r>
      <w:r w:rsidR="00DF7951" w:rsidRPr="00CF1118">
        <w:rPr>
          <w:rFonts w:cs="Arial"/>
          <w:szCs w:val="22"/>
        </w:rPr>
        <w:t>provide</w:t>
      </w:r>
      <w:r w:rsidR="00780D9D" w:rsidRPr="00CF1118">
        <w:rPr>
          <w:rFonts w:cs="Arial"/>
          <w:szCs w:val="22"/>
        </w:rPr>
        <w:t>d</w:t>
      </w:r>
      <w:r w:rsidR="00DF7951" w:rsidRPr="00CF1118">
        <w:rPr>
          <w:rFonts w:cs="Arial"/>
          <w:szCs w:val="22"/>
        </w:rPr>
        <w:t xml:space="preserve"> </w:t>
      </w:r>
      <w:r w:rsidRPr="00CF1118">
        <w:rPr>
          <w:rFonts w:cs="Arial"/>
          <w:szCs w:val="22"/>
        </w:rPr>
        <w:t xml:space="preserve">to </w:t>
      </w:r>
      <w:r w:rsidR="00780D9D" w:rsidRPr="00CF1118">
        <w:rPr>
          <w:rFonts w:cs="Arial"/>
          <w:szCs w:val="22"/>
        </w:rPr>
        <w:t xml:space="preserve">Health and </w:t>
      </w:r>
      <w:r w:rsidR="008E4DEA" w:rsidRPr="00CF1118">
        <w:rPr>
          <w:rFonts w:cs="Arial"/>
          <w:szCs w:val="22"/>
        </w:rPr>
        <w:t xml:space="preserve">Human Services </w:t>
      </w:r>
      <w:r w:rsidRPr="00CF1118">
        <w:rPr>
          <w:rFonts w:cs="Arial"/>
          <w:szCs w:val="22"/>
        </w:rPr>
        <w:t xml:space="preserve">is </w:t>
      </w:r>
      <w:r w:rsidR="002D6F1B" w:rsidRPr="00CF1118">
        <w:rPr>
          <w:rFonts w:cs="Arial"/>
          <w:szCs w:val="22"/>
        </w:rPr>
        <w:t>correct</w:t>
      </w:r>
    </w:p>
    <w:p w14:paraId="38BF4991" w14:textId="77777777" w:rsidR="000209DF" w:rsidRPr="00CF1118" w:rsidRDefault="002D6F1B" w:rsidP="00AB0475">
      <w:pPr>
        <w:pStyle w:val="Paragraphtext"/>
        <w:numPr>
          <w:ilvl w:val="0"/>
          <w:numId w:val="45"/>
        </w:numPr>
        <w:ind w:left="709" w:hanging="283"/>
        <w:rPr>
          <w:rFonts w:cs="Arial"/>
        </w:rPr>
      </w:pPr>
      <w:r w:rsidRPr="00CF1118">
        <w:rPr>
          <w:szCs w:val="22"/>
          <w:lang w:eastAsia="en-AU"/>
        </w:rPr>
        <w:t>writ</w:t>
      </w:r>
      <w:r w:rsidR="00380E45" w:rsidRPr="00CF1118">
        <w:rPr>
          <w:rFonts w:cs="Arial"/>
          <w:szCs w:val="22"/>
        </w:rPr>
        <w:t>e to</w:t>
      </w:r>
      <w:r w:rsidR="006835BA" w:rsidRPr="00CF1118">
        <w:rPr>
          <w:rFonts w:cs="Arial"/>
          <w:szCs w:val="22"/>
        </w:rPr>
        <w:t xml:space="preserve"> Human Services</w:t>
      </w:r>
      <w:r w:rsidR="006E3528" w:rsidRPr="00CF1118">
        <w:rPr>
          <w:rFonts w:cs="Arial"/>
          <w:szCs w:val="22"/>
        </w:rPr>
        <w:t xml:space="preserve"> if there are </w:t>
      </w:r>
      <w:r w:rsidRPr="00CF1118">
        <w:rPr>
          <w:szCs w:val="22"/>
          <w:lang w:eastAsia="en-AU"/>
        </w:rPr>
        <w:t xml:space="preserve">changes to practice arrangements </w:t>
      </w:r>
      <w:r w:rsidR="00780D9D" w:rsidRPr="00CF1118">
        <w:rPr>
          <w:szCs w:val="22"/>
          <w:lang w:eastAsia="en-AU"/>
        </w:rPr>
        <w:t>by the</w:t>
      </w:r>
      <w:r w:rsidRPr="00CF1118">
        <w:rPr>
          <w:szCs w:val="22"/>
          <w:lang w:eastAsia="en-AU"/>
        </w:rPr>
        <w:t xml:space="preserve"> </w:t>
      </w:r>
      <w:r w:rsidR="006835BA" w:rsidRPr="00CF1118">
        <w:rPr>
          <w:szCs w:val="22"/>
          <w:lang w:eastAsia="en-AU"/>
        </w:rPr>
        <w:t xml:space="preserve">data submission period end </w:t>
      </w:r>
      <w:r w:rsidRPr="00CF1118">
        <w:rPr>
          <w:szCs w:val="22"/>
          <w:lang w:eastAsia="en-AU"/>
        </w:rPr>
        <w:t>date</w:t>
      </w:r>
    </w:p>
    <w:p w14:paraId="1D760B6E" w14:textId="77777777" w:rsidR="000209DF" w:rsidRPr="00CF1118" w:rsidRDefault="000209DF" w:rsidP="00AB0475">
      <w:pPr>
        <w:pStyle w:val="Paragraphtext"/>
        <w:numPr>
          <w:ilvl w:val="0"/>
          <w:numId w:val="45"/>
        </w:numPr>
        <w:ind w:left="709" w:hanging="283"/>
        <w:rPr>
          <w:rFonts w:asciiTheme="minorHAnsi" w:hAnsiTheme="minorHAnsi" w:cs="Calibri"/>
        </w:rPr>
      </w:pPr>
      <w:r w:rsidRPr="00CF1118">
        <w:rPr>
          <w:rFonts w:cs="Arial"/>
          <w:szCs w:val="22"/>
        </w:rPr>
        <w:t>nomina</w:t>
      </w:r>
      <w:r w:rsidR="002D6F1B" w:rsidRPr="00CF1118">
        <w:rPr>
          <w:rFonts w:cs="Arial"/>
          <w:szCs w:val="22"/>
        </w:rPr>
        <w:t xml:space="preserve">te an authorised contact person </w:t>
      </w:r>
      <w:r w:rsidRPr="00CF1118">
        <w:rPr>
          <w:rFonts w:cs="Arial"/>
          <w:szCs w:val="22"/>
        </w:rPr>
        <w:t>who</w:t>
      </w:r>
      <w:r w:rsidR="00DF7951" w:rsidRPr="00CF1118">
        <w:rPr>
          <w:rFonts w:cs="Arial"/>
          <w:szCs w:val="22"/>
        </w:rPr>
        <w:t xml:space="preserve"> can act on your behalf to</w:t>
      </w:r>
      <w:r w:rsidRPr="00CF1118">
        <w:rPr>
          <w:rFonts w:cs="Arial"/>
          <w:szCs w:val="22"/>
        </w:rPr>
        <w:t xml:space="preserve"> confirm changes </w:t>
      </w:r>
      <w:r w:rsidR="002D6F1B" w:rsidRPr="00CF1118">
        <w:rPr>
          <w:rFonts w:cs="Arial"/>
          <w:szCs w:val="22"/>
        </w:rPr>
        <w:t xml:space="preserve">for </w:t>
      </w:r>
      <w:r w:rsidRPr="00CF1118">
        <w:rPr>
          <w:rFonts w:cs="Arial"/>
          <w:szCs w:val="22"/>
        </w:rPr>
        <w:t>PIP claims and payments</w:t>
      </w:r>
      <w:r w:rsidR="000C75A9" w:rsidRPr="00CF1118">
        <w:rPr>
          <w:rFonts w:cs="Arial"/>
          <w:szCs w:val="22"/>
        </w:rPr>
        <w:t>.</w:t>
      </w:r>
    </w:p>
    <w:p w14:paraId="54A146F0" w14:textId="77777777" w:rsidR="000209DF" w:rsidRPr="00CF1118" w:rsidRDefault="007839CD" w:rsidP="006E3528">
      <w:pPr>
        <w:pStyle w:val="Heading1"/>
      </w:pPr>
      <w:r w:rsidRPr="00CF1118">
        <w:t>Rights of review</w:t>
      </w:r>
    </w:p>
    <w:p w14:paraId="4A2B4612" w14:textId="77777777" w:rsidR="00DF7951" w:rsidRPr="00CF1118" w:rsidRDefault="000209DF" w:rsidP="00296619">
      <w:pPr>
        <w:pStyle w:val="Paragraphtext"/>
      </w:pPr>
      <w:r w:rsidRPr="00CF1118">
        <w:t xml:space="preserve">The PIP has a review of decision process for program decisions. To ask for a review of a decision, the authorised contact person or owners of the practice must complete the </w:t>
      </w:r>
      <w:hyperlink r:id="rId19" w:history="1">
        <w:r w:rsidRPr="00CF1118">
          <w:rPr>
            <w:rStyle w:val="Hyperlink"/>
            <w:b/>
          </w:rPr>
          <w:t>Practice Incentives Review of decision form (IP027</w:t>
        </w:r>
      </w:hyperlink>
      <w:r w:rsidR="00AB0475" w:rsidRPr="00CF1118">
        <w:rPr>
          <w:b/>
          <w:color w:val="0000FF"/>
          <w:u w:val="single"/>
        </w:rPr>
        <w:t>)</w:t>
      </w:r>
      <w:r w:rsidR="00AB0475" w:rsidRPr="00CF1118">
        <w:rPr>
          <w:b/>
        </w:rPr>
        <w:t>.</w:t>
      </w:r>
    </w:p>
    <w:p w14:paraId="792BF50E" w14:textId="77777777" w:rsidR="009B481C" w:rsidRPr="00CF1118" w:rsidRDefault="008E4DEA" w:rsidP="00296619">
      <w:pPr>
        <w:pStyle w:val="Paragraphtext"/>
      </w:pPr>
      <w:r w:rsidRPr="00CF1118">
        <w:t xml:space="preserve">The authorised contact person or owners of the practice </w:t>
      </w:r>
      <w:r w:rsidR="000E03D0" w:rsidRPr="00CF1118">
        <w:t>need to</w:t>
      </w:r>
      <w:r w:rsidR="00380E45" w:rsidRPr="00CF1118">
        <w:t xml:space="preserve"> </w:t>
      </w:r>
      <w:r w:rsidR="000209DF" w:rsidRPr="00CF1118">
        <w:t>submit th</w:t>
      </w:r>
      <w:r w:rsidR="00BC462E" w:rsidRPr="00CF1118">
        <w:t xml:space="preserve">e completed form </w:t>
      </w:r>
      <w:r w:rsidR="000209DF" w:rsidRPr="00CF1118">
        <w:t xml:space="preserve">to </w:t>
      </w:r>
      <w:r w:rsidRPr="00CF1118">
        <w:t xml:space="preserve">Human Services </w:t>
      </w:r>
      <w:r w:rsidR="000209DF" w:rsidRPr="00CF1118">
        <w:rPr>
          <w:b/>
        </w:rPr>
        <w:t>within 28 days</w:t>
      </w:r>
      <w:r w:rsidR="000209DF" w:rsidRPr="00CF1118">
        <w:t xml:space="preserve"> of receiving the </w:t>
      </w:r>
      <w:r w:rsidR="003D4511" w:rsidRPr="00CF1118">
        <w:t xml:space="preserve">reviewable </w:t>
      </w:r>
      <w:r w:rsidR="000209DF" w:rsidRPr="00CF1118">
        <w:t>decision.</w:t>
      </w:r>
    </w:p>
    <w:p w14:paraId="26651618" w14:textId="77777777" w:rsidR="00D0758A" w:rsidRPr="00CF1118" w:rsidRDefault="008E4DEA" w:rsidP="00296619">
      <w:pPr>
        <w:pStyle w:val="Paragraphtext"/>
      </w:pPr>
      <w:r w:rsidRPr="00CF1118">
        <w:t xml:space="preserve">Human Services will </w:t>
      </w:r>
      <w:r w:rsidR="000209DF" w:rsidRPr="00CF1118">
        <w:t xml:space="preserve">review the decision and </w:t>
      </w:r>
      <w:r w:rsidR="00380E45" w:rsidRPr="00CF1118">
        <w:t xml:space="preserve">write to </w:t>
      </w:r>
      <w:r w:rsidRPr="00CF1118">
        <w:t xml:space="preserve">the authorised contact person or owners of the practice </w:t>
      </w:r>
      <w:r w:rsidR="00380E45" w:rsidRPr="00CF1118">
        <w:t>about</w:t>
      </w:r>
      <w:r w:rsidR="009B481C" w:rsidRPr="00CF1118">
        <w:t xml:space="preserve"> the outcome.</w:t>
      </w:r>
    </w:p>
    <w:p w14:paraId="0F0D61E0" w14:textId="77777777" w:rsidR="007839CD" w:rsidRPr="00CF1118" w:rsidRDefault="004248E7" w:rsidP="00A3214F">
      <w:pPr>
        <w:pStyle w:val="Heading1"/>
      </w:pPr>
      <w:r w:rsidRPr="00CF1118">
        <w:t>A</w:t>
      </w:r>
      <w:r w:rsidR="007839CD" w:rsidRPr="00CF1118">
        <w:t>udits</w:t>
      </w:r>
      <w:r w:rsidR="00B71B9E" w:rsidRPr="00CF1118">
        <w:t xml:space="preserve"> </w:t>
      </w:r>
    </w:p>
    <w:p w14:paraId="0F7088F9" w14:textId="77777777" w:rsidR="0099224F" w:rsidRPr="00CF1118" w:rsidRDefault="00C54432" w:rsidP="00296619">
      <w:pPr>
        <w:pStyle w:val="Paragraphtext"/>
      </w:pPr>
      <w:r w:rsidRPr="00CF1118">
        <w:t xml:space="preserve">The Department of </w:t>
      </w:r>
      <w:r w:rsidR="007839CD" w:rsidRPr="00CF1118">
        <w:t xml:space="preserve">Health conducts audits </w:t>
      </w:r>
      <w:r w:rsidR="009B481C" w:rsidRPr="00CF1118">
        <w:t xml:space="preserve">of PIP </w:t>
      </w:r>
      <w:r w:rsidR="007839CD" w:rsidRPr="00CF1118">
        <w:t xml:space="preserve">practices </w:t>
      </w:r>
      <w:r w:rsidR="009B481C" w:rsidRPr="00CF1118">
        <w:t xml:space="preserve">to ensure </w:t>
      </w:r>
      <w:r w:rsidR="00E42E29" w:rsidRPr="00CF1118">
        <w:t>they’</w:t>
      </w:r>
      <w:r w:rsidR="007839CD" w:rsidRPr="00CF1118">
        <w:t xml:space="preserve">re meeting the requirements outlined in these guidelines. </w:t>
      </w:r>
      <w:r w:rsidR="009B481C" w:rsidRPr="00CF1118">
        <w:t>Th</w:t>
      </w:r>
      <w:r w:rsidR="00DF7951" w:rsidRPr="00CF1118">
        <w:t>e audit</w:t>
      </w:r>
      <w:r w:rsidR="009B481C" w:rsidRPr="00CF1118">
        <w:t xml:space="preserve"> may include review</w:t>
      </w:r>
      <w:r w:rsidR="00DF7951" w:rsidRPr="00CF1118">
        <w:t>ing</w:t>
      </w:r>
      <w:r w:rsidR="009B481C" w:rsidRPr="00CF1118">
        <w:t xml:space="preserve"> practice documentation. </w:t>
      </w:r>
      <w:r w:rsidR="007839CD" w:rsidRPr="00CF1118">
        <w:t xml:space="preserve">If requested, </w:t>
      </w:r>
      <w:r w:rsidR="00194492" w:rsidRPr="00CF1118">
        <w:t xml:space="preserve">practices </w:t>
      </w:r>
      <w:r w:rsidR="007839CD" w:rsidRPr="00CF1118">
        <w:t>must provide evidence to support elig</w:t>
      </w:r>
      <w:r w:rsidR="00C70A69" w:rsidRPr="00CF1118">
        <w:t>ibility and claims for payment.</w:t>
      </w:r>
    </w:p>
    <w:p w14:paraId="6B436D94" w14:textId="77777777" w:rsidR="00F823F8" w:rsidRPr="00CF1118" w:rsidRDefault="00E42E29" w:rsidP="00296619">
      <w:pPr>
        <w:pStyle w:val="Paragraphtext"/>
      </w:pPr>
      <w:r w:rsidRPr="00CF1118">
        <w:t xml:space="preserve">If </w:t>
      </w:r>
      <w:r w:rsidR="007839CD" w:rsidRPr="00CF1118">
        <w:t>a practice doesn</w:t>
      </w:r>
      <w:r w:rsidRPr="00CF1118">
        <w:t>’</w:t>
      </w:r>
      <w:r w:rsidR="007839CD" w:rsidRPr="00CF1118">
        <w:t xml:space="preserve">t meet </w:t>
      </w:r>
      <w:r w:rsidR="00C54432" w:rsidRPr="00CF1118">
        <w:t xml:space="preserve">all eligibility </w:t>
      </w:r>
      <w:proofErr w:type="gramStart"/>
      <w:r w:rsidR="00C54432" w:rsidRPr="00CF1118">
        <w:t>requirements</w:t>
      </w:r>
      <w:proofErr w:type="gramEnd"/>
      <w:r w:rsidR="00C54432" w:rsidRPr="00CF1118">
        <w:t xml:space="preserve"> </w:t>
      </w:r>
      <w:r w:rsidR="007839CD" w:rsidRPr="00CF1118">
        <w:t xml:space="preserve">they </w:t>
      </w:r>
      <w:r w:rsidRPr="00CF1118">
        <w:t>won’t</w:t>
      </w:r>
      <w:r w:rsidR="00E84CB5" w:rsidRPr="00CF1118">
        <w:t xml:space="preserve"> receive a</w:t>
      </w:r>
      <w:r w:rsidR="007839CD" w:rsidRPr="00CF1118">
        <w:t xml:space="preserve"> PIP QI Incentive</w:t>
      </w:r>
      <w:r w:rsidR="00E84CB5" w:rsidRPr="00CF1118">
        <w:t xml:space="preserve"> payment</w:t>
      </w:r>
      <w:r w:rsidR="007839CD" w:rsidRPr="00CF1118">
        <w:t>.</w:t>
      </w:r>
    </w:p>
    <w:p w14:paraId="14CFBEA7" w14:textId="77777777" w:rsidR="00F823F8" w:rsidRPr="00CF1118" w:rsidRDefault="0087573A" w:rsidP="00296619">
      <w:pPr>
        <w:pStyle w:val="Paragraphtext"/>
      </w:pPr>
      <w:r w:rsidRPr="00CF1118">
        <w:t xml:space="preserve">Practices </w:t>
      </w:r>
      <w:r w:rsidR="0023757E" w:rsidRPr="00CF1118">
        <w:t>must retain practice documentation for 6 years</w:t>
      </w:r>
      <w:r w:rsidR="00DF7951" w:rsidRPr="00CF1118">
        <w:t xml:space="preserve"> in case </w:t>
      </w:r>
      <w:r w:rsidR="00817A5D" w:rsidRPr="00CF1118">
        <w:t xml:space="preserve">they </w:t>
      </w:r>
      <w:r w:rsidR="00DF7951" w:rsidRPr="00CF1118">
        <w:t>are selected for an audit</w:t>
      </w:r>
      <w:r w:rsidR="0023757E" w:rsidRPr="00CF1118">
        <w:t>.</w:t>
      </w:r>
      <w:r w:rsidR="00E42E29" w:rsidRPr="00CF1118">
        <w:t xml:space="preserve"> </w:t>
      </w:r>
      <w:r w:rsidRPr="00CF1118">
        <w:t xml:space="preserve">Human Services </w:t>
      </w:r>
      <w:r w:rsidR="00E42E29" w:rsidRPr="00CF1118">
        <w:t>may recover p</w:t>
      </w:r>
      <w:r w:rsidR="0023757E" w:rsidRPr="00CF1118">
        <w:t xml:space="preserve">ayments if </w:t>
      </w:r>
      <w:r w:rsidRPr="00CF1118">
        <w:t xml:space="preserve">practices </w:t>
      </w:r>
      <w:r w:rsidR="00DF7951" w:rsidRPr="00CF1118">
        <w:t>can’t</w:t>
      </w:r>
      <w:r w:rsidR="0023757E" w:rsidRPr="00CF1118">
        <w:t xml:space="preserve"> provide evidence </w:t>
      </w:r>
      <w:r w:rsidRPr="00CF1118">
        <w:t xml:space="preserve">of meeting the </w:t>
      </w:r>
      <w:r w:rsidR="0023757E" w:rsidRPr="00CF1118">
        <w:t>eligibility requirements or</w:t>
      </w:r>
      <w:r w:rsidR="00C54432" w:rsidRPr="00CF1118">
        <w:t xml:space="preserve"> evidence</w:t>
      </w:r>
      <w:r w:rsidR="0023757E" w:rsidRPr="00CF1118">
        <w:t xml:space="preserve"> </w:t>
      </w:r>
      <w:r w:rsidR="00766707" w:rsidRPr="00CF1118">
        <w:t xml:space="preserve">to </w:t>
      </w:r>
      <w:r w:rsidR="0023757E" w:rsidRPr="00CF1118">
        <w:t>substantiate claims.</w:t>
      </w:r>
    </w:p>
    <w:p w14:paraId="00D1D820" w14:textId="77777777" w:rsidR="00F823F8" w:rsidRPr="00CF1118" w:rsidRDefault="00E2122F" w:rsidP="00296619">
      <w:pPr>
        <w:pStyle w:val="Paragraphtext"/>
        <w:rPr>
          <w:rFonts w:cs="Arial"/>
        </w:rPr>
      </w:pPr>
      <w:r w:rsidRPr="00CF1118">
        <w:lastRenderedPageBreak/>
        <w:t>For more information on PIP</w:t>
      </w:r>
      <w:r w:rsidR="00D16804" w:rsidRPr="00CF1118">
        <w:t xml:space="preserve"> audit processes and procedures please read</w:t>
      </w:r>
      <w:r w:rsidR="00766707" w:rsidRPr="00CF1118">
        <w:t xml:space="preserve"> the</w:t>
      </w:r>
      <w:r w:rsidR="00D16804" w:rsidRPr="00CF1118">
        <w:t xml:space="preserve"> </w:t>
      </w:r>
      <w:hyperlink r:id="rId20" w:history="1">
        <w:r w:rsidRPr="00CF1118">
          <w:rPr>
            <w:rStyle w:val="Hyperlink"/>
            <w:rFonts w:cs="Arial"/>
            <w:b/>
          </w:rPr>
          <w:t>Practice Incentives Program guidelines</w:t>
        </w:r>
      </w:hyperlink>
      <w:r w:rsidR="00890917" w:rsidRPr="00CF1118">
        <w:rPr>
          <w:rFonts w:cs="Arial"/>
        </w:rPr>
        <w:t>.</w:t>
      </w:r>
    </w:p>
    <w:p w14:paraId="0D5CF3BB" w14:textId="77777777" w:rsidR="00E2122F" w:rsidRPr="00CF1118" w:rsidRDefault="004248E7" w:rsidP="00A3214F">
      <w:pPr>
        <w:pStyle w:val="Heading1"/>
      </w:pPr>
      <w:r w:rsidRPr="00CF1118">
        <w:t>M</w:t>
      </w:r>
      <w:r w:rsidR="001942CF" w:rsidRPr="00CF1118">
        <w:t>ore information</w:t>
      </w:r>
    </w:p>
    <w:p w14:paraId="41FF17F0" w14:textId="77777777" w:rsidR="001942CF" w:rsidRPr="00CF1118" w:rsidRDefault="00DF7951" w:rsidP="00296619">
      <w:pPr>
        <w:pStyle w:val="Paragraphtext"/>
      </w:pPr>
      <w:r w:rsidRPr="00CF1118">
        <w:t xml:space="preserve">go to </w:t>
      </w:r>
      <w:r w:rsidR="001D54D2" w:rsidRPr="00CF1118">
        <w:t xml:space="preserve">the </w:t>
      </w:r>
      <w:r w:rsidR="00AB0475" w:rsidRPr="00CF1118">
        <w:t xml:space="preserve">Human Services website at </w:t>
      </w:r>
      <w:hyperlink r:id="rId21" w:history="1">
        <w:r w:rsidR="00C73F98" w:rsidRPr="00CF1118">
          <w:rPr>
            <w:rStyle w:val="Hyperlink"/>
            <w:b/>
          </w:rPr>
          <w:t>humanservices.gov.au/pip</w:t>
        </w:r>
      </w:hyperlink>
    </w:p>
    <w:p w14:paraId="724630B5" w14:textId="77777777" w:rsidR="00D0758A" w:rsidRPr="00CF1118" w:rsidRDefault="00DF7951" w:rsidP="00296619">
      <w:pPr>
        <w:pStyle w:val="Paragraphtext"/>
      </w:pPr>
      <w:r w:rsidRPr="00CF1118">
        <w:t xml:space="preserve">call </w:t>
      </w:r>
      <w:r w:rsidR="00031B57" w:rsidRPr="00CF1118">
        <w:t xml:space="preserve">Human Services </w:t>
      </w:r>
      <w:r w:rsidRPr="00CF1118">
        <w:t xml:space="preserve">on </w:t>
      </w:r>
      <w:r w:rsidR="004B0B44" w:rsidRPr="00CF1118">
        <w:t>1800</w:t>
      </w:r>
      <w:r w:rsidRPr="00CF1118">
        <w:t xml:space="preserve"> </w:t>
      </w:r>
      <w:r w:rsidR="004B0B44" w:rsidRPr="00CF1118">
        <w:t>222</w:t>
      </w:r>
      <w:r w:rsidRPr="00CF1118">
        <w:t xml:space="preserve"> </w:t>
      </w:r>
      <w:r w:rsidR="004B0B44" w:rsidRPr="00CF1118">
        <w:t>032</w:t>
      </w:r>
      <w:r w:rsidR="001942CF" w:rsidRPr="00CF1118">
        <w:t xml:space="preserve"> (call charges may apply)</w:t>
      </w:r>
    </w:p>
    <w:p w14:paraId="09C78219" w14:textId="77777777" w:rsidR="00F823F8" w:rsidRPr="00CF1118" w:rsidRDefault="00DF7951" w:rsidP="00296619">
      <w:pPr>
        <w:pStyle w:val="Paragraphtext"/>
      </w:pPr>
      <w:r w:rsidRPr="00CF1118">
        <w:t>e</w:t>
      </w:r>
      <w:r w:rsidR="004B0B44" w:rsidRPr="00CF1118">
        <w:t>mail</w:t>
      </w:r>
      <w:r w:rsidRPr="00CF1118">
        <w:t xml:space="preserve"> </w:t>
      </w:r>
      <w:r w:rsidR="00031B57" w:rsidRPr="00CF1118">
        <w:t xml:space="preserve">Human Services at </w:t>
      </w:r>
      <w:hyperlink r:id="rId22" w:history="1">
        <w:r w:rsidR="004B0B44" w:rsidRPr="00CF1118">
          <w:rPr>
            <w:b/>
            <w:color w:val="0000FF"/>
            <w:u w:val="single"/>
          </w:rPr>
          <w:t>pip@humanservices.gov.au</w:t>
        </w:r>
      </w:hyperlink>
    </w:p>
    <w:sectPr w:rsidR="00F823F8" w:rsidRPr="00CF1118" w:rsidSect="006B2163">
      <w:footerReference w:type="default" r:id="rId23"/>
      <w:headerReference w:type="first" r:id="rId24"/>
      <w:footerReference w:type="first" r:id="rId25"/>
      <w:pgSz w:w="11906" w:h="16838"/>
      <w:pgMar w:top="1701" w:right="1134" w:bottom="1440"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7BDE" w14:textId="77777777" w:rsidR="003F20E4" w:rsidRDefault="003F20E4" w:rsidP="00E37D90">
      <w:pPr>
        <w:spacing w:after="0" w:line="240" w:lineRule="auto"/>
      </w:pPr>
      <w:r>
        <w:separator/>
      </w:r>
    </w:p>
  </w:endnote>
  <w:endnote w:type="continuationSeparator" w:id="0">
    <w:p w14:paraId="2C11210A" w14:textId="77777777" w:rsidR="003F20E4" w:rsidRDefault="003F20E4" w:rsidP="00E37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FCentroSlabPro-Medium">
    <w:altName w:val="Times New Roman"/>
    <w:panose1 w:val="00000000000000000000"/>
    <w:charset w:val="00"/>
    <w:family w:val="auto"/>
    <w:notTrueType/>
    <w:pitch w:val="default"/>
    <w:sig w:usb0="00000003" w:usb1="00000000" w:usb2="00000000" w:usb3="00000000" w:csb0="00000001" w:csb1="00000000"/>
  </w:font>
  <w:font w:name="PFCentroSansPro-Regular">
    <w:altName w:val="Times New Roman"/>
    <w:panose1 w:val="00000000000000000000"/>
    <w:charset w:val="00"/>
    <w:family w:val="auto"/>
    <w:notTrueType/>
    <w:pitch w:val="default"/>
    <w:sig w:usb0="00000003" w:usb1="00000000" w:usb2="00000000" w:usb3="00000000" w:csb0="00000001" w:csb1="00000000"/>
  </w:font>
  <w:font w:name="PFCentroSansPro-Bold">
    <w:panose1 w:val="00000000000000000000"/>
    <w:charset w:val="00"/>
    <w:family w:val="auto"/>
    <w:notTrueType/>
    <w:pitch w:val="default"/>
    <w:sig w:usb0="00000003" w:usb1="00000000" w:usb2="00000000" w:usb3="00000000" w:csb0="00000001" w:csb1="00000000"/>
  </w:font>
  <w:font w:name="PFCentroSansPro-Medium">
    <w:panose1 w:val="00000000000000000000"/>
    <w:charset w:val="00"/>
    <w:family w:val="auto"/>
    <w:notTrueType/>
    <w:pitch w:val="default"/>
    <w:sig w:usb0="00000003" w:usb1="00000000" w:usb2="00000000" w:usb3="00000000" w:csb0="00000001" w:csb1="00000000"/>
  </w:font>
  <w:font w:name="PFCentroSansPro-Italic">
    <w:panose1 w:val="00000000000000000000"/>
    <w:charset w:val="00"/>
    <w:family w:val="swiss"/>
    <w:notTrueType/>
    <w:pitch w:val="default"/>
    <w:sig w:usb0="00000003" w:usb1="00000000" w:usb2="00000000" w:usb3="00000000" w:csb0="00000001" w:csb1="00000000"/>
  </w:font>
  <w:font w:name="PF Centro Slab Pro">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2373A"/>
      </w:rPr>
      <w:id w:val="-1903831928"/>
      <w:docPartObj>
        <w:docPartGallery w:val="Page Numbers (Bottom of Page)"/>
        <w:docPartUnique/>
      </w:docPartObj>
    </w:sdtPr>
    <w:sdtEndPr>
      <w:rPr>
        <w:noProof/>
      </w:rPr>
    </w:sdtEndPr>
    <w:sdtContent>
      <w:p w14:paraId="6D331EF2" w14:textId="77777777" w:rsidR="00296619" w:rsidRPr="00296619" w:rsidRDefault="00296619">
        <w:pPr>
          <w:pStyle w:val="Footer"/>
          <w:jc w:val="right"/>
          <w:rPr>
            <w:color w:val="32373A"/>
          </w:rPr>
        </w:pPr>
        <w:r w:rsidRPr="00296619">
          <w:rPr>
            <w:color w:val="32373A"/>
          </w:rPr>
          <w:fldChar w:fldCharType="begin"/>
        </w:r>
        <w:r w:rsidRPr="00296619">
          <w:rPr>
            <w:color w:val="32373A"/>
          </w:rPr>
          <w:instrText xml:space="preserve"> PAGE   \* MERGEFORMAT </w:instrText>
        </w:r>
        <w:r w:rsidRPr="00296619">
          <w:rPr>
            <w:color w:val="32373A"/>
          </w:rPr>
          <w:fldChar w:fldCharType="separate"/>
        </w:r>
        <w:r w:rsidR="00673270">
          <w:rPr>
            <w:noProof/>
            <w:color w:val="32373A"/>
          </w:rPr>
          <w:t>5</w:t>
        </w:r>
        <w:r w:rsidRPr="00296619">
          <w:rPr>
            <w:noProof/>
            <w:color w:val="32373A"/>
          </w:rPr>
          <w:fldChar w:fldCharType="end"/>
        </w:r>
      </w:p>
    </w:sdtContent>
  </w:sdt>
  <w:p w14:paraId="5D372C23" w14:textId="77777777" w:rsidR="00724FD8" w:rsidRPr="00296619" w:rsidRDefault="00296619" w:rsidP="00296619">
    <w:pPr>
      <w:pStyle w:val="Footer"/>
      <w:rPr>
        <w:color w:val="32373A"/>
      </w:rPr>
    </w:pPr>
    <w:r w:rsidRPr="00296619">
      <w:rPr>
        <w:rFonts w:eastAsiaTheme="majorEastAsia"/>
        <w:color w:val="32373A"/>
      </w:rPr>
      <w:t xml:space="preserve">Practice </w:t>
    </w:r>
    <w:r w:rsidRPr="00296619">
      <w:rPr>
        <w:color w:val="32373A"/>
      </w:rPr>
      <w:t>Incentives</w:t>
    </w:r>
    <w:r w:rsidRPr="00296619">
      <w:rPr>
        <w:rFonts w:eastAsiaTheme="majorEastAsia"/>
        <w:color w:val="32373A"/>
      </w:rPr>
      <w:t xml:space="preserve"> Program Quality I</w:t>
    </w:r>
    <w:r w:rsidR="002F2A22">
      <w:rPr>
        <w:rFonts w:eastAsiaTheme="majorEastAsia"/>
        <w:color w:val="32373A"/>
      </w:rPr>
      <w:t>mprovement Incentive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1A8F" w14:textId="77777777" w:rsidR="00724FD8" w:rsidRDefault="00724FD8" w:rsidP="00A113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B3C0" w14:textId="77777777" w:rsidR="003F20E4" w:rsidRDefault="003F20E4" w:rsidP="00E37D90">
      <w:pPr>
        <w:spacing w:after="0" w:line="240" w:lineRule="auto"/>
      </w:pPr>
      <w:r>
        <w:separator/>
      </w:r>
    </w:p>
  </w:footnote>
  <w:footnote w:type="continuationSeparator" w:id="0">
    <w:p w14:paraId="0CE051A9" w14:textId="77777777" w:rsidR="003F20E4" w:rsidRDefault="003F20E4" w:rsidP="00E37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AF37" w14:textId="77777777" w:rsidR="0099461A" w:rsidRPr="0099461A" w:rsidRDefault="0099461A" w:rsidP="0099461A">
    <w:pPr>
      <w:pStyle w:val="Header"/>
    </w:pPr>
    <w:r>
      <w:rPr>
        <w:noProof/>
      </w:rPr>
      <w:drawing>
        <wp:inline distT="0" distB="0" distL="0" distR="0" wp14:anchorId="4346A119" wp14:editId="079F27C2">
          <wp:extent cx="1467293" cy="1057275"/>
          <wp:effectExtent l="0" t="0" r="0" b="0"/>
          <wp:docPr id="2" name="Picture 2" descr="Australian Government Department of Health logo and PHN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anner-100-colour.png"/>
                  <pic:cNvPicPr/>
                </pic:nvPicPr>
                <pic:blipFill rotWithShape="1">
                  <a:blip r:embed="rId1">
                    <a:extLst>
                      <a:ext uri="{28A0092B-C50C-407E-A947-70E740481C1C}">
                        <a14:useLocalDpi xmlns:a14="http://schemas.microsoft.com/office/drawing/2010/main" val="0"/>
                      </a:ext>
                    </a:extLst>
                  </a:blip>
                  <a:srcRect r="76020"/>
                  <a:stretch/>
                </pic:blipFill>
                <pic:spPr bwMode="auto">
                  <a:xfrm>
                    <a:off x="0" y="0"/>
                    <a:ext cx="1467591" cy="10574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5B9"/>
    <w:multiLevelType w:val="hybridMultilevel"/>
    <w:tmpl w:val="8C82EA4E"/>
    <w:lvl w:ilvl="0" w:tplc="0C09000F">
      <w:start w:val="1"/>
      <w:numFmt w:val="decimal"/>
      <w:lvlText w:val="%1."/>
      <w:lvlJc w:val="left"/>
      <w:pPr>
        <w:ind w:left="927" w:hanging="360"/>
      </w:pPr>
      <w:rPr>
        <w:rFonts w:hint="default"/>
      </w:rPr>
    </w:lvl>
    <w:lvl w:ilvl="1" w:tplc="0C090019">
      <w:start w:val="1"/>
      <w:numFmt w:val="lowerLetter"/>
      <w:lvlText w:val="%2."/>
      <w:lvlJc w:val="left"/>
      <w:pPr>
        <w:ind w:left="1647" w:hanging="360"/>
      </w:pPr>
      <w:rPr>
        <w:rFonts w:cs="Times New Roman"/>
      </w:rPr>
    </w:lvl>
    <w:lvl w:ilvl="2" w:tplc="0C09001B">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1" w15:restartNumberingAfterBreak="0">
    <w:nsid w:val="0BD22D17"/>
    <w:multiLevelType w:val="hybridMultilevel"/>
    <w:tmpl w:val="2688B094"/>
    <w:lvl w:ilvl="0" w:tplc="0C090001">
      <w:start w:val="1"/>
      <w:numFmt w:val="bullet"/>
      <w:lvlText w:val=""/>
      <w:lvlJc w:val="left"/>
      <w:pPr>
        <w:ind w:left="927" w:hanging="360"/>
      </w:pPr>
      <w:rPr>
        <w:rFonts w:ascii="Symbol" w:hAnsi="Symbol" w:hint="default"/>
      </w:rPr>
    </w:lvl>
    <w:lvl w:ilvl="1" w:tplc="0C090019">
      <w:start w:val="1"/>
      <w:numFmt w:val="lowerLetter"/>
      <w:lvlText w:val="%2."/>
      <w:lvlJc w:val="left"/>
      <w:pPr>
        <w:ind w:left="1647" w:hanging="360"/>
      </w:pPr>
      <w:rPr>
        <w:rFonts w:cs="Times New Roman"/>
      </w:rPr>
    </w:lvl>
    <w:lvl w:ilvl="2" w:tplc="0C09001B">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2" w15:restartNumberingAfterBreak="0">
    <w:nsid w:val="0D343E14"/>
    <w:multiLevelType w:val="multilevel"/>
    <w:tmpl w:val="7934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C6FFF"/>
    <w:multiLevelType w:val="hybridMultilevel"/>
    <w:tmpl w:val="ECD2D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17FEB"/>
    <w:multiLevelType w:val="hybridMultilevel"/>
    <w:tmpl w:val="3F96AF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E993B16"/>
    <w:multiLevelType w:val="hybridMultilevel"/>
    <w:tmpl w:val="00D425D2"/>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94C21F5"/>
    <w:multiLevelType w:val="hybridMultilevel"/>
    <w:tmpl w:val="D766E1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30F37"/>
    <w:multiLevelType w:val="hybridMultilevel"/>
    <w:tmpl w:val="E0E41206"/>
    <w:lvl w:ilvl="0" w:tplc="ABBCD8C8">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EA7BD5"/>
    <w:multiLevelType w:val="hybridMultilevel"/>
    <w:tmpl w:val="D3E69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A1D14"/>
    <w:multiLevelType w:val="hybridMultilevel"/>
    <w:tmpl w:val="A56EF282"/>
    <w:lvl w:ilvl="0" w:tplc="12F235EE">
      <w:start w:val="1"/>
      <w:numFmt w:val="bullet"/>
      <w:lvlText w:val="•"/>
      <w:lvlJc w:val="left"/>
      <w:pPr>
        <w:ind w:left="227"/>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6F0A5588">
      <w:start w:val="1"/>
      <w:numFmt w:val="bullet"/>
      <w:lvlText w:val="–"/>
      <w:lvlJc w:val="left"/>
      <w:pPr>
        <w:ind w:left="454"/>
      </w:pPr>
      <w:rPr>
        <w:rFonts w:ascii="Calibri" w:eastAsia="Calibri" w:hAnsi="Calibri" w:cs="Calibri"/>
        <w:b w:val="0"/>
        <w:i w:val="0"/>
        <w:strike w:val="0"/>
        <w:dstrike w:val="0"/>
        <w:color w:val="005D44"/>
        <w:sz w:val="20"/>
        <w:szCs w:val="20"/>
        <w:u w:val="none" w:color="000000"/>
        <w:bdr w:val="none" w:sz="0" w:space="0" w:color="auto"/>
        <w:shd w:val="clear" w:color="auto" w:fill="auto"/>
        <w:vertAlign w:val="baseline"/>
      </w:rPr>
    </w:lvl>
    <w:lvl w:ilvl="2" w:tplc="9B684E30">
      <w:start w:val="1"/>
      <w:numFmt w:val="bullet"/>
      <w:lvlText w:val="▪"/>
      <w:lvlJc w:val="left"/>
      <w:pPr>
        <w:ind w:left="1307"/>
      </w:pPr>
      <w:rPr>
        <w:rFonts w:ascii="Calibri" w:eastAsia="Calibri" w:hAnsi="Calibri" w:cs="Calibri"/>
        <w:b w:val="0"/>
        <w:i w:val="0"/>
        <w:strike w:val="0"/>
        <w:dstrike w:val="0"/>
        <w:color w:val="005D44"/>
        <w:sz w:val="20"/>
        <w:szCs w:val="20"/>
        <w:u w:val="none" w:color="000000"/>
        <w:bdr w:val="none" w:sz="0" w:space="0" w:color="auto"/>
        <w:shd w:val="clear" w:color="auto" w:fill="auto"/>
        <w:vertAlign w:val="baseline"/>
      </w:rPr>
    </w:lvl>
    <w:lvl w:ilvl="3" w:tplc="057829B4">
      <w:start w:val="1"/>
      <w:numFmt w:val="bullet"/>
      <w:lvlText w:val="•"/>
      <w:lvlJc w:val="left"/>
      <w:pPr>
        <w:ind w:left="2027"/>
      </w:pPr>
      <w:rPr>
        <w:rFonts w:ascii="Calibri" w:eastAsia="Calibri" w:hAnsi="Calibri" w:cs="Calibri"/>
        <w:b w:val="0"/>
        <w:i w:val="0"/>
        <w:strike w:val="0"/>
        <w:dstrike w:val="0"/>
        <w:color w:val="005D44"/>
        <w:sz w:val="20"/>
        <w:szCs w:val="20"/>
        <w:u w:val="none" w:color="000000"/>
        <w:bdr w:val="none" w:sz="0" w:space="0" w:color="auto"/>
        <w:shd w:val="clear" w:color="auto" w:fill="auto"/>
        <w:vertAlign w:val="baseline"/>
      </w:rPr>
    </w:lvl>
    <w:lvl w:ilvl="4" w:tplc="4DC258FA">
      <w:start w:val="1"/>
      <w:numFmt w:val="bullet"/>
      <w:lvlText w:val="o"/>
      <w:lvlJc w:val="left"/>
      <w:pPr>
        <w:ind w:left="2747"/>
      </w:pPr>
      <w:rPr>
        <w:rFonts w:ascii="Calibri" w:eastAsia="Calibri" w:hAnsi="Calibri" w:cs="Calibri"/>
        <w:b w:val="0"/>
        <w:i w:val="0"/>
        <w:strike w:val="0"/>
        <w:dstrike w:val="0"/>
        <w:color w:val="005D44"/>
        <w:sz w:val="20"/>
        <w:szCs w:val="20"/>
        <w:u w:val="none" w:color="000000"/>
        <w:bdr w:val="none" w:sz="0" w:space="0" w:color="auto"/>
        <w:shd w:val="clear" w:color="auto" w:fill="auto"/>
        <w:vertAlign w:val="baseline"/>
      </w:rPr>
    </w:lvl>
    <w:lvl w:ilvl="5" w:tplc="D54C678A">
      <w:start w:val="1"/>
      <w:numFmt w:val="bullet"/>
      <w:lvlText w:val="▪"/>
      <w:lvlJc w:val="left"/>
      <w:pPr>
        <w:ind w:left="3467"/>
      </w:pPr>
      <w:rPr>
        <w:rFonts w:ascii="Calibri" w:eastAsia="Calibri" w:hAnsi="Calibri" w:cs="Calibri"/>
        <w:b w:val="0"/>
        <w:i w:val="0"/>
        <w:strike w:val="0"/>
        <w:dstrike w:val="0"/>
        <w:color w:val="005D44"/>
        <w:sz w:val="20"/>
        <w:szCs w:val="20"/>
        <w:u w:val="none" w:color="000000"/>
        <w:bdr w:val="none" w:sz="0" w:space="0" w:color="auto"/>
        <w:shd w:val="clear" w:color="auto" w:fill="auto"/>
        <w:vertAlign w:val="baseline"/>
      </w:rPr>
    </w:lvl>
    <w:lvl w:ilvl="6" w:tplc="8324983C">
      <w:start w:val="1"/>
      <w:numFmt w:val="bullet"/>
      <w:lvlText w:val="•"/>
      <w:lvlJc w:val="left"/>
      <w:pPr>
        <w:ind w:left="4187"/>
      </w:pPr>
      <w:rPr>
        <w:rFonts w:ascii="Calibri" w:eastAsia="Calibri" w:hAnsi="Calibri" w:cs="Calibri"/>
        <w:b w:val="0"/>
        <w:i w:val="0"/>
        <w:strike w:val="0"/>
        <w:dstrike w:val="0"/>
        <w:color w:val="005D44"/>
        <w:sz w:val="20"/>
        <w:szCs w:val="20"/>
        <w:u w:val="none" w:color="000000"/>
        <w:bdr w:val="none" w:sz="0" w:space="0" w:color="auto"/>
        <w:shd w:val="clear" w:color="auto" w:fill="auto"/>
        <w:vertAlign w:val="baseline"/>
      </w:rPr>
    </w:lvl>
    <w:lvl w:ilvl="7" w:tplc="D988CA14">
      <w:start w:val="1"/>
      <w:numFmt w:val="bullet"/>
      <w:lvlText w:val="o"/>
      <w:lvlJc w:val="left"/>
      <w:pPr>
        <w:ind w:left="4907"/>
      </w:pPr>
      <w:rPr>
        <w:rFonts w:ascii="Calibri" w:eastAsia="Calibri" w:hAnsi="Calibri" w:cs="Calibri"/>
        <w:b w:val="0"/>
        <w:i w:val="0"/>
        <w:strike w:val="0"/>
        <w:dstrike w:val="0"/>
        <w:color w:val="005D44"/>
        <w:sz w:val="20"/>
        <w:szCs w:val="20"/>
        <w:u w:val="none" w:color="000000"/>
        <w:bdr w:val="none" w:sz="0" w:space="0" w:color="auto"/>
        <w:shd w:val="clear" w:color="auto" w:fill="auto"/>
        <w:vertAlign w:val="baseline"/>
      </w:rPr>
    </w:lvl>
    <w:lvl w:ilvl="8" w:tplc="E35CCF56">
      <w:start w:val="1"/>
      <w:numFmt w:val="bullet"/>
      <w:lvlText w:val="▪"/>
      <w:lvlJc w:val="left"/>
      <w:pPr>
        <w:ind w:left="5627"/>
      </w:pPr>
      <w:rPr>
        <w:rFonts w:ascii="Calibri" w:eastAsia="Calibri" w:hAnsi="Calibri" w:cs="Calibri"/>
        <w:b w:val="0"/>
        <w:i w:val="0"/>
        <w:strike w:val="0"/>
        <w:dstrike w:val="0"/>
        <w:color w:val="005D44"/>
        <w:sz w:val="20"/>
        <w:szCs w:val="20"/>
        <w:u w:val="none" w:color="000000"/>
        <w:bdr w:val="none" w:sz="0" w:space="0" w:color="auto"/>
        <w:shd w:val="clear" w:color="auto" w:fill="auto"/>
        <w:vertAlign w:val="baseline"/>
      </w:rPr>
    </w:lvl>
  </w:abstractNum>
  <w:abstractNum w:abstractNumId="10" w15:restartNumberingAfterBreak="0">
    <w:nsid w:val="262F0E16"/>
    <w:multiLevelType w:val="hybridMultilevel"/>
    <w:tmpl w:val="20FE2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E1622"/>
    <w:multiLevelType w:val="hybridMultilevel"/>
    <w:tmpl w:val="EB3CEF54"/>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12" w15:restartNumberingAfterBreak="0">
    <w:nsid w:val="33910B64"/>
    <w:multiLevelType w:val="hybridMultilevel"/>
    <w:tmpl w:val="4B3A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7046FF"/>
    <w:multiLevelType w:val="hybridMultilevel"/>
    <w:tmpl w:val="BB681D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86241DC"/>
    <w:multiLevelType w:val="hybridMultilevel"/>
    <w:tmpl w:val="30407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CE711C"/>
    <w:multiLevelType w:val="hybridMultilevel"/>
    <w:tmpl w:val="782A8114"/>
    <w:lvl w:ilvl="0" w:tplc="911446BE">
      <w:start w:val="1"/>
      <w:numFmt w:val="decimal"/>
      <w:lvlText w:val="%1."/>
      <w:lvlJc w:val="left"/>
      <w:pPr>
        <w:ind w:left="2727" w:hanging="360"/>
      </w:pPr>
      <w:rPr>
        <w:rFonts w:cs="Times New Roman" w:hint="default"/>
      </w:rPr>
    </w:lvl>
    <w:lvl w:ilvl="1" w:tplc="0C090019" w:tentative="1">
      <w:start w:val="1"/>
      <w:numFmt w:val="lowerLetter"/>
      <w:lvlText w:val="%2."/>
      <w:lvlJc w:val="left"/>
      <w:pPr>
        <w:ind w:left="3447" w:hanging="360"/>
      </w:pPr>
      <w:rPr>
        <w:rFonts w:cs="Times New Roman"/>
      </w:rPr>
    </w:lvl>
    <w:lvl w:ilvl="2" w:tplc="0C09001B" w:tentative="1">
      <w:start w:val="1"/>
      <w:numFmt w:val="lowerRoman"/>
      <w:lvlText w:val="%3."/>
      <w:lvlJc w:val="right"/>
      <w:pPr>
        <w:ind w:left="4167" w:hanging="180"/>
      </w:pPr>
      <w:rPr>
        <w:rFonts w:cs="Times New Roman"/>
      </w:rPr>
    </w:lvl>
    <w:lvl w:ilvl="3" w:tplc="0C09000F" w:tentative="1">
      <w:start w:val="1"/>
      <w:numFmt w:val="decimal"/>
      <w:lvlText w:val="%4."/>
      <w:lvlJc w:val="left"/>
      <w:pPr>
        <w:ind w:left="4887" w:hanging="360"/>
      </w:pPr>
      <w:rPr>
        <w:rFonts w:cs="Times New Roman"/>
      </w:rPr>
    </w:lvl>
    <w:lvl w:ilvl="4" w:tplc="0C090019" w:tentative="1">
      <w:start w:val="1"/>
      <w:numFmt w:val="lowerLetter"/>
      <w:lvlText w:val="%5."/>
      <w:lvlJc w:val="left"/>
      <w:pPr>
        <w:ind w:left="5607" w:hanging="360"/>
      </w:pPr>
      <w:rPr>
        <w:rFonts w:cs="Times New Roman"/>
      </w:rPr>
    </w:lvl>
    <w:lvl w:ilvl="5" w:tplc="0C09001B" w:tentative="1">
      <w:start w:val="1"/>
      <w:numFmt w:val="lowerRoman"/>
      <w:lvlText w:val="%6."/>
      <w:lvlJc w:val="right"/>
      <w:pPr>
        <w:ind w:left="6327" w:hanging="180"/>
      </w:pPr>
      <w:rPr>
        <w:rFonts w:cs="Times New Roman"/>
      </w:rPr>
    </w:lvl>
    <w:lvl w:ilvl="6" w:tplc="0C09000F" w:tentative="1">
      <w:start w:val="1"/>
      <w:numFmt w:val="decimal"/>
      <w:lvlText w:val="%7."/>
      <w:lvlJc w:val="left"/>
      <w:pPr>
        <w:ind w:left="7047" w:hanging="360"/>
      </w:pPr>
      <w:rPr>
        <w:rFonts w:cs="Times New Roman"/>
      </w:rPr>
    </w:lvl>
    <w:lvl w:ilvl="7" w:tplc="0C090019" w:tentative="1">
      <w:start w:val="1"/>
      <w:numFmt w:val="lowerLetter"/>
      <w:lvlText w:val="%8."/>
      <w:lvlJc w:val="left"/>
      <w:pPr>
        <w:ind w:left="7767" w:hanging="360"/>
      </w:pPr>
      <w:rPr>
        <w:rFonts w:cs="Times New Roman"/>
      </w:rPr>
    </w:lvl>
    <w:lvl w:ilvl="8" w:tplc="0C09001B" w:tentative="1">
      <w:start w:val="1"/>
      <w:numFmt w:val="lowerRoman"/>
      <w:lvlText w:val="%9."/>
      <w:lvlJc w:val="right"/>
      <w:pPr>
        <w:ind w:left="8487" w:hanging="180"/>
      </w:pPr>
      <w:rPr>
        <w:rFonts w:cs="Times New Roman"/>
      </w:rPr>
    </w:lvl>
  </w:abstractNum>
  <w:abstractNum w:abstractNumId="16" w15:restartNumberingAfterBreak="0">
    <w:nsid w:val="3967511B"/>
    <w:multiLevelType w:val="hybridMultilevel"/>
    <w:tmpl w:val="992495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A254BFE"/>
    <w:multiLevelType w:val="hybridMultilevel"/>
    <w:tmpl w:val="177E9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E503DC"/>
    <w:multiLevelType w:val="hybridMultilevel"/>
    <w:tmpl w:val="9140CD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1624DF"/>
    <w:multiLevelType w:val="hybridMultilevel"/>
    <w:tmpl w:val="5CC2D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851A2C"/>
    <w:multiLevelType w:val="multilevel"/>
    <w:tmpl w:val="98FA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017CF"/>
    <w:multiLevelType w:val="hybridMultilevel"/>
    <w:tmpl w:val="4C9ED892"/>
    <w:lvl w:ilvl="0" w:tplc="0C090001">
      <w:start w:val="1"/>
      <w:numFmt w:val="bullet"/>
      <w:lvlText w:val=""/>
      <w:lvlJc w:val="left"/>
      <w:pPr>
        <w:ind w:left="1410" w:hanging="360"/>
      </w:pPr>
      <w:rPr>
        <w:rFonts w:ascii="Symbol" w:hAnsi="Symbol" w:hint="default"/>
      </w:rPr>
    </w:lvl>
    <w:lvl w:ilvl="1" w:tplc="0C090003">
      <w:start w:val="1"/>
      <w:numFmt w:val="bullet"/>
      <w:lvlText w:val="o"/>
      <w:lvlJc w:val="left"/>
      <w:pPr>
        <w:ind w:left="2130" w:hanging="360"/>
      </w:pPr>
      <w:rPr>
        <w:rFonts w:ascii="Courier New" w:hAnsi="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22" w15:restartNumberingAfterBreak="0">
    <w:nsid w:val="41384FD7"/>
    <w:multiLevelType w:val="hybridMultilevel"/>
    <w:tmpl w:val="4E6619A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41D84CF9"/>
    <w:multiLevelType w:val="hybridMultilevel"/>
    <w:tmpl w:val="8A3205C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436A0DBF"/>
    <w:multiLevelType w:val="hybridMultilevel"/>
    <w:tmpl w:val="168AFCA2"/>
    <w:lvl w:ilvl="0" w:tplc="0C090001">
      <w:start w:val="1"/>
      <w:numFmt w:val="bullet"/>
      <w:lvlText w:val=""/>
      <w:lvlJc w:val="left"/>
      <w:pPr>
        <w:ind w:left="2673" w:hanging="360"/>
      </w:pPr>
      <w:rPr>
        <w:rFonts w:ascii="Symbol" w:hAnsi="Symbol" w:hint="default"/>
      </w:rPr>
    </w:lvl>
    <w:lvl w:ilvl="1" w:tplc="0C090003">
      <w:start w:val="1"/>
      <w:numFmt w:val="bullet"/>
      <w:lvlText w:val="o"/>
      <w:lvlJc w:val="left"/>
      <w:pPr>
        <w:ind w:left="3393" w:hanging="360"/>
      </w:pPr>
      <w:rPr>
        <w:rFonts w:ascii="Courier New" w:hAnsi="Courier New" w:hint="default"/>
      </w:rPr>
    </w:lvl>
    <w:lvl w:ilvl="2" w:tplc="0C090005" w:tentative="1">
      <w:start w:val="1"/>
      <w:numFmt w:val="bullet"/>
      <w:lvlText w:val=""/>
      <w:lvlJc w:val="left"/>
      <w:pPr>
        <w:ind w:left="4113" w:hanging="360"/>
      </w:pPr>
      <w:rPr>
        <w:rFonts w:ascii="Wingdings" w:hAnsi="Wingdings" w:hint="default"/>
      </w:rPr>
    </w:lvl>
    <w:lvl w:ilvl="3" w:tplc="0C090001" w:tentative="1">
      <w:start w:val="1"/>
      <w:numFmt w:val="bullet"/>
      <w:lvlText w:val=""/>
      <w:lvlJc w:val="left"/>
      <w:pPr>
        <w:ind w:left="4833" w:hanging="360"/>
      </w:pPr>
      <w:rPr>
        <w:rFonts w:ascii="Symbol" w:hAnsi="Symbol" w:hint="default"/>
      </w:rPr>
    </w:lvl>
    <w:lvl w:ilvl="4" w:tplc="0C090003" w:tentative="1">
      <w:start w:val="1"/>
      <w:numFmt w:val="bullet"/>
      <w:lvlText w:val="o"/>
      <w:lvlJc w:val="left"/>
      <w:pPr>
        <w:ind w:left="5553" w:hanging="360"/>
      </w:pPr>
      <w:rPr>
        <w:rFonts w:ascii="Courier New" w:hAnsi="Courier New" w:hint="default"/>
      </w:rPr>
    </w:lvl>
    <w:lvl w:ilvl="5" w:tplc="0C090005" w:tentative="1">
      <w:start w:val="1"/>
      <w:numFmt w:val="bullet"/>
      <w:lvlText w:val=""/>
      <w:lvlJc w:val="left"/>
      <w:pPr>
        <w:ind w:left="6273" w:hanging="360"/>
      </w:pPr>
      <w:rPr>
        <w:rFonts w:ascii="Wingdings" w:hAnsi="Wingdings" w:hint="default"/>
      </w:rPr>
    </w:lvl>
    <w:lvl w:ilvl="6" w:tplc="0C090001" w:tentative="1">
      <w:start w:val="1"/>
      <w:numFmt w:val="bullet"/>
      <w:lvlText w:val=""/>
      <w:lvlJc w:val="left"/>
      <w:pPr>
        <w:ind w:left="6993" w:hanging="360"/>
      </w:pPr>
      <w:rPr>
        <w:rFonts w:ascii="Symbol" w:hAnsi="Symbol" w:hint="default"/>
      </w:rPr>
    </w:lvl>
    <w:lvl w:ilvl="7" w:tplc="0C090003" w:tentative="1">
      <w:start w:val="1"/>
      <w:numFmt w:val="bullet"/>
      <w:lvlText w:val="o"/>
      <w:lvlJc w:val="left"/>
      <w:pPr>
        <w:ind w:left="7713" w:hanging="360"/>
      </w:pPr>
      <w:rPr>
        <w:rFonts w:ascii="Courier New" w:hAnsi="Courier New" w:hint="default"/>
      </w:rPr>
    </w:lvl>
    <w:lvl w:ilvl="8" w:tplc="0C090005" w:tentative="1">
      <w:start w:val="1"/>
      <w:numFmt w:val="bullet"/>
      <w:lvlText w:val=""/>
      <w:lvlJc w:val="left"/>
      <w:pPr>
        <w:ind w:left="8433" w:hanging="360"/>
      </w:pPr>
      <w:rPr>
        <w:rFonts w:ascii="Wingdings" w:hAnsi="Wingdings" w:hint="default"/>
      </w:rPr>
    </w:lvl>
  </w:abstractNum>
  <w:abstractNum w:abstractNumId="25" w15:restartNumberingAfterBreak="0">
    <w:nsid w:val="483606F9"/>
    <w:multiLevelType w:val="hybridMultilevel"/>
    <w:tmpl w:val="3CD069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9160D4B"/>
    <w:multiLevelType w:val="hybridMultilevel"/>
    <w:tmpl w:val="621C2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C8303B"/>
    <w:multiLevelType w:val="multilevel"/>
    <w:tmpl w:val="E3B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C5414"/>
    <w:multiLevelType w:val="hybridMultilevel"/>
    <w:tmpl w:val="8BAA96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D4F136A"/>
    <w:multiLevelType w:val="hybridMultilevel"/>
    <w:tmpl w:val="E04EB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C364AF"/>
    <w:multiLevelType w:val="hybridMultilevel"/>
    <w:tmpl w:val="F6E4486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4FAE7F4B"/>
    <w:multiLevelType w:val="hybridMultilevel"/>
    <w:tmpl w:val="8BF48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8A0C6F"/>
    <w:multiLevelType w:val="hybridMultilevel"/>
    <w:tmpl w:val="8C56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C60132"/>
    <w:multiLevelType w:val="hybridMultilevel"/>
    <w:tmpl w:val="F2207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3E5F5A"/>
    <w:multiLevelType w:val="hybridMultilevel"/>
    <w:tmpl w:val="83D889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B8432A9"/>
    <w:multiLevelType w:val="hybridMultilevel"/>
    <w:tmpl w:val="26DAF08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5BBB6956"/>
    <w:multiLevelType w:val="hybridMultilevel"/>
    <w:tmpl w:val="B5364CF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42236D6"/>
    <w:multiLevelType w:val="hybridMultilevel"/>
    <w:tmpl w:val="C80E37B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8" w15:restartNumberingAfterBreak="0">
    <w:nsid w:val="69325F3D"/>
    <w:multiLevelType w:val="hybridMultilevel"/>
    <w:tmpl w:val="2CCCDC60"/>
    <w:lvl w:ilvl="0" w:tplc="D8AE329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C67BAB"/>
    <w:multiLevelType w:val="hybridMultilevel"/>
    <w:tmpl w:val="39723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4F6FF5"/>
    <w:multiLevelType w:val="hybridMultilevel"/>
    <w:tmpl w:val="A1B64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955F43"/>
    <w:multiLevelType w:val="hybridMultilevel"/>
    <w:tmpl w:val="A3322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60270CC"/>
    <w:multiLevelType w:val="hybridMultilevel"/>
    <w:tmpl w:val="323A4756"/>
    <w:lvl w:ilvl="0" w:tplc="01BE58EA">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65F62ED"/>
    <w:multiLevelType w:val="hybridMultilevel"/>
    <w:tmpl w:val="E7EA8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215109"/>
    <w:multiLevelType w:val="hybridMultilevel"/>
    <w:tmpl w:val="EEB8A844"/>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34"/>
  </w:num>
  <w:num w:numId="3">
    <w:abstractNumId w:val="8"/>
  </w:num>
  <w:num w:numId="4">
    <w:abstractNumId w:val="17"/>
  </w:num>
  <w:num w:numId="5">
    <w:abstractNumId w:val="35"/>
  </w:num>
  <w:num w:numId="6">
    <w:abstractNumId w:val="0"/>
  </w:num>
  <w:num w:numId="7">
    <w:abstractNumId w:val="38"/>
  </w:num>
  <w:num w:numId="8">
    <w:abstractNumId w:val="31"/>
  </w:num>
  <w:num w:numId="9">
    <w:abstractNumId w:val="30"/>
  </w:num>
  <w:num w:numId="10">
    <w:abstractNumId w:val="2"/>
  </w:num>
  <w:num w:numId="11">
    <w:abstractNumId w:val="27"/>
  </w:num>
  <w:num w:numId="12">
    <w:abstractNumId w:val="20"/>
  </w:num>
  <w:num w:numId="13">
    <w:abstractNumId w:val="11"/>
  </w:num>
  <w:num w:numId="14">
    <w:abstractNumId w:val="21"/>
  </w:num>
  <w:num w:numId="15">
    <w:abstractNumId w:val="23"/>
  </w:num>
  <w:num w:numId="16">
    <w:abstractNumId w:val="3"/>
  </w:num>
  <w:num w:numId="17">
    <w:abstractNumId w:val="24"/>
  </w:num>
  <w:num w:numId="18">
    <w:abstractNumId w:val="4"/>
  </w:num>
  <w:num w:numId="19">
    <w:abstractNumId w:val="32"/>
  </w:num>
  <w:num w:numId="20">
    <w:abstractNumId w:val="44"/>
  </w:num>
  <w:num w:numId="21">
    <w:abstractNumId w:val="16"/>
  </w:num>
  <w:num w:numId="22">
    <w:abstractNumId w:val="14"/>
  </w:num>
  <w:num w:numId="23">
    <w:abstractNumId w:val="15"/>
  </w:num>
  <w:num w:numId="24">
    <w:abstractNumId w:val="36"/>
  </w:num>
  <w:num w:numId="25">
    <w:abstractNumId w:val="9"/>
  </w:num>
  <w:num w:numId="26">
    <w:abstractNumId w:val="1"/>
  </w:num>
  <w:num w:numId="27">
    <w:abstractNumId w:val="5"/>
  </w:num>
  <w:num w:numId="28">
    <w:abstractNumId w:val="18"/>
  </w:num>
  <w:num w:numId="29">
    <w:abstractNumId w:val="42"/>
  </w:num>
  <w:num w:numId="30">
    <w:abstractNumId w:val="6"/>
  </w:num>
  <w:num w:numId="31">
    <w:abstractNumId w:val="41"/>
  </w:num>
  <w:num w:numId="32">
    <w:abstractNumId w:val="10"/>
  </w:num>
  <w:num w:numId="33">
    <w:abstractNumId w:val="26"/>
  </w:num>
  <w:num w:numId="34">
    <w:abstractNumId w:val="12"/>
  </w:num>
  <w:num w:numId="35">
    <w:abstractNumId w:val="25"/>
  </w:num>
  <w:num w:numId="36">
    <w:abstractNumId w:val="39"/>
  </w:num>
  <w:num w:numId="37">
    <w:abstractNumId w:val="37"/>
  </w:num>
  <w:num w:numId="38">
    <w:abstractNumId w:val="29"/>
  </w:num>
  <w:num w:numId="39">
    <w:abstractNumId w:val="13"/>
  </w:num>
  <w:num w:numId="40">
    <w:abstractNumId w:val="28"/>
  </w:num>
  <w:num w:numId="41">
    <w:abstractNumId w:val="40"/>
  </w:num>
  <w:num w:numId="42">
    <w:abstractNumId w:val="22"/>
  </w:num>
  <w:num w:numId="43">
    <w:abstractNumId w:val="7"/>
  </w:num>
  <w:num w:numId="44">
    <w:abstractNumId w:val="33"/>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78"/>
    <w:rsid w:val="00000A64"/>
    <w:rsid w:val="000014F3"/>
    <w:rsid w:val="00002AFD"/>
    <w:rsid w:val="00003ABF"/>
    <w:rsid w:val="00004B9B"/>
    <w:rsid w:val="000104F0"/>
    <w:rsid w:val="00011AD6"/>
    <w:rsid w:val="000171DE"/>
    <w:rsid w:val="00017DB5"/>
    <w:rsid w:val="000209DF"/>
    <w:rsid w:val="00022B57"/>
    <w:rsid w:val="00023AB2"/>
    <w:rsid w:val="000240F1"/>
    <w:rsid w:val="0003081D"/>
    <w:rsid w:val="00031B57"/>
    <w:rsid w:val="000329BD"/>
    <w:rsid w:val="000406B0"/>
    <w:rsid w:val="0004266F"/>
    <w:rsid w:val="00044246"/>
    <w:rsid w:val="0005256F"/>
    <w:rsid w:val="000525AE"/>
    <w:rsid w:val="00057F0F"/>
    <w:rsid w:val="00060AB4"/>
    <w:rsid w:val="00062AF6"/>
    <w:rsid w:val="0006598C"/>
    <w:rsid w:val="000717B4"/>
    <w:rsid w:val="000775B6"/>
    <w:rsid w:val="00085460"/>
    <w:rsid w:val="00087EDE"/>
    <w:rsid w:val="00093BC4"/>
    <w:rsid w:val="00094F84"/>
    <w:rsid w:val="0009651E"/>
    <w:rsid w:val="000A4D42"/>
    <w:rsid w:val="000A63E0"/>
    <w:rsid w:val="000A6874"/>
    <w:rsid w:val="000B022A"/>
    <w:rsid w:val="000B065F"/>
    <w:rsid w:val="000C44B0"/>
    <w:rsid w:val="000C75A9"/>
    <w:rsid w:val="000C7EB1"/>
    <w:rsid w:val="000D25DF"/>
    <w:rsid w:val="000D2740"/>
    <w:rsid w:val="000E03D0"/>
    <w:rsid w:val="000E48BF"/>
    <w:rsid w:val="000E66D8"/>
    <w:rsid w:val="000F1E6F"/>
    <w:rsid w:val="000F2D62"/>
    <w:rsid w:val="000F30B9"/>
    <w:rsid w:val="000F63B7"/>
    <w:rsid w:val="001019C6"/>
    <w:rsid w:val="00105A27"/>
    <w:rsid w:val="00122194"/>
    <w:rsid w:val="001222B7"/>
    <w:rsid w:val="00126F1C"/>
    <w:rsid w:val="0012721A"/>
    <w:rsid w:val="001301C6"/>
    <w:rsid w:val="001304AC"/>
    <w:rsid w:val="00134A68"/>
    <w:rsid w:val="001356EE"/>
    <w:rsid w:val="00141D5E"/>
    <w:rsid w:val="00142FB8"/>
    <w:rsid w:val="001501E0"/>
    <w:rsid w:val="00154723"/>
    <w:rsid w:val="00156E30"/>
    <w:rsid w:val="00162920"/>
    <w:rsid w:val="00163582"/>
    <w:rsid w:val="00164248"/>
    <w:rsid w:val="001658FB"/>
    <w:rsid w:val="00175242"/>
    <w:rsid w:val="0017695C"/>
    <w:rsid w:val="001806E9"/>
    <w:rsid w:val="00182412"/>
    <w:rsid w:val="00184D73"/>
    <w:rsid w:val="001850F6"/>
    <w:rsid w:val="001942CF"/>
    <w:rsid w:val="00194492"/>
    <w:rsid w:val="001A3937"/>
    <w:rsid w:val="001B0A57"/>
    <w:rsid w:val="001B1A3A"/>
    <w:rsid w:val="001B4FBB"/>
    <w:rsid w:val="001B74FD"/>
    <w:rsid w:val="001C3A83"/>
    <w:rsid w:val="001C5D7D"/>
    <w:rsid w:val="001C5FF3"/>
    <w:rsid w:val="001C659B"/>
    <w:rsid w:val="001D1C31"/>
    <w:rsid w:val="001D4D18"/>
    <w:rsid w:val="001D54D2"/>
    <w:rsid w:val="001E4426"/>
    <w:rsid w:val="001E662C"/>
    <w:rsid w:val="0020071E"/>
    <w:rsid w:val="00201396"/>
    <w:rsid w:val="00212B82"/>
    <w:rsid w:val="0021536C"/>
    <w:rsid w:val="002159F3"/>
    <w:rsid w:val="002263B0"/>
    <w:rsid w:val="002355DB"/>
    <w:rsid w:val="002369D0"/>
    <w:rsid w:val="0023757E"/>
    <w:rsid w:val="00247CCA"/>
    <w:rsid w:val="00252759"/>
    <w:rsid w:val="00255007"/>
    <w:rsid w:val="0025669B"/>
    <w:rsid w:val="00257783"/>
    <w:rsid w:val="00263839"/>
    <w:rsid w:val="00273583"/>
    <w:rsid w:val="002765EA"/>
    <w:rsid w:val="00276B9A"/>
    <w:rsid w:val="00284433"/>
    <w:rsid w:val="00291BC7"/>
    <w:rsid w:val="00292800"/>
    <w:rsid w:val="00296619"/>
    <w:rsid w:val="002B135F"/>
    <w:rsid w:val="002B13BC"/>
    <w:rsid w:val="002D5417"/>
    <w:rsid w:val="002D6655"/>
    <w:rsid w:val="002D6F1B"/>
    <w:rsid w:val="002E1DD5"/>
    <w:rsid w:val="002E2E4D"/>
    <w:rsid w:val="002F2A22"/>
    <w:rsid w:val="003035D3"/>
    <w:rsid w:val="00305FE9"/>
    <w:rsid w:val="00307481"/>
    <w:rsid w:val="00312B86"/>
    <w:rsid w:val="00314455"/>
    <w:rsid w:val="00315B4F"/>
    <w:rsid w:val="00315F4D"/>
    <w:rsid w:val="00321BED"/>
    <w:rsid w:val="00327663"/>
    <w:rsid w:val="00330843"/>
    <w:rsid w:val="00340570"/>
    <w:rsid w:val="0034071F"/>
    <w:rsid w:val="00342D64"/>
    <w:rsid w:val="003473A7"/>
    <w:rsid w:val="00350AC4"/>
    <w:rsid w:val="0035548C"/>
    <w:rsid w:val="00356F61"/>
    <w:rsid w:val="00357E24"/>
    <w:rsid w:val="00362D5D"/>
    <w:rsid w:val="003636CE"/>
    <w:rsid w:val="00364D5A"/>
    <w:rsid w:val="0036582E"/>
    <w:rsid w:val="003668BE"/>
    <w:rsid w:val="00366CA5"/>
    <w:rsid w:val="00370151"/>
    <w:rsid w:val="003801F0"/>
    <w:rsid w:val="00380E45"/>
    <w:rsid w:val="003859BC"/>
    <w:rsid w:val="00386E2B"/>
    <w:rsid w:val="003873CF"/>
    <w:rsid w:val="00390560"/>
    <w:rsid w:val="00396D2B"/>
    <w:rsid w:val="003A3CB3"/>
    <w:rsid w:val="003A542E"/>
    <w:rsid w:val="003A7A66"/>
    <w:rsid w:val="003B0728"/>
    <w:rsid w:val="003B3152"/>
    <w:rsid w:val="003B3680"/>
    <w:rsid w:val="003B3ABE"/>
    <w:rsid w:val="003C1C3B"/>
    <w:rsid w:val="003C3C88"/>
    <w:rsid w:val="003D4511"/>
    <w:rsid w:val="003D5804"/>
    <w:rsid w:val="003D647C"/>
    <w:rsid w:val="003E16BA"/>
    <w:rsid w:val="003E1F16"/>
    <w:rsid w:val="003E32B3"/>
    <w:rsid w:val="003E42A1"/>
    <w:rsid w:val="003E54C6"/>
    <w:rsid w:val="003E71BD"/>
    <w:rsid w:val="003F20E4"/>
    <w:rsid w:val="003F3ADA"/>
    <w:rsid w:val="003F4BAF"/>
    <w:rsid w:val="00401BF9"/>
    <w:rsid w:val="004020DE"/>
    <w:rsid w:val="0040310F"/>
    <w:rsid w:val="0040558F"/>
    <w:rsid w:val="00405C06"/>
    <w:rsid w:val="004116B6"/>
    <w:rsid w:val="004123B1"/>
    <w:rsid w:val="0041641F"/>
    <w:rsid w:val="004248E7"/>
    <w:rsid w:val="00434166"/>
    <w:rsid w:val="004455A1"/>
    <w:rsid w:val="004507D9"/>
    <w:rsid w:val="00466FA2"/>
    <w:rsid w:val="004671E3"/>
    <w:rsid w:val="00471301"/>
    <w:rsid w:val="004757A8"/>
    <w:rsid w:val="00480332"/>
    <w:rsid w:val="00485001"/>
    <w:rsid w:val="00486ED9"/>
    <w:rsid w:val="004A5DE4"/>
    <w:rsid w:val="004A6745"/>
    <w:rsid w:val="004A718C"/>
    <w:rsid w:val="004B0B44"/>
    <w:rsid w:val="004B1332"/>
    <w:rsid w:val="004B383A"/>
    <w:rsid w:val="004C606B"/>
    <w:rsid w:val="004D0C92"/>
    <w:rsid w:val="004D1AAD"/>
    <w:rsid w:val="004E2BE0"/>
    <w:rsid w:val="004F53C7"/>
    <w:rsid w:val="00505A1B"/>
    <w:rsid w:val="005100B5"/>
    <w:rsid w:val="005106EC"/>
    <w:rsid w:val="00511256"/>
    <w:rsid w:val="00514638"/>
    <w:rsid w:val="005165C2"/>
    <w:rsid w:val="00520405"/>
    <w:rsid w:val="00522E9C"/>
    <w:rsid w:val="00530AE2"/>
    <w:rsid w:val="00533B80"/>
    <w:rsid w:val="00534CAD"/>
    <w:rsid w:val="00541480"/>
    <w:rsid w:val="005421A5"/>
    <w:rsid w:val="00544D3A"/>
    <w:rsid w:val="00545453"/>
    <w:rsid w:val="00546591"/>
    <w:rsid w:val="0054703E"/>
    <w:rsid w:val="0055246F"/>
    <w:rsid w:val="00553056"/>
    <w:rsid w:val="0055336C"/>
    <w:rsid w:val="00555524"/>
    <w:rsid w:val="005560A6"/>
    <w:rsid w:val="00560A10"/>
    <w:rsid w:val="00565B0F"/>
    <w:rsid w:val="00583954"/>
    <w:rsid w:val="00595952"/>
    <w:rsid w:val="005A0BC9"/>
    <w:rsid w:val="005B5DCE"/>
    <w:rsid w:val="005C055E"/>
    <w:rsid w:val="005C48DC"/>
    <w:rsid w:val="005C56B5"/>
    <w:rsid w:val="005C5C36"/>
    <w:rsid w:val="005D01B9"/>
    <w:rsid w:val="005D33EB"/>
    <w:rsid w:val="005D60E3"/>
    <w:rsid w:val="005D776A"/>
    <w:rsid w:val="005E1392"/>
    <w:rsid w:val="005E6CED"/>
    <w:rsid w:val="005F3F35"/>
    <w:rsid w:val="005F58F2"/>
    <w:rsid w:val="00600CC4"/>
    <w:rsid w:val="0060392B"/>
    <w:rsid w:val="0061129F"/>
    <w:rsid w:val="00616A47"/>
    <w:rsid w:val="00616E85"/>
    <w:rsid w:val="006200B2"/>
    <w:rsid w:val="006303C5"/>
    <w:rsid w:val="0063120B"/>
    <w:rsid w:val="00633478"/>
    <w:rsid w:val="00634075"/>
    <w:rsid w:val="006362B3"/>
    <w:rsid w:val="00656131"/>
    <w:rsid w:val="006563DB"/>
    <w:rsid w:val="006568CB"/>
    <w:rsid w:val="0066242A"/>
    <w:rsid w:val="006655EC"/>
    <w:rsid w:val="006662D1"/>
    <w:rsid w:val="00666936"/>
    <w:rsid w:val="0066724A"/>
    <w:rsid w:val="00673270"/>
    <w:rsid w:val="006738BC"/>
    <w:rsid w:val="006761C5"/>
    <w:rsid w:val="006811EE"/>
    <w:rsid w:val="006835BA"/>
    <w:rsid w:val="0068775F"/>
    <w:rsid w:val="00692673"/>
    <w:rsid w:val="00694802"/>
    <w:rsid w:val="006A1747"/>
    <w:rsid w:val="006A6DD8"/>
    <w:rsid w:val="006A758F"/>
    <w:rsid w:val="006B1B86"/>
    <w:rsid w:val="006B2163"/>
    <w:rsid w:val="006B3F7F"/>
    <w:rsid w:val="006C371B"/>
    <w:rsid w:val="006C5B63"/>
    <w:rsid w:val="006D36DE"/>
    <w:rsid w:val="006E114F"/>
    <w:rsid w:val="006E2B1F"/>
    <w:rsid w:val="006E3528"/>
    <w:rsid w:val="006E6913"/>
    <w:rsid w:val="006F1E6C"/>
    <w:rsid w:val="006F5659"/>
    <w:rsid w:val="00706D04"/>
    <w:rsid w:val="00706E01"/>
    <w:rsid w:val="00713D03"/>
    <w:rsid w:val="007208B5"/>
    <w:rsid w:val="007209DD"/>
    <w:rsid w:val="00724FD8"/>
    <w:rsid w:val="00730501"/>
    <w:rsid w:val="0073098D"/>
    <w:rsid w:val="00745321"/>
    <w:rsid w:val="007511E4"/>
    <w:rsid w:val="0076119F"/>
    <w:rsid w:val="00761662"/>
    <w:rsid w:val="00764775"/>
    <w:rsid w:val="00764C41"/>
    <w:rsid w:val="00766707"/>
    <w:rsid w:val="00773E49"/>
    <w:rsid w:val="007746B9"/>
    <w:rsid w:val="00780D9D"/>
    <w:rsid w:val="007839CD"/>
    <w:rsid w:val="00784F80"/>
    <w:rsid w:val="007947F1"/>
    <w:rsid w:val="00795E61"/>
    <w:rsid w:val="007A408B"/>
    <w:rsid w:val="007A47B3"/>
    <w:rsid w:val="007A5D20"/>
    <w:rsid w:val="007A6FC5"/>
    <w:rsid w:val="007B20B8"/>
    <w:rsid w:val="007B2281"/>
    <w:rsid w:val="007B51B4"/>
    <w:rsid w:val="007B5AEA"/>
    <w:rsid w:val="007C6C6F"/>
    <w:rsid w:val="007D05BC"/>
    <w:rsid w:val="007D259D"/>
    <w:rsid w:val="007E09D2"/>
    <w:rsid w:val="007E2C01"/>
    <w:rsid w:val="007F042E"/>
    <w:rsid w:val="007F294A"/>
    <w:rsid w:val="007F5F85"/>
    <w:rsid w:val="008058E0"/>
    <w:rsid w:val="00810D9A"/>
    <w:rsid w:val="008141D5"/>
    <w:rsid w:val="00817A5D"/>
    <w:rsid w:val="0082347C"/>
    <w:rsid w:val="00823D9A"/>
    <w:rsid w:val="008275A6"/>
    <w:rsid w:val="0084496D"/>
    <w:rsid w:val="00845E74"/>
    <w:rsid w:val="00850E38"/>
    <w:rsid w:val="00851ABD"/>
    <w:rsid w:val="00860230"/>
    <w:rsid w:val="00861D58"/>
    <w:rsid w:val="008624A8"/>
    <w:rsid w:val="00864F83"/>
    <w:rsid w:val="00865E9F"/>
    <w:rsid w:val="008662B1"/>
    <w:rsid w:val="0087573A"/>
    <w:rsid w:val="008819F9"/>
    <w:rsid w:val="00882734"/>
    <w:rsid w:val="00886748"/>
    <w:rsid w:val="00890917"/>
    <w:rsid w:val="00896AA2"/>
    <w:rsid w:val="008971AE"/>
    <w:rsid w:val="008A1DB2"/>
    <w:rsid w:val="008A6733"/>
    <w:rsid w:val="008B0AC9"/>
    <w:rsid w:val="008C17B8"/>
    <w:rsid w:val="008E1B96"/>
    <w:rsid w:val="008E4C01"/>
    <w:rsid w:val="008E4CF0"/>
    <w:rsid w:val="008E4DEA"/>
    <w:rsid w:val="008E64DA"/>
    <w:rsid w:val="008F106E"/>
    <w:rsid w:val="008F64BF"/>
    <w:rsid w:val="00900BA7"/>
    <w:rsid w:val="00906DFF"/>
    <w:rsid w:val="00913C47"/>
    <w:rsid w:val="00913D13"/>
    <w:rsid w:val="009206B4"/>
    <w:rsid w:val="00922217"/>
    <w:rsid w:val="00923984"/>
    <w:rsid w:val="0092650B"/>
    <w:rsid w:val="009278F4"/>
    <w:rsid w:val="00927CD5"/>
    <w:rsid w:val="009328C3"/>
    <w:rsid w:val="00933B2B"/>
    <w:rsid w:val="0093476B"/>
    <w:rsid w:val="00934951"/>
    <w:rsid w:val="009417E0"/>
    <w:rsid w:val="009422DA"/>
    <w:rsid w:val="009512F0"/>
    <w:rsid w:val="0095602C"/>
    <w:rsid w:val="009616F9"/>
    <w:rsid w:val="009621DD"/>
    <w:rsid w:val="009663B8"/>
    <w:rsid w:val="00982D22"/>
    <w:rsid w:val="00984A84"/>
    <w:rsid w:val="009920C6"/>
    <w:rsid w:val="0099224F"/>
    <w:rsid w:val="00992AC3"/>
    <w:rsid w:val="0099461A"/>
    <w:rsid w:val="009A0C95"/>
    <w:rsid w:val="009A22FE"/>
    <w:rsid w:val="009A38AC"/>
    <w:rsid w:val="009A7EC3"/>
    <w:rsid w:val="009B481C"/>
    <w:rsid w:val="009B5F33"/>
    <w:rsid w:val="009B6515"/>
    <w:rsid w:val="009C27F3"/>
    <w:rsid w:val="009D0F6E"/>
    <w:rsid w:val="009D4220"/>
    <w:rsid w:val="009E03B1"/>
    <w:rsid w:val="009E0D62"/>
    <w:rsid w:val="009E4D3E"/>
    <w:rsid w:val="009E6C31"/>
    <w:rsid w:val="009F77BE"/>
    <w:rsid w:val="00A02056"/>
    <w:rsid w:val="00A0305C"/>
    <w:rsid w:val="00A03544"/>
    <w:rsid w:val="00A11329"/>
    <w:rsid w:val="00A12E13"/>
    <w:rsid w:val="00A13CF2"/>
    <w:rsid w:val="00A13DC2"/>
    <w:rsid w:val="00A2299E"/>
    <w:rsid w:val="00A2330B"/>
    <w:rsid w:val="00A233F0"/>
    <w:rsid w:val="00A23E95"/>
    <w:rsid w:val="00A23F04"/>
    <w:rsid w:val="00A3214F"/>
    <w:rsid w:val="00A34E94"/>
    <w:rsid w:val="00A37ED4"/>
    <w:rsid w:val="00A45AE6"/>
    <w:rsid w:val="00A47F31"/>
    <w:rsid w:val="00A52A82"/>
    <w:rsid w:val="00A547CB"/>
    <w:rsid w:val="00A57FFB"/>
    <w:rsid w:val="00A60F9E"/>
    <w:rsid w:val="00A624C5"/>
    <w:rsid w:val="00A64D7C"/>
    <w:rsid w:val="00A80AD9"/>
    <w:rsid w:val="00A83385"/>
    <w:rsid w:val="00A84432"/>
    <w:rsid w:val="00A87BFE"/>
    <w:rsid w:val="00A906FE"/>
    <w:rsid w:val="00A9184F"/>
    <w:rsid w:val="00A94482"/>
    <w:rsid w:val="00A95174"/>
    <w:rsid w:val="00A958E2"/>
    <w:rsid w:val="00A9750B"/>
    <w:rsid w:val="00AB0475"/>
    <w:rsid w:val="00AB4F45"/>
    <w:rsid w:val="00AC1094"/>
    <w:rsid w:val="00AC1CAD"/>
    <w:rsid w:val="00AC62C4"/>
    <w:rsid w:val="00AC6628"/>
    <w:rsid w:val="00AD3EE6"/>
    <w:rsid w:val="00AD6F0F"/>
    <w:rsid w:val="00AF30CE"/>
    <w:rsid w:val="00B006A5"/>
    <w:rsid w:val="00B068F2"/>
    <w:rsid w:val="00B10E7F"/>
    <w:rsid w:val="00B155E8"/>
    <w:rsid w:val="00B156C8"/>
    <w:rsid w:val="00B25CC8"/>
    <w:rsid w:val="00B278EE"/>
    <w:rsid w:val="00B34F00"/>
    <w:rsid w:val="00B35D67"/>
    <w:rsid w:val="00B37F57"/>
    <w:rsid w:val="00B43624"/>
    <w:rsid w:val="00B4505B"/>
    <w:rsid w:val="00B478E5"/>
    <w:rsid w:val="00B53DA1"/>
    <w:rsid w:val="00B54D00"/>
    <w:rsid w:val="00B54F48"/>
    <w:rsid w:val="00B575BE"/>
    <w:rsid w:val="00B6123E"/>
    <w:rsid w:val="00B63B5B"/>
    <w:rsid w:val="00B6777F"/>
    <w:rsid w:val="00B67C6D"/>
    <w:rsid w:val="00B71B9E"/>
    <w:rsid w:val="00B71F79"/>
    <w:rsid w:val="00B818C7"/>
    <w:rsid w:val="00B831F2"/>
    <w:rsid w:val="00B83FCA"/>
    <w:rsid w:val="00B845FC"/>
    <w:rsid w:val="00B909B4"/>
    <w:rsid w:val="00BA1269"/>
    <w:rsid w:val="00BA25AD"/>
    <w:rsid w:val="00BA27BC"/>
    <w:rsid w:val="00BA2F91"/>
    <w:rsid w:val="00BA42FF"/>
    <w:rsid w:val="00BA6FDA"/>
    <w:rsid w:val="00BB012D"/>
    <w:rsid w:val="00BB3AC8"/>
    <w:rsid w:val="00BC09D2"/>
    <w:rsid w:val="00BC1455"/>
    <w:rsid w:val="00BC462E"/>
    <w:rsid w:val="00BC6B2E"/>
    <w:rsid w:val="00BC7D17"/>
    <w:rsid w:val="00BD158A"/>
    <w:rsid w:val="00BE1DFF"/>
    <w:rsid w:val="00BE3C68"/>
    <w:rsid w:val="00BE3F00"/>
    <w:rsid w:val="00BF225F"/>
    <w:rsid w:val="00BF5B99"/>
    <w:rsid w:val="00C01357"/>
    <w:rsid w:val="00C05B0A"/>
    <w:rsid w:val="00C123BB"/>
    <w:rsid w:val="00C13F4E"/>
    <w:rsid w:val="00C24288"/>
    <w:rsid w:val="00C26697"/>
    <w:rsid w:val="00C26A1F"/>
    <w:rsid w:val="00C32E41"/>
    <w:rsid w:val="00C33E7C"/>
    <w:rsid w:val="00C3698C"/>
    <w:rsid w:val="00C45025"/>
    <w:rsid w:val="00C54432"/>
    <w:rsid w:val="00C5487C"/>
    <w:rsid w:val="00C61F62"/>
    <w:rsid w:val="00C70A69"/>
    <w:rsid w:val="00C72F9F"/>
    <w:rsid w:val="00C73F98"/>
    <w:rsid w:val="00C927B9"/>
    <w:rsid w:val="00C9731C"/>
    <w:rsid w:val="00CB0578"/>
    <w:rsid w:val="00CB3015"/>
    <w:rsid w:val="00CB3FC4"/>
    <w:rsid w:val="00CB6E6D"/>
    <w:rsid w:val="00CC2411"/>
    <w:rsid w:val="00CC374D"/>
    <w:rsid w:val="00CC413D"/>
    <w:rsid w:val="00CC5C58"/>
    <w:rsid w:val="00CC5E5A"/>
    <w:rsid w:val="00CD280A"/>
    <w:rsid w:val="00CD5397"/>
    <w:rsid w:val="00CD7E7F"/>
    <w:rsid w:val="00CE0FF2"/>
    <w:rsid w:val="00CE3934"/>
    <w:rsid w:val="00CE5F7A"/>
    <w:rsid w:val="00CF1118"/>
    <w:rsid w:val="00CF195A"/>
    <w:rsid w:val="00CF1D66"/>
    <w:rsid w:val="00CF293E"/>
    <w:rsid w:val="00CF3A89"/>
    <w:rsid w:val="00CF42FB"/>
    <w:rsid w:val="00D0194D"/>
    <w:rsid w:val="00D0758A"/>
    <w:rsid w:val="00D16804"/>
    <w:rsid w:val="00D176AA"/>
    <w:rsid w:val="00D20C9B"/>
    <w:rsid w:val="00D20E1F"/>
    <w:rsid w:val="00D20EE0"/>
    <w:rsid w:val="00D21760"/>
    <w:rsid w:val="00D233B3"/>
    <w:rsid w:val="00D30D8D"/>
    <w:rsid w:val="00D3381B"/>
    <w:rsid w:val="00D34019"/>
    <w:rsid w:val="00D45D3D"/>
    <w:rsid w:val="00D470BB"/>
    <w:rsid w:val="00D5254E"/>
    <w:rsid w:val="00D52598"/>
    <w:rsid w:val="00D56773"/>
    <w:rsid w:val="00D62CFF"/>
    <w:rsid w:val="00D632DD"/>
    <w:rsid w:val="00D667BC"/>
    <w:rsid w:val="00D7173E"/>
    <w:rsid w:val="00D72156"/>
    <w:rsid w:val="00D72911"/>
    <w:rsid w:val="00D77934"/>
    <w:rsid w:val="00D819E0"/>
    <w:rsid w:val="00D82AB2"/>
    <w:rsid w:val="00D82B08"/>
    <w:rsid w:val="00D9097A"/>
    <w:rsid w:val="00D9633E"/>
    <w:rsid w:val="00DA40E7"/>
    <w:rsid w:val="00DB6280"/>
    <w:rsid w:val="00DC428E"/>
    <w:rsid w:val="00DD084F"/>
    <w:rsid w:val="00DD6F86"/>
    <w:rsid w:val="00DD7CAD"/>
    <w:rsid w:val="00DE1347"/>
    <w:rsid w:val="00DE1B1A"/>
    <w:rsid w:val="00DE34FD"/>
    <w:rsid w:val="00DE3DF9"/>
    <w:rsid w:val="00DF0C32"/>
    <w:rsid w:val="00DF37C7"/>
    <w:rsid w:val="00DF420C"/>
    <w:rsid w:val="00DF7951"/>
    <w:rsid w:val="00E1174A"/>
    <w:rsid w:val="00E170D1"/>
    <w:rsid w:val="00E17A81"/>
    <w:rsid w:val="00E2122F"/>
    <w:rsid w:val="00E24A4D"/>
    <w:rsid w:val="00E270DC"/>
    <w:rsid w:val="00E27B54"/>
    <w:rsid w:val="00E30F9C"/>
    <w:rsid w:val="00E336EB"/>
    <w:rsid w:val="00E37735"/>
    <w:rsid w:val="00E37D90"/>
    <w:rsid w:val="00E4107F"/>
    <w:rsid w:val="00E42E29"/>
    <w:rsid w:val="00E46006"/>
    <w:rsid w:val="00E534A6"/>
    <w:rsid w:val="00E63887"/>
    <w:rsid w:val="00E644B5"/>
    <w:rsid w:val="00E72D5C"/>
    <w:rsid w:val="00E73F92"/>
    <w:rsid w:val="00E74E4E"/>
    <w:rsid w:val="00E816FA"/>
    <w:rsid w:val="00E81760"/>
    <w:rsid w:val="00E83D9F"/>
    <w:rsid w:val="00E84CB5"/>
    <w:rsid w:val="00E85D20"/>
    <w:rsid w:val="00E863AC"/>
    <w:rsid w:val="00E93434"/>
    <w:rsid w:val="00E93881"/>
    <w:rsid w:val="00E951CA"/>
    <w:rsid w:val="00E96E57"/>
    <w:rsid w:val="00EA4851"/>
    <w:rsid w:val="00EA75CD"/>
    <w:rsid w:val="00EB0725"/>
    <w:rsid w:val="00EB53CC"/>
    <w:rsid w:val="00EC0DCD"/>
    <w:rsid w:val="00EC1B56"/>
    <w:rsid w:val="00EC35A5"/>
    <w:rsid w:val="00EC43EF"/>
    <w:rsid w:val="00EC7D64"/>
    <w:rsid w:val="00ED241D"/>
    <w:rsid w:val="00EE2B94"/>
    <w:rsid w:val="00EE48A0"/>
    <w:rsid w:val="00EF17BE"/>
    <w:rsid w:val="00EF7E5E"/>
    <w:rsid w:val="00F04645"/>
    <w:rsid w:val="00F0496C"/>
    <w:rsid w:val="00F079FF"/>
    <w:rsid w:val="00F1474E"/>
    <w:rsid w:val="00F21B8A"/>
    <w:rsid w:val="00F21E5C"/>
    <w:rsid w:val="00F22497"/>
    <w:rsid w:val="00F232F1"/>
    <w:rsid w:val="00F30BC7"/>
    <w:rsid w:val="00F3197E"/>
    <w:rsid w:val="00F3603C"/>
    <w:rsid w:val="00F37B26"/>
    <w:rsid w:val="00F406EA"/>
    <w:rsid w:val="00F42FAB"/>
    <w:rsid w:val="00F50FB3"/>
    <w:rsid w:val="00F513CF"/>
    <w:rsid w:val="00F569CF"/>
    <w:rsid w:val="00F62CA0"/>
    <w:rsid w:val="00F65453"/>
    <w:rsid w:val="00F71A76"/>
    <w:rsid w:val="00F823F8"/>
    <w:rsid w:val="00F82700"/>
    <w:rsid w:val="00F93D6B"/>
    <w:rsid w:val="00F96AF1"/>
    <w:rsid w:val="00F9743C"/>
    <w:rsid w:val="00FA01AA"/>
    <w:rsid w:val="00FA04B7"/>
    <w:rsid w:val="00FA0B3D"/>
    <w:rsid w:val="00FA0E4B"/>
    <w:rsid w:val="00FC47E3"/>
    <w:rsid w:val="00FD0BC8"/>
    <w:rsid w:val="00FD16AE"/>
    <w:rsid w:val="00FD25A8"/>
    <w:rsid w:val="00FD715E"/>
    <w:rsid w:val="00FE6CBA"/>
    <w:rsid w:val="00FF3818"/>
    <w:rsid w:val="00FF6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176712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4CAD"/>
    <w:rPr>
      <w:rFonts w:ascii="Arial" w:hAnsi="Arial"/>
    </w:rPr>
  </w:style>
  <w:style w:type="paragraph" w:styleId="Heading1">
    <w:name w:val="heading 1"/>
    <w:basedOn w:val="Normal"/>
    <w:next w:val="Normal"/>
    <w:link w:val="Heading1Char"/>
    <w:autoRedefine/>
    <w:uiPriority w:val="9"/>
    <w:unhideWhenUsed/>
    <w:qFormat/>
    <w:rsid w:val="00296619"/>
    <w:pPr>
      <w:keepNext/>
      <w:keepLines/>
      <w:spacing w:before="240" w:after="120" w:line="240" w:lineRule="auto"/>
      <w:outlineLvl w:val="0"/>
    </w:pPr>
    <w:rPr>
      <w:rFonts w:cs="Calibri"/>
      <w:b/>
      <w:color w:val="003D69"/>
      <w:sz w:val="36"/>
      <w:szCs w:val="24"/>
    </w:rPr>
  </w:style>
  <w:style w:type="paragraph" w:styleId="Heading2">
    <w:name w:val="heading 2"/>
    <w:basedOn w:val="Normal"/>
    <w:next w:val="Normal"/>
    <w:link w:val="Heading2Char"/>
    <w:uiPriority w:val="9"/>
    <w:unhideWhenUsed/>
    <w:qFormat/>
    <w:rsid w:val="00296619"/>
    <w:pPr>
      <w:keepNext/>
      <w:numPr>
        <w:numId w:val="43"/>
      </w:numPr>
      <w:spacing w:before="240" w:after="120" w:line="360" w:lineRule="auto"/>
      <w:ind w:left="714" w:hanging="357"/>
      <w:outlineLvl w:val="1"/>
    </w:pPr>
    <w:rPr>
      <w:rFonts w:eastAsiaTheme="majorEastAsia"/>
      <w:b/>
      <w:bCs/>
      <w:iCs/>
      <w:color w:val="003D69"/>
      <w:sz w:val="32"/>
      <w:szCs w:val="28"/>
    </w:rPr>
  </w:style>
  <w:style w:type="paragraph" w:styleId="Heading3">
    <w:name w:val="heading 3"/>
    <w:basedOn w:val="Normal"/>
    <w:next w:val="Normal"/>
    <w:link w:val="Heading3Char"/>
    <w:uiPriority w:val="9"/>
    <w:semiHidden/>
    <w:unhideWhenUsed/>
    <w:qFormat/>
    <w:rsid w:val="003859BC"/>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619"/>
    <w:rPr>
      <w:rFonts w:ascii="Arial" w:hAnsi="Arial" w:cs="Calibri"/>
      <w:b/>
      <w:color w:val="003D69"/>
      <w:sz w:val="36"/>
      <w:szCs w:val="24"/>
    </w:rPr>
  </w:style>
  <w:style w:type="character" w:customStyle="1" w:styleId="Heading2Char">
    <w:name w:val="Heading 2 Char"/>
    <w:basedOn w:val="DefaultParagraphFont"/>
    <w:link w:val="Heading2"/>
    <w:uiPriority w:val="9"/>
    <w:locked/>
    <w:rsid w:val="00296619"/>
    <w:rPr>
      <w:rFonts w:ascii="Arial" w:eastAsiaTheme="majorEastAsia" w:hAnsi="Arial"/>
      <w:b/>
      <w:bCs/>
      <w:iCs/>
      <w:color w:val="003D69"/>
      <w:sz w:val="32"/>
      <w:szCs w:val="28"/>
    </w:rPr>
  </w:style>
  <w:style w:type="character" w:customStyle="1" w:styleId="Heading3Char">
    <w:name w:val="Heading 3 Char"/>
    <w:basedOn w:val="DefaultParagraphFont"/>
    <w:link w:val="Heading3"/>
    <w:uiPriority w:val="9"/>
    <w:semiHidden/>
    <w:locked/>
    <w:rsid w:val="003859BC"/>
    <w:rPr>
      <w:rFonts w:asciiTheme="majorHAnsi" w:eastAsiaTheme="majorEastAsia" w:hAnsiTheme="majorHAnsi" w:cs="Times New Roman"/>
      <w:b/>
      <w:bCs/>
      <w:sz w:val="26"/>
      <w:szCs w:val="26"/>
    </w:rPr>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02Subhead1">
    <w:name w:val="02 Subhead 1"/>
    <w:basedOn w:val="NoParagraphStyle"/>
    <w:uiPriority w:val="99"/>
    <w:rsid w:val="005C5C36"/>
    <w:pPr>
      <w:suppressAutoHyphens/>
      <w:spacing w:before="227" w:after="113" w:line="320" w:lineRule="atLeast"/>
    </w:pPr>
    <w:rPr>
      <w:rFonts w:ascii="Times New Roman" w:hAnsi="Times New Roman" w:cs="PFCentroSlabPro-Medium"/>
      <w:b/>
      <w:color w:val="000000" w:themeColor="text1"/>
      <w:spacing w:val="-2"/>
      <w:sz w:val="40"/>
      <w:szCs w:val="30"/>
    </w:rPr>
  </w:style>
  <w:style w:type="paragraph" w:customStyle="1" w:styleId="01BodyText">
    <w:name w:val="01 Body Text"/>
    <w:basedOn w:val="NoParagraphStyle"/>
    <w:uiPriority w:val="99"/>
    <w:rsid w:val="005C5C36"/>
    <w:pPr>
      <w:suppressAutoHyphens/>
      <w:spacing w:after="170"/>
    </w:pPr>
    <w:rPr>
      <w:rFonts w:ascii="Times New Roman" w:hAnsi="Times New Roman" w:cs="PFCentroSansPro-Regular"/>
      <w:color w:val="000000" w:themeColor="text1"/>
      <w:spacing w:val="-1"/>
      <w:szCs w:val="20"/>
    </w:rPr>
  </w:style>
  <w:style w:type="paragraph" w:customStyle="1" w:styleId="01Bullet1">
    <w:name w:val="01 Bullet 1"/>
    <w:basedOn w:val="NoParagraphStyle"/>
    <w:uiPriority w:val="99"/>
    <w:rsid w:val="005C5C36"/>
    <w:pPr>
      <w:suppressAutoHyphens/>
      <w:spacing w:after="28"/>
      <w:ind w:left="227" w:hanging="227"/>
    </w:pPr>
    <w:rPr>
      <w:rFonts w:ascii="Times New Roman" w:hAnsi="Times New Roman" w:cs="PFCentroSansPro-Regular"/>
      <w:spacing w:val="-1"/>
      <w:szCs w:val="20"/>
    </w:rPr>
  </w:style>
  <w:style w:type="paragraph" w:customStyle="1" w:styleId="01Bullet1last">
    <w:name w:val="01 Bullet 1 last"/>
    <w:basedOn w:val="01Bullet1"/>
    <w:uiPriority w:val="99"/>
    <w:pPr>
      <w:spacing w:after="170"/>
    </w:pPr>
    <w:rPr>
      <w:spacing w:val="0"/>
    </w:rPr>
  </w:style>
  <w:style w:type="paragraph" w:customStyle="1" w:styleId="02Subhead2">
    <w:name w:val="02 Subhead 2"/>
    <w:basedOn w:val="NoParagraphStyle"/>
    <w:uiPriority w:val="99"/>
    <w:rsid w:val="005C5C36"/>
    <w:pPr>
      <w:suppressAutoHyphens/>
      <w:spacing w:before="227" w:after="170" w:line="280" w:lineRule="atLeast"/>
    </w:pPr>
    <w:rPr>
      <w:rFonts w:ascii="Times New Roman" w:hAnsi="Times New Roman" w:cs="PFCentroSansPro-Bold"/>
      <w:b/>
      <w:bCs/>
      <w:color w:val="000000" w:themeColor="text1"/>
      <w:spacing w:val="-2"/>
      <w:sz w:val="32"/>
    </w:rPr>
  </w:style>
  <w:style w:type="paragraph" w:customStyle="1" w:styleId="02Subhead3">
    <w:name w:val="02 Subhead 3"/>
    <w:basedOn w:val="NoParagraphStyle"/>
    <w:uiPriority w:val="99"/>
    <w:rsid w:val="005C5C36"/>
    <w:pPr>
      <w:suppressAutoHyphens/>
      <w:spacing w:before="85" w:after="113" w:line="280" w:lineRule="atLeast"/>
    </w:pPr>
    <w:rPr>
      <w:rFonts w:ascii="Times New Roman" w:hAnsi="Times New Roman" w:cs="PFCentroSansPro-Medium"/>
      <w:b/>
      <w:color w:val="000000" w:themeColor="text1"/>
      <w:spacing w:val="-2"/>
      <w:szCs w:val="22"/>
    </w:rPr>
  </w:style>
  <w:style w:type="character" w:customStyle="1" w:styleId="01Bodybold">
    <w:name w:val="01 Body bold"/>
    <w:uiPriority w:val="99"/>
    <w:rsid w:val="005C5C36"/>
    <w:rPr>
      <w:rFonts w:ascii="Times New Roman" w:hAnsi="Times New Roman"/>
      <w:b/>
      <w:color w:val="000000" w:themeColor="text1"/>
      <w:sz w:val="24"/>
      <w:u w:val="none"/>
      <w:vertAlign w:val="baseline"/>
    </w:rPr>
  </w:style>
  <w:style w:type="character" w:customStyle="1" w:styleId="01Bodyitalics">
    <w:name w:val="01 Body italics"/>
    <w:uiPriority w:val="99"/>
    <w:rPr>
      <w:rFonts w:ascii="PFCentroSansPro-Italic" w:hAnsi="PFCentroSansPro-Italic"/>
      <w:i/>
      <w:color w:val="000000"/>
      <w:u w:val="none"/>
      <w:vertAlign w:val="baseline"/>
    </w:rPr>
  </w:style>
  <w:style w:type="character" w:customStyle="1" w:styleId="01Bullet">
    <w:name w:val="01 Bullet"/>
    <w:uiPriority w:val="99"/>
    <w:rPr>
      <w:rFonts w:ascii="PFCentroSansPro-Regular" w:hAnsi="PFCentroSansPro-Regular"/>
      <w:color w:val="00654A"/>
      <w:position w:val="0"/>
      <w:sz w:val="20"/>
      <w:vertAlign w:val="baseline"/>
    </w:rPr>
  </w:style>
  <w:style w:type="paragraph" w:customStyle="1" w:styleId="02DocumentHeading1">
    <w:name w:val="02 Document Heading 1"/>
    <w:basedOn w:val="NoParagraphStyle"/>
    <w:uiPriority w:val="99"/>
    <w:rsid w:val="00CB0578"/>
    <w:pPr>
      <w:widowControl/>
      <w:suppressAutoHyphens/>
    </w:pPr>
    <w:rPr>
      <w:rFonts w:ascii="Times New Roman" w:hAnsi="Times New Roman" w:cs="PF Centro Slab Pro"/>
      <w:b/>
      <w:color w:val="000000" w:themeColor="text1"/>
      <w:sz w:val="52"/>
      <w:szCs w:val="60"/>
    </w:rPr>
  </w:style>
  <w:style w:type="paragraph" w:customStyle="1" w:styleId="02DocumentHeading2">
    <w:name w:val="02 Document Heading 2"/>
    <w:basedOn w:val="NoParagraphStyle"/>
    <w:uiPriority w:val="99"/>
    <w:rsid w:val="00CB0578"/>
    <w:pPr>
      <w:widowControl/>
      <w:suppressAutoHyphens/>
    </w:pPr>
    <w:rPr>
      <w:rFonts w:ascii="PF Centro Slab Pro" w:hAnsi="PF Centro Slab Pro" w:cs="PF Centro Slab Pro"/>
      <w:color w:val="FFFFFF"/>
      <w:spacing w:val="-4"/>
      <w:sz w:val="40"/>
      <w:szCs w:val="40"/>
    </w:rPr>
  </w:style>
  <w:style w:type="paragraph" w:customStyle="1" w:styleId="02HeaderMastheadwhite">
    <w:name w:val="02 Header Masthead white"/>
    <w:basedOn w:val="01BodyText"/>
    <w:uiPriority w:val="99"/>
    <w:rsid w:val="005C5C36"/>
    <w:pPr>
      <w:widowControl/>
      <w:spacing w:after="0"/>
    </w:pPr>
    <w:rPr>
      <w:rFonts w:cs="PF Centro Slab Pro"/>
    </w:rPr>
  </w:style>
  <w:style w:type="paragraph" w:styleId="BalloonText">
    <w:name w:val="Balloon Text"/>
    <w:basedOn w:val="Normal"/>
    <w:link w:val="BalloonTextChar"/>
    <w:uiPriority w:val="99"/>
    <w:semiHidden/>
    <w:unhideWhenUsed/>
    <w:rsid w:val="00920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6B4"/>
    <w:rPr>
      <w:rFonts w:ascii="Tahoma" w:hAnsi="Tahoma" w:cs="Tahoma"/>
      <w:sz w:val="16"/>
      <w:szCs w:val="16"/>
    </w:rPr>
  </w:style>
  <w:style w:type="paragraph" w:customStyle="1" w:styleId="01bodytext0">
    <w:name w:val="01 body text"/>
    <w:basedOn w:val="Normal"/>
    <w:uiPriority w:val="99"/>
    <w:qFormat/>
    <w:rsid w:val="00CD5397"/>
    <w:pPr>
      <w:tabs>
        <w:tab w:val="left" w:pos="140"/>
      </w:tabs>
      <w:spacing w:before="120" w:line="290" w:lineRule="atLeast"/>
    </w:pPr>
    <w:rPr>
      <w:rFonts w:ascii="Times New Roman" w:hAnsi="Times New Roman"/>
      <w:color w:val="000000"/>
      <w:sz w:val="24"/>
      <w:lang w:val="en-US" w:eastAsia="en-US"/>
    </w:rPr>
  </w:style>
  <w:style w:type="character" w:styleId="CommentReference">
    <w:name w:val="annotation reference"/>
    <w:basedOn w:val="DefaultParagraphFont"/>
    <w:uiPriority w:val="99"/>
    <w:unhideWhenUsed/>
    <w:rsid w:val="008141D5"/>
    <w:rPr>
      <w:rFonts w:cs="Times New Roman"/>
      <w:sz w:val="16"/>
      <w:szCs w:val="16"/>
    </w:rPr>
  </w:style>
  <w:style w:type="paragraph" w:styleId="CommentText">
    <w:name w:val="annotation text"/>
    <w:basedOn w:val="Normal"/>
    <w:link w:val="CommentTextChar"/>
    <w:uiPriority w:val="99"/>
    <w:unhideWhenUsed/>
    <w:rsid w:val="008141D5"/>
    <w:rPr>
      <w:sz w:val="20"/>
      <w:szCs w:val="20"/>
    </w:rPr>
  </w:style>
  <w:style w:type="character" w:customStyle="1" w:styleId="CommentTextChar">
    <w:name w:val="Comment Text Char"/>
    <w:basedOn w:val="DefaultParagraphFont"/>
    <w:link w:val="CommentText"/>
    <w:uiPriority w:val="99"/>
    <w:locked/>
    <w:rsid w:val="008141D5"/>
    <w:rPr>
      <w:rFonts w:cs="Times New Roman"/>
      <w:sz w:val="20"/>
      <w:szCs w:val="20"/>
    </w:rPr>
  </w:style>
  <w:style w:type="paragraph" w:styleId="CommentSubject">
    <w:name w:val="annotation subject"/>
    <w:basedOn w:val="CommentText"/>
    <w:next w:val="CommentText"/>
    <w:link w:val="CommentSubjectChar"/>
    <w:uiPriority w:val="99"/>
    <w:semiHidden/>
    <w:unhideWhenUsed/>
    <w:rsid w:val="008141D5"/>
    <w:rPr>
      <w:b/>
      <w:bCs/>
    </w:rPr>
  </w:style>
  <w:style w:type="character" w:customStyle="1" w:styleId="CommentSubjectChar">
    <w:name w:val="Comment Subject Char"/>
    <w:basedOn w:val="CommentTextChar"/>
    <w:link w:val="CommentSubject"/>
    <w:uiPriority w:val="99"/>
    <w:semiHidden/>
    <w:locked/>
    <w:rsid w:val="008141D5"/>
    <w:rPr>
      <w:rFonts w:cs="Times New Roman"/>
      <w:b/>
      <w:bCs/>
      <w:sz w:val="20"/>
      <w:szCs w:val="20"/>
    </w:rPr>
  </w:style>
  <w:style w:type="paragraph" w:styleId="Title">
    <w:name w:val="Title"/>
    <w:basedOn w:val="Normal"/>
    <w:next w:val="Normal"/>
    <w:link w:val="TitleChar"/>
    <w:uiPriority w:val="10"/>
    <w:qFormat/>
    <w:rsid w:val="0099461A"/>
    <w:pPr>
      <w:spacing w:before="2760" w:after="0" w:line="240" w:lineRule="auto"/>
      <w:ind w:left="11" w:right="448" w:hanging="11"/>
      <w:contextualSpacing/>
    </w:pPr>
    <w:rPr>
      <w:b/>
      <w:color w:val="003D69"/>
      <w:spacing w:val="-10"/>
      <w:kern w:val="28"/>
      <w:sz w:val="64"/>
      <w:szCs w:val="56"/>
    </w:rPr>
  </w:style>
  <w:style w:type="character" w:customStyle="1" w:styleId="TitleChar">
    <w:name w:val="Title Char"/>
    <w:basedOn w:val="DefaultParagraphFont"/>
    <w:link w:val="Title"/>
    <w:uiPriority w:val="10"/>
    <w:locked/>
    <w:rsid w:val="0099461A"/>
    <w:rPr>
      <w:rFonts w:ascii="Arial" w:hAnsi="Arial"/>
      <w:b/>
      <w:color w:val="003D69"/>
      <w:spacing w:val="-10"/>
      <w:kern w:val="28"/>
      <w:sz w:val="64"/>
      <w:szCs w:val="56"/>
    </w:rPr>
  </w:style>
  <w:style w:type="table" w:customStyle="1" w:styleId="GridTable1Light1">
    <w:name w:val="Grid Table 1 Light1"/>
    <w:basedOn w:val="TableNormal"/>
    <w:uiPriority w:val="46"/>
    <w:rsid w:val="001501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10">
    <w:name w:val="Grid Table 1 Light1"/>
    <w:basedOn w:val="TableNormal"/>
    <w:uiPriority w:val="46"/>
    <w:rsid w:val="003859BC"/>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styleId="NoSpacing">
    <w:name w:val="No Spacing"/>
    <w:uiPriority w:val="1"/>
    <w:rsid w:val="003859BC"/>
    <w:pPr>
      <w:spacing w:after="0" w:line="240" w:lineRule="auto"/>
    </w:pPr>
  </w:style>
  <w:style w:type="paragraph" w:styleId="Revision">
    <w:name w:val="Revision"/>
    <w:hidden/>
    <w:uiPriority w:val="99"/>
    <w:semiHidden/>
    <w:rsid w:val="003D647C"/>
    <w:pPr>
      <w:spacing w:after="0" w:line="240" w:lineRule="auto"/>
    </w:pPr>
  </w:style>
  <w:style w:type="paragraph" w:styleId="ListParagraph">
    <w:name w:val="List Paragraph"/>
    <w:aliases w:val="Figure_name,List Paragraph1,Numbered Indented Text,Bullet- First level,List Number1,Listenabsatz1,lp1,List Paragraph11"/>
    <w:basedOn w:val="Normal"/>
    <w:link w:val="ListParagraphChar"/>
    <w:uiPriority w:val="34"/>
    <w:qFormat/>
    <w:rsid w:val="00E81760"/>
    <w:pPr>
      <w:spacing w:after="0" w:line="240" w:lineRule="auto"/>
      <w:ind w:left="720"/>
      <w:contextualSpacing/>
    </w:pPr>
    <w:rPr>
      <w:rFonts w:ascii="Times New Roman" w:hAnsi="Times New Roman"/>
      <w:sz w:val="24"/>
      <w:szCs w:val="24"/>
      <w:lang w:eastAsia="en-US"/>
    </w:rPr>
  </w:style>
  <w:style w:type="character" w:customStyle="1" w:styleId="ListParagraphChar">
    <w:name w:val="List Paragraph Char"/>
    <w:aliases w:val="Figure_name Char,List Paragraph1 Char,Numbered Indented Text Char,Bullet- First level Char,List Number1 Char,Listenabsatz1 Char,lp1 Char,List Paragraph11 Char"/>
    <w:link w:val="ListParagraph"/>
    <w:uiPriority w:val="34"/>
    <w:locked/>
    <w:rsid w:val="00E81760"/>
    <w:rPr>
      <w:rFonts w:ascii="Times New Roman" w:hAnsi="Times New Roman"/>
      <w:sz w:val="24"/>
      <w:lang w:val="x-none" w:eastAsia="en-US"/>
    </w:rPr>
  </w:style>
  <w:style w:type="paragraph" w:styleId="NormalWeb">
    <w:name w:val="Normal (Web)"/>
    <w:basedOn w:val="Normal"/>
    <w:uiPriority w:val="99"/>
    <w:unhideWhenUsed/>
    <w:rsid w:val="00D3381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D3381B"/>
    <w:rPr>
      <w:rFonts w:cs="Times New Roman"/>
      <w:color w:val="0000FF"/>
      <w:u w:val="single"/>
    </w:rPr>
  </w:style>
  <w:style w:type="character" w:styleId="Strong">
    <w:name w:val="Strong"/>
    <w:basedOn w:val="DefaultParagraphFont"/>
    <w:uiPriority w:val="22"/>
    <w:qFormat/>
    <w:rsid w:val="00864F83"/>
    <w:rPr>
      <w:rFonts w:cs="Times New Roman"/>
      <w:b/>
    </w:rPr>
  </w:style>
  <w:style w:type="character" w:styleId="FollowedHyperlink">
    <w:name w:val="FollowedHyperlink"/>
    <w:basedOn w:val="DefaultParagraphFont"/>
    <w:uiPriority w:val="99"/>
    <w:semiHidden/>
    <w:unhideWhenUsed/>
    <w:rsid w:val="00D16804"/>
    <w:rPr>
      <w:rFonts w:cs="Times New Roman"/>
      <w:color w:val="800080" w:themeColor="followedHyperlink"/>
      <w:u w:val="single"/>
    </w:rPr>
  </w:style>
  <w:style w:type="paragraph" w:styleId="Header">
    <w:name w:val="header"/>
    <w:basedOn w:val="Normal"/>
    <w:link w:val="HeaderChar"/>
    <w:uiPriority w:val="99"/>
    <w:unhideWhenUsed/>
    <w:rsid w:val="00E37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D90"/>
  </w:style>
  <w:style w:type="paragraph" w:styleId="Footer">
    <w:name w:val="footer"/>
    <w:basedOn w:val="Normal"/>
    <w:link w:val="FooterChar"/>
    <w:uiPriority w:val="99"/>
    <w:unhideWhenUsed/>
    <w:rsid w:val="00E37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D90"/>
  </w:style>
  <w:style w:type="table" w:styleId="TableGrid">
    <w:name w:val="Table Grid"/>
    <w:basedOn w:val="TableNormal"/>
    <w:uiPriority w:val="59"/>
    <w:rsid w:val="00C2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qFormat/>
    <w:rsid w:val="00296619"/>
    <w:pPr>
      <w:spacing w:before="80" w:after="80" w:line="360" w:lineRule="auto"/>
    </w:pPr>
    <w:rPr>
      <w:rFonts w:eastAsia="Times New Roman"/>
      <w:szCs w:val="24"/>
      <w:lang w:eastAsia="en-US"/>
    </w:rPr>
  </w:style>
  <w:style w:type="paragraph" w:customStyle="1" w:styleId="Footertext">
    <w:name w:val="Footer text"/>
    <w:rsid w:val="0099461A"/>
    <w:pPr>
      <w:spacing w:after="0" w:line="240" w:lineRule="auto"/>
    </w:pPr>
    <w:rPr>
      <w:rFonts w:ascii="Arial" w:eastAsia="Times New Roman" w:hAnsi="Arial" w:cs="Arial"/>
      <w:sz w:val="20"/>
      <w:lang w:eastAsia="en-US"/>
    </w:rPr>
  </w:style>
  <w:style w:type="paragraph" w:customStyle="1" w:styleId="SectionHeadingnoTOC">
    <w:name w:val="Section Heading no (TOC)"/>
    <w:basedOn w:val="Normal"/>
    <w:link w:val="SectionHeadingnoTOCChar"/>
    <w:rsid w:val="0099461A"/>
    <w:pPr>
      <w:keepNext/>
      <w:spacing w:before="240" w:after="60" w:line="240" w:lineRule="auto"/>
      <w:outlineLvl w:val="0"/>
    </w:pPr>
    <w:rPr>
      <w:rFonts w:eastAsia="Times New Roman" w:cs="Arial"/>
      <w:b/>
      <w:bCs/>
      <w:color w:val="003D69"/>
      <w:kern w:val="28"/>
      <w:sz w:val="36"/>
      <w:szCs w:val="32"/>
      <w:lang w:eastAsia="en-US"/>
    </w:rPr>
  </w:style>
  <w:style w:type="character" w:customStyle="1" w:styleId="SectionHeadingnoTOCChar">
    <w:name w:val="Section Heading no (TOC) Char"/>
    <w:basedOn w:val="DefaultParagraphFont"/>
    <w:link w:val="SectionHeadingnoTOC"/>
    <w:rsid w:val="0099461A"/>
    <w:rPr>
      <w:rFonts w:ascii="Arial" w:eastAsia="Times New Roman" w:hAnsi="Arial" w:cs="Arial"/>
      <w:b/>
      <w:bCs/>
      <w:color w:val="003D69"/>
      <w:kern w:val="28"/>
      <w:sz w:val="36"/>
      <w:szCs w:val="32"/>
      <w:lang w:eastAsia="en-US"/>
    </w:rPr>
  </w:style>
  <w:style w:type="paragraph" w:styleId="Caption">
    <w:name w:val="caption"/>
    <w:basedOn w:val="Normal"/>
    <w:next w:val="Normal"/>
    <w:uiPriority w:val="35"/>
    <w:unhideWhenUsed/>
    <w:qFormat/>
    <w:rsid w:val="0029661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5395">
      <w:bodyDiv w:val="1"/>
      <w:marLeft w:val="0"/>
      <w:marRight w:val="0"/>
      <w:marTop w:val="0"/>
      <w:marBottom w:val="0"/>
      <w:divBdr>
        <w:top w:val="none" w:sz="0" w:space="0" w:color="auto"/>
        <w:left w:val="none" w:sz="0" w:space="0" w:color="auto"/>
        <w:bottom w:val="none" w:sz="0" w:space="0" w:color="auto"/>
        <w:right w:val="none" w:sz="0" w:space="0" w:color="auto"/>
      </w:divBdr>
    </w:div>
    <w:div w:id="764150753">
      <w:marLeft w:val="0"/>
      <w:marRight w:val="0"/>
      <w:marTop w:val="0"/>
      <w:marBottom w:val="0"/>
      <w:divBdr>
        <w:top w:val="none" w:sz="0" w:space="0" w:color="auto"/>
        <w:left w:val="none" w:sz="0" w:space="0" w:color="auto"/>
        <w:bottom w:val="none" w:sz="0" w:space="0" w:color="auto"/>
        <w:right w:val="none" w:sz="0" w:space="0" w:color="auto"/>
      </w:divBdr>
    </w:div>
    <w:div w:id="764150754">
      <w:marLeft w:val="0"/>
      <w:marRight w:val="0"/>
      <w:marTop w:val="0"/>
      <w:marBottom w:val="0"/>
      <w:divBdr>
        <w:top w:val="none" w:sz="0" w:space="0" w:color="auto"/>
        <w:left w:val="none" w:sz="0" w:space="0" w:color="auto"/>
        <w:bottom w:val="none" w:sz="0" w:space="0" w:color="auto"/>
        <w:right w:val="none" w:sz="0" w:space="0" w:color="auto"/>
      </w:divBdr>
    </w:div>
    <w:div w:id="764150756">
      <w:marLeft w:val="0"/>
      <w:marRight w:val="0"/>
      <w:marTop w:val="0"/>
      <w:marBottom w:val="0"/>
      <w:divBdr>
        <w:top w:val="none" w:sz="0" w:space="0" w:color="auto"/>
        <w:left w:val="none" w:sz="0" w:space="0" w:color="auto"/>
        <w:bottom w:val="none" w:sz="0" w:space="0" w:color="auto"/>
        <w:right w:val="none" w:sz="0" w:space="0" w:color="auto"/>
      </w:divBdr>
    </w:div>
    <w:div w:id="764150757">
      <w:marLeft w:val="0"/>
      <w:marRight w:val="0"/>
      <w:marTop w:val="0"/>
      <w:marBottom w:val="0"/>
      <w:divBdr>
        <w:top w:val="none" w:sz="0" w:space="0" w:color="auto"/>
        <w:left w:val="none" w:sz="0" w:space="0" w:color="auto"/>
        <w:bottom w:val="none" w:sz="0" w:space="0" w:color="auto"/>
        <w:right w:val="none" w:sz="0" w:space="0" w:color="auto"/>
      </w:divBdr>
      <w:divsChild>
        <w:div w:id="764150755">
          <w:marLeft w:val="0"/>
          <w:marRight w:val="0"/>
          <w:marTop w:val="0"/>
          <w:marBottom w:val="0"/>
          <w:divBdr>
            <w:top w:val="none" w:sz="0" w:space="0" w:color="auto"/>
            <w:left w:val="none" w:sz="0" w:space="0" w:color="auto"/>
            <w:bottom w:val="none" w:sz="0" w:space="0" w:color="auto"/>
            <w:right w:val="none" w:sz="0" w:space="0" w:color="auto"/>
          </w:divBdr>
        </w:div>
      </w:divsChild>
    </w:div>
    <w:div w:id="764150758">
      <w:marLeft w:val="0"/>
      <w:marRight w:val="0"/>
      <w:marTop w:val="0"/>
      <w:marBottom w:val="0"/>
      <w:divBdr>
        <w:top w:val="none" w:sz="0" w:space="0" w:color="auto"/>
        <w:left w:val="none" w:sz="0" w:space="0" w:color="auto"/>
        <w:bottom w:val="none" w:sz="0" w:space="0" w:color="auto"/>
        <w:right w:val="none" w:sz="0" w:space="0" w:color="auto"/>
      </w:divBdr>
    </w:div>
    <w:div w:id="764150759">
      <w:marLeft w:val="0"/>
      <w:marRight w:val="0"/>
      <w:marTop w:val="0"/>
      <w:marBottom w:val="0"/>
      <w:divBdr>
        <w:top w:val="none" w:sz="0" w:space="0" w:color="auto"/>
        <w:left w:val="none" w:sz="0" w:space="0" w:color="auto"/>
        <w:bottom w:val="none" w:sz="0" w:space="0" w:color="auto"/>
        <w:right w:val="none" w:sz="0" w:space="0" w:color="auto"/>
      </w:divBdr>
    </w:div>
    <w:div w:id="764150760">
      <w:marLeft w:val="0"/>
      <w:marRight w:val="0"/>
      <w:marTop w:val="0"/>
      <w:marBottom w:val="0"/>
      <w:divBdr>
        <w:top w:val="none" w:sz="0" w:space="0" w:color="auto"/>
        <w:left w:val="none" w:sz="0" w:space="0" w:color="auto"/>
        <w:bottom w:val="none" w:sz="0" w:space="0" w:color="auto"/>
        <w:right w:val="none" w:sz="0" w:space="0" w:color="auto"/>
      </w:divBdr>
    </w:div>
    <w:div w:id="764150761">
      <w:marLeft w:val="0"/>
      <w:marRight w:val="0"/>
      <w:marTop w:val="0"/>
      <w:marBottom w:val="0"/>
      <w:divBdr>
        <w:top w:val="none" w:sz="0" w:space="0" w:color="auto"/>
        <w:left w:val="none" w:sz="0" w:space="0" w:color="auto"/>
        <w:bottom w:val="none" w:sz="0" w:space="0" w:color="auto"/>
        <w:right w:val="none" w:sz="0" w:space="0" w:color="auto"/>
      </w:divBdr>
    </w:div>
    <w:div w:id="764150762">
      <w:marLeft w:val="0"/>
      <w:marRight w:val="0"/>
      <w:marTop w:val="0"/>
      <w:marBottom w:val="0"/>
      <w:divBdr>
        <w:top w:val="none" w:sz="0" w:space="0" w:color="auto"/>
        <w:left w:val="none" w:sz="0" w:space="0" w:color="auto"/>
        <w:bottom w:val="none" w:sz="0" w:space="0" w:color="auto"/>
        <w:right w:val="none" w:sz="0" w:space="0" w:color="auto"/>
      </w:divBdr>
    </w:div>
    <w:div w:id="764150763">
      <w:marLeft w:val="0"/>
      <w:marRight w:val="0"/>
      <w:marTop w:val="0"/>
      <w:marBottom w:val="0"/>
      <w:divBdr>
        <w:top w:val="none" w:sz="0" w:space="0" w:color="auto"/>
        <w:left w:val="none" w:sz="0" w:space="0" w:color="auto"/>
        <w:bottom w:val="none" w:sz="0" w:space="0" w:color="auto"/>
        <w:right w:val="none" w:sz="0" w:space="0" w:color="auto"/>
      </w:divBdr>
    </w:div>
    <w:div w:id="764150764">
      <w:marLeft w:val="0"/>
      <w:marRight w:val="0"/>
      <w:marTop w:val="0"/>
      <w:marBottom w:val="0"/>
      <w:divBdr>
        <w:top w:val="none" w:sz="0" w:space="0" w:color="auto"/>
        <w:left w:val="none" w:sz="0" w:space="0" w:color="auto"/>
        <w:bottom w:val="none" w:sz="0" w:space="0" w:color="auto"/>
        <w:right w:val="none" w:sz="0" w:space="0" w:color="auto"/>
      </w:divBdr>
    </w:div>
    <w:div w:id="764150765">
      <w:marLeft w:val="0"/>
      <w:marRight w:val="0"/>
      <w:marTop w:val="0"/>
      <w:marBottom w:val="0"/>
      <w:divBdr>
        <w:top w:val="none" w:sz="0" w:space="0" w:color="auto"/>
        <w:left w:val="none" w:sz="0" w:space="0" w:color="auto"/>
        <w:bottom w:val="none" w:sz="0" w:space="0" w:color="auto"/>
        <w:right w:val="none" w:sz="0" w:space="0" w:color="auto"/>
      </w:divBdr>
    </w:div>
    <w:div w:id="764150766">
      <w:marLeft w:val="0"/>
      <w:marRight w:val="0"/>
      <w:marTop w:val="0"/>
      <w:marBottom w:val="0"/>
      <w:divBdr>
        <w:top w:val="none" w:sz="0" w:space="0" w:color="auto"/>
        <w:left w:val="none" w:sz="0" w:space="0" w:color="auto"/>
        <w:bottom w:val="none" w:sz="0" w:space="0" w:color="auto"/>
        <w:right w:val="none" w:sz="0" w:space="0" w:color="auto"/>
      </w:divBdr>
    </w:div>
    <w:div w:id="764150767">
      <w:marLeft w:val="0"/>
      <w:marRight w:val="0"/>
      <w:marTop w:val="0"/>
      <w:marBottom w:val="0"/>
      <w:divBdr>
        <w:top w:val="none" w:sz="0" w:space="0" w:color="auto"/>
        <w:left w:val="none" w:sz="0" w:space="0" w:color="auto"/>
        <w:bottom w:val="none" w:sz="0" w:space="0" w:color="auto"/>
        <w:right w:val="none" w:sz="0" w:space="0" w:color="auto"/>
      </w:divBdr>
    </w:div>
    <w:div w:id="982810245">
      <w:bodyDiv w:val="1"/>
      <w:marLeft w:val="0"/>
      <w:marRight w:val="0"/>
      <w:marTop w:val="0"/>
      <w:marBottom w:val="0"/>
      <w:divBdr>
        <w:top w:val="none" w:sz="0" w:space="0" w:color="auto"/>
        <w:left w:val="none" w:sz="0" w:space="0" w:color="auto"/>
        <w:bottom w:val="none" w:sz="0" w:space="0" w:color="auto"/>
        <w:right w:val="none" w:sz="0" w:space="0" w:color="auto"/>
      </w:divBdr>
    </w:div>
    <w:div w:id="1524323223">
      <w:bodyDiv w:val="1"/>
      <w:marLeft w:val="0"/>
      <w:marRight w:val="0"/>
      <w:marTop w:val="0"/>
      <w:marBottom w:val="0"/>
      <w:divBdr>
        <w:top w:val="none" w:sz="0" w:space="0" w:color="auto"/>
        <w:left w:val="none" w:sz="0" w:space="0" w:color="auto"/>
        <w:bottom w:val="none" w:sz="0" w:space="0" w:color="auto"/>
        <w:right w:val="none" w:sz="0" w:space="0" w:color="auto"/>
      </w:divBdr>
    </w:div>
    <w:div w:id="20233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pyright@health.gov.au" TargetMode="External"/><Relationship Id="rId13" Type="http://schemas.openxmlformats.org/officeDocument/2006/relationships/hyperlink" Target="https://www.health.gov.au/internet/main/publishing.nsf/Content/D4FE6997059769B8CA258426000794AF/$File/Practice%20Incentives%20Program%20Quality%20Improvement%20Measures.docx" TargetMode="External"/><Relationship Id="rId18" Type="http://schemas.openxmlformats.org/officeDocument/2006/relationships/hyperlink" Target="https://www.humanservices.gov.au/organisations/health-professionals/services/medicare/hp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umanservuces.gov.au/pip" TargetMode="External"/><Relationship Id="rId7" Type="http://schemas.openxmlformats.org/officeDocument/2006/relationships/endnotes" Target="endnotes.xml"/><Relationship Id="rId12" Type="http://schemas.openxmlformats.org/officeDocument/2006/relationships/hyperlink" Target="http://www.health.gov.au/internet/main/publishing.nsf/content/indigenous-nkpidata" TargetMode="External"/><Relationship Id="rId17" Type="http://schemas.openxmlformats.org/officeDocument/2006/relationships/hyperlink" Target="https://www.humanservices.gov.au/organisations/health-professionals/services/medicare/hpo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health.gov.au/internet/main/publishing.nsf/content/indigenous-nkpidata" TargetMode="External"/><Relationship Id="rId20" Type="http://schemas.openxmlformats.org/officeDocument/2006/relationships/hyperlink" Target="https://www.humanservices.gov.au/organisations/health-professionals/services/medicare/practice-incentives-program-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internet/main/publishing.nsf/content/indigenous-nkpidat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ealth.gov.au/internet/main/publishing.nsf/content/indigenous-nkpidata" TargetMode="External"/><Relationship Id="rId23" Type="http://schemas.openxmlformats.org/officeDocument/2006/relationships/footer" Target="footer1.xml"/><Relationship Id="rId10" Type="http://schemas.openxmlformats.org/officeDocument/2006/relationships/hyperlink" Target="http://www.health.gov.au/internet/main/publishing.nsf/Content/PHN-Contacts" TargetMode="External"/><Relationship Id="rId19" Type="http://schemas.openxmlformats.org/officeDocument/2006/relationships/hyperlink" Target="https://www.humanservices.gov.au/organisations/health-professionals/forms/ip027" TargetMode="External"/><Relationship Id="rId4" Type="http://schemas.openxmlformats.org/officeDocument/2006/relationships/settings" Target="settings.xml"/><Relationship Id="rId9" Type="http://schemas.openxmlformats.org/officeDocument/2006/relationships/hyperlink" Target="http://www.health.gov.au/internet/main/publishing.nsf/content/indigenous-nkpidata" TargetMode="External"/><Relationship Id="rId14" Type="http://schemas.openxmlformats.org/officeDocument/2006/relationships/hyperlink" Target="https://www.health.gov.au/internet/main/publishing.nsf/Content/D4FE6997059769B8CA258426000794AF/$File/Practice%20Incentives%20Program%20Eligible%20Data%20Set%20Data%20Governance%20Framework.docx" TargetMode="External"/><Relationship Id="rId22" Type="http://schemas.openxmlformats.org/officeDocument/2006/relationships/hyperlink" Target="mailto:pip@humanservices.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08410-B279-42B0-97B5-8268C3E4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1688</Words>
  <Characters>11090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Incentives Program Quality Improvement Incentive Guidelines</dc:title>
  <dc:creator/>
  <cp:keywords/>
  <cp:lastModifiedBy/>
  <cp:revision>1</cp:revision>
  <dcterms:created xsi:type="dcterms:W3CDTF">2019-08-06T22:30:00Z</dcterms:created>
  <dcterms:modified xsi:type="dcterms:W3CDTF">2022-10-19T03:44:00Z</dcterms:modified>
</cp:coreProperties>
</file>