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2E46" w14:textId="392EEBF4" w:rsidR="003665F4" w:rsidRPr="00B27CA9" w:rsidRDefault="00C70687" w:rsidP="00B27CA9">
      <w:pPr>
        <w:pStyle w:val="Title"/>
        <w:rPr>
          <w:rStyle w:val="Strong"/>
          <w:b/>
          <w:bCs w:val="0"/>
        </w:rPr>
      </w:pPr>
      <w:r w:rsidRPr="00B27CA9">
        <w:rPr>
          <w:rStyle w:val="Emphasis"/>
          <w:i w:val="0"/>
          <w:iCs w:val="0"/>
        </w:rPr>
        <w:t>Practice Incentive</w:t>
      </w:r>
      <w:r w:rsidR="00863086">
        <w:rPr>
          <w:rStyle w:val="Emphasis"/>
          <w:i w:val="0"/>
          <w:iCs w:val="0"/>
        </w:rPr>
        <w:t>s</w:t>
      </w:r>
      <w:r w:rsidR="003821B5" w:rsidRPr="00B27CA9">
        <w:rPr>
          <w:rStyle w:val="Emphasis"/>
          <w:i w:val="0"/>
          <w:iCs w:val="0"/>
        </w:rPr>
        <w:t xml:space="preserve"> Program </w:t>
      </w:r>
      <w:r w:rsidR="003F26E7" w:rsidRPr="00B27CA9">
        <w:rPr>
          <w:rStyle w:val="Emphasis"/>
          <w:i w:val="0"/>
          <w:iCs w:val="0"/>
        </w:rPr>
        <w:t xml:space="preserve">Quality </w:t>
      </w:r>
      <w:r w:rsidR="003F26E7" w:rsidRPr="00B27CA9">
        <w:t>Improvement</w:t>
      </w:r>
      <w:r w:rsidR="003F26E7" w:rsidRPr="00B27CA9">
        <w:rPr>
          <w:rStyle w:val="Emphasis"/>
          <w:i w:val="0"/>
          <w:iCs w:val="0"/>
        </w:rPr>
        <w:t xml:space="preserve"> </w:t>
      </w:r>
      <w:r w:rsidR="009B06D6" w:rsidRPr="00B27CA9">
        <w:rPr>
          <w:rStyle w:val="Emphasis"/>
          <w:i w:val="0"/>
          <w:iCs w:val="0"/>
        </w:rPr>
        <w:t>Incentive</w:t>
      </w:r>
      <w:r w:rsidR="006511D1" w:rsidRPr="00B27CA9">
        <w:rPr>
          <w:rStyle w:val="Emphasis"/>
          <w:i w:val="0"/>
          <w:iCs w:val="0"/>
        </w:rPr>
        <w:t xml:space="preserve"> </w:t>
      </w:r>
      <w:r w:rsidR="003821B5" w:rsidRPr="00B27CA9">
        <w:rPr>
          <w:rStyle w:val="Emphasis"/>
          <w:i w:val="0"/>
          <w:iCs w:val="0"/>
        </w:rPr>
        <w:t>Frequently Asked Questions</w:t>
      </w:r>
    </w:p>
    <w:p w14:paraId="71793F65" w14:textId="77777777" w:rsidR="003F26E7" w:rsidRDefault="003F26E7" w:rsidP="00EF75EF">
      <w:r>
        <w:br w:type="page"/>
      </w:r>
    </w:p>
    <w:p w14:paraId="5381EB38" w14:textId="6C218158" w:rsidR="00912016" w:rsidRPr="00B27CA9" w:rsidRDefault="00912016" w:rsidP="00B27CA9">
      <w:pPr>
        <w:pStyle w:val="Heading1"/>
      </w:pPr>
      <w:r w:rsidRPr="00B27CA9">
        <w:rPr>
          <w:rStyle w:val="Strong"/>
          <w:b/>
          <w:bCs/>
        </w:rPr>
        <w:lastRenderedPageBreak/>
        <w:t>What is the</w:t>
      </w:r>
      <w:r w:rsidR="00C50954" w:rsidRPr="00B27CA9">
        <w:rPr>
          <w:rStyle w:val="Strong"/>
          <w:b/>
          <w:bCs/>
        </w:rPr>
        <w:t xml:space="preserve"> P</w:t>
      </w:r>
      <w:r w:rsidR="003F26E7" w:rsidRPr="00B27CA9">
        <w:rPr>
          <w:rStyle w:val="Strong"/>
          <w:b/>
          <w:bCs/>
        </w:rPr>
        <w:t xml:space="preserve">ractice </w:t>
      </w:r>
      <w:r w:rsidR="00C50954" w:rsidRPr="00B27CA9">
        <w:rPr>
          <w:rStyle w:val="Strong"/>
          <w:b/>
          <w:bCs/>
        </w:rPr>
        <w:t>I</w:t>
      </w:r>
      <w:r w:rsidR="003F26E7" w:rsidRPr="00B27CA9">
        <w:rPr>
          <w:rStyle w:val="Strong"/>
          <w:b/>
          <w:bCs/>
        </w:rPr>
        <w:t>ncentive</w:t>
      </w:r>
      <w:r w:rsidR="00863086">
        <w:rPr>
          <w:rStyle w:val="Strong"/>
          <w:b/>
          <w:bCs/>
        </w:rPr>
        <w:t>s</w:t>
      </w:r>
      <w:r w:rsidR="003F26E7" w:rsidRPr="00B27CA9">
        <w:rPr>
          <w:rStyle w:val="Strong"/>
          <w:b/>
          <w:bCs/>
        </w:rPr>
        <w:t xml:space="preserve"> Program</w:t>
      </w:r>
      <w:r w:rsidR="00C50954" w:rsidRPr="00B27CA9">
        <w:rPr>
          <w:rStyle w:val="Strong"/>
          <w:b/>
          <w:bCs/>
        </w:rPr>
        <w:t xml:space="preserve"> </w:t>
      </w:r>
      <w:r w:rsidRPr="00B27CA9">
        <w:rPr>
          <w:rStyle w:val="Strong"/>
          <w:b/>
          <w:bCs/>
        </w:rPr>
        <w:t>Q</w:t>
      </w:r>
      <w:r w:rsidR="003F26E7" w:rsidRPr="00B27CA9">
        <w:rPr>
          <w:rStyle w:val="Strong"/>
          <w:b/>
          <w:bCs/>
        </w:rPr>
        <w:t>uality Improvement</w:t>
      </w:r>
      <w:r w:rsidRPr="00B27CA9">
        <w:rPr>
          <w:rStyle w:val="Strong"/>
          <w:b/>
          <w:bCs/>
        </w:rPr>
        <w:t xml:space="preserve"> Incentive?</w:t>
      </w:r>
    </w:p>
    <w:p w14:paraId="3A29A1FB" w14:textId="3B3AD98D" w:rsidR="00281365" w:rsidRPr="00EF75EF" w:rsidRDefault="00281365" w:rsidP="00EF75EF">
      <w:r w:rsidRPr="00EF75EF">
        <w:t xml:space="preserve">The </w:t>
      </w:r>
      <w:r w:rsidR="003F26E7" w:rsidRPr="00EF75EF">
        <w:t>Practice Incentive</w:t>
      </w:r>
      <w:r w:rsidR="00863086">
        <w:t>s</w:t>
      </w:r>
      <w:r w:rsidR="003F26E7" w:rsidRPr="00EF75EF">
        <w:t xml:space="preserve"> Program (</w:t>
      </w:r>
      <w:r w:rsidRPr="00EF75EF">
        <w:t>PIP</w:t>
      </w:r>
      <w:r w:rsidR="003F26E7" w:rsidRPr="00EF75EF">
        <w:t>) Quality Improvement</w:t>
      </w:r>
      <w:r w:rsidRPr="00EF75EF">
        <w:t xml:space="preserve"> </w:t>
      </w:r>
      <w:r w:rsidR="003F26E7" w:rsidRPr="00EF75EF">
        <w:t>(</w:t>
      </w:r>
      <w:r w:rsidRPr="00EF75EF">
        <w:t>QI</w:t>
      </w:r>
      <w:r w:rsidR="003F26E7" w:rsidRPr="00EF75EF">
        <w:t>)</w:t>
      </w:r>
      <w:r w:rsidRPr="00EF75EF">
        <w:t xml:space="preserve"> Incentive is a payment to general practices that participate in quality improvement to improve patient outcomes and deliver best practice care. </w:t>
      </w:r>
      <w:r w:rsidR="00BA094F" w:rsidRPr="00EF75EF">
        <w:t xml:space="preserve">The PIP QI </w:t>
      </w:r>
      <w:r w:rsidR="00071C91" w:rsidRPr="00EF75EF">
        <w:t xml:space="preserve">Incentive </w:t>
      </w:r>
      <w:r w:rsidR="00BA094F" w:rsidRPr="00EF75EF">
        <w:t xml:space="preserve">rewards general practices for undertaking </w:t>
      </w:r>
      <w:r w:rsidRPr="00EF75EF" w:rsidDel="00392527">
        <w:t xml:space="preserve">continuous quality improvement activities </w:t>
      </w:r>
      <w:r w:rsidR="00BA094F" w:rsidRPr="00EF75EF">
        <w:t xml:space="preserve">in partnership </w:t>
      </w:r>
      <w:r w:rsidR="00BA094F" w:rsidRPr="00EF75EF" w:rsidDel="00392527">
        <w:t>with their local Primary Health Network (PHN</w:t>
      </w:r>
      <w:r w:rsidR="005B5435" w:rsidRPr="00EF75EF">
        <w:t>)</w:t>
      </w:r>
      <w:r w:rsidR="00071C91" w:rsidRPr="00EF75EF">
        <w:t>.</w:t>
      </w:r>
    </w:p>
    <w:p w14:paraId="6A37DD78" w14:textId="77777777" w:rsidR="008C4C7A" w:rsidRPr="00B27CA9" w:rsidRDefault="008C4C7A" w:rsidP="00B27CA9">
      <w:pPr>
        <w:pStyle w:val="Heading1"/>
      </w:pPr>
      <w:r w:rsidRPr="00B27CA9">
        <w:rPr>
          <w:rStyle w:val="Strong"/>
          <w:b/>
          <w:bCs/>
        </w:rPr>
        <w:t xml:space="preserve">When will the PIP QI Incentive </w:t>
      </w:r>
      <w:r w:rsidR="009668B6" w:rsidRPr="00B27CA9">
        <w:rPr>
          <w:rStyle w:val="Strong"/>
          <w:b/>
          <w:bCs/>
        </w:rPr>
        <w:t>commence</w:t>
      </w:r>
      <w:r w:rsidRPr="00B27CA9">
        <w:rPr>
          <w:rStyle w:val="Strong"/>
          <w:b/>
          <w:bCs/>
        </w:rPr>
        <w:t>?</w:t>
      </w:r>
    </w:p>
    <w:p w14:paraId="7C3822C6" w14:textId="77777777" w:rsidR="006150D2" w:rsidRPr="00EF75EF" w:rsidRDefault="004457A7" w:rsidP="00EF75EF">
      <w:r w:rsidRPr="00EF75EF">
        <w:t xml:space="preserve">The PIP QI Incentive starts on 1 August 2019.  </w:t>
      </w:r>
    </w:p>
    <w:p w14:paraId="109B1280" w14:textId="77777777" w:rsidR="00DE2C43" w:rsidRPr="00B27CA9" w:rsidRDefault="004457A7" w:rsidP="00A5432B">
      <w:r w:rsidRPr="00B27CA9">
        <w:t xml:space="preserve">Practices are able to register for the </w:t>
      </w:r>
      <w:r w:rsidR="00071C91" w:rsidRPr="00B27CA9">
        <w:t>I</w:t>
      </w:r>
      <w:r w:rsidRPr="00B27CA9">
        <w:t xml:space="preserve">ncentive from 1 August 2019 </w:t>
      </w:r>
      <w:r w:rsidR="00DE2C43" w:rsidRPr="00B27CA9">
        <w:t>using their Provider Digital Access (PRODA) through their Health Professional Online services (HPOS)</w:t>
      </w:r>
      <w:r w:rsidRPr="00B27CA9">
        <w:t>. The first quarter</w:t>
      </w:r>
      <w:r w:rsidR="00071C91" w:rsidRPr="00B27CA9">
        <w:t>ly</w:t>
      </w:r>
      <w:r w:rsidRPr="00B27CA9">
        <w:t xml:space="preserve"> payment (covering 1 August to 3</w:t>
      </w:r>
      <w:r w:rsidR="00385C2F" w:rsidRPr="00B27CA9">
        <w:t>1</w:t>
      </w:r>
      <w:r w:rsidRPr="00B27CA9">
        <w:t xml:space="preserve"> October 2019) will be made in November 2019. </w:t>
      </w:r>
    </w:p>
    <w:p w14:paraId="282162B0" w14:textId="77777777" w:rsidR="002724D1" w:rsidRPr="00EF75EF" w:rsidRDefault="004457A7" w:rsidP="00EF75EF">
      <w:r w:rsidRPr="00EF75EF">
        <w:t>Participation in the PIP QI Incentive is voluntary and practices may withdraw from the</w:t>
      </w:r>
      <w:r w:rsidR="00111976" w:rsidRPr="00EF75EF">
        <w:t xml:space="preserve"> </w:t>
      </w:r>
      <w:r w:rsidR="00071C91" w:rsidRPr="00EF75EF">
        <w:t>I</w:t>
      </w:r>
      <w:r w:rsidRPr="00EF75EF">
        <w:t>ncentive at any time</w:t>
      </w:r>
      <w:r w:rsidR="00385C2F" w:rsidRPr="00EF75EF">
        <w:t xml:space="preserve"> through HPOS</w:t>
      </w:r>
      <w:r w:rsidRPr="00EF75EF">
        <w:t xml:space="preserve">. </w:t>
      </w:r>
    </w:p>
    <w:p w14:paraId="23D3B788" w14:textId="77777777" w:rsidR="004457A7" w:rsidRPr="00EF75EF" w:rsidRDefault="004457A7" w:rsidP="00EF75EF">
      <w:r w:rsidRPr="00EF75EF">
        <w:t xml:space="preserve">Practices should notify their </w:t>
      </w:r>
      <w:hyperlink r:id="rId8" w:history="1">
        <w:r w:rsidRPr="00EF75EF">
          <w:rPr>
            <w:rStyle w:val="Hyperlink"/>
            <w:rFonts w:cs="Arial"/>
            <w:szCs w:val="22"/>
          </w:rPr>
          <w:t>local PHN</w:t>
        </w:r>
      </w:hyperlink>
      <w:r w:rsidRPr="00EF75EF">
        <w:t xml:space="preserve"> </w:t>
      </w:r>
      <w:r w:rsidR="002724D1" w:rsidRPr="00EF75EF">
        <w:t>when they apply and</w:t>
      </w:r>
      <w:r w:rsidRPr="00EF75EF">
        <w:t xml:space="preserve"> withdraw from the PIP</w:t>
      </w:r>
      <w:r w:rsidR="00BA094F" w:rsidRPr="00EF75EF">
        <w:t xml:space="preserve"> </w:t>
      </w:r>
      <w:r w:rsidRPr="00EF75EF">
        <w:t>QI Incentive.</w:t>
      </w:r>
    </w:p>
    <w:p w14:paraId="0C349BB9" w14:textId="77777777" w:rsidR="00910D47" w:rsidRPr="00B27CA9" w:rsidRDefault="009668B6" w:rsidP="00B27CA9">
      <w:pPr>
        <w:pStyle w:val="Heading1"/>
        <w:rPr>
          <w:rStyle w:val="Strong"/>
          <w:b/>
          <w:bCs/>
        </w:rPr>
      </w:pPr>
      <w:r w:rsidRPr="00B27CA9">
        <w:rPr>
          <w:rStyle w:val="Strong"/>
          <w:b/>
          <w:bCs/>
        </w:rPr>
        <w:t>When PIP QI commences, w</w:t>
      </w:r>
      <w:r w:rsidR="00910D47" w:rsidRPr="00B27CA9">
        <w:rPr>
          <w:rStyle w:val="Strong"/>
          <w:b/>
          <w:bCs/>
        </w:rPr>
        <w:t>hat Incentives are remaining the same?</w:t>
      </w:r>
    </w:p>
    <w:p w14:paraId="5946CE57" w14:textId="77777777" w:rsidR="00910D47" w:rsidRPr="00EF75EF" w:rsidRDefault="00910D47" w:rsidP="003B5CE7">
      <w:r w:rsidRPr="00EF75EF">
        <w:t>The</w:t>
      </w:r>
      <w:r w:rsidR="00192AD6" w:rsidRPr="00EF75EF">
        <w:t>re are currently eleven incentives under the PIP, the</w:t>
      </w:r>
      <w:r w:rsidRPr="00EF75EF">
        <w:t xml:space="preserve"> </w:t>
      </w:r>
      <w:r w:rsidR="00BE6DFB" w:rsidRPr="00EF75EF">
        <w:t xml:space="preserve">following </w:t>
      </w:r>
      <w:r w:rsidR="00CB5CD4" w:rsidRPr="00EF75EF">
        <w:t>seven</w:t>
      </w:r>
      <w:r w:rsidRPr="00EF75EF">
        <w:t xml:space="preserve"> </w:t>
      </w:r>
      <w:r w:rsidR="00192AD6" w:rsidRPr="00EF75EF">
        <w:t xml:space="preserve">incentives </w:t>
      </w:r>
      <w:r w:rsidRPr="00EF75EF">
        <w:t xml:space="preserve">will </w:t>
      </w:r>
      <w:r w:rsidR="00E24EA4" w:rsidRPr="00EF75EF">
        <w:t>stay the same</w:t>
      </w:r>
      <w:r w:rsidRPr="00EF75EF">
        <w:t>:</w:t>
      </w:r>
    </w:p>
    <w:p w14:paraId="0C66BA0C" w14:textId="77777777" w:rsidR="00910D47" w:rsidRPr="00EF75EF" w:rsidRDefault="00910D47" w:rsidP="003B5CE7">
      <w:pPr>
        <w:pStyle w:val="ListParagraph"/>
        <w:numPr>
          <w:ilvl w:val="0"/>
          <w:numId w:val="43"/>
        </w:numPr>
        <w:ind w:left="709" w:hanging="425"/>
      </w:pPr>
      <w:r w:rsidRPr="00EF75EF">
        <w:t>eHealth Incentive</w:t>
      </w:r>
    </w:p>
    <w:p w14:paraId="5BFC1B0D" w14:textId="77777777" w:rsidR="00910D47" w:rsidRPr="00EF75EF" w:rsidRDefault="00910D47" w:rsidP="003B5CE7">
      <w:pPr>
        <w:pStyle w:val="ListParagraph"/>
        <w:numPr>
          <w:ilvl w:val="0"/>
          <w:numId w:val="43"/>
        </w:numPr>
        <w:ind w:left="709" w:hanging="425"/>
      </w:pPr>
      <w:r w:rsidRPr="00EF75EF">
        <w:t>After Hours Incentive</w:t>
      </w:r>
    </w:p>
    <w:p w14:paraId="71A6A081" w14:textId="77777777" w:rsidR="00910D47" w:rsidRPr="00EF75EF" w:rsidRDefault="00910D47" w:rsidP="003B5CE7">
      <w:pPr>
        <w:pStyle w:val="ListParagraph"/>
        <w:numPr>
          <w:ilvl w:val="0"/>
          <w:numId w:val="43"/>
        </w:numPr>
        <w:ind w:left="709" w:hanging="425"/>
      </w:pPr>
      <w:r w:rsidRPr="00EF75EF">
        <w:t>Rural Loading Incentive</w:t>
      </w:r>
    </w:p>
    <w:p w14:paraId="20686C73" w14:textId="77777777" w:rsidR="00910D47" w:rsidRPr="00EF75EF" w:rsidRDefault="00910D47" w:rsidP="003B5CE7">
      <w:pPr>
        <w:pStyle w:val="ListParagraph"/>
        <w:numPr>
          <w:ilvl w:val="0"/>
          <w:numId w:val="43"/>
        </w:numPr>
        <w:ind w:left="709" w:hanging="425"/>
      </w:pPr>
      <w:r w:rsidRPr="00EF75EF">
        <w:t xml:space="preserve">Teaching </w:t>
      </w:r>
      <w:r w:rsidRPr="003B5CE7">
        <w:t>Payment</w:t>
      </w:r>
      <w:r w:rsidRPr="00EF75EF">
        <w:t xml:space="preserve"> </w:t>
      </w:r>
    </w:p>
    <w:p w14:paraId="61154DB8" w14:textId="77777777" w:rsidR="003D4B3C" w:rsidRPr="00EF75EF" w:rsidRDefault="003D4B3C" w:rsidP="003B5CE7">
      <w:pPr>
        <w:pStyle w:val="ListParagraph"/>
        <w:numPr>
          <w:ilvl w:val="0"/>
          <w:numId w:val="43"/>
        </w:numPr>
        <w:ind w:left="709" w:hanging="425"/>
      </w:pPr>
      <w:r w:rsidRPr="00EF75EF">
        <w:t>General Practitioner Aged Care Access Incentive</w:t>
      </w:r>
    </w:p>
    <w:p w14:paraId="095372CD" w14:textId="77777777" w:rsidR="00910D47" w:rsidRPr="00EF75EF" w:rsidRDefault="00910D47" w:rsidP="003B5CE7">
      <w:pPr>
        <w:pStyle w:val="ListParagraph"/>
        <w:numPr>
          <w:ilvl w:val="0"/>
          <w:numId w:val="43"/>
        </w:numPr>
        <w:ind w:left="709" w:hanging="425"/>
      </w:pPr>
      <w:r w:rsidRPr="00EF75EF">
        <w:t>Indigenous Health Incentive</w:t>
      </w:r>
    </w:p>
    <w:p w14:paraId="6167C59D" w14:textId="77777777" w:rsidR="00EF75EF" w:rsidRDefault="00910D47" w:rsidP="003B5CE7">
      <w:pPr>
        <w:pStyle w:val="ListParagraph"/>
        <w:numPr>
          <w:ilvl w:val="0"/>
          <w:numId w:val="43"/>
        </w:numPr>
        <w:ind w:left="709" w:hanging="425"/>
      </w:pPr>
      <w:r w:rsidRPr="00EF75EF">
        <w:t>Procedural General Practitioner Payment</w:t>
      </w:r>
    </w:p>
    <w:p w14:paraId="6514F924" w14:textId="77777777" w:rsidR="00EF75EF" w:rsidRDefault="00EF75EF" w:rsidP="00EF75EF">
      <w:r>
        <w:br w:type="page"/>
      </w:r>
    </w:p>
    <w:p w14:paraId="70A6C380" w14:textId="77777777" w:rsidR="009668B6" w:rsidRPr="00B27CA9" w:rsidRDefault="009668B6" w:rsidP="00B27CA9">
      <w:pPr>
        <w:pStyle w:val="Heading1"/>
        <w:rPr>
          <w:rStyle w:val="Strong"/>
          <w:b/>
          <w:bCs/>
        </w:rPr>
      </w:pPr>
      <w:r w:rsidRPr="00B27CA9">
        <w:rPr>
          <w:rStyle w:val="Strong"/>
          <w:b/>
          <w:bCs/>
        </w:rPr>
        <w:lastRenderedPageBreak/>
        <w:t>What Incentives ceas</w:t>
      </w:r>
      <w:r w:rsidR="003B6F4B" w:rsidRPr="00B27CA9">
        <w:rPr>
          <w:rStyle w:val="Strong"/>
          <w:b/>
          <w:bCs/>
        </w:rPr>
        <w:t>e under the PIP</w:t>
      </w:r>
      <w:r w:rsidRPr="00B27CA9">
        <w:rPr>
          <w:rStyle w:val="Strong"/>
          <w:b/>
          <w:bCs/>
        </w:rPr>
        <w:t>?</w:t>
      </w:r>
    </w:p>
    <w:p w14:paraId="48A6F525" w14:textId="77777777" w:rsidR="009668B6" w:rsidRPr="00EF75EF" w:rsidRDefault="009668B6" w:rsidP="00EF75EF">
      <w:r w:rsidRPr="00EF75EF">
        <w:t xml:space="preserve"> The following </w:t>
      </w:r>
      <w:r w:rsidR="00071C91" w:rsidRPr="00EF75EF">
        <w:t>f</w:t>
      </w:r>
      <w:r w:rsidRPr="00EF75EF">
        <w:t xml:space="preserve">our incentives </w:t>
      </w:r>
      <w:r w:rsidR="005C1CC1" w:rsidRPr="00EF75EF">
        <w:t>will no longer be available after 31 July 2019</w:t>
      </w:r>
      <w:r w:rsidR="00BA094F" w:rsidRPr="00EF75EF">
        <w:t>:</w:t>
      </w:r>
    </w:p>
    <w:p w14:paraId="481758CB" w14:textId="77777777" w:rsidR="009668B6" w:rsidRPr="003B5CE7" w:rsidRDefault="009668B6" w:rsidP="003B5CE7">
      <w:pPr>
        <w:pStyle w:val="ListParagraph"/>
        <w:numPr>
          <w:ilvl w:val="0"/>
          <w:numId w:val="44"/>
        </w:numPr>
        <w:ind w:left="709" w:hanging="425"/>
      </w:pPr>
      <w:r w:rsidRPr="003B5CE7">
        <w:t>Asthma Incentive</w:t>
      </w:r>
    </w:p>
    <w:p w14:paraId="42B6411B" w14:textId="77777777" w:rsidR="009668B6" w:rsidRPr="003B5CE7" w:rsidRDefault="009668B6" w:rsidP="003B5CE7">
      <w:pPr>
        <w:pStyle w:val="ListParagraph"/>
        <w:numPr>
          <w:ilvl w:val="0"/>
          <w:numId w:val="44"/>
        </w:numPr>
        <w:ind w:left="709" w:hanging="425"/>
      </w:pPr>
      <w:r w:rsidRPr="003B5CE7">
        <w:t>Diabetes Incentive</w:t>
      </w:r>
    </w:p>
    <w:p w14:paraId="64EC8F15" w14:textId="77777777" w:rsidR="009668B6" w:rsidRPr="003B5CE7" w:rsidRDefault="009668B6" w:rsidP="003B5CE7">
      <w:pPr>
        <w:pStyle w:val="ListParagraph"/>
        <w:numPr>
          <w:ilvl w:val="0"/>
          <w:numId w:val="44"/>
        </w:numPr>
        <w:ind w:left="709" w:hanging="425"/>
      </w:pPr>
      <w:r w:rsidRPr="003B5CE7">
        <w:t>Cervical Screening Incentive</w:t>
      </w:r>
    </w:p>
    <w:p w14:paraId="623A1682" w14:textId="77777777" w:rsidR="009668B6" w:rsidRPr="003B5CE7" w:rsidRDefault="009668B6" w:rsidP="003B5CE7">
      <w:pPr>
        <w:pStyle w:val="ListParagraph"/>
        <w:numPr>
          <w:ilvl w:val="0"/>
          <w:numId w:val="44"/>
        </w:numPr>
        <w:ind w:left="709" w:hanging="425"/>
      </w:pPr>
      <w:r w:rsidRPr="003B5CE7">
        <w:t>Quality Prescribing Incentive</w:t>
      </w:r>
    </w:p>
    <w:p w14:paraId="697E590F" w14:textId="77777777" w:rsidR="007F5973" w:rsidRPr="00B27CA9" w:rsidRDefault="009668B6" w:rsidP="00B27CA9">
      <w:pPr>
        <w:pStyle w:val="Heading1"/>
        <w:rPr>
          <w:rStyle w:val="Strong"/>
          <w:b/>
          <w:bCs/>
        </w:rPr>
      </w:pPr>
      <w:r w:rsidRPr="00B27CA9">
        <w:rPr>
          <w:rStyle w:val="Strong"/>
          <w:b/>
          <w:bCs/>
        </w:rPr>
        <w:t>Will the S</w:t>
      </w:r>
      <w:r w:rsidR="007F5973" w:rsidRPr="00B27CA9">
        <w:rPr>
          <w:rStyle w:val="Strong"/>
          <w:b/>
          <w:bCs/>
        </w:rPr>
        <w:t>ervice Incentive Payments</w:t>
      </w:r>
      <w:r w:rsidR="001B5044" w:rsidRPr="00B27CA9">
        <w:rPr>
          <w:rStyle w:val="Strong"/>
          <w:b/>
          <w:bCs/>
        </w:rPr>
        <w:t xml:space="preserve"> (SIPs)</w:t>
      </w:r>
      <w:r w:rsidRPr="00B27CA9">
        <w:rPr>
          <w:rStyle w:val="Strong"/>
          <w:b/>
          <w:bCs/>
        </w:rPr>
        <w:t xml:space="preserve"> be affected</w:t>
      </w:r>
      <w:r w:rsidR="007F5973" w:rsidRPr="00B27CA9">
        <w:rPr>
          <w:rStyle w:val="Strong"/>
          <w:b/>
          <w:bCs/>
        </w:rPr>
        <w:t>?</w:t>
      </w:r>
    </w:p>
    <w:p w14:paraId="2F2B7A81" w14:textId="77777777" w:rsidR="00643EBB" w:rsidRPr="00EF75EF" w:rsidRDefault="009668B6" w:rsidP="00EF75EF">
      <w:r w:rsidRPr="00EF75EF">
        <w:t xml:space="preserve">Yes, </w:t>
      </w:r>
      <w:r w:rsidR="00EC0379" w:rsidRPr="00EF75EF">
        <w:t>SIPs</w:t>
      </w:r>
      <w:r w:rsidRPr="00EF75EF">
        <w:t xml:space="preserve"> associated with the following </w:t>
      </w:r>
      <w:r w:rsidR="00192AD6" w:rsidRPr="00EF75EF">
        <w:t xml:space="preserve">three </w:t>
      </w:r>
      <w:r w:rsidRPr="00EF75EF">
        <w:t>incentives</w:t>
      </w:r>
      <w:r w:rsidR="00643EBB" w:rsidRPr="00EF75EF">
        <w:t xml:space="preserve"> </w:t>
      </w:r>
      <w:r w:rsidR="00111976" w:rsidRPr="00EF75EF">
        <w:t>will also</w:t>
      </w:r>
      <w:r w:rsidR="00071C91" w:rsidRPr="00EF75EF">
        <w:t xml:space="preserve"> cease</w:t>
      </w:r>
      <w:r w:rsidR="00B316E0" w:rsidRPr="00EF75EF">
        <w:t>:</w:t>
      </w:r>
      <w:r w:rsidR="00643EBB" w:rsidRPr="00EF75EF">
        <w:t xml:space="preserve"> </w:t>
      </w:r>
    </w:p>
    <w:p w14:paraId="3207697A" w14:textId="77777777" w:rsidR="009668B6" w:rsidRPr="00EF75EF" w:rsidRDefault="009668B6" w:rsidP="003B5CE7">
      <w:pPr>
        <w:pStyle w:val="ListParagraph"/>
        <w:numPr>
          <w:ilvl w:val="0"/>
          <w:numId w:val="14"/>
        </w:numPr>
        <w:ind w:left="709" w:hanging="425"/>
      </w:pPr>
      <w:r w:rsidRPr="00EF75EF">
        <w:t>Asthma Incentive</w:t>
      </w:r>
    </w:p>
    <w:p w14:paraId="61663327" w14:textId="77777777" w:rsidR="009668B6" w:rsidRPr="00EF75EF" w:rsidRDefault="009668B6" w:rsidP="003B5CE7">
      <w:pPr>
        <w:pStyle w:val="ListParagraph"/>
        <w:numPr>
          <w:ilvl w:val="0"/>
          <w:numId w:val="14"/>
        </w:numPr>
        <w:ind w:left="709" w:hanging="425"/>
      </w:pPr>
      <w:r w:rsidRPr="00EF75EF">
        <w:t>Diabetes Incentive</w:t>
      </w:r>
    </w:p>
    <w:p w14:paraId="28C54419" w14:textId="77777777" w:rsidR="009668B6" w:rsidRPr="00EF75EF" w:rsidRDefault="009668B6" w:rsidP="003B5CE7">
      <w:pPr>
        <w:pStyle w:val="ListParagraph"/>
        <w:numPr>
          <w:ilvl w:val="0"/>
          <w:numId w:val="14"/>
        </w:numPr>
        <w:ind w:left="709" w:hanging="425"/>
      </w:pPr>
      <w:r w:rsidRPr="00EF75EF">
        <w:t>Cervical Screening Incentive</w:t>
      </w:r>
    </w:p>
    <w:p w14:paraId="32D24042" w14:textId="77777777" w:rsidR="00281365" w:rsidRPr="00B27CA9" w:rsidRDefault="00281365" w:rsidP="00B27CA9">
      <w:pPr>
        <w:pStyle w:val="Heading1"/>
        <w:rPr>
          <w:rStyle w:val="Strong"/>
          <w:b/>
          <w:bCs/>
        </w:rPr>
      </w:pPr>
      <w:r w:rsidRPr="00B27CA9">
        <w:rPr>
          <w:rStyle w:val="Strong"/>
          <w:b/>
          <w:bCs/>
        </w:rPr>
        <w:t xml:space="preserve">Will Standard Whole Patient Equivalent (SWPE) values and rural loadings remain? </w:t>
      </w:r>
    </w:p>
    <w:p w14:paraId="46F80143" w14:textId="77777777" w:rsidR="00281365" w:rsidRPr="00EF75EF" w:rsidRDefault="00E24EA4" w:rsidP="00EF75EF">
      <w:pPr>
        <w:rPr>
          <w:rStyle w:val="BodyTextChar"/>
          <w:rFonts w:ascii="Arial" w:hAnsi="Arial" w:cs="Arial"/>
          <w:bCs/>
          <w:sz w:val="22"/>
          <w:szCs w:val="22"/>
        </w:rPr>
      </w:pPr>
      <w:r w:rsidRPr="00EF75EF">
        <w:rPr>
          <w:rStyle w:val="BodyTextChar"/>
          <w:rFonts w:ascii="Arial" w:hAnsi="Arial" w:cs="Arial"/>
          <w:sz w:val="22"/>
          <w:szCs w:val="22"/>
        </w:rPr>
        <w:t xml:space="preserve">Yes. </w:t>
      </w:r>
      <w:r w:rsidR="00192AD6" w:rsidRPr="00EF75EF">
        <w:rPr>
          <w:rStyle w:val="BodyTextChar"/>
          <w:rFonts w:ascii="Arial" w:hAnsi="Arial" w:cs="Arial"/>
          <w:sz w:val="22"/>
          <w:szCs w:val="22"/>
        </w:rPr>
        <w:t xml:space="preserve">The Department of </w:t>
      </w:r>
      <w:r w:rsidR="00281365" w:rsidRPr="00EF75EF">
        <w:rPr>
          <w:rStyle w:val="BodyTextChar"/>
          <w:rFonts w:ascii="Arial" w:hAnsi="Arial" w:cs="Arial"/>
          <w:sz w:val="22"/>
          <w:szCs w:val="22"/>
        </w:rPr>
        <w:t xml:space="preserve">Human Services will apply the relevant SWPE weighting and rural loading (where applicable) to </w:t>
      </w:r>
      <w:r w:rsidR="00BA094F" w:rsidRPr="00EF75EF">
        <w:rPr>
          <w:rStyle w:val="BodyTextChar"/>
          <w:rFonts w:ascii="Arial" w:hAnsi="Arial" w:cs="Arial"/>
          <w:sz w:val="22"/>
          <w:szCs w:val="22"/>
        </w:rPr>
        <w:t xml:space="preserve">the </w:t>
      </w:r>
      <w:r w:rsidRPr="00EF75EF">
        <w:rPr>
          <w:rStyle w:val="BodyTextChar"/>
          <w:rFonts w:ascii="Arial" w:hAnsi="Arial" w:cs="Arial"/>
          <w:sz w:val="22"/>
          <w:szCs w:val="22"/>
        </w:rPr>
        <w:t>PIP</w:t>
      </w:r>
      <w:r w:rsidR="00281365" w:rsidRPr="00EF75EF">
        <w:rPr>
          <w:rStyle w:val="BodyTextChar"/>
          <w:rFonts w:ascii="Arial" w:hAnsi="Arial" w:cs="Arial"/>
          <w:sz w:val="22"/>
          <w:szCs w:val="22"/>
        </w:rPr>
        <w:t xml:space="preserve"> QI </w:t>
      </w:r>
      <w:r w:rsidR="00400AC1" w:rsidRPr="00EF75EF">
        <w:rPr>
          <w:rStyle w:val="BodyTextChar"/>
          <w:rFonts w:ascii="Arial" w:hAnsi="Arial" w:cs="Arial"/>
          <w:sz w:val="22"/>
          <w:szCs w:val="22"/>
        </w:rPr>
        <w:t xml:space="preserve">Incentive </w:t>
      </w:r>
      <w:r w:rsidR="00281365" w:rsidRPr="00EF75EF">
        <w:rPr>
          <w:rStyle w:val="BodyTextChar"/>
          <w:rFonts w:ascii="Arial" w:hAnsi="Arial" w:cs="Arial"/>
          <w:sz w:val="22"/>
          <w:szCs w:val="22"/>
        </w:rPr>
        <w:t>payments</w:t>
      </w:r>
      <w:r w:rsidR="00BA094F" w:rsidRPr="00EF75EF">
        <w:rPr>
          <w:rStyle w:val="BodyTextChar"/>
          <w:rFonts w:ascii="Arial" w:hAnsi="Arial" w:cs="Arial"/>
          <w:sz w:val="22"/>
          <w:szCs w:val="22"/>
        </w:rPr>
        <w:t>.</w:t>
      </w:r>
    </w:p>
    <w:p w14:paraId="335546A6" w14:textId="77777777" w:rsidR="001B5044" w:rsidRPr="00B27CA9" w:rsidRDefault="001B5044" w:rsidP="00B27CA9">
      <w:pPr>
        <w:pStyle w:val="Heading1"/>
        <w:rPr>
          <w:rStyle w:val="Strong"/>
          <w:b/>
          <w:bCs/>
        </w:rPr>
      </w:pPr>
      <w:r w:rsidRPr="00B27CA9">
        <w:rPr>
          <w:rStyle w:val="Strong"/>
          <w:b/>
          <w:bCs/>
        </w:rPr>
        <w:t>Will th</w:t>
      </w:r>
      <w:r w:rsidR="00B316E0" w:rsidRPr="00B27CA9">
        <w:rPr>
          <w:rStyle w:val="Strong"/>
          <w:b/>
          <w:bCs/>
        </w:rPr>
        <w:t xml:space="preserve">e changes to the PIP affect other Incentive Programs </w:t>
      </w:r>
      <w:r w:rsidR="001A5575" w:rsidRPr="00B27CA9">
        <w:rPr>
          <w:rStyle w:val="Strong"/>
          <w:b/>
          <w:bCs/>
        </w:rPr>
        <w:t>offered</w:t>
      </w:r>
      <w:r w:rsidR="00EF75EF" w:rsidRPr="00B27CA9">
        <w:rPr>
          <w:rStyle w:val="Strong"/>
          <w:b/>
          <w:bCs/>
        </w:rPr>
        <w:t xml:space="preserve"> by the Department of Health?</w:t>
      </w:r>
    </w:p>
    <w:p w14:paraId="698429F1" w14:textId="77777777" w:rsidR="003B5CE7" w:rsidRDefault="00E24EA4" w:rsidP="00EF75EF">
      <w:pPr>
        <w:rPr>
          <w:rStyle w:val="Emphasis"/>
          <w:rFonts w:cs="Arial"/>
          <w:i w:val="0"/>
          <w:szCs w:val="22"/>
        </w:rPr>
      </w:pPr>
      <w:r w:rsidRPr="00EF75EF">
        <w:rPr>
          <w:rStyle w:val="Emphasis"/>
          <w:rFonts w:cs="Arial"/>
          <w:i w:val="0"/>
          <w:szCs w:val="22"/>
        </w:rPr>
        <w:t xml:space="preserve">No. </w:t>
      </w:r>
      <w:r w:rsidR="00C4411D" w:rsidRPr="00EF75EF">
        <w:rPr>
          <w:rStyle w:val="Emphasis"/>
          <w:rFonts w:cs="Arial"/>
          <w:i w:val="0"/>
          <w:szCs w:val="22"/>
        </w:rPr>
        <w:t xml:space="preserve">The broader changes to PIP </w:t>
      </w:r>
      <w:r w:rsidR="001A5575" w:rsidRPr="00EF75EF">
        <w:rPr>
          <w:rStyle w:val="Emphasis"/>
          <w:rFonts w:cs="Arial"/>
          <w:i w:val="0"/>
          <w:szCs w:val="22"/>
        </w:rPr>
        <w:t>will not affect</w:t>
      </w:r>
      <w:r w:rsidR="00C4411D" w:rsidRPr="00EF75EF">
        <w:rPr>
          <w:rStyle w:val="Emphasis"/>
          <w:rFonts w:cs="Arial"/>
          <w:i w:val="0"/>
          <w:szCs w:val="22"/>
        </w:rPr>
        <w:t xml:space="preserve"> other Incentive Programs</w:t>
      </w:r>
      <w:r w:rsidR="004457A7" w:rsidRPr="00EF75EF">
        <w:rPr>
          <w:rStyle w:val="Emphasis"/>
          <w:rFonts w:cs="Arial"/>
          <w:i w:val="0"/>
          <w:szCs w:val="22"/>
        </w:rPr>
        <w:t xml:space="preserve"> offered by the Department of Health</w:t>
      </w:r>
      <w:r w:rsidR="00EF75EF">
        <w:rPr>
          <w:rStyle w:val="Emphasis"/>
          <w:rFonts w:cs="Arial"/>
          <w:i w:val="0"/>
          <w:szCs w:val="22"/>
        </w:rPr>
        <w:t>.</w:t>
      </w:r>
    </w:p>
    <w:p w14:paraId="0E49E203" w14:textId="77777777" w:rsidR="003B5CE7" w:rsidRDefault="003B5CE7" w:rsidP="003B5CE7">
      <w:pPr>
        <w:rPr>
          <w:rStyle w:val="Emphasis"/>
          <w:rFonts w:cs="Arial"/>
          <w:i w:val="0"/>
          <w:szCs w:val="22"/>
        </w:rPr>
      </w:pPr>
      <w:r>
        <w:rPr>
          <w:rStyle w:val="Emphasis"/>
          <w:rFonts w:cs="Arial"/>
          <w:i w:val="0"/>
          <w:szCs w:val="22"/>
        </w:rPr>
        <w:br w:type="page"/>
      </w:r>
    </w:p>
    <w:p w14:paraId="4370504D" w14:textId="77777777" w:rsidR="00910D47" w:rsidRPr="00B27CA9" w:rsidRDefault="00910D47" w:rsidP="00B27CA9">
      <w:pPr>
        <w:pStyle w:val="Heading1"/>
        <w:rPr>
          <w:rStyle w:val="Strong"/>
          <w:b/>
          <w:bCs/>
        </w:rPr>
      </w:pPr>
      <w:r w:rsidRPr="00B27CA9">
        <w:rPr>
          <w:rStyle w:val="Strong"/>
          <w:b/>
          <w:bCs/>
        </w:rPr>
        <w:lastRenderedPageBreak/>
        <w:t>How will this effect Aboriginal Community Controlled Health Services (ACCHS)?</w:t>
      </w:r>
    </w:p>
    <w:p w14:paraId="46C57130" w14:textId="77777777" w:rsidR="001643E0" w:rsidRPr="00EF75EF" w:rsidRDefault="00910D47" w:rsidP="00EF75EF">
      <w:pPr>
        <w:rPr>
          <w:iCs/>
        </w:rPr>
      </w:pPr>
      <w:r w:rsidRPr="00EF75EF">
        <w:rPr>
          <w:rStyle w:val="Emphasis"/>
          <w:rFonts w:cs="Arial"/>
          <w:i w:val="0"/>
          <w:szCs w:val="22"/>
        </w:rPr>
        <w:t xml:space="preserve">ACCHS </w:t>
      </w:r>
      <w:r w:rsidR="00EF1F02" w:rsidRPr="00EF75EF">
        <w:t xml:space="preserve">and other organisations funded under the Indigenous Australians’ Health Programme (IAHP) </w:t>
      </w:r>
      <w:r w:rsidRPr="00EF75EF">
        <w:rPr>
          <w:rStyle w:val="Emphasis"/>
          <w:rFonts w:cs="Arial"/>
          <w:i w:val="0"/>
          <w:szCs w:val="22"/>
        </w:rPr>
        <w:t xml:space="preserve">already have a well-established system of </w:t>
      </w:r>
      <w:r w:rsidR="00EF1F02" w:rsidRPr="00EF75EF">
        <w:rPr>
          <w:rStyle w:val="Emphasis"/>
          <w:rFonts w:cs="Arial"/>
          <w:i w:val="0"/>
          <w:szCs w:val="22"/>
        </w:rPr>
        <w:t xml:space="preserve">using </w:t>
      </w:r>
      <w:r w:rsidRPr="00EF75EF">
        <w:rPr>
          <w:rStyle w:val="Emphasis"/>
          <w:rFonts w:cs="Arial"/>
          <w:i w:val="0"/>
          <w:szCs w:val="22"/>
        </w:rPr>
        <w:t xml:space="preserve">primary health data </w:t>
      </w:r>
      <w:r w:rsidR="00EF1F02" w:rsidRPr="00EF75EF">
        <w:rPr>
          <w:rStyle w:val="Emphasis"/>
          <w:rFonts w:cs="Arial"/>
          <w:i w:val="0"/>
          <w:szCs w:val="22"/>
        </w:rPr>
        <w:t xml:space="preserve">to undertake </w:t>
      </w:r>
      <w:r w:rsidRPr="00EF75EF">
        <w:rPr>
          <w:rStyle w:val="Emphasis"/>
          <w:rFonts w:cs="Arial"/>
          <w:i w:val="0"/>
          <w:szCs w:val="22"/>
        </w:rPr>
        <w:t>quality improvement</w:t>
      </w:r>
      <w:r w:rsidR="00EF1F02" w:rsidRPr="00EF75EF">
        <w:rPr>
          <w:rStyle w:val="Emphasis"/>
          <w:rFonts w:cs="Arial"/>
          <w:i w:val="0"/>
          <w:szCs w:val="22"/>
        </w:rPr>
        <w:t xml:space="preserve"> activities</w:t>
      </w:r>
      <w:r w:rsidRPr="00EF75EF">
        <w:rPr>
          <w:rStyle w:val="Emphasis"/>
          <w:rFonts w:cs="Arial"/>
          <w:i w:val="0"/>
          <w:szCs w:val="22"/>
        </w:rPr>
        <w:t xml:space="preserve">. </w:t>
      </w:r>
      <w:r w:rsidRPr="00EF75EF">
        <w:t xml:space="preserve">This includes reporting against </w:t>
      </w:r>
      <w:r w:rsidR="00400AC1" w:rsidRPr="00EF75EF">
        <w:t>N</w:t>
      </w:r>
      <w:r w:rsidRPr="00EF75EF">
        <w:t>ational Key Performance Indicators</w:t>
      </w:r>
      <w:r w:rsidR="00192AD6" w:rsidRPr="00EF75EF">
        <w:t xml:space="preserve"> (</w:t>
      </w:r>
      <w:proofErr w:type="spellStart"/>
      <w:r w:rsidR="00192AD6" w:rsidRPr="00EF75EF">
        <w:t>nKPIs</w:t>
      </w:r>
      <w:proofErr w:type="spellEnd"/>
      <w:r w:rsidR="00192AD6" w:rsidRPr="00EF75EF">
        <w:t>)</w:t>
      </w:r>
      <w:r w:rsidRPr="00EF75EF">
        <w:t>. This information assists ACCHS</w:t>
      </w:r>
      <w:r w:rsidR="00BE6DFB" w:rsidRPr="00EF75EF">
        <w:t xml:space="preserve"> </w:t>
      </w:r>
      <w:r w:rsidR="00EF1F02" w:rsidRPr="00EF75EF">
        <w:t xml:space="preserve">and other organisations funded under the IAHP </w:t>
      </w:r>
      <w:r w:rsidR="00BE6DFB" w:rsidRPr="00EF75EF">
        <w:t xml:space="preserve">to improve and maintain high quality clinical practice and service delivery </w:t>
      </w:r>
      <w:r w:rsidRPr="00EF75EF">
        <w:t xml:space="preserve">of primary health care and health outcomes for Aboriginal and </w:t>
      </w:r>
      <w:r w:rsidR="003B5CE7">
        <w:t>Torres Strait Islander people.</w:t>
      </w:r>
    </w:p>
    <w:p w14:paraId="1F9428C3" w14:textId="77777777" w:rsidR="00D27197" w:rsidRPr="00EF75EF" w:rsidRDefault="00910D47" w:rsidP="00EF75EF">
      <w:pPr>
        <w:rPr>
          <w:rStyle w:val="Emphasis"/>
          <w:rFonts w:cs="Arial"/>
          <w:i w:val="0"/>
          <w:szCs w:val="22"/>
        </w:rPr>
      </w:pPr>
      <w:r w:rsidRPr="00EF75EF">
        <w:t>The PIP QI Incentive will support ACCHS</w:t>
      </w:r>
      <w:r w:rsidR="00EF1F02" w:rsidRPr="00EF75EF">
        <w:t xml:space="preserve"> and other organisations funded under the IAHP</w:t>
      </w:r>
      <w:r w:rsidRPr="00EF75EF">
        <w:t xml:space="preserve"> in continuing their current work in quality improvement within Aboriginal and Torres Strait Islander communities. </w:t>
      </w:r>
      <w:r w:rsidR="00CE36FD" w:rsidRPr="00EF75EF">
        <w:t>ACCHS</w:t>
      </w:r>
      <w:r w:rsidR="00F5122C" w:rsidRPr="00EF75EF">
        <w:t xml:space="preserve"> </w:t>
      </w:r>
      <w:r w:rsidR="00EF1F02" w:rsidRPr="00EF75EF">
        <w:t xml:space="preserve">and other organisations funded under the IAHP </w:t>
      </w:r>
      <w:r w:rsidR="009B56F7" w:rsidRPr="00EF75EF">
        <w:t>will</w:t>
      </w:r>
      <w:r w:rsidR="00CE36FD" w:rsidRPr="00EF75EF">
        <w:t xml:space="preserve"> be eligible to apply for the PIP QI Incentive and it is expected </w:t>
      </w:r>
      <w:r w:rsidR="00EF1F02" w:rsidRPr="00EF75EF">
        <w:t xml:space="preserve">they </w:t>
      </w:r>
      <w:r w:rsidR="00CE36FD" w:rsidRPr="00EF75EF">
        <w:t xml:space="preserve">will meet the requirements for payment within existing </w:t>
      </w:r>
      <w:r w:rsidR="00EF1F02" w:rsidRPr="00EF75EF">
        <w:t xml:space="preserve">arrangement with the Department of Health. </w:t>
      </w:r>
      <w:r w:rsidR="00CE36FD" w:rsidRPr="00EF75EF">
        <w:t>.</w:t>
      </w:r>
      <w:r w:rsidR="00CE36FD" w:rsidRPr="00EF75EF" w:rsidDel="00CE36FD">
        <w:t xml:space="preserve"> </w:t>
      </w:r>
    </w:p>
    <w:p w14:paraId="11EC9104" w14:textId="77777777" w:rsidR="003665F4" w:rsidRPr="00B27CA9" w:rsidRDefault="003665F4" w:rsidP="00B27CA9">
      <w:pPr>
        <w:pStyle w:val="Heading1"/>
        <w:rPr>
          <w:rStyle w:val="Emphasis"/>
          <w:i w:val="0"/>
          <w:iCs w:val="0"/>
        </w:rPr>
      </w:pPr>
      <w:r w:rsidRPr="00B27CA9">
        <w:rPr>
          <w:rStyle w:val="Strong"/>
          <w:b/>
          <w:bCs/>
        </w:rPr>
        <w:t>Will practices still need to be accredited to participate</w:t>
      </w:r>
      <w:r w:rsidRPr="00B27CA9">
        <w:rPr>
          <w:rStyle w:val="Emphasis"/>
          <w:i w:val="0"/>
          <w:iCs w:val="0"/>
        </w:rPr>
        <w:t xml:space="preserve"> in the PIP QI Incentive? </w:t>
      </w:r>
    </w:p>
    <w:p w14:paraId="3B840791" w14:textId="77777777" w:rsidR="00B849B4" w:rsidRPr="00EF75EF" w:rsidRDefault="00CE36FD" w:rsidP="00EF75EF">
      <w:pPr>
        <w:rPr>
          <w:rStyle w:val="Emphasis"/>
          <w:rFonts w:cs="Arial"/>
          <w:i w:val="0"/>
          <w:szCs w:val="22"/>
        </w:rPr>
      </w:pPr>
      <w:r w:rsidRPr="00EF75EF">
        <w:t>Eligibility requirements remain the same as for the broader PIP program</w:t>
      </w:r>
      <w:r w:rsidR="00B64473" w:rsidRPr="00EF75EF">
        <w:rPr>
          <w:rStyle w:val="Emphasis"/>
          <w:rFonts w:cs="Arial"/>
          <w:i w:val="0"/>
          <w:szCs w:val="22"/>
        </w:rPr>
        <w:t xml:space="preserve">, which means </w:t>
      </w:r>
      <w:r w:rsidR="003665F4" w:rsidRPr="00EF75EF">
        <w:rPr>
          <w:rStyle w:val="Emphasis"/>
          <w:rFonts w:cs="Arial"/>
          <w:i w:val="0"/>
          <w:szCs w:val="22"/>
        </w:rPr>
        <w:t xml:space="preserve">practices will need to </w:t>
      </w:r>
      <w:r w:rsidR="0027069C" w:rsidRPr="00EF75EF">
        <w:rPr>
          <w:rStyle w:val="Emphasis"/>
          <w:rFonts w:cs="Arial"/>
          <w:i w:val="0"/>
          <w:szCs w:val="22"/>
        </w:rPr>
        <w:t>gain</w:t>
      </w:r>
      <w:r w:rsidR="00953A3F" w:rsidRPr="00EF75EF">
        <w:rPr>
          <w:rStyle w:val="Emphasis"/>
          <w:rFonts w:cs="Arial"/>
          <w:i w:val="0"/>
          <w:szCs w:val="22"/>
        </w:rPr>
        <w:t xml:space="preserve"> </w:t>
      </w:r>
      <w:r w:rsidR="00EF1F02" w:rsidRPr="00EF75EF">
        <w:rPr>
          <w:rStyle w:val="Emphasis"/>
          <w:rFonts w:cs="Arial"/>
          <w:i w:val="0"/>
          <w:szCs w:val="22"/>
        </w:rPr>
        <w:t>and maintain</w:t>
      </w:r>
      <w:r w:rsidR="00B849B4" w:rsidRPr="00EF75EF">
        <w:rPr>
          <w:rStyle w:val="Emphasis"/>
          <w:rFonts w:cs="Arial"/>
          <w:i w:val="0"/>
          <w:szCs w:val="22"/>
        </w:rPr>
        <w:t xml:space="preserve"> ongoing and continuous </w:t>
      </w:r>
      <w:r w:rsidR="0027069C" w:rsidRPr="00EF75EF">
        <w:rPr>
          <w:rStyle w:val="Emphasis"/>
          <w:rFonts w:cs="Arial"/>
          <w:i w:val="0"/>
          <w:szCs w:val="22"/>
        </w:rPr>
        <w:t xml:space="preserve">accreditation against the Royal Australian College of General Practitioners </w:t>
      </w:r>
      <w:r w:rsidR="0027069C" w:rsidRPr="00EF75EF">
        <w:rPr>
          <w:rStyle w:val="Emphasis"/>
          <w:rFonts w:cs="Arial"/>
          <w:szCs w:val="22"/>
        </w:rPr>
        <w:t>Standards for general practices</w:t>
      </w:r>
      <w:r w:rsidR="0027069C" w:rsidRPr="00EF75EF">
        <w:rPr>
          <w:color w:val="212529"/>
        </w:rPr>
        <w:t> </w:t>
      </w:r>
      <w:r w:rsidR="003665F4" w:rsidRPr="00EF75EF">
        <w:rPr>
          <w:rStyle w:val="Emphasis"/>
          <w:rFonts w:cs="Arial"/>
          <w:i w:val="0"/>
          <w:szCs w:val="22"/>
        </w:rPr>
        <w:t>to participate</w:t>
      </w:r>
      <w:r w:rsidR="00056187" w:rsidRPr="00EF75EF">
        <w:rPr>
          <w:rStyle w:val="Emphasis"/>
          <w:rFonts w:cs="Arial"/>
          <w:i w:val="0"/>
          <w:szCs w:val="22"/>
        </w:rPr>
        <w:t xml:space="preserve"> in the PIP</w:t>
      </w:r>
      <w:r w:rsidR="0027069C" w:rsidRPr="00EF75EF">
        <w:rPr>
          <w:rStyle w:val="Emphasis"/>
          <w:rFonts w:cs="Arial"/>
          <w:i w:val="0"/>
          <w:szCs w:val="22"/>
        </w:rPr>
        <w:t xml:space="preserve"> and </w:t>
      </w:r>
      <w:r w:rsidR="00DE2C43" w:rsidRPr="00EF75EF">
        <w:rPr>
          <w:rStyle w:val="Emphasis"/>
          <w:rFonts w:cs="Arial"/>
          <w:i w:val="0"/>
          <w:szCs w:val="22"/>
        </w:rPr>
        <w:t xml:space="preserve">any incentive under the PIP including </w:t>
      </w:r>
      <w:r w:rsidR="00400AC1" w:rsidRPr="00EF75EF">
        <w:rPr>
          <w:rStyle w:val="Emphasis"/>
          <w:rFonts w:cs="Arial"/>
          <w:i w:val="0"/>
          <w:szCs w:val="22"/>
        </w:rPr>
        <w:t xml:space="preserve">the </w:t>
      </w:r>
      <w:r w:rsidR="0027069C" w:rsidRPr="00EF75EF">
        <w:rPr>
          <w:rStyle w:val="Emphasis"/>
          <w:rFonts w:cs="Arial"/>
          <w:i w:val="0"/>
          <w:szCs w:val="22"/>
        </w:rPr>
        <w:t>PIP QI</w:t>
      </w:r>
      <w:r w:rsidR="00056187" w:rsidRPr="00EF75EF">
        <w:rPr>
          <w:rStyle w:val="Emphasis"/>
          <w:rFonts w:cs="Arial"/>
          <w:i w:val="0"/>
          <w:szCs w:val="22"/>
        </w:rPr>
        <w:t xml:space="preserve"> Incentive</w:t>
      </w:r>
      <w:r w:rsidR="003665F4" w:rsidRPr="00EF75EF">
        <w:rPr>
          <w:rStyle w:val="Emphasis"/>
          <w:rFonts w:cs="Arial"/>
          <w:i w:val="0"/>
          <w:szCs w:val="22"/>
        </w:rPr>
        <w:t>.</w:t>
      </w:r>
    </w:p>
    <w:p w14:paraId="53231998" w14:textId="77777777" w:rsidR="00DE2C43" w:rsidRPr="00EF75EF" w:rsidRDefault="006150D2" w:rsidP="00EF75EF">
      <w:pPr>
        <w:rPr>
          <w:rStyle w:val="Hyperlink"/>
          <w:rFonts w:cs="Arial"/>
          <w:szCs w:val="22"/>
        </w:rPr>
      </w:pPr>
      <w:r w:rsidRPr="00EF75EF">
        <w:rPr>
          <w:rStyle w:val="Emphasis"/>
          <w:rFonts w:cs="Arial"/>
          <w:i w:val="0"/>
          <w:szCs w:val="22"/>
        </w:rPr>
        <w:t>M</w:t>
      </w:r>
      <w:r w:rsidR="00F37EE4" w:rsidRPr="00EF75EF">
        <w:rPr>
          <w:rStyle w:val="Emphasis"/>
          <w:rFonts w:cs="Arial"/>
          <w:i w:val="0"/>
          <w:szCs w:val="22"/>
        </w:rPr>
        <w:t>ore information on</w:t>
      </w:r>
      <w:r w:rsidR="00B40C98" w:rsidRPr="00EF75EF">
        <w:rPr>
          <w:rStyle w:val="Emphasis"/>
          <w:rFonts w:cs="Arial"/>
          <w:i w:val="0"/>
          <w:szCs w:val="22"/>
        </w:rPr>
        <w:t xml:space="preserve"> how to participate in the PIP QI Incentive </w:t>
      </w:r>
      <w:r w:rsidRPr="00EF75EF">
        <w:rPr>
          <w:rStyle w:val="Emphasis"/>
          <w:rFonts w:cs="Arial"/>
          <w:i w:val="0"/>
          <w:szCs w:val="22"/>
        </w:rPr>
        <w:t xml:space="preserve">is </w:t>
      </w:r>
      <w:r w:rsidR="00E24EA4" w:rsidRPr="00EF75EF">
        <w:rPr>
          <w:rStyle w:val="Emphasis"/>
          <w:rFonts w:cs="Arial"/>
          <w:i w:val="0"/>
          <w:szCs w:val="22"/>
        </w:rPr>
        <w:t xml:space="preserve">available at </w:t>
      </w:r>
      <w:hyperlink r:id="rId9" w:history="1">
        <w:r w:rsidR="00DE2C43" w:rsidRPr="00EF75EF">
          <w:rPr>
            <w:rStyle w:val="Hyperlink"/>
            <w:rFonts w:cs="Arial"/>
            <w:szCs w:val="22"/>
          </w:rPr>
          <w:t>https://www.humanservices.gov.au/organisations/health-professionals/services/medicare/practice-incentives-program/guidelines/quality-improvement-incentive</w:t>
        </w:r>
      </w:hyperlink>
    </w:p>
    <w:p w14:paraId="0499C6D8" w14:textId="77777777" w:rsidR="0025678E" w:rsidRPr="00B27CA9" w:rsidRDefault="00F37EE4" w:rsidP="00B27CA9">
      <w:pPr>
        <w:pStyle w:val="Heading1"/>
        <w:rPr>
          <w:rStyle w:val="Strong"/>
          <w:b/>
          <w:bCs/>
        </w:rPr>
      </w:pPr>
      <w:r w:rsidRPr="00B27CA9">
        <w:rPr>
          <w:rStyle w:val="Strong"/>
          <w:b/>
          <w:bCs/>
        </w:rPr>
        <w:t xml:space="preserve">Is the amount of PIP funding received by the practice likely to be affected by this change? </w:t>
      </w:r>
    </w:p>
    <w:p w14:paraId="1A6E1228" w14:textId="77777777" w:rsidR="00ED66B6" w:rsidRPr="00EF75EF" w:rsidRDefault="00ED66B6" w:rsidP="00EF75EF">
      <w:pPr>
        <w:rPr>
          <w:rStyle w:val="Emphasis"/>
          <w:rFonts w:cs="Arial"/>
          <w:i w:val="0"/>
          <w:szCs w:val="22"/>
        </w:rPr>
      </w:pPr>
      <w:r w:rsidRPr="00EF75EF">
        <w:rPr>
          <w:rStyle w:val="Emphasis"/>
          <w:rFonts w:cs="Arial"/>
          <w:i w:val="0"/>
          <w:szCs w:val="22"/>
        </w:rPr>
        <w:t xml:space="preserve">Funding from the ceasing incentives has been consolidated into the PIP QI Incentive.  As </w:t>
      </w:r>
      <w:r w:rsidRPr="00EF75EF">
        <w:t xml:space="preserve">part of Budget 2019-20, it was also announced that the PIP QI Incentive will see an additional investment of $201.5 million </w:t>
      </w:r>
      <w:r w:rsidR="00A6604C" w:rsidRPr="00EF75EF">
        <w:t xml:space="preserve">over five years from 2018-19. </w:t>
      </w:r>
      <w:r w:rsidRPr="00EF75EF">
        <w:t>This means an increase to the overall funding available under the PIP.</w:t>
      </w:r>
    </w:p>
    <w:p w14:paraId="0BBB392A" w14:textId="77777777" w:rsidR="002473B5" w:rsidRPr="00EF75EF" w:rsidRDefault="00ED66B6" w:rsidP="00EF75EF">
      <w:pPr>
        <w:rPr>
          <w:rStyle w:val="Emphasis"/>
          <w:rFonts w:cs="Arial"/>
          <w:i w:val="0"/>
          <w:szCs w:val="22"/>
        </w:rPr>
      </w:pPr>
      <w:r w:rsidRPr="00EF75EF">
        <w:rPr>
          <w:rStyle w:val="Emphasis"/>
          <w:rFonts w:cs="Arial"/>
          <w:i w:val="0"/>
          <w:szCs w:val="22"/>
        </w:rPr>
        <w:t xml:space="preserve">However, the amount of funding that an individual practice receives under the PIP will vary according to the number of incentives a practice participates in, rurality and SWPE value.  </w:t>
      </w:r>
    </w:p>
    <w:p w14:paraId="288CAF51" w14:textId="77777777" w:rsidR="00E91918" w:rsidRPr="003B5CE7" w:rsidRDefault="00E91918" w:rsidP="00B27CA9">
      <w:pPr>
        <w:pStyle w:val="Heading1"/>
      </w:pPr>
      <w:r w:rsidRPr="003B5CE7">
        <w:rPr>
          <w:rStyle w:val="Strong"/>
          <w:b/>
          <w:bCs/>
        </w:rPr>
        <w:lastRenderedPageBreak/>
        <w:t>Why is data important to quality improvement?</w:t>
      </w:r>
    </w:p>
    <w:p w14:paraId="382E6C9A" w14:textId="77777777" w:rsidR="00596087" w:rsidRPr="00EF75EF" w:rsidRDefault="00596087" w:rsidP="00EF75EF">
      <w:r w:rsidRPr="00EF75EF">
        <w:t>An effective continuous quality improvement process involves collecting and reviewing data to identify problems and areas for improvement, developing solutions to those problems, implementing the solutions, evaluating the effect of the planned activities, and going back to assess the need for more improvements.</w:t>
      </w:r>
    </w:p>
    <w:p w14:paraId="68090FEF" w14:textId="77777777" w:rsidR="00596087" w:rsidRPr="00EF75EF" w:rsidRDefault="000913F9" w:rsidP="00EF75EF">
      <w:r w:rsidRPr="00EF75EF">
        <w:t xml:space="preserve">Data provision by general practices to inform quality improvement is not new. </w:t>
      </w:r>
      <w:r w:rsidR="00E91918" w:rsidRPr="00EF75EF">
        <w:t>Over the last 10 years, thousands of Australian practices have participated in data driven quality improvement activities. These practices have demonstrated successful clinical system redesign, delivering safe and more reliable care for their patients. They have also developed the capacity to use data from practice software systems to deliver more proactive and systemic chronic disease management by adopting a practice population approach</w:t>
      </w:r>
      <w:r w:rsidR="0027069C" w:rsidRPr="00EF75EF">
        <w:t>.</w:t>
      </w:r>
    </w:p>
    <w:p w14:paraId="3EB5224F" w14:textId="77777777" w:rsidR="00800F9E" w:rsidRPr="003B5CE7" w:rsidRDefault="00800F9E" w:rsidP="00B27CA9">
      <w:pPr>
        <w:pStyle w:val="Heading1"/>
        <w:rPr>
          <w:rStyle w:val="Strong"/>
          <w:b/>
          <w:bCs/>
        </w:rPr>
      </w:pPr>
      <w:r w:rsidRPr="003B5CE7">
        <w:rPr>
          <w:rStyle w:val="Strong"/>
          <w:b/>
          <w:bCs/>
        </w:rPr>
        <w:t>How will you make sure that specific chronic diseases like diabetes</w:t>
      </w:r>
      <w:r w:rsidR="0027069C" w:rsidRPr="003B5CE7">
        <w:rPr>
          <w:rStyle w:val="Strong"/>
          <w:b/>
          <w:bCs/>
        </w:rPr>
        <w:t xml:space="preserve"> </w:t>
      </w:r>
      <w:r w:rsidRPr="003B5CE7">
        <w:rPr>
          <w:rStyle w:val="Strong"/>
          <w:b/>
          <w:bCs/>
        </w:rPr>
        <w:t>continue to be addressed?</w:t>
      </w:r>
    </w:p>
    <w:p w14:paraId="45F20C69" w14:textId="77777777" w:rsidR="00E91918" w:rsidRPr="00EF75EF" w:rsidRDefault="00E91918" w:rsidP="00EF75EF">
      <w:r w:rsidRPr="00EF75EF">
        <w:t xml:space="preserve">The PIP QI Incentive will give practices increased flexibility to improve their detection and management of a range of chronic conditions </w:t>
      </w:r>
      <w:r w:rsidR="001C1EC0" w:rsidRPr="00EF75EF">
        <w:t xml:space="preserve">such as diabetes </w:t>
      </w:r>
      <w:r w:rsidRPr="00EF75EF">
        <w:t xml:space="preserve">and to focus on issues specific to their practice population. </w:t>
      </w:r>
    </w:p>
    <w:p w14:paraId="71D2FE92" w14:textId="77777777" w:rsidR="00E91918" w:rsidRPr="003B5CE7" w:rsidRDefault="00E91918" w:rsidP="00B27CA9">
      <w:pPr>
        <w:pStyle w:val="Heading1"/>
        <w:rPr>
          <w:rStyle w:val="Strong"/>
          <w:b/>
          <w:bCs/>
        </w:rPr>
      </w:pPr>
      <w:r w:rsidRPr="003B5CE7">
        <w:rPr>
          <w:rStyle w:val="Strong"/>
          <w:b/>
          <w:bCs/>
        </w:rPr>
        <w:t>What is</w:t>
      </w:r>
      <w:r w:rsidR="001E13D8" w:rsidRPr="003B5CE7">
        <w:rPr>
          <w:rStyle w:val="Strong"/>
          <w:b/>
          <w:bCs/>
        </w:rPr>
        <w:t xml:space="preserve"> the</w:t>
      </w:r>
      <w:r w:rsidRPr="003B5CE7">
        <w:rPr>
          <w:rStyle w:val="Strong"/>
          <w:b/>
          <w:bCs/>
        </w:rPr>
        <w:t xml:space="preserve"> </w:t>
      </w:r>
      <w:r w:rsidRPr="003B5CE7">
        <w:t xml:space="preserve">PIP Eligible </w:t>
      </w:r>
      <w:r w:rsidR="005B5435" w:rsidRPr="003B5CE7">
        <w:t>D</w:t>
      </w:r>
      <w:r w:rsidRPr="003B5CE7">
        <w:t>at</w:t>
      </w:r>
      <w:r w:rsidR="00D4243A" w:rsidRPr="003B5CE7">
        <w:t>a</w:t>
      </w:r>
      <w:r w:rsidRPr="003B5CE7">
        <w:t xml:space="preserve"> </w:t>
      </w:r>
      <w:r w:rsidR="005B5435" w:rsidRPr="003B5CE7">
        <w:t>S</w:t>
      </w:r>
      <w:r w:rsidRPr="003B5CE7">
        <w:t>et</w:t>
      </w:r>
      <w:r w:rsidRPr="003B5CE7">
        <w:rPr>
          <w:rStyle w:val="Strong"/>
          <w:b/>
          <w:bCs/>
        </w:rPr>
        <w:t>?</w:t>
      </w:r>
    </w:p>
    <w:p w14:paraId="467D0C7E" w14:textId="77777777" w:rsidR="00E91918" w:rsidRPr="00EF75EF" w:rsidRDefault="008552D4" w:rsidP="00EF75EF">
      <w:r w:rsidRPr="00EF75EF">
        <w:t xml:space="preserve">The PIP Eligible Data Set is data collected against ten specified Improvement Measures. </w:t>
      </w:r>
      <w:r w:rsidR="00E91918" w:rsidRPr="00EF75EF">
        <w:t xml:space="preserve">The PIP Eligible Data Set has a strong focus on chronic disease. </w:t>
      </w:r>
      <w:r w:rsidR="00D4243A" w:rsidRPr="00EF75EF">
        <w:t>Data informed improvement in these areas may help delay progression of chronic conditions, improve quality of life, increase life expectancy, and decrease the need for high cost interventions. Continuous improvement of general practice systems and processes may also lead to improved experience of work for both clinicians and administration staff.</w:t>
      </w:r>
    </w:p>
    <w:p w14:paraId="46551584" w14:textId="77777777" w:rsidR="00F65B2C" w:rsidRDefault="00B40C98" w:rsidP="00EF75EF">
      <w:r w:rsidRPr="00EF75EF">
        <w:t xml:space="preserve">Please read the </w:t>
      </w:r>
      <w:hyperlink r:id="rId10" w:history="1">
        <w:r w:rsidRPr="00EF75EF">
          <w:rPr>
            <w:rStyle w:val="Hyperlink"/>
            <w:rFonts w:cs="Arial"/>
            <w:szCs w:val="22"/>
          </w:rPr>
          <w:t>PIP QI Guidelines</w:t>
        </w:r>
      </w:hyperlink>
      <w:r w:rsidRPr="00EF75EF">
        <w:t xml:space="preserve"> for more information on </w:t>
      </w:r>
      <w:r w:rsidR="001E13D8" w:rsidRPr="00EF75EF">
        <w:t xml:space="preserve">the </w:t>
      </w:r>
      <w:r w:rsidRPr="00EF75EF">
        <w:t>PIP Eligible Data Set.</w:t>
      </w:r>
    </w:p>
    <w:p w14:paraId="49273754" w14:textId="77777777" w:rsidR="00F65B2C" w:rsidRDefault="00F65B2C" w:rsidP="00F65B2C">
      <w:r>
        <w:br w:type="page"/>
      </w:r>
    </w:p>
    <w:p w14:paraId="00826B36" w14:textId="77777777" w:rsidR="00D4243A" w:rsidRPr="003B5CE7" w:rsidRDefault="00D4243A" w:rsidP="00B27CA9">
      <w:pPr>
        <w:pStyle w:val="Heading1"/>
        <w:rPr>
          <w:rStyle w:val="Strong"/>
          <w:b/>
          <w:bCs/>
        </w:rPr>
      </w:pPr>
      <w:r w:rsidRPr="003B5CE7">
        <w:rPr>
          <w:rStyle w:val="Strong"/>
          <w:b/>
          <w:bCs/>
        </w:rPr>
        <w:lastRenderedPageBreak/>
        <w:t xml:space="preserve">What are the </w:t>
      </w:r>
      <w:r w:rsidR="0092518D" w:rsidRPr="003B5CE7">
        <w:rPr>
          <w:rStyle w:val="Strong"/>
          <w:b/>
          <w:bCs/>
        </w:rPr>
        <w:t xml:space="preserve">ten specified </w:t>
      </w:r>
      <w:r w:rsidRPr="003B5CE7">
        <w:t>Improvement Measures</w:t>
      </w:r>
      <w:r w:rsidRPr="003B5CE7">
        <w:rPr>
          <w:rStyle w:val="Strong"/>
          <w:b/>
          <w:bCs/>
        </w:rPr>
        <w:t>?</w:t>
      </w:r>
    </w:p>
    <w:p w14:paraId="265793FE" w14:textId="77777777" w:rsidR="00D4243A" w:rsidRPr="00EF75EF" w:rsidRDefault="00D4243A" w:rsidP="00EF75EF">
      <w:pPr>
        <w:rPr>
          <w:color w:val="0D0D0D" w:themeColor="text1" w:themeTint="F2"/>
        </w:rPr>
      </w:pPr>
      <w:r w:rsidRPr="00EF75EF">
        <w:t xml:space="preserve">  The ten </w:t>
      </w:r>
      <w:r w:rsidR="009D2566" w:rsidRPr="00EF75EF">
        <w:t xml:space="preserve">specified </w:t>
      </w:r>
      <w:r w:rsidRPr="00EF75EF">
        <w:t>Improvement Measures are:</w:t>
      </w:r>
    </w:p>
    <w:p w14:paraId="08D5328C" w14:textId="77777777" w:rsidR="00D4243A" w:rsidRPr="00F65B2C" w:rsidRDefault="00D4243A" w:rsidP="003B5CE7">
      <w:pPr>
        <w:pStyle w:val="ListParagraph"/>
        <w:numPr>
          <w:ilvl w:val="0"/>
          <w:numId w:val="40"/>
        </w:numPr>
        <w:ind w:left="709" w:hanging="425"/>
        <w:rPr>
          <w:b/>
        </w:rPr>
      </w:pPr>
      <w:r w:rsidRPr="00F65B2C">
        <w:rPr>
          <w:b/>
        </w:rPr>
        <w:t xml:space="preserve">Proportion of patients with diabetes with a current HbA1c result </w:t>
      </w:r>
    </w:p>
    <w:p w14:paraId="7600D778" w14:textId="77777777" w:rsidR="00D4243A" w:rsidRPr="00F65B2C" w:rsidRDefault="00D4243A" w:rsidP="003B5CE7">
      <w:pPr>
        <w:pStyle w:val="ListParagraph"/>
        <w:numPr>
          <w:ilvl w:val="0"/>
          <w:numId w:val="40"/>
        </w:numPr>
        <w:ind w:left="709" w:hanging="425"/>
        <w:rPr>
          <w:b/>
        </w:rPr>
      </w:pPr>
      <w:r w:rsidRPr="00F65B2C">
        <w:rPr>
          <w:b/>
        </w:rPr>
        <w:t>Proportion of patients with a smoking status</w:t>
      </w:r>
    </w:p>
    <w:p w14:paraId="19571E67" w14:textId="77777777" w:rsidR="00D4243A" w:rsidRPr="00F65B2C" w:rsidRDefault="00D4243A" w:rsidP="003B5CE7">
      <w:pPr>
        <w:pStyle w:val="ListParagraph"/>
        <w:numPr>
          <w:ilvl w:val="0"/>
          <w:numId w:val="40"/>
        </w:numPr>
        <w:ind w:left="709" w:hanging="425"/>
        <w:rPr>
          <w:b/>
        </w:rPr>
      </w:pPr>
      <w:r w:rsidRPr="00F65B2C">
        <w:rPr>
          <w:b/>
        </w:rPr>
        <w:t xml:space="preserve">Proportion of patients with a weight classification </w:t>
      </w:r>
    </w:p>
    <w:p w14:paraId="3E3624C4" w14:textId="77777777" w:rsidR="00D4243A" w:rsidRPr="00F65B2C" w:rsidRDefault="00D4243A" w:rsidP="003B5CE7">
      <w:pPr>
        <w:pStyle w:val="ListParagraph"/>
        <w:numPr>
          <w:ilvl w:val="0"/>
          <w:numId w:val="40"/>
        </w:numPr>
        <w:ind w:left="709" w:hanging="425"/>
        <w:rPr>
          <w:b/>
        </w:rPr>
      </w:pPr>
      <w:r w:rsidRPr="00F65B2C">
        <w:rPr>
          <w:b/>
        </w:rPr>
        <w:t>Proportion of patients aged 65 and over who were immunised against influenza</w:t>
      </w:r>
    </w:p>
    <w:p w14:paraId="3E2D5AC1" w14:textId="77777777" w:rsidR="00D4243A" w:rsidRPr="00F65B2C" w:rsidRDefault="00D4243A" w:rsidP="003B5CE7">
      <w:pPr>
        <w:pStyle w:val="ListParagraph"/>
        <w:numPr>
          <w:ilvl w:val="0"/>
          <w:numId w:val="40"/>
        </w:numPr>
        <w:ind w:left="709" w:hanging="425"/>
        <w:rPr>
          <w:b/>
        </w:rPr>
      </w:pPr>
      <w:r w:rsidRPr="00F65B2C">
        <w:rPr>
          <w:b/>
        </w:rPr>
        <w:t>Proportion of patients with diabetes who were immunised against influenza</w:t>
      </w:r>
    </w:p>
    <w:p w14:paraId="6CFF7900" w14:textId="77777777" w:rsidR="00D4243A" w:rsidRPr="00F65B2C" w:rsidRDefault="00D4243A" w:rsidP="003B5CE7">
      <w:pPr>
        <w:pStyle w:val="ListParagraph"/>
        <w:numPr>
          <w:ilvl w:val="0"/>
          <w:numId w:val="40"/>
        </w:numPr>
        <w:ind w:left="709" w:hanging="425"/>
        <w:rPr>
          <w:b/>
        </w:rPr>
      </w:pPr>
      <w:r w:rsidRPr="00F65B2C">
        <w:rPr>
          <w:b/>
        </w:rPr>
        <w:t>Proportion of patients with COPD who were immunised against influenza</w:t>
      </w:r>
    </w:p>
    <w:p w14:paraId="1FD1DB81" w14:textId="77777777" w:rsidR="00D4243A" w:rsidRPr="00F65B2C" w:rsidRDefault="00D4243A" w:rsidP="003B5CE7">
      <w:pPr>
        <w:pStyle w:val="ListParagraph"/>
        <w:numPr>
          <w:ilvl w:val="0"/>
          <w:numId w:val="40"/>
        </w:numPr>
        <w:ind w:left="709" w:hanging="425"/>
        <w:rPr>
          <w:b/>
        </w:rPr>
      </w:pPr>
      <w:r w:rsidRPr="00F65B2C">
        <w:rPr>
          <w:b/>
        </w:rPr>
        <w:t xml:space="preserve">Proportion of patients with an alcohol consumption status </w:t>
      </w:r>
    </w:p>
    <w:p w14:paraId="50DEA9EC" w14:textId="77777777" w:rsidR="00D4243A" w:rsidRPr="00F65B2C" w:rsidRDefault="00D4243A" w:rsidP="003B5CE7">
      <w:pPr>
        <w:pStyle w:val="ListParagraph"/>
        <w:numPr>
          <w:ilvl w:val="0"/>
          <w:numId w:val="40"/>
        </w:numPr>
        <w:ind w:left="709" w:hanging="425"/>
        <w:rPr>
          <w:b/>
        </w:rPr>
      </w:pPr>
      <w:r w:rsidRPr="00F65B2C">
        <w:rPr>
          <w:b/>
        </w:rPr>
        <w:t>Proportion of patients with the necessary risk factors assessed to enable CVD</w:t>
      </w:r>
      <w:r w:rsidR="001C1EC0" w:rsidRPr="00F65B2C">
        <w:rPr>
          <w:b/>
        </w:rPr>
        <w:t xml:space="preserve"> </w:t>
      </w:r>
      <w:r w:rsidRPr="00F65B2C">
        <w:rPr>
          <w:b/>
        </w:rPr>
        <w:t>assessment</w:t>
      </w:r>
    </w:p>
    <w:p w14:paraId="09299635" w14:textId="77777777" w:rsidR="00D4243A" w:rsidRPr="00F65B2C" w:rsidRDefault="00D4243A" w:rsidP="003B5CE7">
      <w:pPr>
        <w:pStyle w:val="ListParagraph"/>
        <w:numPr>
          <w:ilvl w:val="0"/>
          <w:numId w:val="40"/>
        </w:numPr>
        <w:ind w:left="709" w:hanging="425"/>
        <w:rPr>
          <w:b/>
        </w:rPr>
      </w:pPr>
      <w:r w:rsidRPr="00F65B2C">
        <w:rPr>
          <w:b/>
        </w:rPr>
        <w:t xml:space="preserve">Proportion of female patients with an up-to-date cervical screening </w:t>
      </w:r>
    </w:p>
    <w:p w14:paraId="1B743012" w14:textId="77777777" w:rsidR="00D4243A" w:rsidRPr="00F65B2C" w:rsidRDefault="00D4243A" w:rsidP="003B5CE7">
      <w:pPr>
        <w:pStyle w:val="ListParagraph"/>
        <w:numPr>
          <w:ilvl w:val="0"/>
          <w:numId w:val="40"/>
        </w:numPr>
        <w:ind w:left="709" w:hanging="425"/>
        <w:rPr>
          <w:b/>
        </w:rPr>
      </w:pPr>
      <w:r w:rsidRPr="00F65B2C">
        <w:rPr>
          <w:b/>
        </w:rPr>
        <w:t>Proportion of patients with diabetes with a blood pressure result</w:t>
      </w:r>
    </w:p>
    <w:p w14:paraId="5364DA96" w14:textId="77777777" w:rsidR="00B40C98" w:rsidRPr="00EF75EF" w:rsidRDefault="00B40C98" w:rsidP="00EF75EF">
      <w:r w:rsidRPr="00EF75EF">
        <w:t xml:space="preserve">Please read the </w:t>
      </w:r>
      <w:hyperlink r:id="rId11" w:history="1">
        <w:r w:rsidRPr="00EF75EF">
          <w:rPr>
            <w:rStyle w:val="Hyperlink"/>
            <w:rFonts w:cs="Arial"/>
            <w:szCs w:val="22"/>
          </w:rPr>
          <w:t>Improvement Measures</w:t>
        </w:r>
      </w:hyperlink>
      <w:r w:rsidRPr="00EF75EF">
        <w:t xml:space="preserve"> document for more information on the ten Improvement Measures. </w:t>
      </w:r>
    </w:p>
    <w:p w14:paraId="5F22813C" w14:textId="77777777" w:rsidR="009D2566" w:rsidRPr="003B5CE7" w:rsidRDefault="009D2566" w:rsidP="00B27CA9">
      <w:pPr>
        <w:pStyle w:val="Heading1"/>
        <w:rPr>
          <w:rStyle w:val="Strong"/>
          <w:b/>
          <w:bCs/>
        </w:rPr>
      </w:pPr>
      <w:r w:rsidRPr="003B5CE7">
        <w:rPr>
          <w:rStyle w:val="Strong"/>
          <w:b/>
          <w:bCs/>
        </w:rPr>
        <w:t xml:space="preserve">What data will general practices submit to Primary Health Networks? </w:t>
      </w:r>
    </w:p>
    <w:p w14:paraId="49C4C558" w14:textId="77777777" w:rsidR="009D2566" w:rsidRPr="00EF75EF" w:rsidRDefault="009D2566" w:rsidP="00EF75EF">
      <w:r w:rsidRPr="00EF75EF">
        <w:t xml:space="preserve">General practices must </w:t>
      </w:r>
      <w:r w:rsidR="003B6F4B" w:rsidRPr="00EF75EF">
        <w:t xml:space="preserve">electronically </w:t>
      </w:r>
      <w:r w:rsidRPr="00EF75EF">
        <w:t xml:space="preserve">submit the PIP Eligible Data Set to their </w:t>
      </w:r>
      <w:r w:rsidR="00400AC1" w:rsidRPr="00EF75EF">
        <w:t xml:space="preserve">local </w:t>
      </w:r>
      <w:r w:rsidRPr="00EF75EF">
        <w:t>PHN each quarter</w:t>
      </w:r>
      <w:r w:rsidR="003B6F4B" w:rsidRPr="00EF75EF">
        <w:t>. This is one of the key eligibility</w:t>
      </w:r>
      <w:r w:rsidRPr="00EF75EF">
        <w:t xml:space="preserve"> requirements to receive the PIP QI Incentive</w:t>
      </w:r>
      <w:r w:rsidR="003B6F4B" w:rsidRPr="00EF75EF">
        <w:t xml:space="preserve"> payment</w:t>
      </w:r>
      <w:r w:rsidRPr="00EF75EF">
        <w:t>.</w:t>
      </w:r>
    </w:p>
    <w:p w14:paraId="1CD3A60D" w14:textId="77777777" w:rsidR="00330D9A" w:rsidRPr="00EF75EF" w:rsidRDefault="00330D9A" w:rsidP="00EF75EF">
      <w:r w:rsidRPr="00EF75EF">
        <w:t xml:space="preserve">Further information on the PIP QI </w:t>
      </w:r>
      <w:r w:rsidR="00400AC1" w:rsidRPr="00EF75EF">
        <w:t xml:space="preserve">Incentive </w:t>
      </w:r>
      <w:r w:rsidRPr="00EF75EF">
        <w:t>including eligibility requirements</w:t>
      </w:r>
      <w:r w:rsidR="00A10BEB" w:rsidRPr="00EF75EF">
        <w:t xml:space="preserve">, reference period and data submission </w:t>
      </w:r>
      <w:r w:rsidR="00DE2C43" w:rsidRPr="00EF75EF">
        <w:t>period is</w:t>
      </w:r>
      <w:r w:rsidR="00B40C98" w:rsidRPr="00EF75EF">
        <w:t xml:space="preserve"> </w:t>
      </w:r>
      <w:r w:rsidRPr="00EF75EF">
        <w:t xml:space="preserve">detailed in the </w:t>
      </w:r>
      <w:hyperlink r:id="rId12" w:history="1">
        <w:r w:rsidRPr="00EF75EF">
          <w:rPr>
            <w:rStyle w:val="Hyperlink"/>
            <w:rFonts w:cs="Arial"/>
            <w:szCs w:val="22"/>
          </w:rPr>
          <w:t>PIP QI Guidelines</w:t>
        </w:r>
      </w:hyperlink>
      <w:r w:rsidRPr="00EF75EF">
        <w:t>.</w:t>
      </w:r>
    </w:p>
    <w:p w14:paraId="7E95F578" w14:textId="77777777" w:rsidR="009D2566" w:rsidRPr="003B5CE7" w:rsidRDefault="009D2566" w:rsidP="00B27CA9">
      <w:pPr>
        <w:pStyle w:val="Heading1"/>
      </w:pPr>
      <w:r w:rsidRPr="003B5CE7">
        <w:rPr>
          <w:rStyle w:val="Strong"/>
          <w:b/>
          <w:bCs/>
        </w:rPr>
        <w:t xml:space="preserve">Who has access to the </w:t>
      </w:r>
      <w:r w:rsidRPr="003B5CE7">
        <w:t>PIP Eligible Data Set</w:t>
      </w:r>
      <w:r w:rsidRPr="003B5CE7">
        <w:rPr>
          <w:rStyle w:val="Strong"/>
          <w:b/>
          <w:bCs/>
        </w:rPr>
        <w:t>?</w:t>
      </w:r>
    </w:p>
    <w:p w14:paraId="59F6F800" w14:textId="77777777" w:rsidR="009D2566" w:rsidRPr="00EF75EF" w:rsidRDefault="009D2566" w:rsidP="00EF75EF">
      <w:r w:rsidRPr="00EF75EF">
        <w:t>Australians expect strong safeguards to ensure their health information is safe and secure, that the privacy of their health information is respected, and their rights protected. All healthcare providers in Australia have professional and legal obligations to protect their patients' health information. The PIP QI Incentive is safeguarding privacy by only using a specified, limited</w:t>
      </w:r>
      <w:r w:rsidR="00C46727" w:rsidRPr="00EF75EF">
        <w:t xml:space="preserve"> and </w:t>
      </w:r>
      <w:r w:rsidRPr="00EF75EF">
        <w:t>de-identified data set</w:t>
      </w:r>
      <w:r w:rsidR="00C46727" w:rsidRPr="00EF75EF">
        <w:t xml:space="preserve">. </w:t>
      </w:r>
    </w:p>
    <w:p w14:paraId="7294F821" w14:textId="77777777" w:rsidR="00B40C98" w:rsidRPr="00EF75EF" w:rsidRDefault="00B40C98" w:rsidP="00EF75EF">
      <w:r w:rsidRPr="00EF75EF">
        <w:t>The PIP Eligible Data Set is prohibited from being commer</w:t>
      </w:r>
      <w:r w:rsidR="00C96212" w:rsidRPr="00EF75EF">
        <w:t xml:space="preserve">cialised by any data custodian and access and use of the PIP Eligible Data Set is limited.  </w:t>
      </w:r>
    </w:p>
    <w:p w14:paraId="58000BEA" w14:textId="77777777" w:rsidR="00330D9A" w:rsidRPr="00EF75EF" w:rsidRDefault="00B40C98" w:rsidP="00EF75EF">
      <w:r w:rsidRPr="00EF75EF">
        <w:t xml:space="preserve">Further details on the broad principles and responsibilities that underpin the governance of the PIP Eligible Data Set is detailed in the </w:t>
      </w:r>
      <w:hyperlink r:id="rId13" w:history="1">
        <w:r w:rsidRPr="00EF75EF">
          <w:rPr>
            <w:rStyle w:val="Hyperlink"/>
            <w:rFonts w:cs="Arial"/>
            <w:szCs w:val="22"/>
          </w:rPr>
          <w:t>PIP Eligible Data Set Data Governance Framework</w:t>
        </w:r>
      </w:hyperlink>
      <w:r w:rsidR="00330D9A" w:rsidRPr="00EF75EF">
        <w:t>.</w:t>
      </w:r>
    </w:p>
    <w:p w14:paraId="14D5E8A7" w14:textId="77777777" w:rsidR="00707925" w:rsidRPr="003B5CE7" w:rsidRDefault="00707925" w:rsidP="00B27CA9">
      <w:pPr>
        <w:pStyle w:val="Heading1"/>
        <w:rPr>
          <w:rStyle w:val="Strong"/>
          <w:b/>
          <w:bCs/>
        </w:rPr>
      </w:pPr>
      <w:r w:rsidRPr="003B5CE7">
        <w:rPr>
          <w:rStyle w:val="Strong"/>
          <w:b/>
          <w:bCs/>
        </w:rPr>
        <w:lastRenderedPageBreak/>
        <w:t>What role will the Primary Health Networks (PHNs) play under the PIP QI</w:t>
      </w:r>
      <w:r w:rsidR="00400AC1" w:rsidRPr="003B5CE7">
        <w:rPr>
          <w:rStyle w:val="Strong"/>
          <w:b/>
          <w:bCs/>
        </w:rPr>
        <w:t xml:space="preserve"> Incentive</w:t>
      </w:r>
      <w:r w:rsidRPr="003B5CE7">
        <w:rPr>
          <w:rStyle w:val="Strong"/>
          <w:b/>
          <w:bCs/>
        </w:rPr>
        <w:t>?</w:t>
      </w:r>
    </w:p>
    <w:p w14:paraId="6D4AFD92" w14:textId="77777777" w:rsidR="00EC1EA0" w:rsidRPr="00EF75EF" w:rsidRDefault="00707925" w:rsidP="003B5CE7">
      <w:r w:rsidRPr="00EF75EF">
        <w:t xml:space="preserve">Through their practice support function, PHNs already play an integral role in working with general practice to support continuous quality improvement. </w:t>
      </w:r>
    </w:p>
    <w:p w14:paraId="70EEBF00" w14:textId="77777777" w:rsidR="00E1011C" w:rsidRPr="00EF75EF" w:rsidRDefault="00744537" w:rsidP="003B5CE7">
      <w:pPr>
        <w:rPr>
          <w:rFonts w:cs="Arial"/>
          <w:szCs w:val="22"/>
        </w:rPr>
      </w:pPr>
      <w:r w:rsidRPr="00EF75EF">
        <w:rPr>
          <w:rFonts w:cs="Arial"/>
          <w:szCs w:val="22"/>
        </w:rPr>
        <w:t>Under the PIP QI</w:t>
      </w:r>
      <w:r w:rsidR="00400AC1" w:rsidRPr="00EF75EF">
        <w:rPr>
          <w:rFonts w:cs="Arial"/>
          <w:szCs w:val="22"/>
        </w:rPr>
        <w:t xml:space="preserve"> Incentive</w:t>
      </w:r>
      <w:r w:rsidRPr="00EF75EF">
        <w:rPr>
          <w:rFonts w:cs="Arial"/>
          <w:szCs w:val="22"/>
        </w:rPr>
        <w:t>, PHNs will have a central role</w:t>
      </w:r>
      <w:r w:rsidR="00EC1EA0" w:rsidRPr="00EF75EF">
        <w:rPr>
          <w:rFonts w:cs="Arial"/>
          <w:szCs w:val="22"/>
        </w:rPr>
        <w:t xml:space="preserve">. They </w:t>
      </w:r>
      <w:r w:rsidR="00C96212" w:rsidRPr="00EF75EF">
        <w:rPr>
          <w:rFonts w:cs="Arial"/>
          <w:szCs w:val="22"/>
        </w:rPr>
        <w:t>can</w:t>
      </w:r>
      <w:r w:rsidR="00EC1EA0" w:rsidRPr="00EF75EF">
        <w:rPr>
          <w:rFonts w:cs="Arial"/>
          <w:szCs w:val="22"/>
        </w:rPr>
        <w:t xml:space="preserve">: </w:t>
      </w:r>
    </w:p>
    <w:p w14:paraId="122251AC" w14:textId="77777777" w:rsidR="00295313" w:rsidRPr="003B5CE7" w:rsidRDefault="00295313" w:rsidP="003B5CE7">
      <w:pPr>
        <w:pStyle w:val="ListParagraph"/>
        <w:numPr>
          <w:ilvl w:val="0"/>
          <w:numId w:val="45"/>
        </w:numPr>
        <w:ind w:hanging="436"/>
        <w:rPr>
          <w:rFonts w:cs="Arial"/>
          <w:szCs w:val="22"/>
        </w:rPr>
      </w:pPr>
      <w:r w:rsidRPr="003B5CE7">
        <w:rPr>
          <w:rFonts w:cs="Arial"/>
          <w:szCs w:val="22"/>
        </w:rPr>
        <w:t xml:space="preserve">assist general practices participate in the Incentive; </w:t>
      </w:r>
    </w:p>
    <w:p w14:paraId="49A3F1E6" w14:textId="77777777" w:rsidR="00C96212" w:rsidRPr="003B5CE7" w:rsidRDefault="00C96212" w:rsidP="003B5CE7">
      <w:pPr>
        <w:pStyle w:val="ListParagraph"/>
        <w:numPr>
          <w:ilvl w:val="0"/>
          <w:numId w:val="45"/>
        </w:numPr>
        <w:ind w:hanging="436"/>
        <w:rPr>
          <w:rFonts w:cs="Arial"/>
          <w:szCs w:val="22"/>
        </w:rPr>
      </w:pPr>
      <w:r w:rsidRPr="003B5CE7">
        <w:rPr>
          <w:rFonts w:cs="Arial"/>
          <w:szCs w:val="22"/>
        </w:rPr>
        <w:t>answer questions about the PIP QI including guidelines, Improvement Measures  and</w:t>
      </w:r>
      <w:r w:rsidR="001E13D8" w:rsidRPr="003B5CE7">
        <w:rPr>
          <w:rFonts w:cs="Arial"/>
          <w:szCs w:val="22"/>
        </w:rPr>
        <w:t xml:space="preserve"> the</w:t>
      </w:r>
      <w:r w:rsidRPr="003B5CE7">
        <w:rPr>
          <w:rFonts w:cs="Arial"/>
          <w:szCs w:val="22"/>
        </w:rPr>
        <w:t xml:space="preserve"> PIP Eligible Data Set Data Governance Framework;</w:t>
      </w:r>
    </w:p>
    <w:p w14:paraId="3183EA29" w14:textId="77777777" w:rsidR="00E1011C" w:rsidRPr="003B5CE7" w:rsidRDefault="006C52DA" w:rsidP="003B5CE7">
      <w:pPr>
        <w:pStyle w:val="ListParagraph"/>
        <w:numPr>
          <w:ilvl w:val="0"/>
          <w:numId w:val="45"/>
        </w:numPr>
        <w:ind w:hanging="436"/>
        <w:rPr>
          <w:rFonts w:cs="Arial"/>
          <w:szCs w:val="22"/>
        </w:rPr>
      </w:pPr>
      <w:r w:rsidRPr="003B5CE7">
        <w:rPr>
          <w:rFonts w:cs="Arial"/>
          <w:szCs w:val="22"/>
        </w:rPr>
        <w:t xml:space="preserve">assist general practices to undertake continuous quality improvement that addresses the ten Improvement Measures and/or </w:t>
      </w:r>
      <w:r w:rsidR="00C96212" w:rsidRPr="003B5CE7">
        <w:rPr>
          <w:rFonts w:cs="Arial"/>
          <w:szCs w:val="22"/>
        </w:rPr>
        <w:t>meets the needs of their practice population</w:t>
      </w:r>
      <w:r w:rsidR="00E1011C" w:rsidRPr="003B5CE7">
        <w:rPr>
          <w:rFonts w:cs="Arial"/>
          <w:szCs w:val="22"/>
        </w:rPr>
        <w:t>; and</w:t>
      </w:r>
    </w:p>
    <w:p w14:paraId="2CBAE610" w14:textId="77777777" w:rsidR="00111976" w:rsidRPr="003B5CE7" w:rsidRDefault="00EC1EA0" w:rsidP="003B5CE7">
      <w:pPr>
        <w:pStyle w:val="ListParagraph"/>
        <w:numPr>
          <w:ilvl w:val="0"/>
          <w:numId w:val="45"/>
        </w:numPr>
        <w:ind w:hanging="436"/>
        <w:rPr>
          <w:rFonts w:cs="Arial"/>
          <w:szCs w:val="22"/>
        </w:rPr>
      </w:pPr>
      <w:r w:rsidRPr="003B5CE7">
        <w:rPr>
          <w:rFonts w:cs="Arial"/>
          <w:szCs w:val="22"/>
        </w:rPr>
        <w:t xml:space="preserve">provide information to the Department of Health to confirm that a general practice </w:t>
      </w:r>
      <w:r w:rsidR="00C96212" w:rsidRPr="003B5CE7">
        <w:rPr>
          <w:rFonts w:cs="Arial"/>
          <w:szCs w:val="22"/>
        </w:rPr>
        <w:t>has met the eligibility requirement for t</w:t>
      </w:r>
      <w:r w:rsidR="006C52DA" w:rsidRPr="003B5CE7">
        <w:rPr>
          <w:rFonts w:cs="Arial"/>
          <w:szCs w:val="22"/>
        </w:rPr>
        <w:t xml:space="preserve">he </w:t>
      </w:r>
      <w:r w:rsidR="00C96212" w:rsidRPr="003B5CE7">
        <w:rPr>
          <w:rFonts w:cs="Arial"/>
          <w:szCs w:val="22"/>
        </w:rPr>
        <w:t xml:space="preserve">PIP QI payment. </w:t>
      </w:r>
      <w:r w:rsidRPr="003B5CE7">
        <w:rPr>
          <w:rFonts w:cs="Arial"/>
          <w:szCs w:val="22"/>
        </w:rPr>
        <w:t xml:space="preserve">The Department of Health will use this information </w:t>
      </w:r>
      <w:r w:rsidR="006C52DA" w:rsidRPr="003B5CE7">
        <w:rPr>
          <w:rFonts w:cs="Arial"/>
          <w:szCs w:val="22"/>
        </w:rPr>
        <w:t>from the PHN</w:t>
      </w:r>
      <w:r w:rsidR="00C96212" w:rsidRPr="003B5CE7">
        <w:rPr>
          <w:rFonts w:cs="Arial"/>
          <w:szCs w:val="22"/>
        </w:rPr>
        <w:t>s</w:t>
      </w:r>
      <w:r w:rsidR="006C52DA" w:rsidRPr="003B5CE7">
        <w:rPr>
          <w:rFonts w:cs="Arial"/>
          <w:szCs w:val="22"/>
        </w:rPr>
        <w:t xml:space="preserve"> </w:t>
      </w:r>
      <w:r w:rsidRPr="003B5CE7">
        <w:rPr>
          <w:rFonts w:cs="Arial"/>
          <w:szCs w:val="22"/>
        </w:rPr>
        <w:t>to authorise payment of the PIP QI Incentive by the Department of Human Services.</w:t>
      </w:r>
    </w:p>
    <w:p w14:paraId="1918AC03" w14:textId="77777777" w:rsidR="00707925" w:rsidRPr="003B5CE7" w:rsidRDefault="00744537" w:rsidP="00B27CA9">
      <w:pPr>
        <w:pStyle w:val="Heading1"/>
        <w:rPr>
          <w:rStyle w:val="Strong"/>
          <w:b/>
          <w:bCs/>
        </w:rPr>
      </w:pPr>
      <w:r w:rsidRPr="003B5CE7">
        <w:rPr>
          <w:rStyle w:val="Strong"/>
          <w:b/>
          <w:bCs/>
        </w:rPr>
        <w:t xml:space="preserve"> </w:t>
      </w:r>
      <w:r w:rsidR="00707925" w:rsidRPr="003B5CE7">
        <w:rPr>
          <w:rStyle w:val="Strong"/>
          <w:b/>
          <w:bCs/>
        </w:rPr>
        <w:t xml:space="preserve">How will the PIP QI Eligible Data </w:t>
      </w:r>
      <w:r w:rsidR="00C96212" w:rsidRPr="003B5CE7">
        <w:rPr>
          <w:rStyle w:val="Strong"/>
          <w:b/>
          <w:bCs/>
        </w:rPr>
        <w:t>S</w:t>
      </w:r>
      <w:r w:rsidR="00707925" w:rsidRPr="003B5CE7">
        <w:rPr>
          <w:rStyle w:val="Strong"/>
          <w:b/>
          <w:bCs/>
        </w:rPr>
        <w:t>et</w:t>
      </w:r>
      <w:r w:rsidR="008D0A72" w:rsidRPr="003B5CE7">
        <w:rPr>
          <w:rStyle w:val="Strong"/>
          <w:b/>
          <w:bCs/>
        </w:rPr>
        <w:t xml:space="preserve"> assist general practices and the PHNs</w:t>
      </w:r>
      <w:r w:rsidR="00707925" w:rsidRPr="003B5CE7">
        <w:rPr>
          <w:rStyle w:val="Strong"/>
          <w:b/>
          <w:bCs/>
        </w:rPr>
        <w:t xml:space="preserve">?  </w:t>
      </w:r>
    </w:p>
    <w:p w14:paraId="628BAB68" w14:textId="77777777" w:rsidR="00C96212" w:rsidRPr="00EF75EF" w:rsidRDefault="00D9781C" w:rsidP="003B5CE7">
      <w:r w:rsidRPr="00EF75EF">
        <w:t xml:space="preserve">The PIP Eligible Data Set </w:t>
      </w:r>
      <w:r w:rsidR="003B6F4B" w:rsidRPr="00EF75EF">
        <w:t>will</w:t>
      </w:r>
      <w:r w:rsidR="006150D2" w:rsidRPr="00EF75EF">
        <w:t xml:space="preserve"> </w:t>
      </w:r>
      <w:r w:rsidR="004877A9" w:rsidRPr="00EF75EF">
        <w:t xml:space="preserve">assist </w:t>
      </w:r>
      <w:r w:rsidRPr="00EF75EF">
        <w:t xml:space="preserve"> </w:t>
      </w:r>
    </w:p>
    <w:p w14:paraId="233B9717" w14:textId="77777777" w:rsidR="00707925" w:rsidRPr="00EF75EF" w:rsidRDefault="00D9781C" w:rsidP="003B5CE7">
      <w:r w:rsidRPr="00EF75EF">
        <w:rPr>
          <w:b/>
        </w:rPr>
        <w:t xml:space="preserve">General </w:t>
      </w:r>
      <w:r w:rsidR="00711B8A" w:rsidRPr="00EF75EF">
        <w:rPr>
          <w:b/>
        </w:rPr>
        <w:t>p</w:t>
      </w:r>
      <w:r w:rsidRPr="00EF75EF">
        <w:rPr>
          <w:b/>
        </w:rPr>
        <w:t xml:space="preserve">ractices </w:t>
      </w:r>
      <w:r w:rsidR="00707925" w:rsidRPr="00EF75EF">
        <w:rPr>
          <w:b/>
        </w:rPr>
        <w:t>to</w:t>
      </w:r>
      <w:r w:rsidR="00707925" w:rsidRPr="00EF75EF">
        <w:t>:</w:t>
      </w:r>
    </w:p>
    <w:p w14:paraId="40200CD2" w14:textId="77777777" w:rsidR="00707925" w:rsidRPr="00EF75EF" w:rsidRDefault="00707925" w:rsidP="003B5CE7">
      <w:pPr>
        <w:pStyle w:val="ListParagraph"/>
        <w:numPr>
          <w:ilvl w:val="0"/>
          <w:numId w:val="41"/>
        </w:numPr>
        <w:ind w:hanging="436"/>
      </w:pPr>
      <w:r w:rsidRPr="00EF75EF">
        <w:t xml:space="preserve">improve the quality of care and patient outcomes </w:t>
      </w:r>
    </w:p>
    <w:p w14:paraId="2898A85C" w14:textId="77777777" w:rsidR="00707925" w:rsidRPr="00EF75EF" w:rsidRDefault="00707925" w:rsidP="003B5CE7">
      <w:pPr>
        <w:pStyle w:val="ListParagraph"/>
        <w:numPr>
          <w:ilvl w:val="0"/>
          <w:numId w:val="41"/>
        </w:numPr>
        <w:ind w:hanging="436"/>
      </w:pPr>
      <w:r w:rsidRPr="00EF75EF">
        <w:t>improve the</w:t>
      </w:r>
      <w:r w:rsidR="00D9781C" w:rsidRPr="00EF75EF">
        <w:t>ir</w:t>
      </w:r>
      <w:r w:rsidRPr="00EF75EF">
        <w:t xml:space="preserve"> capacity to benchmark their activities aga</w:t>
      </w:r>
      <w:r w:rsidR="005B5435" w:rsidRPr="00EF75EF">
        <w:t>inst peers on an agreed set of I</w:t>
      </w:r>
      <w:r w:rsidRPr="00EF75EF">
        <w:t xml:space="preserve">mprovement </w:t>
      </w:r>
      <w:r w:rsidR="005B5435" w:rsidRPr="00EF75EF">
        <w:t>M</w:t>
      </w:r>
      <w:r w:rsidRPr="00EF75EF">
        <w:t xml:space="preserve">easures </w:t>
      </w:r>
    </w:p>
    <w:p w14:paraId="037FA39F" w14:textId="77777777" w:rsidR="00707925" w:rsidRPr="00EF75EF" w:rsidRDefault="00707925" w:rsidP="003B5CE7">
      <w:pPr>
        <w:pStyle w:val="ListParagraph"/>
        <w:numPr>
          <w:ilvl w:val="0"/>
          <w:numId w:val="41"/>
        </w:numPr>
        <w:ind w:hanging="436"/>
      </w:pPr>
      <w:r w:rsidRPr="00EF75EF">
        <w:t xml:space="preserve">provide nationally consistent, comparable data against specified quality </w:t>
      </w:r>
      <w:r w:rsidR="005B5435" w:rsidRPr="00EF75EF">
        <w:t>I</w:t>
      </w:r>
      <w:r w:rsidRPr="00EF75EF">
        <w:t xml:space="preserve">mprovement </w:t>
      </w:r>
      <w:r w:rsidR="005B5435" w:rsidRPr="00EF75EF">
        <w:t>M</w:t>
      </w:r>
      <w:r w:rsidRPr="00EF75EF">
        <w:t>easures to create regional and national health data sets</w:t>
      </w:r>
      <w:r w:rsidR="00C96212" w:rsidRPr="00EF75EF">
        <w:t>.</w:t>
      </w:r>
    </w:p>
    <w:p w14:paraId="52B4C834" w14:textId="77777777" w:rsidR="00D9781C" w:rsidRPr="00EF75EF" w:rsidRDefault="00D9781C" w:rsidP="003B5CE7">
      <w:pPr>
        <w:rPr>
          <w:b/>
        </w:rPr>
      </w:pPr>
      <w:r w:rsidRPr="00EF75EF">
        <w:rPr>
          <w:b/>
        </w:rPr>
        <w:t>PHNs to:</w:t>
      </w:r>
    </w:p>
    <w:p w14:paraId="7C714AA1" w14:textId="77777777" w:rsidR="008D0A72" w:rsidRPr="00EF75EF" w:rsidRDefault="008D0A72" w:rsidP="003B5CE7">
      <w:pPr>
        <w:pStyle w:val="ListParagraph"/>
        <w:numPr>
          <w:ilvl w:val="0"/>
          <w:numId w:val="42"/>
        </w:numPr>
        <w:ind w:hanging="436"/>
      </w:pPr>
      <w:r w:rsidRPr="00EF75EF">
        <w:t>work with general practices to support quality improvement</w:t>
      </w:r>
    </w:p>
    <w:p w14:paraId="2148F73B" w14:textId="77777777" w:rsidR="00707925" w:rsidRPr="00EF75EF" w:rsidRDefault="00707925" w:rsidP="003B5CE7">
      <w:pPr>
        <w:pStyle w:val="ListParagraph"/>
        <w:numPr>
          <w:ilvl w:val="0"/>
          <w:numId w:val="42"/>
        </w:numPr>
        <w:ind w:hanging="436"/>
      </w:pPr>
      <w:r w:rsidRPr="00EF75EF">
        <w:t>contribute to service planning and population health mapping at different levels including, PHN boundaries, local health districts, jurisdict</w:t>
      </w:r>
      <w:r w:rsidR="00991675" w:rsidRPr="00EF75EF">
        <w:t>ional boundaries and at national</w:t>
      </w:r>
      <w:r w:rsidR="008D0A72" w:rsidRPr="00EF75EF">
        <w:t xml:space="preserve"> level.</w:t>
      </w:r>
    </w:p>
    <w:p w14:paraId="074145EA" w14:textId="77777777" w:rsidR="009E4424" w:rsidRPr="00EF75EF" w:rsidRDefault="009E4424" w:rsidP="00EF75EF">
      <w:r w:rsidRPr="00EF75EF">
        <w:t>Rules and guidance on the specific roles and responsibilities for data content, collection, use, access, aggregation, privacy, security, and data ownership for local, regional and national data custodians of the PIP Eligible Data Set can be found under the</w:t>
      </w:r>
      <w:r w:rsidR="00991675" w:rsidRPr="00EF75EF">
        <w:rPr>
          <w:i/>
        </w:rPr>
        <w:t xml:space="preserve"> </w:t>
      </w:r>
      <w:r w:rsidRPr="00EF75EF">
        <w:rPr>
          <w:i/>
        </w:rPr>
        <w:t xml:space="preserve"> </w:t>
      </w:r>
      <w:hyperlink r:id="rId14" w:history="1">
        <w:r w:rsidRPr="00EF75EF">
          <w:rPr>
            <w:rStyle w:val="Hyperlink"/>
            <w:rFonts w:cs="Arial"/>
            <w:szCs w:val="22"/>
          </w:rPr>
          <w:t>PIP Eligible Data Set Data Governance Framework</w:t>
        </w:r>
      </w:hyperlink>
      <w:r w:rsidRPr="00EF75EF">
        <w:t>.</w:t>
      </w:r>
    </w:p>
    <w:p w14:paraId="6E23CD50" w14:textId="77777777" w:rsidR="00D4243A" w:rsidRPr="003B5CE7" w:rsidRDefault="00D4243A" w:rsidP="00B27CA9">
      <w:pPr>
        <w:pStyle w:val="Heading1"/>
        <w:rPr>
          <w:rStyle w:val="Strong"/>
          <w:b/>
          <w:bCs/>
        </w:rPr>
      </w:pPr>
      <w:r w:rsidRPr="003B5CE7">
        <w:rPr>
          <w:rStyle w:val="Strong"/>
          <w:b/>
          <w:bCs/>
        </w:rPr>
        <w:lastRenderedPageBreak/>
        <w:t>How will the new PIP QI Incentive payment work?</w:t>
      </w:r>
    </w:p>
    <w:p w14:paraId="6E8875D0" w14:textId="77777777" w:rsidR="00D4243A" w:rsidRPr="00EF75EF" w:rsidRDefault="00D4243A" w:rsidP="00EF75EF">
      <w:r w:rsidRPr="00EF75EF">
        <w:t>The PIP QI Incentive is a payment to general practices that choose to participate in quality improvement to improve patient outcomes and deliver best practice care</w:t>
      </w:r>
      <w:r w:rsidR="00DA1DCE" w:rsidRPr="00EF75EF">
        <w:t>.</w:t>
      </w:r>
      <w:r w:rsidRPr="00EF75EF">
        <w:t xml:space="preserve"> </w:t>
      </w:r>
    </w:p>
    <w:p w14:paraId="041CA13B" w14:textId="77777777" w:rsidR="00111976" w:rsidRPr="00EF75EF" w:rsidRDefault="00D4243A" w:rsidP="00EF75EF">
      <w:r w:rsidRPr="00EF75EF">
        <w:t xml:space="preserve">General practices that wish to receive the PIP QI Incentive </w:t>
      </w:r>
      <w:r w:rsidR="009D2566" w:rsidRPr="00EF75EF">
        <w:t xml:space="preserve">payment </w:t>
      </w:r>
      <w:r w:rsidRPr="00EF75EF">
        <w:t>must:</w:t>
      </w:r>
    </w:p>
    <w:p w14:paraId="596200DD" w14:textId="77777777" w:rsidR="00111976" w:rsidRPr="00EF75EF" w:rsidRDefault="00D4243A" w:rsidP="003B5CE7">
      <w:pPr>
        <w:pStyle w:val="ListParagraph"/>
        <w:numPr>
          <w:ilvl w:val="0"/>
          <w:numId w:val="32"/>
        </w:numPr>
        <w:ind w:hanging="436"/>
      </w:pPr>
      <w:r w:rsidRPr="00EF75EF">
        <w:t xml:space="preserve">participate in continuous quality improvement activities in partnership with </w:t>
      </w:r>
      <w:r w:rsidR="00111976" w:rsidRPr="00EF75EF">
        <w:t xml:space="preserve">  </w:t>
      </w:r>
      <w:r w:rsidRPr="00EF75EF">
        <w:t>their local PHN</w:t>
      </w:r>
      <w:r w:rsidR="0092518D" w:rsidRPr="00EF75EF">
        <w:t>; and</w:t>
      </w:r>
    </w:p>
    <w:p w14:paraId="1FC8137A" w14:textId="77777777" w:rsidR="00452AC9" w:rsidRPr="00EF75EF" w:rsidRDefault="004877A9" w:rsidP="003B5CE7">
      <w:pPr>
        <w:pStyle w:val="ListParagraph"/>
        <w:numPr>
          <w:ilvl w:val="0"/>
          <w:numId w:val="32"/>
        </w:numPr>
        <w:ind w:hanging="436"/>
        <w:rPr>
          <w:rStyle w:val="Strong"/>
          <w:rFonts w:cs="Arial"/>
          <w:b w:val="0"/>
          <w:bCs w:val="0"/>
          <w:szCs w:val="22"/>
        </w:rPr>
      </w:pPr>
      <w:r w:rsidRPr="00EF75EF">
        <w:t>electronically submit the PIP Eligible Data Set to their local PHN quarterly</w:t>
      </w:r>
      <w:r w:rsidR="00B92164" w:rsidRPr="00EF75EF">
        <w:t>.</w:t>
      </w:r>
    </w:p>
    <w:p w14:paraId="599FE617" w14:textId="77777777" w:rsidR="00C23C48" w:rsidRPr="003B5CE7" w:rsidRDefault="00C23C48" w:rsidP="00B27CA9">
      <w:pPr>
        <w:pStyle w:val="Heading1"/>
        <w:rPr>
          <w:rStyle w:val="Strong"/>
          <w:b/>
          <w:bCs/>
        </w:rPr>
      </w:pPr>
      <w:r w:rsidRPr="003B5CE7">
        <w:rPr>
          <w:rStyle w:val="Strong"/>
          <w:b/>
          <w:bCs/>
        </w:rPr>
        <w:t>Is a general practice allowed to share their Improvement Measures data with other general practices?</w:t>
      </w:r>
    </w:p>
    <w:p w14:paraId="664AF817" w14:textId="77777777" w:rsidR="009B56F7" w:rsidRPr="00EF75EF" w:rsidRDefault="003B5CE7" w:rsidP="00EF75EF">
      <w:r>
        <w:t xml:space="preserve">Yes. </w:t>
      </w:r>
      <w:r w:rsidR="00C23C48" w:rsidRPr="00EF75EF">
        <w:t>General practice</w:t>
      </w:r>
      <w:r w:rsidR="00037287" w:rsidRPr="00EF75EF">
        <w:t>s</w:t>
      </w:r>
      <w:r w:rsidR="00C23C48" w:rsidRPr="00EF75EF">
        <w:t xml:space="preserve"> may use their data to benchmark their activities against peers on an agreed set of</w:t>
      </w:r>
      <w:r w:rsidR="00C23C48" w:rsidRPr="00EF75EF">
        <w:rPr>
          <w:i/>
        </w:rPr>
        <w:t xml:space="preserve"> </w:t>
      </w:r>
      <w:r w:rsidR="005B5435" w:rsidRPr="00EF75EF">
        <w:t>I</w:t>
      </w:r>
      <w:r w:rsidR="00C23C48" w:rsidRPr="00EF75EF">
        <w:t xml:space="preserve">mprovement </w:t>
      </w:r>
      <w:r w:rsidR="005B5435" w:rsidRPr="00EF75EF">
        <w:t>M</w:t>
      </w:r>
      <w:r w:rsidR="00C23C48" w:rsidRPr="00EF75EF">
        <w:t xml:space="preserve">easures. </w:t>
      </w:r>
    </w:p>
    <w:p w14:paraId="651C6E3C" w14:textId="77777777" w:rsidR="00120900" w:rsidRPr="003B5CE7" w:rsidRDefault="008629E0" w:rsidP="00B27CA9">
      <w:pPr>
        <w:pStyle w:val="Heading1"/>
        <w:rPr>
          <w:rStyle w:val="Strong"/>
          <w:b/>
          <w:bCs/>
        </w:rPr>
      </w:pPr>
      <w:r w:rsidRPr="003B5CE7">
        <w:rPr>
          <w:rStyle w:val="Strong"/>
          <w:b/>
          <w:bCs/>
        </w:rPr>
        <w:t>Do general practices have to conduct</w:t>
      </w:r>
      <w:r w:rsidR="00E1011C" w:rsidRPr="003B5CE7">
        <w:rPr>
          <w:rStyle w:val="Strong"/>
          <w:b/>
          <w:bCs/>
        </w:rPr>
        <w:t xml:space="preserve"> quality improvement activities </w:t>
      </w:r>
      <w:r w:rsidRPr="003B5CE7">
        <w:rPr>
          <w:rStyle w:val="Strong"/>
          <w:b/>
          <w:bCs/>
        </w:rPr>
        <w:t>based on the PIP Eligible Data Set</w:t>
      </w:r>
      <w:r w:rsidR="00120900" w:rsidRPr="003B5CE7">
        <w:rPr>
          <w:rStyle w:val="Strong"/>
          <w:b/>
          <w:bCs/>
        </w:rPr>
        <w:t xml:space="preserve"> and how many quality improvement activities does a general practice need to conduct each year?</w:t>
      </w:r>
    </w:p>
    <w:p w14:paraId="0EBDD282" w14:textId="77777777" w:rsidR="008629E0" w:rsidRPr="00EF75EF" w:rsidRDefault="008629E0" w:rsidP="00EF75EF">
      <w:r w:rsidRPr="00EF75EF">
        <w:t>No</w:t>
      </w:r>
      <w:r w:rsidR="00120900" w:rsidRPr="00EF75EF">
        <w:t xml:space="preserve">, general practices do not have to conduct quality improvement activities based on the PIP Eligible </w:t>
      </w:r>
      <w:r w:rsidR="00902036" w:rsidRPr="00EF75EF">
        <w:t>D</w:t>
      </w:r>
      <w:r w:rsidR="00120900" w:rsidRPr="00EF75EF">
        <w:t>ata Se</w:t>
      </w:r>
      <w:r w:rsidR="00E1011C" w:rsidRPr="00EF75EF">
        <w:t>t</w:t>
      </w:r>
      <w:r w:rsidR="00120900" w:rsidRPr="00EF75EF">
        <w:t xml:space="preserve">. </w:t>
      </w:r>
      <w:r w:rsidRPr="00EF75EF">
        <w:t xml:space="preserve">General practices may initially focus their quality improvement activities on the ten specified Improvement Measures, noting there are no prescribed targets associated with any of the Improvement Measures. Alternatively practices may focus their quality improvement activities on areas which are informed by their clinical information system data and meets the needs of their practice population. </w:t>
      </w:r>
    </w:p>
    <w:p w14:paraId="23418F7C" w14:textId="77777777" w:rsidR="0097162E" w:rsidRPr="00EF75EF" w:rsidRDefault="0097162E" w:rsidP="00EF75EF">
      <w:r w:rsidRPr="00EF75EF">
        <w:t>Continuous quality improvement</w:t>
      </w:r>
      <w:r w:rsidR="009B56F7" w:rsidRPr="00EF75EF">
        <w:t xml:space="preserve"> (CQI)</w:t>
      </w:r>
      <w:r w:rsidRPr="00EF75EF">
        <w:t xml:space="preserve"> activities usually follow a </w:t>
      </w:r>
      <w:r w:rsidRPr="00EF75EF">
        <w:rPr>
          <w:i/>
        </w:rPr>
        <w:t>Plan Do Study Act</w:t>
      </w:r>
      <w:r w:rsidRPr="00EF75EF">
        <w:t xml:space="preserve"> cycle.  The amount of time it takes to complete each activity and the number undertaken will depend on the specific needs of each practice and the areas being focussed on.</w:t>
      </w:r>
      <w:r w:rsidR="009B56F7" w:rsidRPr="00EF75EF">
        <w:t xml:space="preserve"> A general practice does not need to undertake a new CQI activity each quarter as some activities may take more than one quarter to complete. </w:t>
      </w:r>
    </w:p>
    <w:p w14:paraId="252A3BC0" w14:textId="77777777" w:rsidR="00C23C48" w:rsidRPr="003B5CE7" w:rsidRDefault="00122985" w:rsidP="00B27CA9">
      <w:pPr>
        <w:pStyle w:val="Heading1"/>
        <w:rPr>
          <w:rStyle w:val="Strong"/>
          <w:b/>
          <w:bCs/>
        </w:rPr>
      </w:pPr>
      <w:r w:rsidRPr="003B5CE7">
        <w:rPr>
          <w:rStyle w:val="Strong"/>
          <w:b/>
          <w:bCs/>
        </w:rPr>
        <w:t xml:space="preserve"> </w:t>
      </w:r>
      <w:r w:rsidR="00E1098E" w:rsidRPr="003B5CE7">
        <w:rPr>
          <w:rStyle w:val="Strong"/>
          <w:b/>
          <w:bCs/>
        </w:rPr>
        <w:t>Do general practices receive any reports from their local PHN?</w:t>
      </w:r>
    </w:p>
    <w:p w14:paraId="6042F4F6" w14:textId="77777777" w:rsidR="00E1098E" w:rsidRPr="00EF75EF" w:rsidRDefault="00E1098E" w:rsidP="00AC6438">
      <w:r w:rsidRPr="00EF75EF">
        <w:t xml:space="preserve">Yes. General practices should talk with their local PHN about what report options are available and explore opportunities with their PHN for support </w:t>
      </w:r>
      <w:r w:rsidR="00D90D9C" w:rsidRPr="00EF75EF">
        <w:t xml:space="preserve">with CQI </w:t>
      </w:r>
      <w:r w:rsidRPr="00EF75EF">
        <w:t>activities</w:t>
      </w:r>
      <w:r w:rsidR="00D90D9C" w:rsidRPr="00EF75EF">
        <w:t>.</w:t>
      </w:r>
      <w:r w:rsidRPr="00EF75EF">
        <w:t xml:space="preserve"> </w:t>
      </w:r>
    </w:p>
    <w:sectPr w:rsidR="00E1098E" w:rsidRPr="00EF75EF" w:rsidSect="003B5CE7">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1440"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0944" w14:textId="77777777" w:rsidR="00CB6D28" w:rsidRDefault="00CB6D28" w:rsidP="00EF75EF">
      <w:r>
        <w:separator/>
      </w:r>
    </w:p>
  </w:endnote>
  <w:endnote w:type="continuationSeparator" w:id="0">
    <w:p w14:paraId="313633FB" w14:textId="77777777" w:rsidR="00CB6D28" w:rsidRDefault="00CB6D28" w:rsidP="00EF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3BCB" w14:textId="77777777" w:rsidR="00C70687" w:rsidRDefault="00C70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14857"/>
      <w:docPartObj>
        <w:docPartGallery w:val="Page Numbers (Bottom of Page)"/>
        <w:docPartUnique/>
      </w:docPartObj>
    </w:sdtPr>
    <w:sdtEndPr>
      <w:rPr>
        <w:noProof/>
      </w:rPr>
    </w:sdtEndPr>
    <w:sdtContent>
      <w:p w14:paraId="2B7BFDCC" w14:textId="7B2B42D5" w:rsidR="003B5CE7" w:rsidRDefault="003B5CE7">
        <w:pPr>
          <w:pStyle w:val="Footer"/>
          <w:jc w:val="right"/>
        </w:pPr>
        <w:r>
          <w:fldChar w:fldCharType="begin"/>
        </w:r>
        <w:r>
          <w:instrText xml:space="preserve"> PAGE   \* MERGEFORMAT </w:instrText>
        </w:r>
        <w:r>
          <w:fldChar w:fldCharType="separate"/>
        </w:r>
        <w:r w:rsidR="00A5432B">
          <w:rPr>
            <w:noProof/>
          </w:rPr>
          <w:t>8</w:t>
        </w:r>
        <w:r>
          <w:rPr>
            <w:noProof/>
          </w:rPr>
          <w:fldChar w:fldCharType="end"/>
        </w:r>
      </w:p>
    </w:sdtContent>
  </w:sdt>
  <w:p w14:paraId="4EC44297" w14:textId="0CAFAE27" w:rsidR="00AD38DE" w:rsidRPr="003B5CE7" w:rsidRDefault="003B5CE7" w:rsidP="003B5CE7">
    <w:pPr>
      <w:pStyle w:val="Footer"/>
    </w:pPr>
    <w:r>
      <w:t>Practice Incentive</w:t>
    </w:r>
    <w:r w:rsidR="00863086">
      <w:t>s</w:t>
    </w:r>
    <w:r>
      <w:t xml:space="preserve"> Program Quality Improvement Frequently Asked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DAB2" w14:textId="77777777" w:rsidR="00C70687" w:rsidRDefault="00C7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40EE" w14:textId="77777777" w:rsidR="00CB6D28" w:rsidRDefault="00CB6D28" w:rsidP="00EF75EF">
      <w:r>
        <w:separator/>
      </w:r>
    </w:p>
  </w:footnote>
  <w:footnote w:type="continuationSeparator" w:id="0">
    <w:p w14:paraId="658143F2" w14:textId="77777777" w:rsidR="00CB6D28" w:rsidRDefault="00CB6D28" w:rsidP="00EF7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324C" w14:textId="77777777" w:rsidR="00C70687" w:rsidRDefault="00C70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B255" w14:textId="77777777" w:rsidR="00C70687" w:rsidRDefault="00C70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4F75" w14:textId="77777777" w:rsidR="003F26E7" w:rsidRDefault="003F26E7" w:rsidP="00EF75EF">
    <w:pPr>
      <w:pStyle w:val="Header"/>
    </w:pPr>
    <w:r>
      <w:rPr>
        <w:noProof/>
        <w:lang w:eastAsia="en-AU"/>
      </w:rPr>
      <w:drawing>
        <wp:inline distT="0" distB="0" distL="0" distR="0" wp14:anchorId="1DCD05E5" wp14:editId="5D67F523">
          <wp:extent cx="1533525" cy="1066800"/>
          <wp:effectExtent l="0" t="0" r="9525" b="0"/>
          <wp:docPr id="3" name="Picture 3"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5218"/>
                  <a:stretch/>
                </pic:blipFill>
                <pic:spPr bwMode="auto">
                  <a:xfrm>
                    <a:off x="0" y="0"/>
                    <a:ext cx="1533525" cy="1066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598"/>
    <w:multiLevelType w:val="hybridMultilevel"/>
    <w:tmpl w:val="3E605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532704"/>
    <w:multiLevelType w:val="hybridMultilevel"/>
    <w:tmpl w:val="9D900A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797203"/>
    <w:multiLevelType w:val="hybridMultilevel"/>
    <w:tmpl w:val="4B64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F52551"/>
    <w:multiLevelType w:val="hybridMultilevel"/>
    <w:tmpl w:val="B23C5B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5A4505"/>
    <w:multiLevelType w:val="hybridMultilevel"/>
    <w:tmpl w:val="40A69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7C6FFF"/>
    <w:multiLevelType w:val="hybridMultilevel"/>
    <w:tmpl w:val="ECD2D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B4DC8"/>
    <w:multiLevelType w:val="hybridMultilevel"/>
    <w:tmpl w:val="5338E6A4"/>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7" w15:restartNumberingAfterBreak="0">
    <w:nsid w:val="12B863DA"/>
    <w:multiLevelType w:val="hybridMultilevel"/>
    <w:tmpl w:val="844AB0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D4121D"/>
    <w:multiLevelType w:val="hybridMultilevel"/>
    <w:tmpl w:val="4B5A4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5603EE"/>
    <w:multiLevelType w:val="hybridMultilevel"/>
    <w:tmpl w:val="9D900A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BD52B6"/>
    <w:multiLevelType w:val="hybridMultilevel"/>
    <w:tmpl w:val="ACE07D72"/>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2A786AB3"/>
    <w:multiLevelType w:val="hybridMultilevel"/>
    <w:tmpl w:val="30B4BC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D7F1301"/>
    <w:multiLevelType w:val="hybridMultilevel"/>
    <w:tmpl w:val="658C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2A39FE"/>
    <w:multiLevelType w:val="hybridMultilevel"/>
    <w:tmpl w:val="18CED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8E3259"/>
    <w:multiLevelType w:val="hybridMultilevel"/>
    <w:tmpl w:val="649E5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D3987"/>
    <w:multiLevelType w:val="hybridMultilevel"/>
    <w:tmpl w:val="5F6C2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8F5BED"/>
    <w:multiLevelType w:val="hybridMultilevel"/>
    <w:tmpl w:val="9F9C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E52B5"/>
    <w:multiLevelType w:val="hybridMultilevel"/>
    <w:tmpl w:val="548C11F4"/>
    <w:lvl w:ilvl="0" w:tplc="0C090001">
      <w:start w:val="1"/>
      <w:numFmt w:val="bullet"/>
      <w:lvlText w:val=""/>
      <w:lvlJc w:val="left"/>
      <w:pPr>
        <w:ind w:left="678" w:hanging="360"/>
      </w:pPr>
      <w:rPr>
        <w:rFonts w:ascii="Symbol" w:hAnsi="Symbol" w:hint="default"/>
      </w:rPr>
    </w:lvl>
    <w:lvl w:ilvl="1" w:tplc="0C090003">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18" w15:restartNumberingAfterBreak="0">
    <w:nsid w:val="3A882465"/>
    <w:multiLevelType w:val="hybridMultilevel"/>
    <w:tmpl w:val="0EFEA42A"/>
    <w:lvl w:ilvl="0" w:tplc="795053C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AA20A7"/>
    <w:multiLevelType w:val="hybridMultilevel"/>
    <w:tmpl w:val="BB5C6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D81DAD"/>
    <w:multiLevelType w:val="hybridMultilevel"/>
    <w:tmpl w:val="08E6BB1C"/>
    <w:lvl w:ilvl="0" w:tplc="1D9676DC">
      <w:start w:val="16"/>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CE726F6"/>
    <w:multiLevelType w:val="hybridMultilevel"/>
    <w:tmpl w:val="A84CF710"/>
    <w:lvl w:ilvl="0" w:tplc="B1EC2914">
      <w:start w:val="1"/>
      <w:numFmt w:val="decimal"/>
      <w:lvlText w:val="%1."/>
      <w:lvlJc w:val="left"/>
      <w:pPr>
        <w:ind w:left="720" w:hanging="360"/>
      </w:pPr>
      <w:rPr>
        <w:b/>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5D005AD"/>
    <w:multiLevelType w:val="hybridMultilevel"/>
    <w:tmpl w:val="D5AE1C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DF7562"/>
    <w:multiLevelType w:val="hybridMultilevel"/>
    <w:tmpl w:val="65027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715126"/>
    <w:multiLevelType w:val="hybridMultilevel"/>
    <w:tmpl w:val="AC581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1D6592"/>
    <w:multiLevelType w:val="hybridMultilevel"/>
    <w:tmpl w:val="40D46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832465"/>
    <w:multiLevelType w:val="hybridMultilevel"/>
    <w:tmpl w:val="033C6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C60132"/>
    <w:multiLevelType w:val="hybridMultilevel"/>
    <w:tmpl w:val="F220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D4316"/>
    <w:multiLevelType w:val="hybridMultilevel"/>
    <w:tmpl w:val="26F26ACC"/>
    <w:lvl w:ilvl="0" w:tplc="9F949EA2">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CA7B40"/>
    <w:multiLevelType w:val="hybridMultilevel"/>
    <w:tmpl w:val="266EC722"/>
    <w:lvl w:ilvl="0" w:tplc="0C09000B">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41660E5"/>
    <w:multiLevelType w:val="hybridMultilevel"/>
    <w:tmpl w:val="51BE5494"/>
    <w:lvl w:ilvl="0" w:tplc="0FE4216C">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15:restartNumberingAfterBreak="0">
    <w:nsid w:val="65C3351B"/>
    <w:multiLevelType w:val="hybridMultilevel"/>
    <w:tmpl w:val="F27065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681425DA"/>
    <w:multiLevelType w:val="hybridMultilevel"/>
    <w:tmpl w:val="C3EA8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516389"/>
    <w:multiLevelType w:val="hybridMultilevel"/>
    <w:tmpl w:val="6B7AB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7A65E5"/>
    <w:multiLevelType w:val="hybridMultilevel"/>
    <w:tmpl w:val="B8145D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D983986"/>
    <w:multiLevelType w:val="hybridMultilevel"/>
    <w:tmpl w:val="01E4D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16C17F7"/>
    <w:multiLevelType w:val="hybridMultilevel"/>
    <w:tmpl w:val="284A0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29B05FF"/>
    <w:multiLevelType w:val="hybridMultilevel"/>
    <w:tmpl w:val="A95CA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C96B60"/>
    <w:multiLevelType w:val="hybridMultilevel"/>
    <w:tmpl w:val="FAA65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EE542B"/>
    <w:multiLevelType w:val="hybridMultilevel"/>
    <w:tmpl w:val="9B7AFC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8327A12"/>
    <w:multiLevelType w:val="hybridMultilevel"/>
    <w:tmpl w:val="27649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4B420D"/>
    <w:multiLevelType w:val="hybridMultilevel"/>
    <w:tmpl w:val="453451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1"/>
  </w:num>
  <w:num w:numId="7">
    <w:abstractNumId w:val="6"/>
  </w:num>
  <w:num w:numId="8">
    <w:abstractNumId w:val="41"/>
  </w:num>
  <w:num w:numId="9">
    <w:abstractNumId w:val="18"/>
  </w:num>
  <w:num w:numId="10">
    <w:abstractNumId w:val="7"/>
  </w:num>
  <w:num w:numId="11">
    <w:abstractNumId w:val="3"/>
  </w:num>
  <w:num w:numId="12">
    <w:abstractNumId w:val="29"/>
  </w:num>
  <w:num w:numId="13">
    <w:abstractNumId w:val="36"/>
  </w:num>
  <w:num w:numId="14">
    <w:abstractNumId w:val="35"/>
  </w:num>
  <w:num w:numId="15">
    <w:abstractNumId w:val="17"/>
  </w:num>
  <w:num w:numId="16">
    <w:abstractNumId w:val="31"/>
  </w:num>
  <w:num w:numId="17">
    <w:abstractNumId w:val="5"/>
  </w:num>
  <w:num w:numId="18">
    <w:abstractNumId w:val="10"/>
  </w:num>
  <w:num w:numId="19">
    <w:abstractNumId w:val="14"/>
  </w:num>
  <w:num w:numId="20">
    <w:abstractNumId w:val="22"/>
  </w:num>
  <w:num w:numId="21">
    <w:abstractNumId w:val="37"/>
  </w:num>
  <w:num w:numId="22">
    <w:abstractNumId w:val="15"/>
  </w:num>
  <w:num w:numId="23">
    <w:abstractNumId w:val="30"/>
  </w:num>
  <w:num w:numId="24">
    <w:abstractNumId w:val="24"/>
  </w:num>
  <w:num w:numId="25">
    <w:abstractNumId w:val="25"/>
  </w:num>
  <w:num w:numId="26">
    <w:abstractNumId w:val="9"/>
  </w:num>
  <w:num w:numId="27">
    <w:abstractNumId w:val="8"/>
  </w:num>
  <w:num w:numId="28">
    <w:abstractNumId w:val="4"/>
  </w:num>
  <w:num w:numId="29">
    <w:abstractNumId w:val="42"/>
  </w:num>
  <w:num w:numId="30">
    <w:abstractNumId w:val="40"/>
  </w:num>
  <w:num w:numId="31">
    <w:abstractNumId w:val="1"/>
  </w:num>
  <w:num w:numId="32">
    <w:abstractNumId w:val="13"/>
  </w:num>
  <w:num w:numId="33">
    <w:abstractNumId w:val="34"/>
  </w:num>
  <w:num w:numId="34">
    <w:abstractNumId w:val="26"/>
  </w:num>
  <w:num w:numId="35">
    <w:abstractNumId w:val="38"/>
  </w:num>
  <w:num w:numId="36">
    <w:abstractNumId w:val="23"/>
  </w:num>
  <w:num w:numId="37">
    <w:abstractNumId w:val="27"/>
  </w:num>
  <w:num w:numId="38">
    <w:abstractNumId w:val="39"/>
  </w:num>
  <w:num w:numId="39">
    <w:abstractNumId w:val="28"/>
  </w:num>
  <w:num w:numId="40">
    <w:abstractNumId w:val="19"/>
  </w:num>
  <w:num w:numId="41">
    <w:abstractNumId w:val="2"/>
  </w:num>
  <w:num w:numId="42">
    <w:abstractNumId w:val="33"/>
  </w:num>
  <w:num w:numId="43">
    <w:abstractNumId w:val="16"/>
  </w:num>
  <w:num w:numId="44">
    <w:abstractNumId w:val="3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54"/>
    <w:rsid w:val="00000C62"/>
    <w:rsid w:val="00003743"/>
    <w:rsid w:val="0002565F"/>
    <w:rsid w:val="00037287"/>
    <w:rsid w:val="00047E63"/>
    <w:rsid w:val="000523DF"/>
    <w:rsid w:val="00056187"/>
    <w:rsid w:val="0006106F"/>
    <w:rsid w:val="00064023"/>
    <w:rsid w:val="00066C86"/>
    <w:rsid w:val="00067456"/>
    <w:rsid w:val="00071794"/>
    <w:rsid w:val="00071C91"/>
    <w:rsid w:val="000742A9"/>
    <w:rsid w:val="000827B6"/>
    <w:rsid w:val="000913F9"/>
    <w:rsid w:val="000B3ED2"/>
    <w:rsid w:val="000B6DCC"/>
    <w:rsid w:val="000B70EB"/>
    <w:rsid w:val="000D4EB9"/>
    <w:rsid w:val="000E5B6A"/>
    <w:rsid w:val="000F49C8"/>
    <w:rsid w:val="00101C09"/>
    <w:rsid w:val="00111976"/>
    <w:rsid w:val="00120900"/>
    <w:rsid w:val="00122985"/>
    <w:rsid w:val="001371AD"/>
    <w:rsid w:val="00144862"/>
    <w:rsid w:val="001643E0"/>
    <w:rsid w:val="00180827"/>
    <w:rsid w:val="00181BCD"/>
    <w:rsid w:val="00192AD6"/>
    <w:rsid w:val="001A5575"/>
    <w:rsid w:val="001B3443"/>
    <w:rsid w:val="001B5044"/>
    <w:rsid w:val="001C1EC0"/>
    <w:rsid w:val="001E13D8"/>
    <w:rsid w:val="001E5650"/>
    <w:rsid w:val="001F5F81"/>
    <w:rsid w:val="00203E95"/>
    <w:rsid w:val="00204A68"/>
    <w:rsid w:val="0022272B"/>
    <w:rsid w:val="00230750"/>
    <w:rsid w:val="00242674"/>
    <w:rsid w:val="00242BF1"/>
    <w:rsid w:val="002473B5"/>
    <w:rsid w:val="0025678E"/>
    <w:rsid w:val="0027069C"/>
    <w:rsid w:val="002724D1"/>
    <w:rsid w:val="00274C1B"/>
    <w:rsid w:val="00281365"/>
    <w:rsid w:val="00295313"/>
    <w:rsid w:val="002A5478"/>
    <w:rsid w:val="002B57E7"/>
    <w:rsid w:val="002C3A4C"/>
    <w:rsid w:val="002F0C01"/>
    <w:rsid w:val="002F3AE3"/>
    <w:rsid w:val="00300812"/>
    <w:rsid w:val="00300F43"/>
    <w:rsid w:val="00302AB2"/>
    <w:rsid w:val="0030786C"/>
    <w:rsid w:val="00313B0D"/>
    <w:rsid w:val="00330D9A"/>
    <w:rsid w:val="0033489B"/>
    <w:rsid w:val="00347897"/>
    <w:rsid w:val="003665F4"/>
    <w:rsid w:val="00375B18"/>
    <w:rsid w:val="00376560"/>
    <w:rsid w:val="003821B5"/>
    <w:rsid w:val="00385C2F"/>
    <w:rsid w:val="003A3642"/>
    <w:rsid w:val="003A40C1"/>
    <w:rsid w:val="003A527F"/>
    <w:rsid w:val="003B5CE7"/>
    <w:rsid w:val="003B6480"/>
    <w:rsid w:val="003B6F4B"/>
    <w:rsid w:val="003B7A78"/>
    <w:rsid w:val="003C4068"/>
    <w:rsid w:val="003D17F9"/>
    <w:rsid w:val="003D4B3C"/>
    <w:rsid w:val="003E61E6"/>
    <w:rsid w:val="003F26E7"/>
    <w:rsid w:val="00400AC1"/>
    <w:rsid w:val="00400E88"/>
    <w:rsid w:val="004139E2"/>
    <w:rsid w:val="0041732F"/>
    <w:rsid w:val="0043020F"/>
    <w:rsid w:val="004457A7"/>
    <w:rsid w:val="004515B7"/>
    <w:rsid w:val="00452AC9"/>
    <w:rsid w:val="00453AA7"/>
    <w:rsid w:val="00456574"/>
    <w:rsid w:val="00460E93"/>
    <w:rsid w:val="00465467"/>
    <w:rsid w:val="00477392"/>
    <w:rsid w:val="004813EC"/>
    <w:rsid w:val="004867E2"/>
    <w:rsid w:val="004877A9"/>
    <w:rsid w:val="00494D8C"/>
    <w:rsid w:val="004A1C41"/>
    <w:rsid w:val="004F198C"/>
    <w:rsid w:val="005060AD"/>
    <w:rsid w:val="00514DDA"/>
    <w:rsid w:val="005345A4"/>
    <w:rsid w:val="005425A2"/>
    <w:rsid w:val="00577C7D"/>
    <w:rsid w:val="00583AFB"/>
    <w:rsid w:val="0058542C"/>
    <w:rsid w:val="00587F9B"/>
    <w:rsid w:val="00595DBF"/>
    <w:rsid w:val="00596087"/>
    <w:rsid w:val="005B1539"/>
    <w:rsid w:val="005B416E"/>
    <w:rsid w:val="005B5435"/>
    <w:rsid w:val="005C1CC1"/>
    <w:rsid w:val="005C3116"/>
    <w:rsid w:val="005C45EF"/>
    <w:rsid w:val="005D47EB"/>
    <w:rsid w:val="005E4D75"/>
    <w:rsid w:val="005F3215"/>
    <w:rsid w:val="005F65D7"/>
    <w:rsid w:val="006150D2"/>
    <w:rsid w:val="00623C82"/>
    <w:rsid w:val="0063117F"/>
    <w:rsid w:val="00637154"/>
    <w:rsid w:val="006438CB"/>
    <w:rsid w:val="00643EBB"/>
    <w:rsid w:val="006511D1"/>
    <w:rsid w:val="00652C15"/>
    <w:rsid w:val="006660EB"/>
    <w:rsid w:val="006733E3"/>
    <w:rsid w:val="00684F82"/>
    <w:rsid w:val="00693017"/>
    <w:rsid w:val="006A518F"/>
    <w:rsid w:val="006A658D"/>
    <w:rsid w:val="006C52DA"/>
    <w:rsid w:val="006D5F2E"/>
    <w:rsid w:val="006D7D2D"/>
    <w:rsid w:val="006F4586"/>
    <w:rsid w:val="006F5088"/>
    <w:rsid w:val="006F6F39"/>
    <w:rsid w:val="00707925"/>
    <w:rsid w:val="00711B8A"/>
    <w:rsid w:val="00732646"/>
    <w:rsid w:val="00744537"/>
    <w:rsid w:val="0074469C"/>
    <w:rsid w:val="00746072"/>
    <w:rsid w:val="00761B97"/>
    <w:rsid w:val="0078034F"/>
    <w:rsid w:val="00783940"/>
    <w:rsid w:val="007A644B"/>
    <w:rsid w:val="007C314D"/>
    <w:rsid w:val="007D2A1B"/>
    <w:rsid w:val="007D52F9"/>
    <w:rsid w:val="007D678A"/>
    <w:rsid w:val="007E46F3"/>
    <w:rsid w:val="007F0D8D"/>
    <w:rsid w:val="007F3654"/>
    <w:rsid w:val="007F5973"/>
    <w:rsid w:val="00800F9E"/>
    <w:rsid w:val="008264EB"/>
    <w:rsid w:val="00835EC2"/>
    <w:rsid w:val="008435F3"/>
    <w:rsid w:val="00846F82"/>
    <w:rsid w:val="008551D9"/>
    <w:rsid w:val="008552D4"/>
    <w:rsid w:val="008629E0"/>
    <w:rsid w:val="00863086"/>
    <w:rsid w:val="00865AAF"/>
    <w:rsid w:val="00880C70"/>
    <w:rsid w:val="0088629E"/>
    <w:rsid w:val="008C2DF7"/>
    <w:rsid w:val="008C4C7A"/>
    <w:rsid w:val="008D073E"/>
    <w:rsid w:val="008D0A72"/>
    <w:rsid w:val="008F7D5F"/>
    <w:rsid w:val="00902036"/>
    <w:rsid w:val="009067A1"/>
    <w:rsid w:val="00910D47"/>
    <w:rsid w:val="00912016"/>
    <w:rsid w:val="00915F64"/>
    <w:rsid w:val="0092518D"/>
    <w:rsid w:val="009359F0"/>
    <w:rsid w:val="00936FEA"/>
    <w:rsid w:val="0094353E"/>
    <w:rsid w:val="00953A3F"/>
    <w:rsid w:val="009572F6"/>
    <w:rsid w:val="009668B6"/>
    <w:rsid w:val="0097162E"/>
    <w:rsid w:val="009771E5"/>
    <w:rsid w:val="00985AA5"/>
    <w:rsid w:val="009877FB"/>
    <w:rsid w:val="00991675"/>
    <w:rsid w:val="00991702"/>
    <w:rsid w:val="00992E35"/>
    <w:rsid w:val="00994F22"/>
    <w:rsid w:val="009B06D6"/>
    <w:rsid w:val="009B56F7"/>
    <w:rsid w:val="009B613E"/>
    <w:rsid w:val="009C235F"/>
    <w:rsid w:val="009D2566"/>
    <w:rsid w:val="009D4ECB"/>
    <w:rsid w:val="009E4424"/>
    <w:rsid w:val="00A10BEB"/>
    <w:rsid w:val="00A12264"/>
    <w:rsid w:val="00A223B5"/>
    <w:rsid w:val="00A243D8"/>
    <w:rsid w:val="00A3237A"/>
    <w:rsid w:val="00A37F1E"/>
    <w:rsid w:val="00A40530"/>
    <w:rsid w:val="00A415A7"/>
    <w:rsid w:val="00A43180"/>
    <w:rsid w:val="00A4512D"/>
    <w:rsid w:val="00A50275"/>
    <w:rsid w:val="00A524BA"/>
    <w:rsid w:val="00A5432B"/>
    <w:rsid w:val="00A603E5"/>
    <w:rsid w:val="00A6604C"/>
    <w:rsid w:val="00A705AF"/>
    <w:rsid w:val="00A752CB"/>
    <w:rsid w:val="00A91DB9"/>
    <w:rsid w:val="00AA2F61"/>
    <w:rsid w:val="00AA5197"/>
    <w:rsid w:val="00AC6438"/>
    <w:rsid w:val="00AD1D13"/>
    <w:rsid w:val="00AD3506"/>
    <w:rsid w:val="00AD38DE"/>
    <w:rsid w:val="00B136AD"/>
    <w:rsid w:val="00B173D8"/>
    <w:rsid w:val="00B238E7"/>
    <w:rsid w:val="00B27CA9"/>
    <w:rsid w:val="00B316E0"/>
    <w:rsid w:val="00B370F9"/>
    <w:rsid w:val="00B40C98"/>
    <w:rsid w:val="00B42851"/>
    <w:rsid w:val="00B449B8"/>
    <w:rsid w:val="00B54368"/>
    <w:rsid w:val="00B6005D"/>
    <w:rsid w:val="00B64473"/>
    <w:rsid w:val="00B73FAC"/>
    <w:rsid w:val="00B849B4"/>
    <w:rsid w:val="00B856E5"/>
    <w:rsid w:val="00B92164"/>
    <w:rsid w:val="00BA094F"/>
    <w:rsid w:val="00BB0580"/>
    <w:rsid w:val="00BB4164"/>
    <w:rsid w:val="00BC477F"/>
    <w:rsid w:val="00BD593B"/>
    <w:rsid w:val="00BE6DFB"/>
    <w:rsid w:val="00C11155"/>
    <w:rsid w:val="00C14676"/>
    <w:rsid w:val="00C23C48"/>
    <w:rsid w:val="00C37B52"/>
    <w:rsid w:val="00C43929"/>
    <w:rsid w:val="00C4411D"/>
    <w:rsid w:val="00C46727"/>
    <w:rsid w:val="00C50954"/>
    <w:rsid w:val="00C571FB"/>
    <w:rsid w:val="00C63950"/>
    <w:rsid w:val="00C70687"/>
    <w:rsid w:val="00C74E24"/>
    <w:rsid w:val="00C8348A"/>
    <w:rsid w:val="00C96212"/>
    <w:rsid w:val="00CB0471"/>
    <w:rsid w:val="00CB0EDE"/>
    <w:rsid w:val="00CB5B1A"/>
    <w:rsid w:val="00CB5CD4"/>
    <w:rsid w:val="00CB6D28"/>
    <w:rsid w:val="00CC290A"/>
    <w:rsid w:val="00CC3BC7"/>
    <w:rsid w:val="00CC698D"/>
    <w:rsid w:val="00CD00E1"/>
    <w:rsid w:val="00CD2D2D"/>
    <w:rsid w:val="00CE36FD"/>
    <w:rsid w:val="00CE6265"/>
    <w:rsid w:val="00CE7A45"/>
    <w:rsid w:val="00D00A89"/>
    <w:rsid w:val="00D06730"/>
    <w:rsid w:val="00D10EC2"/>
    <w:rsid w:val="00D13FCB"/>
    <w:rsid w:val="00D26190"/>
    <w:rsid w:val="00D27197"/>
    <w:rsid w:val="00D30B8D"/>
    <w:rsid w:val="00D4243A"/>
    <w:rsid w:val="00D47ED5"/>
    <w:rsid w:val="00D554C1"/>
    <w:rsid w:val="00D673F6"/>
    <w:rsid w:val="00D70540"/>
    <w:rsid w:val="00D752D8"/>
    <w:rsid w:val="00D753E6"/>
    <w:rsid w:val="00D769E3"/>
    <w:rsid w:val="00D90D9C"/>
    <w:rsid w:val="00D91C68"/>
    <w:rsid w:val="00D9781C"/>
    <w:rsid w:val="00DA1DCE"/>
    <w:rsid w:val="00DA6CEB"/>
    <w:rsid w:val="00DC31BA"/>
    <w:rsid w:val="00DC46EC"/>
    <w:rsid w:val="00DD1A12"/>
    <w:rsid w:val="00DD5289"/>
    <w:rsid w:val="00DE2C43"/>
    <w:rsid w:val="00DE337A"/>
    <w:rsid w:val="00DE520D"/>
    <w:rsid w:val="00DF00A5"/>
    <w:rsid w:val="00DF1B1C"/>
    <w:rsid w:val="00E0537D"/>
    <w:rsid w:val="00E06EDD"/>
    <w:rsid w:val="00E1011C"/>
    <w:rsid w:val="00E1098E"/>
    <w:rsid w:val="00E24029"/>
    <w:rsid w:val="00E24EA4"/>
    <w:rsid w:val="00E4382D"/>
    <w:rsid w:val="00E50426"/>
    <w:rsid w:val="00E63381"/>
    <w:rsid w:val="00E6484F"/>
    <w:rsid w:val="00E71388"/>
    <w:rsid w:val="00E74BF5"/>
    <w:rsid w:val="00E82E51"/>
    <w:rsid w:val="00E91918"/>
    <w:rsid w:val="00E91C97"/>
    <w:rsid w:val="00E9454F"/>
    <w:rsid w:val="00EC0379"/>
    <w:rsid w:val="00EC1EA0"/>
    <w:rsid w:val="00ED66B6"/>
    <w:rsid w:val="00EE4004"/>
    <w:rsid w:val="00EF13D1"/>
    <w:rsid w:val="00EF1F02"/>
    <w:rsid w:val="00EF5339"/>
    <w:rsid w:val="00EF75EF"/>
    <w:rsid w:val="00F14074"/>
    <w:rsid w:val="00F231CB"/>
    <w:rsid w:val="00F240B4"/>
    <w:rsid w:val="00F2421F"/>
    <w:rsid w:val="00F25FA6"/>
    <w:rsid w:val="00F34661"/>
    <w:rsid w:val="00F37EE4"/>
    <w:rsid w:val="00F45FD7"/>
    <w:rsid w:val="00F477E7"/>
    <w:rsid w:val="00F5122C"/>
    <w:rsid w:val="00F635FA"/>
    <w:rsid w:val="00F65B2C"/>
    <w:rsid w:val="00F83642"/>
    <w:rsid w:val="00F91479"/>
    <w:rsid w:val="00FA441A"/>
    <w:rsid w:val="00FA6138"/>
    <w:rsid w:val="00FB2981"/>
    <w:rsid w:val="00FC51BB"/>
    <w:rsid w:val="00FD7CEC"/>
    <w:rsid w:val="00FE6707"/>
    <w:rsid w:val="00FE7CD9"/>
    <w:rsid w:val="00FF0A1E"/>
    <w:rsid w:val="00FF3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35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5EF"/>
    <w:pPr>
      <w:spacing w:before="80" w:after="80" w:line="360" w:lineRule="auto"/>
    </w:pPr>
    <w:rPr>
      <w:rFonts w:ascii="Arial" w:hAnsi="Arial"/>
      <w:sz w:val="22"/>
      <w:szCs w:val="24"/>
      <w:lang w:eastAsia="en-US"/>
    </w:rPr>
  </w:style>
  <w:style w:type="paragraph" w:styleId="Heading1">
    <w:name w:val="heading 1"/>
    <w:basedOn w:val="Normal"/>
    <w:next w:val="Normal"/>
    <w:link w:val="Heading1Char"/>
    <w:qFormat/>
    <w:rsid w:val="00B27CA9"/>
    <w:pPr>
      <w:keepNext/>
      <w:numPr>
        <w:numId w:val="39"/>
      </w:numPr>
      <w:spacing w:before="240" w:after="120"/>
      <w:ind w:left="425" w:hanging="425"/>
      <w:outlineLvl w:val="0"/>
    </w:pPr>
    <w:rPr>
      <w:rFonts w:cs="Arial"/>
      <w:b/>
      <w:bCs/>
      <w:color w:val="003D69"/>
      <w:kern w:val="28"/>
      <w:sz w:val="28"/>
      <w:szCs w:val="32"/>
    </w:rPr>
  </w:style>
  <w:style w:type="paragraph" w:styleId="Heading2">
    <w:name w:val="heading 2"/>
    <w:basedOn w:val="Normal"/>
    <w:next w:val="Normal"/>
    <w:link w:val="Heading2Char"/>
    <w:qFormat/>
    <w:rsid w:val="00A705AF"/>
    <w:pPr>
      <w:keepNext/>
      <w:spacing w:before="240" w:after="60"/>
      <w:outlineLvl w:val="1"/>
    </w:pPr>
    <w:rPr>
      <w:rFonts w:cs="Arial"/>
      <w:b/>
      <w:bCs/>
      <w:i/>
      <w:iCs/>
      <w:szCs w:val="28"/>
    </w:rPr>
  </w:style>
  <w:style w:type="paragraph" w:styleId="Heading3">
    <w:name w:val="heading 3"/>
    <w:basedOn w:val="Normal"/>
    <w:next w:val="Normal"/>
    <w:link w:val="Heading3Char"/>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B27CA9"/>
    <w:pPr>
      <w:spacing w:before="2760" w:after="300"/>
      <w:contextualSpacing/>
      <w:jc w:val="center"/>
    </w:pPr>
    <w:rPr>
      <w:rFonts w:eastAsiaTheme="majorEastAsia" w:cstheme="majorBidi"/>
      <w:b/>
      <w:color w:val="003D69"/>
      <w:kern w:val="28"/>
      <w:sz w:val="64"/>
      <w:szCs w:val="52"/>
    </w:rPr>
  </w:style>
  <w:style w:type="character" w:customStyle="1" w:styleId="TitleChar">
    <w:name w:val="Title Char"/>
    <w:basedOn w:val="DefaultParagraphFont"/>
    <w:link w:val="Title"/>
    <w:rsid w:val="00B27CA9"/>
    <w:rPr>
      <w:rFonts w:ascii="Arial" w:eastAsiaTheme="majorEastAsia" w:hAnsi="Arial" w:cstheme="majorBidi"/>
      <w:b/>
      <w:color w:val="003D69"/>
      <w:kern w:val="28"/>
      <w:sz w:val="64"/>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List Paragraph1,List Paragraph11,Recommendation,Bullet Point,Bulletr List Paragraph,Content descriptions,FooterText,L,List Bullet 1,List Paragraph2,List Paragraph21,Listeafsnit1,NFP GP Bulleted List,Paragraphe de liste1,リスト段落"/>
    <w:basedOn w:val="Normal"/>
    <w:link w:val="ListParagraphChar"/>
    <w:uiPriority w:val="34"/>
    <w:qFormat/>
    <w:rsid w:val="003B5CE7"/>
    <w:pPr>
      <w:ind w:left="567"/>
      <w:contextualSpacing/>
    </w:pPr>
  </w:style>
  <w:style w:type="character" w:customStyle="1" w:styleId="Heading1Char">
    <w:name w:val="Heading 1 Char"/>
    <w:basedOn w:val="DefaultParagraphFont"/>
    <w:link w:val="Heading1"/>
    <w:rsid w:val="00B27CA9"/>
    <w:rPr>
      <w:rFonts w:ascii="Arial" w:hAnsi="Arial" w:cs="Arial"/>
      <w:b/>
      <w:bCs/>
      <w:color w:val="003D69"/>
      <w:kern w:val="28"/>
      <w:sz w:val="28"/>
      <w:szCs w:val="32"/>
      <w:lang w:eastAsia="en-US"/>
    </w:rPr>
  </w:style>
  <w:style w:type="character" w:customStyle="1" w:styleId="Heading2Char">
    <w:name w:val="Heading 2 Char"/>
    <w:basedOn w:val="DefaultParagraphFont"/>
    <w:link w:val="Heading2"/>
    <w:uiPriority w:val="9"/>
    <w:rsid w:val="00C50954"/>
    <w:rPr>
      <w:rFonts w:ascii="Arial" w:hAnsi="Arial" w:cs="Arial"/>
      <w:b/>
      <w:bCs/>
      <w:i/>
      <w:iCs/>
      <w:sz w:val="24"/>
      <w:szCs w:val="28"/>
      <w:lang w:eastAsia="en-US"/>
    </w:rPr>
  </w:style>
  <w:style w:type="character" w:customStyle="1" w:styleId="ListParagraphChar">
    <w:name w:val="List Paragraph Char"/>
    <w:aliases w:val="Bullet point Char,List Paragraph1 Char,List Paragraph11 Char,Recommendation Char,Bullet Point Char,Bulletr List Paragraph Char,Content descriptions Char,FooterText Char,L Char,List Bullet 1 Char,List Paragraph2 Char,Listeafsnit1 Char"/>
    <w:link w:val="ListParagraph"/>
    <w:uiPriority w:val="34"/>
    <w:locked/>
    <w:rsid w:val="003B5CE7"/>
    <w:rPr>
      <w:rFonts w:ascii="Arial" w:hAnsi="Arial"/>
      <w:sz w:val="22"/>
      <w:szCs w:val="24"/>
      <w:lang w:eastAsia="en-US"/>
    </w:rPr>
  </w:style>
  <w:style w:type="paragraph" w:styleId="Header">
    <w:name w:val="header"/>
    <w:basedOn w:val="Normal"/>
    <w:link w:val="HeaderChar"/>
    <w:uiPriority w:val="99"/>
    <w:rsid w:val="00AD38DE"/>
    <w:pPr>
      <w:tabs>
        <w:tab w:val="center" w:pos="4513"/>
        <w:tab w:val="right" w:pos="9026"/>
      </w:tabs>
    </w:pPr>
  </w:style>
  <w:style w:type="character" w:customStyle="1" w:styleId="HeaderChar">
    <w:name w:val="Header Char"/>
    <w:basedOn w:val="DefaultParagraphFont"/>
    <w:link w:val="Header"/>
    <w:uiPriority w:val="99"/>
    <w:rsid w:val="00AD38DE"/>
    <w:rPr>
      <w:sz w:val="24"/>
      <w:szCs w:val="24"/>
      <w:lang w:eastAsia="en-US"/>
    </w:rPr>
  </w:style>
  <w:style w:type="paragraph" w:styleId="Footer">
    <w:name w:val="footer"/>
    <w:basedOn w:val="Normal"/>
    <w:link w:val="FooterChar"/>
    <w:uiPriority w:val="99"/>
    <w:rsid w:val="00AD38DE"/>
    <w:pPr>
      <w:tabs>
        <w:tab w:val="center" w:pos="4513"/>
        <w:tab w:val="right" w:pos="9026"/>
      </w:tabs>
    </w:pPr>
  </w:style>
  <w:style w:type="character" w:customStyle="1" w:styleId="FooterChar">
    <w:name w:val="Footer Char"/>
    <w:basedOn w:val="DefaultParagraphFont"/>
    <w:link w:val="Footer"/>
    <w:uiPriority w:val="99"/>
    <w:rsid w:val="00AD38DE"/>
    <w:rPr>
      <w:sz w:val="24"/>
      <w:szCs w:val="24"/>
      <w:lang w:eastAsia="en-US"/>
    </w:rPr>
  </w:style>
  <w:style w:type="paragraph" w:styleId="BalloonText">
    <w:name w:val="Balloon Text"/>
    <w:basedOn w:val="Normal"/>
    <w:link w:val="BalloonTextChar"/>
    <w:rsid w:val="00203E95"/>
    <w:rPr>
      <w:rFonts w:ascii="Tahoma" w:hAnsi="Tahoma" w:cs="Tahoma"/>
      <w:sz w:val="16"/>
      <w:szCs w:val="16"/>
    </w:rPr>
  </w:style>
  <w:style w:type="character" w:customStyle="1" w:styleId="BalloonTextChar">
    <w:name w:val="Balloon Text Char"/>
    <w:basedOn w:val="DefaultParagraphFont"/>
    <w:link w:val="BalloonText"/>
    <w:rsid w:val="00203E95"/>
    <w:rPr>
      <w:rFonts w:ascii="Tahoma" w:hAnsi="Tahoma" w:cs="Tahoma"/>
      <w:sz w:val="16"/>
      <w:szCs w:val="16"/>
      <w:lang w:eastAsia="en-US"/>
    </w:rPr>
  </w:style>
  <w:style w:type="character" w:styleId="CommentReference">
    <w:name w:val="annotation reference"/>
    <w:basedOn w:val="DefaultParagraphFont"/>
    <w:rsid w:val="00AA2F61"/>
    <w:rPr>
      <w:sz w:val="16"/>
      <w:szCs w:val="16"/>
    </w:rPr>
  </w:style>
  <w:style w:type="paragraph" w:styleId="CommentText">
    <w:name w:val="annotation text"/>
    <w:basedOn w:val="Normal"/>
    <w:link w:val="CommentTextChar"/>
    <w:rsid w:val="00AA2F61"/>
    <w:rPr>
      <w:sz w:val="20"/>
      <w:szCs w:val="20"/>
    </w:rPr>
  </w:style>
  <w:style w:type="character" w:customStyle="1" w:styleId="CommentTextChar">
    <w:name w:val="Comment Text Char"/>
    <w:basedOn w:val="DefaultParagraphFont"/>
    <w:link w:val="CommentText"/>
    <w:rsid w:val="00AA2F61"/>
    <w:rPr>
      <w:lang w:eastAsia="en-US"/>
    </w:rPr>
  </w:style>
  <w:style w:type="paragraph" w:styleId="CommentSubject">
    <w:name w:val="annotation subject"/>
    <w:basedOn w:val="CommentText"/>
    <w:next w:val="CommentText"/>
    <w:link w:val="CommentSubjectChar"/>
    <w:rsid w:val="00AA2F61"/>
    <w:rPr>
      <w:b/>
      <w:bCs/>
    </w:rPr>
  </w:style>
  <w:style w:type="character" w:customStyle="1" w:styleId="CommentSubjectChar">
    <w:name w:val="Comment Subject Char"/>
    <w:basedOn w:val="CommentTextChar"/>
    <w:link w:val="CommentSubject"/>
    <w:rsid w:val="00AA2F61"/>
    <w:rPr>
      <w:b/>
      <w:bCs/>
      <w:lang w:eastAsia="en-US"/>
    </w:rPr>
  </w:style>
  <w:style w:type="paragraph" w:styleId="BodyText">
    <w:name w:val="Body Text"/>
    <w:basedOn w:val="Normal"/>
    <w:link w:val="BodyTextChar"/>
    <w:qFormat/>
    <w:rsid w:val="00B316E0"/>
    <w:pPr>
      <w:spacing w:after="160" w:line="259" w:lineRule="auto"/>
    </w:pPr>
    <w:rPr>
      <w:rFonts w:asciiTheme="minorHAnsi" w:eastAsiaTheme="minorHAnsi" w:hAnsiTheme="minorHAnsi" w:cstheme="minorBidi"/>
    </w:rPr>
  </w:style>
  <w:style w:type="character" w:customStyle="1" w:styleId="BodyTextChar">
    <w:name w:val="Body Text Char"/>
    <w:basedOn w:val="DefaultParagraphFont"/>
    <w:link w:val="BodyText"/>
    <w:rsid w:val="00B316E0"/>
    <w:rPr>
      <w:rFonts w:asciiTheme="minorHAnsi" w:eastAsiaTheme="minorHAnsi" w:hAnsiTheme="minorHAnsi" w:cstheme="minorBidi"/>
      <w:sz w:val="24"/>
      <w:szCs w:val="24"/>
      <w:lang w:eastAsia="en-US"/>
    </w:rPr>
  </w:style>
  <w:style w:type="paragraph" w:styleId="ListNumber">
    <w:name w:val="List Number"/>
    <w:basedOn w:val="Normal"/>
    <w:uiPriority w:val="99"/>
    <w:qFormat/>
    <w:rsid w:val="00CD00E1"/>
    <w:pPr>
      <w:numPr>
        <w:numId w:val="16"/>
      </w:numPr>
      <w:spacing w:after="200" w:line="276" w:lineRule="auto"/>
    </w:pPr>
    <w:rPr>
      <w:rFonts w:eastAsia="Calibri"/>
      <w:szCs w:val="22"/>
    </w:rPr>
  </w:style>
  <w:style w:type="paragraph" w:styleId="ListNumber2">
    <w:name w:val="List Number 2"/>
    <w:basedOn w:val="Normal"/>
    <w:uiPriority w:val="99"/>
    <w:rsid w:val="00CD00E1"/>
    <w:pPr>
      <w:numPr>
        <w:ilvl w:val="1"/>
        <w:numId w:val="16"/>
      </w:numPr>
      <w:spacing w:after="200" w:line="276" w:lineRule="auto"/>
    </w:pPr>
    <w:rPr>
      <w:rFonts w:eastAsia="Calibri"/>
      <w:szCs w:val="22"/>
    </w:rPr>
  </w:style>
  <w:style w:type="paragraph" w:styleId="ListNumber3">
    <w:name w:val="List Number 3"/>
    <w:basedOn w:val="Normal"/>
    <w:uiPriority w:val="99"/>
    <w:rsid w:val="00CD00E1"/>
    <w:pPr>
      <w:numPr>
        <w:ilvl w:val="2"/>
        <w:numId w:val="16"/>
      </w:numPr>
      <w:spacing w:after="200" w:line="276" w:lineRule="auto"/>
    </w:pPr>
    <w:rPr>
      <w:rFonts w:eastAsia="Calibri"/>
      <w:szCs w:val="22"/>
    </w:rPr>
  </w:style>
  <w:style w:type="paragraph" w:styleId="ListNumber4">
    <w:name w:val="List Number 4"/>
    <w:basedOn w:val="Normal"/>
    <w:uiPriority w:val="99"/>
    <w:rsid w:val="00CD00E1"/>
    <w:pPr>
      <w:numPr>
        <w:ilvl w:val="3"/>
        <w:numId w:val="16"/>
      </w:numPr>
      <w:spacing w:after="200" w:line="276" w:lineRule="auto"/>
    </w:pPr>
    <w:rPr>
      <w:rFonts w:eastAsia="Calibri"/>
      <w:szCs w:val="22"/>
    </w:rPr>
  </w:style>
  <w:style w:type="paragraph" w:styleId="ListNumber5">
    <w:name w:val="List Number 5"/>
    <w:basedOn w:val="Normal"/>
    <w:uiPriority w:val="99"/>
    <w:rsid w:val="00CD00E1"/>
    <w:pPr>
      <w:numPr>
        <w:ilvl w:val="4"/>
        <w:numId w:val="16"/>
      </w:numPr>
      <w:spacing w:after="200" w:line="276" w:lineRule="auto"/>
    </w:pPr>
    <w:rPr>
      <w:rFonts w:eastAsia="Calibri"/>
      <w:szCs w:val="22"/>
    </w:rPr>
  </w:style>
  <w:style w:type="paragraph" w:styleId="Revision">
    <w:name w:val="Revision"/>
    <w:hidden/>
    <w:uiPriority w:val="99"/>
    <w:semiHidden/>
    <w:rsid w:val="00071794"/>
    <w:rPr>
      <w:sz w:val="24"/>
      <w:szCs w:val="24"/>
      <w:lang w:eastAsia="en-US"/>
    </w:rPr>
  </w:style>
  <w:style w:type="character" w:customStyle="1" w:styleId="Heading3Char">
    <w:name w:val="Heading 3 Char"/>
    <w:basedOn w:val="DefaultParagraphFont"/>
    <w:link w:val="Heading3"/>
    <w:rsid w:val="00D4243A"/>
    <w:rPr>
      <w:rFonts w:ascii="Arial" w:hAnsi="Arial" w:cs="Arial"/>
      <w:bCs/>
      <w:sz w:val="24"/>
      <w:szCs w:val="26"/>
      <w:lang w:eastAsia="en-US"/>
    </w:rPr>
  </w:style>
  <w:style w:type="character" w:customStyle="1" w:styleId="A17">
    <w:name w:val="A17"/>
    <w:uiPriority w:val="99"/>
    <w:rsid w:val="009D2566"/>
    <w:rPr>
      <w:rFonts w:cs="Open Sans"/>
      <w:color w:val="000000"/>
      <w:sz w:val="18"/>
      <w:szCs w:val="18"/>
    </w:rPr>
  </w:style>
  <w:style w:type="character" w:styleId="Hyperlink">
    <w:name w:val="Hyperlink"/>
    <w:basedOn w:val="DefaultParagraphFont"/>
    <w:unhideWhenUsed/>
    <w:rsid w:val="00330D9A"/>
    <w:rPr>
      <w:color w:val="0000FF" w:themeColor="hyperlink"/>
      <w:u w:val="single"/>
    </w:rPr>
  </w:style>
  <w:style w:type="paragraph" w:customStyle="1" w:styleId="Paragraphtext">
    <w:name w:val="Paragraph text"/>
    <w:basedOn w:val="Normal"/>
    <w:qFormat/>
    <w:rsid w:val="00330D9A"/>
  </w:style>
  <w:style w:type="paragraph" w:customStyle="1" w:styleId="Default">
    <w:name w:val="Default"/>
    <w:basedOn w:val="Normal"/>
    <w:uiPriority w:val="99"/>
    <w:rsid w:val="00583AFB"/>
    <w:pPr>
      <w:autoSpaceDE w:val="0"/>
      <w:autoSpaceDN w:val="0"/>
    </w:pPr>
    <w:rPr>
      <w:rFonts w:ascii="Calibri" w:eastAsiaTheme="minorHAnsi" w:hAnsi="Calibri" w:cs="Calibr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52964">
      <w:bodyDiv w:val="1"/>
      <w:marLeft w:val="0"/>
      <w:marRight w:val="0"/>
      <w:marTop w:val="0"/>
      <w:marBottom w:val="0"/>
      <w:divBdr>
        <w:top w:val="none" w:sz="0" w:space="0" w:color="auto"/>
        <w:left w:val="none" w:sz="0" w:space="0" w:color="auto"/>
        <w:bottom w:val="none" w:sz="0" w:space="0" w:color="auto"/>
        <w:right w:val="none" w:sz="0" w:space="0" w:color="auto"/>
      </w:divBdr>
    </w:div>
    <w:div w:id="1062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internet/main/publishing.nsf/Content/PHN-Contacts" TargetMode="External"/><Relationship Id="rId13" Type="http://schemas.openxmlformats.org/officeDocument/2006/relationships/hyperlink" Target="file:///\\central.health\DfsUserEnv\Users\User_23\MACHUM\Documents\:%20https:\www.health.gov.au\internet\main\publishing.nsf\Content\PIP-QI_Incentive_guida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gov.au/internet/main/publishing.nsf/Content/PIP-QI_Incentive_guidan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internet/main/publishing.nsf/Content/PIP-QI_Incentive_guid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ealth.gov.au/internet/main/publishing.nsf/Content/PIP-QI_Incentive_guidanc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umanservices.gov.au/organisations/health-professionals/services/medicare/practice-incentives-program/guidelines/quality-improvement-incentive" TargetMode="External"/><Relationship Id="rId14" Type="http://schemas.openxmlformats.org/officeDocument/2006/relationships/hyperlink" Target="https://www.health.gov.au/internet/main/publishing.nsf/Content/PIP-QI_Incentive_guidanc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3B2C36D-E5DB-4224-AFBA-0144D840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1881</Words>
  <Characters>11500</Characters>
  <Application>Microsoft Office Word</Application>
  <DocSecurity>0</DocSecurity>
  <Lines>176</Lines>
  <Paragraphs>70</Paragraphs>
  <ScaleCrop>false</ScaleCrop>
  <HeadingPairs>
    <vt:vector size="2" baseType="variant">
      <vt:variant>
        <vt:lpstr>Title</vt:lpstr>
      </vt:variant>
      <vt:variant>
        <vt:i4>1</vt:i4>
      </vt:variant>
    </vt:vector>
  </HeadingPairs>
  <TitlesOfParts>
    <vt:vector size="1" baseType="lpstr">
      <vt:lpstr>Practice Incentive Program Quality Improvement Incentive Frequently Asked Questions</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Incentive Program Quality Improvement Incentive Frequently Asked Questions</dc:title>
  <dc:creator/>
  <cp:lastModifiedBy/>
  <cp:revision>1</cp:revision>
  <dcterms:created xsi:type="dcterms:W3CDTF">2019-07-24T00:52:00Z</dcterms:created>
  <dcterms:modified xsi:type="dcterms:W3CDTF">2022-10-21T05:30:00Z</dcterms:modified>
</cp:coreProperties>
</file>