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304B" w14:textId="013BA0F0" w:rsidR="00426609" w:rsidRDefault="00426609">
      <w:pPr>
        <w:rPr>
          <w:rStyle w:val="Strong"/>
          <w:rFonts w:ascii="Verdana" w:hAnsi="Verdana"/>
          <w:color w:val="000000"/>
          <w:sz w:val="20"/>
          <w:szCs w:val="20"/>
        </w:rPr>
      </w:pPr>
    </w:p>
    <w:p w14:paraId="647A5C2C" w14:textId="77777777" w:rsidR="00583E44" w:rsidRDefault="00583E44" w:rsidP="00583E44">
      <w:pPr>
        <w:pStyle w:val="Title"/>
        <w:numPr>
          <w:ilvl w:val="1"/>
          <w:numId w:val="0"/>
        </w:numPr>
        <w:jc w:val="left"/>
        <w:rPr>
          <w:rStyle w:val="Emphasis"/>
          <w:i w:val="0"/>
        </w:rPr>
      </w:pPr>
      <w:r w:rsidRPr="00583E44">
        <w:rPr>
          <w:rStyle w:val="Emphasis"/>
          <w:i w:val="0"/>
        </w:rPr>
        <w:t>Practice Incentive Program Quality Improvement Incentive</w:t>
      </w:r>
    </w:p>
    <w:p w14:paraId="1ECE1175" w14:textId="791766F5" w:rsidR="00583E44" w:rsidRDefault="00583E44" w:rsidP="00583E44">
      <w:pPr>
        <w:pStyle w:val="Title"/>
        <w:numPr>
          <w:ilvl w:val="1"/>
          <w:numId w:val="0"/>
        </w:numPr>
        <w:jc w:val="left"/>
        <w:rPr>
          <w:rStyle w:val="Emphasis"/>
          <w:i w:val="0"/>
        </w:rPr>
      </w:pPr>
      <w:r>
        <w:rPr>
          <w:rStyle w:val="Emphasis"/>
          <w:i w:val="0"/>
        </w:rPr>
        <w:t>Data Privacy and Security Review</w:t>
      </w:r>
    </w:p>
    <w:p w14:paraId="47C7137B" w14:textId="6B3ADAD7" w:rsidR="00636171" w:rsidRDefault="00197E79" w:rsidP="00A05271">
      <w:pPr>
        <w:pStyle w:val="Subtitle"/>
        <w:jc w:val="left"/>
        <w:rPr>
          <w:rStyle w:val="Emphasis"/>
          <w:b/>
          <w:i w:val="0"/>
          <w:iCs/>
          <w:sz w:val="40"/>
          <w:szCs w:val="40"/>
        </w:rPr>
      </w:pPr>
      <w:r>
        <w:rPr>
          <w:rStyle w:val="Emphasis"/>
          <w:i w:val="0"/>
          <w:sz w:val="40"/>
          <w:szCs w:val="40"/>
        </w:rPr>
        <w:t xml:space="preserve">Summary and </w:t>
      </w:r>
      <w:r w:rsidR="00583E44" w:rsidRPr="00583E44">
        <w:rPr>
          <w:rStyle w:val="Emphasis"/>
          <w:i w:val="0"/>
          <w:sz w:val="40"/>
          <w:szCs w:val="40"/>
        </w:rPr>
        <w:t>Recommendations</w:t>
      </w:r>
      <w:r w:rsidR="00583E44">
        <w:rPr>
          <w:rStyle w:val="Emphasis"/>
          <w:i w:val="0"/>
          <w:sz w:val="40"/>
          <w:szCs w:val="40"/>
        </w:rPr>
        <w:t xml:space="preserve"> </w:t>
      </w:r>
    </w:p>
    <w:p w14:paraId="779BF172" w14:textId="77777777" w:rsidR="00A05271" w:rsidRDefault="00A05271">
      <w:pPr>
        <w:rPr>
          <w:rFonts w:ascii="Verdana" w:hAnsi="Verdana"/>
          <w:b/>
          <w:color w:val="000000"/>
          <w:sz w:val="20"/>
          <w:szCs w:val="20"/>
          <w:shd w:val="clear" w:color="auto" w:fill="FFFFFF"/>
        </w:rPr>
      </w:pPr>
      <w:r>
        <w:rPr>
          <w:rFonts w:ascii="Verdana" w:hAnsi="Verdana"/>
          <w:b/>
          <w:color w:val="000000"/>
          <w:sz w:val="20"/>
          <w:szCs w:val="20"/>
          <w:shd w:val="clear" w:color="auto" w:fill="FFFFFF"/>
        </w:rPr>
        <w:br w:type="page"/>
      </w:r>
    </w:p>
    <w:p w14:paraId="0058F110" w14:textId="4BEA53C1" w:rsidR="00D255CE" w:rsidRPr="00636171" w:rsidRDefault="002A68C9">
      <w:pPr>
        <w:rPr>
          <w:rFonts w:ascii="Arial" w:eastAsiaTheme="majorEastAsia" w:hAnsi="Arial" w:cstheme="majorBidi"/>
          <w:b/>
          <w:iCs/>
          <w:color w:val="32373A"/>
          <w:spacing w:val="15"/>
          <w:sz w:val="40"/>
          <w:szCs w:val="40"/>
        </w:rPr>
      </w:pPr>
      <w:r>
        <w:rPr>
          <w:rFonts w:ascii="Verdana" w:hAnsi="Verdana"/>
          <w:b/>
          <w:color w:val="000000"/>
          <w:sz w:val="20"/>
          <w:szCs w:val="20"/>
          <w:shd w:val="clear" w:color="auto" w:fill="FFFFFF"/>
        </w:rPr>
        <w:lastRenderedPageBreak/>
        <w:t>Overview</w:t>
      </w:r>
      <w:r>
        <w:rPr>
          <w:rFonts w:ascii="Verdana" w:hAnsi="Verdana"/>
          <w:b/>
          <w:color w:val="000000"/>
          <w:sz w:val="20"/>
          <w:szCs w:val="20"/>
          <w:shd w:val="clear" w:color="auto" w:fill="FFFFFF"/>
        </w:rPr>
        <w:br/>
      </w:r>
      <w:r w:rsidR="00836A6A">
        <w:rPr>
          <w:rFonts w:ascii="Verdana" w:hAnsi="Verdana"/>
          <w:color w:val="000000"/>
          <w:sz w:val="20"/>
          <w:szCs w:val="20"/>
          <w:shd w:val="clear" w:color="auto" w:fill="FFFFFF"/>
        </w:rPr>
        <w:t xml:space="preserve">The Department of Health commissioned a Data Privacy and Security Review of </w:t>
      </w:r>
      <w:r w:rsidR="00502562">
        <w:rPr>
          <w:rFonts w:ascii="Verdana" w:hAnsi="Verdana"/>
          <w:color w:val="000000"/>
          <w:sz w:val="20"/>
          <w:szCs w:val="20"/>
          <w:shd w:val="clear" w:color="auto" w:fill="FFFFFF"/>
        </w:rPr>
        <w:t xml:space="preserve">data collected through </w:t>
      </w:r>
      <w:r w:rsidR="00836A6A">
        <w:rPr>
          <w:rFonts w:ascii="Verdana" w:hAnsi="Verdana"/>
          <w:color w:val="000000"/>
          <w:sz w:val="20"/>
          <w:szCs w:val="20"/>
          <w:shd w:val="clear" w:color="auto" w:fill="FFFFFF"/>
        </w:rPr>
        <w:t xml:space="preserve">the Practice Incentive Program (PIP) Quality Improvement (QI) Incentive </w:t>
      </w:r>
      <w:r w:rsidR="00502562">
        <w:rPr>
          <w:rFonts w:ascii="Verdana" w:hAnsi="Verdana"/>
          <w:color w:val="000000"/>
          <w:sz w:val="20"/>
          <w:szCs w:val="20"/>
          <w:shd w:val="clear" w:color="auto" w:fill="FFFFFF"/>
        </w:rPr>
        <w:t xml:space="preserve">and the processes by which it is held and transferred by data custodians </w:t>
      </w:r>
      <w:r w:rsidR="00836A6A">
        <w:rPr>
          <w:rFonts w:ascii="Verdana" w:hAnsi="Verdana"/>
          <w:color w:val="000000"/>
          <w:sz w:val="20"/>
          <w:szCs w:val="20"/>
          <w:shd w:val="clear" w:color="auto" w:fill="FFFFFF"/>
        </w:rPr>
        <w:t>(</w:t>
      </w:r>
      <w:r w:rsidR="00502562" w:rsidRPr="00502562">
        <w:rPr>
          <w:rFonts w:ascii="Verdana" w:hAnsi="Verdana"/>
          <w:b/>
          <w:color w:val="000000"/>
          <w:sz w:val="20"/>
          <w:szCs w:val="20"/>
          <w:shd w:val="clear" w:color="auto" w:fill="FFFFFF"/>
        </w:rPr>
        <w:t xml:space="preserve">the </w:t>
      </w:r>
      <w:r w:rsidR="001A536F">
        <w:rPr>
          <w:rFonts w:ascii="Verdana" w:hAnsi="Verdana"/>
          <w:b/>
          <w:color w:val="000000"/>
          <w:sz w:val="20"/>
          <w:szCs w:val="20"/>
          <w:shd w:val="clear" w:color="auto" w:fill="FFFFFF"/>
        </w:rPr>
        <w:t>Re</w:t>
      </w:r>
      <w:r w:rsidR="00E37000">
        <w:rPr>
          <w:rFonts w:ascii="Verdana" w:hAnsi="Verdana"/>
          <w:b/>
          <w:color w:val="000000"/>
          <w:sz w:val="20"/>
          <w:szCs w:val="20"/>
          <w:shd w:val="clear" w:color="auto" w:fill="FFFFFF"/>
        </w:rPr>
        <w:t>view</w:t>
      </w:r>
      <w:r w:rsidR="00836A6A">
        <w:rPr>
          <w:rFonts w:ascii="Verdana" w:hAnsi="Verdana"/>
          <w:color w:val="000000"/>
          <w:sz w:val="20"/>
          <w:szCs w:val="20"/>
          <w:shd w:val="clear" w:color="auto" w:fill="FFFFFF"/>
        </w:rPr>
        <w:t>)</w:t>
      </w:r>
      <w:r w:rsidR="00502562">
        <w:rPr>
          <w:rFonts w:ascii="Verdana" w:hAnsi="Verdana"/>
          <w:color w:val="000000"/>
          <w:sz w:val="20"/>
          <w:szCs w:val="20"/>
          <w:shd w:val="clear" w:color="auto" w:fill="FFFFFF"/>
        </w:rPr>
        <w:t xml:space="preserve">. </w:t>
      </w:r>
      <w:r w:rsidR="00D255CE">
        <w:rPr>
          <w:rFonts w:ascii="Verdana" w:hAnsi="Verdana"/>
          <w:color w:val="000000"/>
          <w:sz w:val="20"/>
          <w:szCs w:val="20"/>
          <w:shd w:val="clear" w:color="auto" w:fill="FFFFFF"/>
        </w:rPr>
        <w:t xml:space="preserve">The </w:t>
      </w:r>
      <w:r w:rsidR="00636171">
        <w:rPr>
          <w:rFonts w:ascii="Verdana" w:hAnsi="Verdana"/>
          <w:color w:val="000000"/>
          <w:sz w:val="20"/>
          <w:szCs w:val="20"/>
          <w:shd w:val="clear" w:color="auto" w:fill="FFFFFF"/>
        </w:rPr>
        <w:t>Review</w:t>
      </w:r>
      <w:r w:rsidR="001A536F">
        <w:rPr>
          <w:rFonts w:ascii="Verdana" w:hAnsi="Verdana"/>
          <w:color w:val="000000"/>
          <w:sz w:val="20"/>
          <w:szCs w:val="20"/>
          <w:shd w:val="clear" w:color="auto" w:fill="FFFFFF"/>
        </w:rPr>
        <w:t xml:space="preserve"> </w:t>
      </w:r>
      <w:r w:rsidR="00D255CE">
        <w:rPr>
          <w:rFonts w:ascii="Verdana" w:hAnsi="Verdana"/>
          <w:color w:val="000000"/>
          <w:sz w:val="20"/>
          <w:szCs w:val="20"/>
          <w:shd w:val="clear" w:color="auto" w:fill="FFFFFF"/>
        </w:rPr>
        <w:t xml:space="preserve">was initiated in response to concerns that had been raised by a number of stakeholder groups regarding the security of general practice data being collected </w:t>
      </w:r>
      <w:r w:rsidR="00836A6A">
        <w:rPr>
          <w:rFonts w:ascii="Verdana" w:hAnsi="Verdana"/>
          <w:color w:val="000000"/>
          <w:sz w:val="20"/>
          <w:szCs w:val="20"/>
          <w:shd w:val="clear" w:color="auto" w:fill="FFFFFF"/>
        </w:rPr>
        <w:t xml:space="preserve">and analysed by </w:t>
      </w:r>
      <w:r w:rsidR="00D255CE">
        <w:rPr>
          <w:rFonts w:ascii="Verdana" w:hAnsi="Verdana"/>
          <w:color w:val="000000"/>
          <w:sz w:val="20"/>
          <w:szCs w:val="20"/>
          <w:shd w:val="clear" w:color="auto" w:fill="FFFFFF"/>
        </w:rPr>
        <w:t xml:space="preserve">Primary Health Networks </w:t>
      </w:r>
      <w:r w:rsidR="007D4C38">
        <w:rPr>
          <w:rFonts w:ascii="Verdana" w:hAnsi="Verdana"/>
          <w:color w:val="000000"/>
          <w:sz w:val="20"/>
          <w:szCs w:val="20"/>
          <w:shd w:val="clear" w:color="auto" w:fill="FFFFFF"/>
        </w:rPr>
        <w:t>(</w:t>
      </w:r>
      <w:r w:rsidR="007D4C38" w:rsidRPr="007D4C38">
        <w:rPr>
          <w:rFonts w:ascii="Verdana" w:hAnsi="Verdana"/>
          <w:b/>
          <w:color w:val="000000"/>
          <w:sz w:val="20"/>
          <w:szCs w:val="20"/>
          <w:shd w:val="clear" w:color="auto" w:fill="FFFFFF"/>
        </w:rPr>
        <w:t>PHN</w:t>
      </w:r>
      <w:r w:rsidR="00836A6A">
        <w:rPr>
          <w:rFonts w:ascii="Verdana" w:hAnsi="Verdana"/>
          <w:b/>
          <w:color w:val="000000"/>
          <w:sz w:val="20"/>
          <w:szCs w:val="20"/>
          <w:shd w:val="clear" w:color="auto" w:fill="FFFFFF"/>
        </w:rPr>
        <w:t>s</w:t>
      </w:r>
      <w:r w:rsidR="007D4C38">
        <w:rPr>
          <w:rFonts w:ascii="Verdana" w:hAnsi="Verdana"/>
          <w:color w:val="000000"/>
          <w:sz w:val="20"/>
          <w:szCs w:val="20"/>
          <w:shd w:val="clear" w:color="auto" w:fill="FFFFFF"/>
        </w:rPr>
        <w:t xml:space="preserve">) </w:t>
      </w:r>
      <w:r w:rsidR="00D255CE">
        <w:rPr>
          <w:rFonts w:ascii="Verdana" w:hAnsi="Verdana"/>
          <w:color w:val="000000"/>
          <w:sz w:val="20"/>
          <w:szCs w:val="20"/>
          <w:shd w:val="clear" w:color="auto" w:fill="FFFFFF"/>
        </w:rPr>
        <w:t>and the Australian Institute of Health and Welfare</w:t>
      </w:r>
      <w:r w:rsidR="007D4C38">
        <w:rPr>
          <w:rFonts w:ascii="Verdana" w:hAnsi="Verdana"/>
          <w:color w:val="000000"/>
          <w:sz w:val="20"/>
          <w:szCs w:val="20"/>
          <w:shd w:val="clear" w:color="auto" w:fill="FFFFFF"/>
        </w:rPr>
        <w:t xml:space="preserve"> (</w:t>
      </w:r>
      <w:r w:rsidR="007D4C38" w:rsidRPr="007D4C38">
        <w:rPr>
          <w:rFonts w:ascii="Verdana" w:hAnsi="Verdana"/>
          <w:b/>
          <w:color w:val="000000"/>
          <w:sz w:val="20"/>
          <w:szCs w:val="20"/>
          <w:shd w:val="clear" w:color="auto" w:fill="FFFFFF"/>
        </w:rPr>
        <w:t>AIHW</w:t>
      </w:r>
      <w:r w:rsidR="00820495">
        <w:rPr>
          <w:rFonts w:ascii="Verdana" w:hAnsi="Verdana"/>
          <w:color w:val="000000"/>
          <w:sz w:val="20"/>
          <w:szCs w:val="20"/>
          <w:shd w:val="clear" w:color="auto" w:fill="FFFFFF"/>
        </w:rPr>
        <w:t xml:space="preserve">). </w:t>
      </w:r>
    </w:p>
    <w:p w14:paraId="6F24B0DA" w14:textId="62794169" w:rsidR="006B1C1C" w:rsidRDefault="00B72EE0">
      <w:pPr>
        <w:rPr>
          <w:rFonts w:ascii="Verdana" w:hAnsi="Verdana"/>
          <w:color w:val="000000"/>
          <w:sz w:val="20"/>
          <w:szCs w:val="20"/>
          <w:shd w:val="clear" w:color="auto" w:fill="FFFFFF"/>
        </w:rPr>
      </w:pPr>
      <w:r>
        <w:rPr>
          <w:rFonts w:ascii="Verdana" w:hAnsi="Verdana"/>
          <w:color w:val="000000"/>
          <w:sz w:val="20"/>
          <w:szCs w:val="20"/>
          <w:shd w:val="clear" w:color="auto" w:fill="FFFFFF"/>
        </w:rPr>
        <w:t>T</w:t>
      </w:r>
      <w:r w:rsidR="006B1C1C">
        <w:rPr>
          <w:rFonts w:ascii="Verdana" w:hAnsi="Verdana"/>
          <w:color w:val="000000"/>
          <w:sz w:val="20"/>
          <w:szCs w:val="20"/>
          <w:shd w:val="clear" w:color="auto" w:fill="FFFFFF"/>
        </w:rPr>
        <w:t xml:space="preserve">he </w:t>
      </w:r>
      <w:r w:rsidR="00636171">
        <w:rPr>
          <w:rFonts w:ascii="Verdana" w:hAnsi="Verdana"/>
          <w:color w:val="000000"/>
          <w:sz w:val="20"/>
          <w:szCs w:val="20"/>
          <w:shd w:val="clear" w:color="auto" w:fill="FFFFFF"/>
        </w:rPr>
        <w:t>Review</w:t>
      </w:r>
      <w:r w:rsidR="006B1C1C">
        <w:rPr>
          <w:rFonts w:ascii="Verdana" w:hAnsi="Verdana"/>
          <w:color w:val="000000"/>
          <w:sz w:val="20"/>
          <w:szCs w:val="20"/>
          <w:shd w:val="clear" w:color="auto" w:fill="FFFFFF"/>
        </w:rPr>
        <w:t xml:space="preserve"> found that despite differences in the way the data is collected from general pr</w:t>
      </w:r>
      <w:r>
        <w:rPr>
          <w:rFonts w:ascii="Verdana" w:hAnsi="Verdana"/>
          <w:color w:val="000000"/>
          <w:sz w:val="20"/>
          <w:szCs w:val="20"/>
          <w:shd w:val="clear" w:color="auto" w:fill="FFFFFF"/>
        </w:rPr>
        <w:t>actice</w:t>
      </w:r>
      <w:r w:rsidR="006B1C1C">
        <w:rPr>
          <w:rFonts w:ascii="Verdana" w:hAnsi="Verdana"/>
          <w:color w:val="000000"/>
          <w:sz w:val="20"/>
          <w:szCs w:val="20"/>
          <w:shd w:val="clear" w:color="auto" w:fill="FFFFFF"/>
        </w:rPr>
        <w:t xml:space="preserve"> by PHNs, data security controls to protect de-identified data from misuse, interference and loss were appropriate.</w:t>
      </w:r>
      <w:r>
        <w:rPr>
          <w:rFonts w:ascii="Verdana" w:hAnsi="Verdana"/>
          <w:color w:val="000000"/>
          <w:sz w:val="20"/>
          <w:szCs w:val="20"/>
          <w:shd w:val="clear" w:color="auto" w:fill="FFFFFF"/>
        </w:rPr>
        <w:t xml:space="preserve"> A total </w:t>
      </w:r>
      <w:r w:rsidR="002F12FD">
        <w:rPr>
          <w:rFonts w:ascii="Verdana" w:hAnsi="Verdana"/>
          <w:color w:val="000000"/>
          <w:sz w:val="20"/>
          <w:szCs w:val="20"/>
          <w:shd w:val="clear" w:color="auto" w:fill="FFFFFF"/>
        </w:rPr>
        <w:t xml:space="preserve">of </w:t>
      </w:r>
      <w:r>
        <w:rPr>
          <w:rFonts w:ascii="Verdana" w:hAnsi="Verdana"/>
          <w:color w:val="000000"/>
          <w:sz w:val="20"/>
          <w:szCs w:val="20"/>
          <w:shd w:val="clear" w:color="auto" w:fill="FFFFFF"/>
        </w:rPr>
        <w:t xml:space="preserve">14 recommendations were made to further strengthen data protection. </w:t>
      </w:r>
    </w:p>
    <w:p w14:paraId="6DA18452" w14:textId="085C656E" w:rsidR="00D255CE" w:rsidRPr="002A68C9" w:rsidRDefault="002A68C9">
      <w:pPr>
        <w:rPr>
          <w:rFonts w:ascii="Verdana" w:hAnsi="Verdana"/>
          <w:b/>
          <w:color w:val="000000"/>
          <w:sz w:val="20"/>
          <w:szCs w:val="20"/>
          <w:shd w:val="clear" w:color="auto" w:fill="FFFFFF"/>
        </w:rPr>
      </w:pPr>
      <w:r>
        <w:rPr>
          <w:rFonts w:ascii="Verdana" w:hAnsi="Verdana"/>
          <w:b/>
          <w:color w:val="000000"/>
          <w:sz w:val="20"/>
          <w:szCs w:val="20"/>
          <w:shd w:val="clear" w:color="auto" w:fill="FFFFFF"/>
        </w:rPr>
        <w:t>Background</w:t>
      </w:r>
      <w:r>
        <w:rPr>
          <w:rFonts w:ascii="Verdana" w:hAnsi="Verdana"/>
          <w:b/>
          <w:color w:val="000000"/>
          <w:sz w:val="20"/>
          <w:szCs w:val="20"/>
          <w:shd w:val="clear" w:color="auto" w:fill="FFFFFF"/>
        </w:rPr>
        <w:br/>
      </w:r>
      <w:r w:rsidR="00D255CE">
        <w:rPr>
          <w:rFonts w:ascii="Verdana" w:hAnsi="Verdana"/>
          <w:color w:val="000000"/>
          <w:sz w:val="20"/>
          <w:szCs w:val="20"/>
          <w:shd w:val="clear" w:color="auto" w:fill="FFFFFF"/>
        </w:rPr>
        <w:t xml:space="preserve">The PIP QI Incentive is a payment made to general practices that undertake quality improvement activities to improve patient care. </w:t>
      </w:r>
      <w:r w:rsidR="003D4A3B">
        <w:rPr>
          <w:rFonts w:ascii="Verdana" w:hAnsi="Verdana"/>
          <w:color w:val="000000"/>
          <w:sz w:val="20"/>
          <w:szCs w:val="20"/>
          <w:shd w:val="clear" w:color="auto" w:fill="FFFFFF"/>
        </w:rPr>
        <w:t xml:space="preserve">It </w:t>
      </w:r>
      <w:r w:rsidR="007D4C38">
        <w:rPr>
          <w:rFonts w:ascii="Verdana" w:hAnsi="Verdana"/>
          <w:color w:val="000000"/>
          <w:sz w:val="20"/>
          <w:szCs w:val="20"/>
          <w:shd w:val="clear" w:color="auto" w:fill="FFFFFF"/>
        </w:rPr>
        <w:t>requires participating general practices (</w:t>
      </w:r>
      <w:r w:rsidR="007D4C38">
        <w:rPr>
          <w:rFonts w:ascii="Verdana" w:hAnsi="Verdana"/>
          <w:b/>
          <w:color w:val="000000"/>
          <w:sz w:val="20"/>
          <w:szCs w:val="20"/>
          <w:shd w:val="clear" w:color="auto" w:fill="FFFFFF"/>
        </w:rPr>
        <w:t>local data custodian</w:t>
      </w:r>
      <w:r w:rsidR="003C3204">
        <w:rPr>
          <w:rFonts w:ascii="Verdana" w:hAnsi="Verdana"/>
          <w:b/>
          <w:color w:val="000000"/>
          <w:sz w:val="20"/>
          <w:szCs w:val="20"/>
          <w:shd w:val="clear" w:color="auto" w:fill="FFFFFF"/>
        </w:rPr>
        <w:t>s</w:t>
      </w:r>
      <w:r w:rsidR="007D4C38" w:rsidRPr="007D4C38">
        <w:rPr>
          <w:rFonts w:ascii="Verdana" w:hAnsi="Verdana"/>
          <w:color w:val="000000"/>
          <w:sz w:val="20"/>
          <w:szCs w:val="20"/>
          <w:shd w:val="clear" w:color="auto" w:fill="FFFFFF"/>
        </w:rPr>
        <w:t>)</w:t>
      </w:r>
      <w:r w:rsidR="007D4C38">
        <w:rPr>
          <w:rFonts w:ascii="Verdana" w:hAnsi="Verdana"/>
          <w:b/>
          <w:color w:val="000000"/>
          <w:sz w:val="20"/>
          <w:szCs w:val="20"/>
          <w:shd w:val="clear" w:color="auto" w:fill="FFFFFF"/>
        </w:rPr>
        <w:t xml:space="preserve"> </w:t>
      </w:r>
      <w:r w:rsidR="007D4C38">
        <w:rPr>
          <w:rFonts w:ascii="Verdana" w:hAnsi="Verdana"/>
          <w:color w:val="000000"/>
          <w:sz w:val="20"/>
          <w:szCs w:val="20"/>
          <w:shd w:val="clear" w:color="auto" w:fill="FFFFFF"/>
        </w:rPr>
        <w:t>to share a minimum set of de-identified, patient data (</w:t>
      </w:r>
      <w:r w:rsidR="007D4C38">
        <w:rPr>
          <w:rFonts w:ascii="Verdana" w:hAnsi="Verdana"/>
          <w:b/>
          <w:color w:val="000000"/>
          <w:sz w:val="20"/>
          <w:szCs w:val="20"/>
          <w:shd w:val="clear" w:color="auto" w:fill="FFFFFF"/>
        </w:rPr>
        <w:t>PIP Eligible Data</w:t>
      </w:r>
      <w:r w:rsidR="00E55E51">
        <w:rPr>
          <w:rFonts w:ascii="Verdana" w:hAnsi="Verdana"/>
          <w:b/>
          <w:color w:val="000000"/>
          <w:sz w:val="20"/>
          <w:szCs w:val="20"/>
          <w:shd w:val="clear" w:color="auto" w:fill="FFFFFF"/>
        </w:rPr>
        <w:t xml:space="preserve"> S</w:t>
      </w:r>
      <w:r w:rsidR="007D4C38">
        <w:rPr>
          <w:rFonts w:ascii="Verdana" w:hAnsi="Verdana"/>
          <w:b/>
          <w:color w:val="000000"/>
          <w:sz w:val="20"/>
          <w:szCs w:val="20"/>
          <w:shd w:val="clear" w:color="auto" w:fill="FFFFFF"/>
        </w:rPr>
        <w:t>et</w:t>
      </w:r>
      <w:r w:rsidR="007D4C38" w:rsidRPr="007D4C38">
        <w:rPr>
          <w:rFonts w:ascii="Verdana" w:hAnsi="Verdana"/>
          <w:color w:val="000000"/>
          <w:sz w:val="20"/>
          <w:szCs w:val="20"/>
          <w:shd w:val="clear" w:color="auto" w:fill="FFFFFF"/>
        </w:rPr>
        <w:t>)</w:t>
      </w:r>
      <w:r w:rsidR="007D4C38">
        <w:rPr>
          <w:rFonts w:ascii="Verdana" w:hAnsi="Verdana"/>
          <w:b/>
          <w:color w:val="000000"/>
          <w:sz w:val="20"/>
          <w:szCs w:val="20"/>
          <w:shd w:val="clear" w:color="auto" w:fill="FFFFFF"/>
        </w:rPr>
        <w:t xml:space="preserve"> </w:t>
      </w:r>
      <w:r w:rsidR="007D4C38">
        <w:rPr>
          <w:rFonts w:ascii="Verdana" w:hAnsi="Verdana"/>
          <w:color w:val="000000"/>
          <w:sz w:val="20"/>
          <w:szCs w:val="20"/>
          <w:shd w:val="clear" w:color="auto" w:fill="FFFFFF"/>
        </w:rPr>
        <w:t>with their local PHN (</w:t>
      </w:r>
      <w:r w:rsidR="007D4C38">
        <w:rPr>
          <w:rFonts w:ascii="Verdana" w:hAnsi="Verdana"/>
          <w:b/>
          <w:color w:val="000000"/>
          <w:sz w:val="20"/>
          <w:szCs w:val="20"/>
          <w:shd w:val="clear" w:color="auto" w:fill="FFFFFF"/>
        </w:rPr>
        <w:t>regional data custodian</w:t>
      </w:r>
      <w:r w:rsidR="003C3204">
        <w:rPr>
          <w:rFonts w:ascii="Verdana" w:hAnsi="Verdana"/>
          <w:b/>
          <w:color w:val="000000"/>
          <w:sz w:val="20"/>
          <w:szCs w:val="20"/>
          <w:shd w:val="clear" w:color="auto" w:fill="FFFFFF"/>
        </w:rPr>
        <w:t>s</w:t>
      </w:r>
      <w:r w:rsidR="007D4C38">
        <w:rPr>
          <w:rFonts w:ascii="Verdana" w:hAnsi="Verdana"/>
          <w:color w:val="000000"/>
          <w:sz w:val="20"/>
          <w:szCs w:val="20"/>
          <w:shd w:val="clear" w:color="auto" w:fill="FFFFFF"/>
        </w:rPr>
        <w:t xml:space="preserve">). The data collected </w:t>
      </w:r>
      <w:r w:rsidR="002F12FD">
        <w:rPr>
          <w:rFonts w:ascii="Verdana" w:hAnsi="Verdana"/>
          <w:color w:val="000000"/>
          <w:sz w:val="20"/>
          <w:szCs w:val="20"/>
          <w:shd w:val="clear" w:color="auto" w:fill="FFFFFF"/>
        </w:rPr>
        <w:t>is</w:t>
      </w:r>
      <w:r w:rsidR="007D4C38">
        <w:rPr>
          <w:rFonts w:ascii="Verdana" w:hAnsi="Verdana"/>
          <w:color w:val="000000"/>
          <w:sz w:val="20"/>
          <w:szCs w:val="20"/>
          <w:shd w:val="clear" w:color="auto" w:fill="FFFFFF"/>
        </w:rPr>
        <w:t xml:space="preserve"> used by PHNs to work in partnership with general practices to support ongoing quality improvement activitie</w:t>
      </w:r>
      <w:r w:rsidR="003D4A3B">
        <w:rPr>
          <w:rFonts w:ascii="Verdana" w:hAnsi="Verdana"/>
          <w:color w:val="000000"/>
          <w:sz w:val="20"/>
          <w:szCs w:val="20"/>
          <w:shd w:val="clear" w:color="auto" w:fill="FFFFFF"/>
        </w:rPr>
        <w:t>s. The data also</w:t>
      </w:r>
      <w:r w:rsidR="007D4C38">
        <w:rPr>
          <w:rFonts w:ascii="Verdana" w:hAnsi="Verdana"/>
          <w:color w:val="000000"/>
          <w:sz w:val="20"/>
          <w:szCs w:val="20"/>
          <w:shd w:val="clear" w:color="auto" w:fill="FFFFFF"/>
        </w:rPr>
        <w:t xml:space="preserve"> contribute</w:t>
      </w:r>
      <w:r w:rsidR="003D4A3B">
        <w:rPr>
          <w:rFonts w:ascii="Verdana" w:hAnsi="Verdana"/>
          <w:color w:val="000000"/>
          <w:sz w:val="20"/>
          <w:szCs w:val="20"/>
          <w:shd w:val="clear" w:color="auto" w:fill="FFFFFF"/>
        </w:rPr>
        <w:t>s</w:t>
      </w:r>
      <w:r w:rsidR="007D4C38">
        <w:rPr>
          <w:rFonts w:ascii="Verdana" w:hAnsi="Verdana"/>
          <w:color w:val="000000"/>
          <w:sz w:val="20"/>
          <w:szCs w:val="20"/>
          <w:shd w:val="clear" w:color="auto" w:fill="FFFFFF"/>
        </w:rPr>
        <w:t xml:space="preserve"> to </w:t>
      </w:r>
      <w:r w:rsidR="003D4A3B">
        <w:rPr>
          <w:rFonts w:ascii="Verdana" w:hAnsi="Verdana"/>
          <w:color w:val="000000"/>
          <w:sz w:val="20"/>
          <w:szCs w:val="20"/>
          <w:shd w:val="clear" w:color="auto" w:fill="FFFFFF"/>
        </w:rPr>
        <w:t>service planning and identification of</w:t>
      </w:r>
      <w:r w:rsidR="007D4C38">
        <w:rPr>
          <w:rFonts w:ascii="Verdana" w:hAnsi="Verdana"/>
          <w:color w:val="000000"/>
          <w:sz w:val="20"/>
          <w:szCs w:val="20"/>
          <w:shd w:val="clear" w:color="auto" w:fill="FFFFFF"/>
        </w:rPr>
        <w:t xml:space="preserve"> population health needs. </w:t>
      </w:r>
      <w:r w:rsidR="00E55E51">
        <w:rPr>
          <w:rFonts w:ascii="Verdana" w:hAnsi="Verdana"/>
          <w:color w:val="000000"/>
          <w:sz w:val="20"/>
          <w:szCs w:val="20"/>
          <w:shd w:val="clear" w:color="auto" w:fill="FFFFFF"/>
        </w:rPr>
        <w:t>De-identified d</w:t>
      </w:r>
      <w:r w:rsidR="007D4C38">
        <w:rPr>
          <w:rFonts w:ascii="Verdana" w:hAnsi="Verdana"/>
          <w:color w:val="000000"/>
          <w:sz w:val="20"/>
          <w:szCs w:val="20"/>
          <w:shd w:val="clear" w:color="auto" w:fill="FFFFFF"/>
        </w:rPr>
        <w:t>ata aggregated at the PHN level will be shared with the AIHW (</w:t>
      </w:r>
      <w:r w:rsidR="007D4C38">
        <w:rPr>
          <w:rFonts w:ascii="Verdana" w:hAnsi="Verdana"/>
          <w:b/>
          <w:color w:val="000000"/>
          <w:sz w:val="20"/>
          <w:szCs w:val="20"/>
          <w:shd w:val="clear" w:color="auto" w:fill="FFFFFF"/>
        </w:rPr>
        <w:t>national data custodian</w:t>
      </w:r>
      <w:r w:rsidR="007D4C38">
        <w:rPr>
          <w:rFonts w:ascii="Verdana" w:hAnsi="Verdana"/>
          <w:color w:val="000000"/>
          <w:sz w:val="20"/>
          <w:szCs w:val="20"/>
          <w:shd w:val="clear" w:color="auto" w:fill="FFFFFF"/>
        </w:rPr>
        <w:t>) for national level analysis and research.</w:t>
      </w:r>
    </w:p>
    <w:p w14:paraId="685E2005" w14:textId="51A39E77" w:rsidR="007D4C38" w:rsidRPr="002A68C9" w:rsidRDefault="002A68C9">
      <w:pPr>
        <w:rPr>
          <w:rFonts w:ascii="Verdana" w:hAnsi="Verdana"/>
          <w:b/>
          <w:color w:val="000000"/>
          <w:sz w:val="20"/>
          <w:szCs w:val="20"/>
          <w:shd w:val="clear" w:color="auto" w:fill="FFFFFF"/>
        </w:rPr>
      </w:pPr>
      <w:r>
        <w:rPr>
          <w:rFonts w:ascii="Verdana" w:hAnsi="Verdana"/>
          <w:b/>
          <w:color w:val="000000"/>
          <w:sz w:val="20"/>
          <w:szCs w:val="20"/>
          <w:shd w:val="clear" w:color="auto" w:fill="FFFFFF"/>
        </w:rPr>
        <w:t>Approach</w:t>
      </w:r>
      <w:r>
        <w:rPr>
          <w:rFonts w:ascii="Verdana" w:hAnsi="Verdana"/>
          <w:b/>
          <w:color w:val="000000"/>
          <w:sz w:val="20"/>
          <w:szCs w:val="20"/>
          <w:shd w:val="clear" w:color="auto" w:fill="FFFFFF"/>
        </w:rPr>
        <w:br/>
      </w:r>
      <w:r w:rsidR="00E1038A">
        <w:rPr>
          <w:rFonts w:ascii="Verdana" w:hAnsi="Verdana"/>
          <w:color w:val="000000"/>
          <w:sz w:val="20"/>
          <w:szCs w:val="20"/>
          <w:shd w:val="clear" w:color="auto" w:fill="FFFFFF"/>
        </w:rPr>
        <w:t>S</w:t>
      </w:r>
      <w:r w:rsidR="007D4C38">
        <w:rPr>
          <w:rFonts w:ascii="Verdana" w:hAnsi="Verdana"/>
          <w:color w:val="000000"/>
          <w:sz w:val="20"/>
          <w:szCs w:val="20"/>
          <w:shd w:val="clear" w:color="auto" w:fill="FFFFFF"/>
        </w:rPr>
        <w:t xml:space="preserve">takeholders </w:t>
      </w:r>
      <w:r w:rsidR="00E1038A">
        <w:rPr>
          <w:rFonts w:ascii="Verdana" w:hAnsi="Verdana"/>
          <w:color w:val="000000"/>
          <w:sz w:val="20"/>
          <w:szCs w:val="20"/>
          <w:shd w:val="clear" w:color="auto" w:fill="FFFFFF"/>
        </w:rPr>
        <w:t>participating</w:t>
      </w:r>
      <w:r w:rsidR="003D4A3B">
        <w:rPr>
          <w:rFonts w:ascii="Verdana" w:hAnsi="Verdana"/>
          <w:color w:val="000000"/>
          <w:sz w:val="20"/>
          <w:szCs w:val="20"/>
          <w:shd w:val="clear" w:color="auto" w:fill="FFFFFF"/>
        </w:rPr>
        <w:t xml:space="preserve"> in the </w:t>
      </w:r>
      <w:r w:rsidR="00636171">
        <w:rPr>
          <w:rFonts w:ascii="Verdana" w:hAnsi="Verdana"/>
          <w:color w:val="000000"/>
          <w:sz w:val="20"/>
          <w:szCs w:val="20"/>
          <w:shd w:val="clear" w:color="auto" w:fill="FFFFFF"/>
        </w:rPr>
        <w:t>Review</w:t>
      </w:r>
      <w:r w:rsidR="00E1038A">
        <w:rPr>
          <w:rFonts w:ascii="Verdana" w:hAnsi="Verdana"/>
          <w:color w:val="000000"/>
          <w:sz w:val="20"/>
          <w:szCs w:val="20"/>
          <w:shd w:val="clear" w:color="auto" w:fill="FFFFFF"/>
        </w:rPr>
        <w:t xml:space="preserve"> included all PHNs, data extraction tool vendors and clinical information system vendors</w:t>
      </w:r>
      <w:r w:rsidR="007D4C38">
        <w:rPr>
          <w:rFonts w:ascii="Verdana" w:hAnsi="Verdana"/>
          <w:color w:val="000000"/>
          <w:sz w:val="20"/>
          <w:szCs w:val="20"/>
          <w:shd w:val="clear" w:color="auto" w:fill="FFFFFF"/>
        </w:rPr>
        <w:t xml:space="preserve">. </w:t>
      </w:r>
      <w:r w:rsidR="00E1038A">
        <w:rPr>
          <w:rFonts w:ascii="Verdana" w:hAnsi="Verdana"/>
          <w:color w:val="000000"/>
          <w:sz w:val="20"/>
          <w:szCs w:val="20"/>
          <w:shd w:val="clear" w:color="auto" w:fill="FFFFFF"/>
        </w:rPr>
        <w:t xml:space="preserve">Engagement was </w:t>
      </w:r>
      <w:r w:rsidR="007D4C38">
        <w:rPr>
          <w:rFonts w:ascii="Verdana" w:hAnsi="Verdana"/>
          <w:color w:val="000000"/>
          <w:sz w:val="20"/>
          <w:szCs w:val="20"/>
          <w:shd w:val="clear" w:color="auto" w:fill="FFFFFF"/>
        </w:rPr>
        <w:t xml:space="preserve">through a series of meetings, teleconferences and online questionnaires. The </w:t>
      </w:r>
      <w:r w:rsidR="00636171">
        <w:rPr>
          <w:rFonts w:ascii="Verdana" w:hAnsi="Verdana"/>
          <w:color w:val="000000"/>
          <w:sz w:val="20"/>
          <w:szCs w:val="20"/>
          <w:shd w:val="clear" w:color="auto" w:fill="FFFFFF"/>
        </w:rPr>
        <w:t>Review</w:t>
      </w:r>
      <w:r w:rsidR="007D4C38">
        <w:rPr>
          <w:rFonts w:ascii="Verdana" w:hAnsi="Verdana"/>
          <w:color w:val="000000"/>
          <w:sz w:val="20"/>
          <w:szCs w:val="20"/>
          <w:shd w:val="clear" w:color="auto" w:fill="FFFFFF"/>
        </w:rPr>
        <w:t xml:space="preserve"> focused on a number of areas directly related to the</w:t>
      </w:r>
      <w:r w:rsidR="00E1038A">
        <w:rPr>
          <w:rFonts w:ascii="Verdana" w:hAnsi="Verdana"/>
          <w:color w:val="000000"/>
          <w:sz w:val="20"/>
          <w:szCs w:val="20"/>
          <w:shd w:val="clear" w:color="auto" w:fill="FFFFFF"/>
        </w:rPr>
        <w:t xml:space="preserve"> a)</w:t>
      </w:r>
      <w:r w:rsidR="007D4C38">
        <w:rPr>
          <w:rFonts w:ascii="Verdana" w:hAnsi="Verdana"/>
          <w:color w:val="000000"/>
          <w:sz w:val="20"/>
          <w:szCs w:val="20"/>
          <w:shd w:val="clear" w:color="auto" w:fill="FFFFFF"/>
        </w:rPr>
        <w:t xml:space="preserve"> physical and digital data storage, access and contractual p</w:t>
      </w:r>
      <w:r w:rsidR="00C549CB">
        <w:rPr>
          <w:rFonts w:ascii="Verdana" w:hAnsi="Verdana"/>
          <w:color w:val="000000"/>
          <w:sz w:val="20"/>
          <w:szCs w:val="20"/>
          <w:shd w:val="clear" w:color="auto" w:fill="FFFFFF"/>
        </w:rPr>
        <w:t>rotections for security</w:t>
      </w:r>
      <w:r w:rsidR="007D4C38">
        <w:rPr>
          <w:rFonts w:ascii="Verdana" w:hAnsi="Verdana"/>
          <w:color w:val="000000"/>
          <w:sz w:val="20"/>
          <w:szCs w:val="20"/>
          <w:shd w:val="clear" w:color="auto" w:fill="FFFFFF"/>
        </w:rPr>
        <w:t xml:space="preserve"> and</w:t>
      </w:r>
      <w:r w:rsidR="00E1038A">
        <w:rPr>
          <w:rFonts w:ascii="Verdana" w:hAnsi="Verdana"/>
          <w:color w:val="000000"/>
          <w:sz w:val="20"/>
          <w:szCs w:val="20"/>
          <w:shd w:val="clear" w:color="auto" w:fill="FFFFFF"/>
        </w:rPr>
        <w:t xml:space="preserve"> b)</w:t>
      </w:r>
      <w:r w:rsidR="007D4C38">
        <w:rPr>
          <w:rFonts w:ascii="Verdana" w:hAnsi="Verdana"/>
          <w:color w:val="000000"/>
          <w:sz w:val="20"/>
          <w:szCs w:val="20"/>
          <w:shd w:val="clear" w:color="auto" w:fill="FFFFFF"/>
        </w:rPr>
        <w:t xml:space="preserve"> privacy policies relating to the collection and sharing of the PIP Eligible Data</w:t>
      </w:r>
      <w:r w:rsidR="00E55E51">
        <w:rPr>
          <w:rFonts w:ascii="Verdana" w:hAnsi="Verdana"/>
          <w:color w:val="000000"/>
          <w:sz w:val="20"/>
          <w:szCs w:val="20"/>
          <w:shd w:val="clear" w:color="auto" w:fill="FFFFFF"/>
        </w:rPr>
        <w:t xml:space="preserve"> S</w:t>
      </w:r>
      <w:r w:rsidR="007D4C38">
        <w:rPr>
          <w:rFonts w:ascii="Verdana" w:hAnsi="Verdana"/>
          <w:color w:val="000000"/>
          <w:sz w:val="20"/>
          <w:szCs w:val="20"/>
          <w:shd w:val="clear" w:color="auto" w:fill="FFFFFF"/>
        </w:rPr>
        <w:t>et.</w:t>
      </w:r>
      <w:r w:rsidR="00C549CB">
        <w:rPr>
          <w:rFonts w:ascii="Verdana" w:hAnsi="Verdana"/>
          <w:color w:val="000000"/>
          <w:sz w:val="20"/>
          <w:szCs w:val="20"/>
          <w:shd w:val="clear" w:color="auto" w:fill="FFFFFF"/>
        </w:rPr>
        <w:t xml:space="preserve">  Independent technical validation and auditing of the data extraction and </w:t>
      </w:r>
      <w:r w:rsidR="00D171CC">
        <w:rPr>
          <w:rFonts w:ascii="Verdana" w:hAnsi="Verdana"/>
          <w:color w:val="000000"/>
          <w:sz w:val="20"/>
          <w:szCs w:val="20"/>
          <w:shd w:val="clear" w:color="auto" w:fill="FFFFFF"/>
        </w:rPr>
        <w:t>report</w:t>
      </w:r>
      <w:r w:rsidR="00C549CB">
        <w:rPr>
          <w:rFonts w:ascii="Verdana" w:hAnsi="Verdana"/>
          <w:color w:val="000000"/>
          <w:sz w:val="20"/>
          <w:szCs w:val="20"/>
          <w:shd w:val="clear" w:color="auto" w:fill="FFFFFF"/>
        </w:rPr>
        <w:t xml:space="preserve">ing process was not in scope for the </w:t>
      </w:r>
      <w:r w:rsidR="00636171">
        <w:rPr>
          <w:rFonts w:ascii="Verdana" w:hAnsi="Verdana"/>
          <w:color w:val="000000"/>
          <w:sz w:val="20"/>
          <w:szCs w:val="20"/>
          <w:shd w:val="clear" w:color="auto" w:fill="FFFFFF"/>
        </w:rPr>
        <w:t>Review</w:t>
      </w:r>
      <w:r w:rsidR="00C549CB">
        <w:rPr>
          <w:rFonts w:ascii="Verdana" w:hAnsi="Verdana"/>
          <w:color w:val="000000"/>
          <w:sz w:val="20"/>
          <w:szCs w:val="20"/>
          <w:shd w:val="clear" w:color="auto" w:fill="FFFFFF"/>
        </w:rPr>
        <w:t>.</w:t>
      </w:r>
    </w:p>
    <w:p w14:paraId="44172AE9" w14:textId="2179A205" w:rsidR="007D4C38" w:rsidRDefault="002A68C9">
      <w:pPr>
        <w:rPr>
          <w:rFonts w:ascii="Verdana" w:hAnsi="Verdana"/>
          <w:color w:val="000000"/>
          <w:sz w:val="20"/>
          <w:szCs w:val="20"/>
          <w:shd w:val="clear" w:color="auto" w:fill="FFFFFF"/>
        </w:rPr>
      </w:pPr>
      <w:r>
        <w:rPr>
          <w:rFonts w:ascii="Verdana" w:hAnsi="Verdana"/>
          <w:b/>
          <w:color w:val="000000"/>
          <w:sz w:val="20"/>
          <w:szCs w:val="20"/>
          <w:shd w:val="clear" w:color="auto" w:fill="FFFFFF"/>
        </w:rPr>
        <w:t>Findings</w:t>
      </w:r>
      <w:r>
        <w:rPr>
          <w:rFonts w:ascii="Verdana" w:hAnsi="Verdana"/>
          <w:b/>
          <w:color w:val="000000"/>
          <w:sz w:val="20"/>
          <w:szCs w:val="20"/>
          <w:shd w:val="clear" w:color="auto" w:fill="FFFFFF"/>
        </w:rPr>
        <w:br/>
      </w:r>
      <w:r w:rsidR="001102A3">
        <w:rPr>
          <w:rFonts w:ascii="Verdana" w:hAnsi="Verdana"/>
          <w:color w:val="000000"/>
          <w:sz w:val="20"/>
          <w:szCs w:val="20"/>
          <w:shd w:val="clear" w:color="auto" w:fill="FFFFFF"/>
        </w:rPr>
        <w:t xml:space="preserve">The </w:t>
      </w:r>
      <w:r w:rsidR="00636171">
        <w:rPr>
          <w:rFonts w:ascii="Verdana" w:hAnsi="Verdana"/>
          <w:color w:val="000000"/>
          <w:sz w:val="20"/>
          <w:szCs w:val="20"/>
          <w:shd w:val="clear" w:color="auto" w:fill="FFFFFF"/>
        </w:rPr>
        <w:t>Review</w:t>
      </w:r>
      <w:r w:rsidR="001102A3">
        <w:rPr>
          <w:rFonts w:ascii="Verdana" w:hAnsi="Verdana"/>
          <w:color w:val="000000"/>
          <w:sz w:val="20"/>
          <w:szCs w:val="20"/>
          <w:shd w:val="clear" w:color="auto" w:fill="FFFFFF"/>
        </w:rPr>
        <w:t xml:space="preserve"> </w:t>
      </w:r>
      <w:r w:rsidR="007D4C38">
        <w:rPr>
          <w:rFonts w:ascii="Verdana" w:hAnsi="Verdana"/>
          <w:color w:val="000000"/>
          <w:sz w:val="20"/>
          <w:szCs w:val="20"/>
          <w:shd w:val="clear" w:color="auto" w:fill="FFFFFF"/>
        </w:rPr>
        <w:t xml:space="preserve">found that </w:t>
      </w:r>
      <w:r w:rsidR="002F7F4A">
        <w:rPr>
          <w:rFonts w:ascii="Verdana" w:hAnsi="Verdana"/>
          <w:color w:val="000000"/>
          <w:sz w:val="20"/>
          <w:szCs w:val="20"/>
          <w:shd w:val="clear" w:color="auto" w:fill="FFFFFF"/>
        </w:rPr>
        <w:t>whilst there is variability in the way the PIP Eligible Data</w:t>
      </w:r>
      <w:r w:rsidR="00896E0E">
        <w:rPr>
          <w:rFonts w:ascii="Verdana" w:hAnsi="Verdana"/>
          <w:color w:val="000000"/>
          <w:sz w:val="20"/>
          <w:szCs w:val="20"/>
          <w:shd w:val="clear" w:color="auto" w:fill="FFFFFF"/>
        </w:rPr>
        <w:t xml:space="preserve"> S</w:t>
      </w:r>
      <w:r w:rsidR="002F7F4A">
        <w:rPr>
          <w:rFonts w:ascii="Verdana" w:hAnsi="Verdana"/>
          <w:color w:val="000000"/>
          <w:sz w:val="20"/>
          <w:szCs w:val="20"/>
          <w:shd w:val="clear" w:color="auto" w:fill="FFFFFF"/>
        </w:rPr>
        <w:t>et is collected from general practices and transferred to the PHNs, the data security controls currently in place during the data collection, use and storage processes are appropriate to protect de-identified data from misuse, interference and loss.</w:t>
      </w:r>
    </w:p>
    <w:p w14:paraId="47D5FA7F" w14:textId="64CA5E04" w:rsidR="002F7F4A" w:rsidRDefault="002F7F4A">
      <w:pPr>
        <w:rPr>
          <w:rFonts w:ascii="Verdana" w:hAnsi="Verdana"/>
          <w:color w:val="000000"/>
          <w:sz w:val="20"/>
          <w:szCs w:val="20"/>
          <w:shd w:val="clear" w:color="auto" w:fill="FFFFFF"/>
        </w:rPr>
      </w:pPr>
      <w:r>
        <w:rPr>
          <w:rFonts w:ascii="Verdana" w:hAnsi="Verdana"/>
          <w:color w:val="000000"/>
          <w:sz w:val="20"/>
          <w:szCs w:val="20"/>
          <w:shd w:val="clear" w:color="auto" w:fill="FFFFFF"/>
        </w:rPr>
        <w:t>Further</w:t>
      </w:r>
      <w:r w:rsidR="00F21704">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the </w:t>
      </w:r>
      <w:r w:rsidR="00636171">
        <w:rPr>
          <w:rFonts w:ascii="Verdana" w:hAnsi="Verdana"/>
          <w:color w:val="000000"/>
          <w:sz w:val="20"/>
          <w:szCs w:val="20"/>
          <w:shd w:val="clear" w:color="auto" w:fill="FFFFFF"/>
        </w:rPr>
        <w:t>Review</w:t>
      </w:r>
      <w:r>
        <w:rPr>
          <w:rFonts w:ascii="Verdana" w:hAnsi="Verdana"/>
          <w:color w:val="000000"/>
          <w:sz w:val="20"/>
          <w:szCs w:val="20"/>
          <w:shd w:val="clear" w:color="auto" w:fill="FFFFFF"/>
        </w:rPr>
        <w:t xml:space="preserve"> identified that variability between PHNs is largely in the data extraction tool used and the format and level of aggregation of the data that is being transferred. It is the prerogative of PHNs and participating general practices to negotiate agreements on the provision of data,</w:t>
      </w:r>
      <w:r w:rsidR="002F12FD">
        <w:rPr>
          <w:rFonts w:ascii="Verdana" w:hAnsi="Verdana"/>
          <w:color w:val="000000"/>
          <w:sz w:val="20"/>
          <w:szCs w:val="20"/>
          <w:shd w:val="clear" w:color="auto" w:fill="FFFFFF"/>
        </w:rPr>
        <w:t xml:space="preserve"> with certain types of arrangements being</w:t>
      </w:r>
      <w:r>
        <w:rPr>
          <w:rFonts w:ascii="Verdana" w:hAnsi="Verdana"/>
          <w:color w:val="000000"/>
          <w:sz w:val="20"/>
          <w:szCs w:val="20"/>
          <w:shd w:val="clear" w:color="auto" w:fill="FFFFFF"/>
        </w:rPr>
        <w:t xml:space="preserve"> more privacy-positive and carry</w:t>
      </w:r>
      <w:r w:rsidR="002F12FD">
        <w:rPr>
          <w:rFonts w:ascii="Verdana" w:hAnsi="Verdana"/>
          <w:color w:val="000000"/>
          <w:sz w:val="20"/>
          <w:szCs w:val="20"/>
          <w:shd w:val="clear" w:color="auto" w:fill="FFFFFF"/>
        </w:rPr>
        <w:t>ing</w:t>
      </w:r>
      <w:r>
        <w:rPr>
          <w:rFonts w:ascii="Verdana" w:hAnsi="Verdana"/>
          <w:color w:val="000000"/>
          <w:sz w:val="20"/>
          <w:szCs w:val="20"/>
          <w:shd w:val="clear" w:color="auto" w:fill="FFFFFF"/>
        </w:rPr>
        <w:t xml:space="preserve"> a lower risk of unauthorised disclosure. </w:t>
      </w:r>
    </w:p>
    <w:p w14:paraId="24A83EEC" w14:textId="1B64D7C4" w:rsidR="00C549CB" w:rsidRDefault="00C549CB">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The requirement by the </w:t>
      </w:r>
      <w:r w:rsidRPr="002F7F4A">
        <w:rPr>
          <w:rFonts w:ascii="Verdana" w:hAnsi="Verdana"/>
          <w:i/>
          <w:color w:val="000000"/>
          <w:sz w:val="20"/>
          <w:szCs w:val="20"/>
          <w:shd w:val="clear" w:color="auto" w:fill="FFFFFF"/>
        </w:rPr>
        <w:t>Privacy Act 1988</w:t>
      </w:r>
      <w:r>
        <w:rPr>
          <w:rFonts w:ascii="Verdana" w:hAnsi="Verdana"/>
          <w:color w:val="000000"/>
          <w:sz w:val="20"/>
          <w:szCs w:val="20"/>
          <w:shd w:val="clear" w:color="auto" w:fill="FFFFFF"/>
        </w:rPr>
        <w:t xml:space="preserve"> is that the de-identification efforts account for and minimise the risk of re-identification. The stakeholders consulted in this </w:t>
      </w:r>
      <w:r w:rsidR="00636171">
        <w:rPr>
          <w:rFonts w:ascii="Verdana" w:hAnsi="Verdana"/>
          <w:color w:val="000000"/>
          <w:sz w:val="20"/>
          <w:szCs w:val="20"/>
          <w:shd w:val="clear" w:color="auto" w:fill="FFFFFF"/>
        </w:rPr>
        <w:t>Review</w:t>
      </w:r>
      <w:r>
        <w:rPr>
          <w:rFonts w:ascii="Verdana" w:hAnsi="Verdana"/>
          <w:color w:val="000000"/>
          <w:sz w:val="20"/>
          <w:szCs w:val="20"/>
          <w:shd w:val="clear" w:color="auto" w:fill="FFFFFF"/>
        </w:rPr>
        <w:t xml:space="preserve"> indicated that data </w:t>
      </w:r>
      <w:r w:rsidR="002F12FD">
        <w:rPr>
          <w:rFonts w:ascii="Verdana" w:hAnsi="Verdana"/>
          <w:color w:val="000000"/>
          <w:sz w:val="20"/>
          <w:szCs w:val="20"/>
          <w:shd w:val="clear" w:color="auto" w:fill="FFFFFF"/>
        </w:rPr>
        <w:t>is</w:t>
      </w:r>
      <w:r>
        <w:rPr>
          <w:rFonts w:ascii="Verdana" w:hAnsi="Verdana"/>
          <w:color w:val="000000"/>
          <w:sz w:val="20"/>
          <w:szCs w:val="20"/>
          <w:shd w:val="clear" w:color="auto" w:fill="FFFFFF"/>
        </w:rPr>
        <w:t xml:space="preserve"> being de-identified prior to leaving the general practice.</w:t>
      </w:r>
    </w:p>
    <w:p w14:paraId="76F7A968" w14:textId="6F714B88" w:rsidR="002F7F4A" w:rsidRPr="002A68C9" w:rsidRDefault="002A68C9">
      <w:pPr>
        <w:rPr>
          <w:rFonts w:ascii="Verdana" w:hAnsi="Verdana"/>
          <w:b/>
          <w:color w:val="000000"/>
          <w:sz w:val="20"/>
          <w:szCs w:val="20"/>
          <w:shd w:val="clear" w:color="auto" w:fill="FFFFFF"/>
        </w:rPr>
      </w:pPr>
      <w:r>
        <w:rPr>
          <w:rFonts w:ascii="Verdana" w:hAnsi="Verdana"/>
          <w:b/>
          <w:color w:val="000000"/>
          <w:sz w:val="20"/>
          <w:szCs w:val="20"/>
          <w:shd w:val="clear" w:color="auto" w:fill="FFFFFF"/>
        </w:rPr>
        <w:t>Outcome and next steps</w:t>
      </w:r>
      <w:r>
        <w:rPr>
          <w:rFonts w:ascii="Verdana" w:hAnsi="Verdana"/>
          <w:b/>
          <w:color w:val="000000"/>
          <w:sz w:val="20"/>
          <w:szCs w:val="20"/>
          <w:shd w:val="clear" w:color="auto" w:fill="FFFFFF"/>
        </w:rPr>
        <w:br/>
      </w:r>
      <w:r w:rsidR="002F7F4A">
        <w:rPr>
          <w:rFonts w:ascii="Verdana" w:hAnsi="Verdana"/>
          <w:color w:val="000000"/>
          <w:sz w:val="20"/>
          <w:szCs w:val="20"/>
          <w:shd w:val="clear" w:color="auto" w:fill="FFFFFF"/>
        </w:rPr>
        <w:t xml:space="preserve">The implementation of the PIP QI </w:t>
      </w:r>
      <w:r w:rsidR="00E55E51">
        <w:rPr>
          <w:rFonts w:ascii="Verdana" w:hAnsi="Verdana"/>
          <w:color w:val="000000"/>
          <w:sz w:val="20"/>
          <w:szCs w:val="20"/>
          <w:shd w:val="clear" w:color="auto" w:fill="FFFFFF"/>
        </w:rPr>
        <w:t xml:space="preserve">Incentive </w:t>
      </w:r>
      <w:r w:rsidR="002F7F4A">
        <w:rPr>
          <w:rFonts w:ascii="Verdana" w:hAnsi="Verdana"/>
          <w:color w:val="000000"/>
          <w:sz w:val="20"/>
          <w:szCs w:val="20"/>
          <w:shd w:val="clear" w:color="auto" w:fill="FFFFFF"/>
        </w:rPr>
        <w:t>has increased awareness among all stakeholders of data privacy and security issues. This increased awareness has presented an opportunity to implement best practice approaches around the collection of general practice data more generally.</w:t>
      </w:r>
    </w:p>
    <w:p w14:paraId="162B01BB" w14:textId="4D44C999" w:rsidR="00385FDC" w:rsidRDefault="00167CCB">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The </w:t>
      </w:r>
      <w:r w:rsidR="00636171">
        <w:rPr>
          <w:rFonts w:ascii="Verdana" w:hAnsi="Verdana"/>
          <w:color w:val="000000"/>
          <w:sz w:val="20"/>
          <w:szCs w:val="20"/>
          <w:shd w:val="clear" w:color="auto" w:fill="FFFFFF"/>
        </w:rPr>
        <w:t>Review</w:t>
      </w:r>
      <w:r>
        <w:rPr>
          <w:rFonts w:ascii="Verdana" w:hAnsi="Verdana"/>
          <w:color w:val="000000"/>
          <w:sz w:val="20"/>
          <w:szCs w:val="20"/>
          <w:shd w:val="clear" w:color="auto" w:fill="FFFFFF"/>
        </w:rPr>
        <w:t xml:space="preserve"> </w:t>
      </w:r>
      <w:r w:rsidR="00304005">
        <w:rPr>
          <w:rFonts w:ascii="Verdana" w:hAnsi="Verdana"/>
          <w:color w:val="000000"/>
          <w:sz w:val="20"/>
          <w:szCs w:val="20"/>
          <w:shd w:val="clear" w:color="auto" w:fill="FFFFFF"/>
        </w:rPr>
        <w:t xml:space="preserve">has </w:t>
      </w:r>
      <w:r>
        <w:rPr>
          <w:rFonts w:ascii="Verdana" w:hAnsi="Verdana"/>
          <w:color w:val="000000"/>
          <w:sz w:val="20"/>
          <w:szCs w:val="20"/>
          <w:shd w:val="clear" w:color="auto" w:fill="FFFFFF"/>
        </w:rPr>
        <w:t>made 14</w:t>
      </w:r>
      <w:r w:rsidR="00385FDC">
        <w:rPr>
          <w:rFonts w:ascii="Verdana" w:hAnsi="Verdana"/>
          <w:color w:val="000000"/>
          <w:sz w:val="20"/>
          <w:szCs w:val="20"/>
          <w:shd w:val="clear" w:color="auto" w:fill="FFFFFF"/>
        </w:rPr>
        <w:t xml:space="preserve"> recommendations </w:t>
      </w:r>
      <w:r w:rsidR="001102A3">
        <w:rPr>
          <w:rFonts w:ascii="Verdana" w:hAnsi="Verdana"/>
          <w:color w:val="000000"/>
          <w:sz w:val="20"/>
          <w:szCs w:val="20"/>
          <w:shd w:val="clear" w:color="auto" w:fill="FFFFFF"/>
        </w:rPr>
        <w:t xml:space="preserve">to </w:t>
      </w:r>
      <w:r w:rsidR="00385FDC">
        <w:rPr>
          <w:rFonts w:ascii="Verdana" w:hAnsi="Verdana"/>
          <w:color w:val="000000"/>
          <w:sz w:val="20"/>
          <w:szCs w:val="20"/>
          <w:shd w:val="clear" w:color="auto" w:fill="FFFFFF"/>
        </w:rPr>
        <w:t xml:space="preserve">the Department of Health </w:t>
      </w:r>
      <w:r w:rsidR="001102A3">
        <w:rPr>
          <w:rFonts w:ascii="Verdana" w:hAnsi="Verdana"/>
          <w:color w:val="000000"/>
          <w:sz w:val="20"/>
          <w:szCs w:val="20"/>
          <w:shd w:val="clear" w:color="auto" w:fill="FFFFFF"/>
        </w:rPr>
        <w:t xml:space="preserve">for </w:t>
      </w:r>
      <w:r w:rsidR="002F7F4A">
        <w:rPr>
          <w:rFonts w:ascii="Verdana" w:hAnsi="Verdana"/>
          <w:color w:val="000000"/>
          <w:sz w:val="20"/>
          <w:szCs w:val="20"/>
          <w:shd w:val="clear" w:color="auto" w:fill="FFFFFF"/>
        </w:rPr>
        <w:t>further strengthen</w:t>
      </w:r>
      <w:r w:rsidR="001102A3">
        <w:rPr>
          <w:rFonts w:ascii="Verdana" w:hAnsi="Verdana"/>
          <w:color w:val="000000"/>
          <w:sz w:val="20"/>
          <w:szCs w:val="20"/>
          <w:shd w:val="clear" w:color="auto" w:fill="FFFFFF"/>
        </w:rPr>
        <w:t>ing</w:t>
      </w:r>
      <w:r w:rsidR="002F7F4A">
        <w:rPr>
          <w:rFonts w:ascii="Verdana" w:hAnsi="Verdana"/>
          <w:color w:val="000000"/>
          <w:sz w:val="20"/>
          <w:szCs w:val="20"/>
          <w:shd w:val="clear" w:color="auto" w:fill="FFFFFF"/>
        </w:rPr>
        <w:t xml:space="preserve"> </w:t>
      </w:r>
      <w:r w:rsidR="001102A3">
        <w:rPr>
          <w:rFonts w:ascii="Verdana" w:hAnsi="Verdana"/>
          <w:color w:val="000000"/>
          <w:sz w:val="20"/>
          <w:szCs w:val="20"/>
          <w:shd w:val="clear" w:color="auto" w:fill="FFFFFF"/>
        </w:rPr>
        <w:t>the PIP QI</w:t>
      </w:r>
      <w:r w:rsidR="00E55E51">
        <w:rPr>
          <w:rFonts w:ascii="Verdana" w:hAnsi="Verdana"/>
          <w:color w:val="000000"/>
          <w:sz w:val="20"/>
          <w:szCs w:val="20"/>
          <w:shd w:val="clear" w:color="auto" w:fill="FFFFFF"/>
        </w:rPr>
        <w:t xml:space="preserve"> Incentive</w:t>
      </w:r>
      <w:r w:rsidR="00385FDC">
        <w:rPr>
          <w:rFonts w:ascii="Verdana" w:hAnsi="Verdana"/>
          <w:color w:val="000000"/>
          <w:sz w:val="20"/>
          <w:szCs w:val="20"/>
          <w:shd w:val="clear" w:color="auto" w:fill="FFFFFF"/>
        </w:rPr>
        <w:t xml:space="preserve"> around the sharing of the PIP Eligible Data</w:t>
      </w:r>
      <w:r w:rsidR="00BD6DF9">
        <w:rPr>
          <w:rFonts w:ascii="Verdana" w:hAnsi="Verdana"/>
          <w:color w:val="000000"/>
          <w:sz w:val="20"/>
          <w:szCs w:val="20"/>
          <w:shd w:val="clear" w:color="auto" w:fill="FFFFFF"/>
        </w:rPr>
        <w:t xml:space="preserve"> S</w:t>
      </w:r>
      <w:r w:rsidR="00385FDC">
        <w:rPr>
          <w:rFonts w:ascii="Verdana" w:hAnsi="Verdana"/>
          <w:color w:val="000000"/>
          <w:sz w:val="20"/>
          <w:szCs w:val="20"/>
          <w:shd w:val="clear" w:color="auto" w:fill="FFFFFF"/>
        </w:rPr>
        <w:t>et with respect to data privacy and security. These include strategic, data set and operational recommendations.</w:t>
      </w:r>
      <w:r w:rsidR="0000457E">
        <w:rPr>
          <w:rFonts w:ascii="Verdana" w:hAnsi="Verdana"/>
          <w:color w:val="000000"/>
          <w:sz w:val="20"/>
          <w:szCs w:val="20"/>
          <w:shd w:val="clear" w:color="auto" w:fill="FFFFFF"/>
        </w:rPr>
        <w:t xml:space="preserve"> The Department is committed to addressing all of the recommendations outlined in the </w:t>
      </w:r>
      <w:r w:rsidR="00636171">
        <w:rPr>
          <w:rFonts w:ascii="Verdana" w:hAnsi="Verdana"/>
          <w:color w:val="000000"/>
          <w:sz w:val="20"/>
          <w:szCs w:val="20"/>
          <w:shd w:val="clear" w:color="auto" w:fill="FFFFFF"/>
        </w:rPr>
        <w:t>Review</w:t>
      </w:r>
      <w:r w:rsidR="0000457E">
        <w:rPr>
          <w:rFonts w:ascii="Verdana" w:hAnsi="Verdana"/>
          <w:color w:val="000000"/>
          <w:sz w:val="20"/>
          <w:szCs w:val="20"/>
          <w:shd w:val="clear" w:color="auto" w:fill="FFFFFF"/>
        </w:rPr>
        <w:t>.</w:t>
      </w:r>
    </w:p>
    <w:p w14:paraId="22C36044" w14:textId="77777777" w:rsidR="00E1038A" w:rsidRDefault="00E1038A" w:rsidP="00431176">
      <w:pPr>
        <w:pStyle w:val="ListParagraph"/>
        <w:ind w:left="360"/>
        <w:jc w:val="center"/>
        <w:rPr>
          <w:rFonts w:ascii="Verdana" w:hAnsi="Verdana"/>
          <w:b/>
          <w:color w:val="000000"/>
          <w:sz w:val="20"/>
          <w:szCs w:val="20"/>
          <w:shd w:val="clear" w:color="auto" w:fill="FFFFFF"/>
        </w:rPr>
      </w:pPr>
    </w:p>
    <w:p w14:paraId="4A6C111C" w14:textId="6F1564A7" w:rsidR="00A63B82" w:rsidRPr="00F92327" w:rsidRDefault="0000457E" w:rsidP="00431176">
      <w:pPr>
        <w:pStyle w:val="ListParagraph"/>
        <w:ind w:left="360"/>
        <w:jc w:val="center"/>
        <w:rPr>
          <w:rFonts w:ascii="Verdana" w:hAnsi="Verdana"/>
          <w:b/>
          <w:color w:val="000000"/>
          <w:sz w:val="20"/>
          <w:szCs w:val="20"/>
          <w:shd w:val="clear" w:color="auto" w:fill="FFFFFF"/>
        </w:rPr>
      </w:pPr>
      <w:r w:rsidRPr="00F92327">
        <w:rPr>
          <w:rFonts w:ascii="Verdana" w:hAnsi="Verdana"/>
          <w:b/>
          <w:color w:val="000000"/>
          <w:sz w:val="20"/>
          <w:szCs w:val="20"/>
          <w:shd w:val="clear" w:color="auto" w:fill="FFFFFF"/>
        </w:rPr>
        <w:t>PIP QI Data Privacy and Security Review- Recommendations</w:t>
      </w:r>
    </w:p>
    <w:p w14:paraId="6C7C0A71" w14:textId="6DA984AA" w:rsidR="0000457E" w:rsidRDefault="0000457E" w:rsidP="00431176">
      <w:pPr>
        <w:pStyle w:val="ListParagraph"/>
        <w:ind w:left="360"/>
        <w:jc w:val="center"/>
        <w:rPr>
          <w:rFonts w:ascii="Verdana" w:hAnsi="Verdana"/>
          <w:color w:val="000000"/>
          <w:sz w:val="20"/>
          <w:szCs w:val="20"/>
          <w:shd w:val="clear" w:color="auto" w:fill="FFFFFF"/>
        </w:rPr>
      </w:pPr>
    </w:p>
    <w:tbl>
      <w:tblPr>
        <w:tblStyle w:val="TableGrid"/>
        <w:tblW w:w="9356" w:type="dxa"/>
        <w:tblInd w:w="-5" w:type="dxa"/>
        <w:tblLook w:val="04A0" w:firstRow="1" w:lastRow="0" w:firstColumn="1" w:lastColumn="0" w:noHBand="0" w:noVBand="1"/>
      </w:tblPr>
      <w:tblGrid>
        <w:gridCol w:w="498"/>
        <w:gridCol w:w="3330"/>
        <w:gridCol w:w="1275"/>
        <w:gridCol w:w="4253"/>
      </w:tblGrid>
      <w:tr w:rsidR="00E065A3" w:rsidRPr="00E065A3" w14:paraId="3264D464" w14:textId="068519EE" w:rsidTr="00E065A3">
        <w:trPr>
          <w:tblHeader/>
        </w:trPr>
        <w:tc>
          <w:tcPr>
            <w:tcW w:w="498" w:type="dxa"/>
            <w:shd w:val="clear" w:color="auto" w:fill="F2F2F2" w:themeFill="background1" w:themeFillShade="F2"/>
          </w:tcPr>
          <w:p w14:paraId="0992028E" w14:textId="77777777" w:rsidR="00770560" w:rsidRPr="00E065A3" w:rsidRDefault="00770560" w:rsidP="00E065A3">
            <w:pPr>
              <w:pStyle w:val="TableHeadingLeft"/>
              <w:rPr>
                <w:color w:val="000000" w:themeColor="text1"/>
                <w:sz w:val="14"/>
              </w:rPr>
            </w:pPr>
            <w:r w:rsidRPr="00E065A3">
              <w:rPr>
                <w:color w:val="000000" w:themeColor="text1"/>
                <w:sz w:val="14"/>
              </w:rPr>
              <w:t>No.</w:t>
            </w:r>
          </w:p>
        </w:tc>
        <w:tc>
          <w:tcPr>
            <w:tcW w:w="3330" w:type="dxa"/>
            <w:shd w:val="clear" w:color="auto" w:fill="F2F2F2" w:themeFill="background1" w:themeFillShade="F2"/>
          </w:tcPr>
          <w:p w14:paraId="4178B7D6" w14:textId="77777777" w:rsidR="00770560" w:rsidRPr="00E065A3" w:rsidRDefault="00770560" w:rsidP="00E065A3">
            <w:pPr>
              <w:pStyle w:val="TableHeadingLeft"/>
              <w:rPr>
                <w:color w:val="000000" w:themeColor="text1"/>
                <w:sz w:val="14"/>
              </w:rPr>
            </w:pPr>
            <w:r w:rsidRPr="00E065A3">
              <w:rPr>
                <w:color w:val="000000" w:themeColor="text1"/>
                <w:sz w:val="14"/>
              </w:rPr>
              <w:t>Recommendation</w:t>
            </w:r>
          </w:p>
        </w:tc>
        <w:tc>
          <w:tcPr>
            <w:tcW w:w="1275" w:type="dxa"/>
            <w:shd w:val="clear" w:color="auto" w:fill="F2F2F2" w:themeFill="background1" w:themeFillShade="F2"/>
          </w:tcPr>
          <w:p w14:paraId="4F3153B3" w14:textId="5B7A0916" w:rsidR="00770560" w:rsidRPr="00E065A3" w:rsidRDefault="00770560" w:rsidP="00E065A3">
            <w:pPr>
              <w:pStyle w:val="TableHeadingLeft"/>
              <w:rPr>
                <w:color w:val="000000" w:themeColor="text1"/>
                <w:sz w:val="14"/>
              </w:rPr>
            </w:pPr>
            <w:r w:rsidRPr="00E065A3">
              <w:rPr>
                <w:color w:val="000000" w:themeColor="text1"/>
                <w:sz w:val="14"/>
              </w:rPr>
              <w:t>Current Status</w:t>
            </w:r>
          </w:p>
        </w:tc>
        <w:tc>
          <w:tcPr>
            <w:tcW w:w="4253" w:type="dxa"/>
            <w:shd w:val="clear" w:color="auto" w:fill="F2F2F2" w:themeFill="background1" w:themeFillShade="F2"/>
          </w:tcPr>
          <w:p w14:paraId="45AC6062" w14:textId="03CC0E42" w:rsidR="00770560" w:rsidRPr="00E065A3" w:rsidRDefault="00770560" w:rsidP="00E065A3">
            <w:pPr>
              <w:pStyle w:val="TableHeadingLeft"/>
              <w:rPr>
                <w:color w:val="000000" w:themeColor="text1"/>
                <w:sz w:val="14"/>
              </w:rPr>
            </w:pPr>
            <w:r w:rsidRPr="00E065A3">
              <w:rPr>
                <w:color w:val="000000" w:themeColor="text1"/>
                <w:sz w:val="14"/>
              </w:rPr>
              <w:t>Department of Health’s r</w:t>
            </w:r>
            <w:r w:rsidR="00E065A3" w:rsidRPr="00E065A3">
              <w:rPr>
                <w:color w:val="000000" w:themeColor="text1"/>
                <w:sz w:val="14"/>
              </w:rPr>
              <w:t>esponse to recommendation</w:t>
            </w:r>
          </w:p>
        </w:tc>
      </w:tr>
      <w:tr w:rsidR="00943C4A" w:rsidRPr="00431176" w14:paraId="6089E415" w14:textId="3360A908" w:rsidTr="00E065A3">
        <w:tc>
          <w:tcPr>
            <w:tcW w:w="498" w:type="dxa"/>
          </w:tcPr>
          <w:p w14:paraId="36BB005B" w14:textId="77777777" w:rsidR="00943C4A" w:rsidRPr="00770560" w:rsidRDefault="00943C4A" w:rsidP="00943C4A">
            <w:pPr>
              <w:pStyle w:val="Table"/>
              <w:keepNext/>
              <w:rPr>
                <w:sz w:val="14"/>
              </w:rPr>
            </w:pPr>
            <w:r w:rsidRPr="00770560">
              <w:rPr>
                <w:sz w:val="14"/>
              </w:rPr>
              <w:t>1</w:t>
            </w:r>
          </w:p>
        </w:tc>
        <w:tc>
          <w:tcPr>
            <w:tcW w:w="3330" w:type="dxa"/>
          </w:tcPr>
          <w:p w14:paraId="3F097C86" w14:textId="1DA233EF" w:rsidR="00943C4A" w:rsidRPr="00770560" w:rsidRDefault="00943C4A" w:rsidP="00943C4A">
            <w:pPr>
              <w:pStyle w:val="Table"/>
              <w:keepNext/>
              <w:rPr>
                <w:sz w:val="14"/>
              </w:rPr>
            </w:pPr>
            <w:r w:rsidRPr="00770560">
              <w:rPr>
                <w:sz w:val="14"/>
              </w:rPr>
              <w:t>The Department of Health perform a review into the extraction of wider population health data sets and other data sets from general practices to PHNs, and how this data is handled and used by data extraction vendors, PHNs and Commonwealth agencies.</w:t>
            </w:r>
          </w:p>
        </w:tc>
        <w:tc>
          <w:tcPr>
            <w:tcW w:w="1275" w:type="dxa"/>
          </w:tcPr>
          <w:p w14:paraId="44F405A8" w14:textId="55A9B713" w:rsidR="00943C4A" w:rsidRPr="00770560" w:rsidRDefault="00943C4A" w:rsidP="00943C4A">
            <w:pPr>
              <w:pStyle w:val="Table"/>
              <w:keepNext/>
              <w:rPr>
                <w:sz w:val="14"/>
              </w:rPr>
            </w:pPr>
            <w:r>
              <w:rPr>
                <w:sz w:val="14"/>
              </w:rPr>
              <w:t>Action required</w:t>
            </w:r>
          </w:p>
        </w:tc>
        <w:tc>
          <w:tcPr>
            <w:tcW w:w="4253" w:type="dxa"/>
          </w:tcPr>
          <w:p w14:paraId="21418A83" w14:textId="00891318" w:rsidR="00943C4A" w:rsidRPr="00770560" w:rsidRDefault="00943C4A" w:rsidP="00943C4A">
            <w:pPr>
              <w:pStyle w:val="Table"/>
              <w:keepNext/>
              <w:spacing w:before="0" w:after="0"/>
              <w:rPr>
                <w:sz w:val="14"/>
              </w:rPr>
            </w:pPr>
            <w:r w:rsidRPr="00943C4A">
              <w:rPr>
                <w:sz w:val="14"/>
              </w:rPr>
              <w:t>The Department is currently considering the potential need for a regulatory impact statement process to assess regulatory options to improve, privacy, security and interoperability arrangements for general practice and/or broader health data.</w:t>
            </w:r>
          </w:p>
        </w:tc>
      </w:tr>
      <w:tr w:rsidR="00943C4A" w:rsidRPr="00431176" w14:paraId="728165E6" w14:textId="4EB2C9B3" w:rsidTr="00E065A3">
        <w:tc>
          <w:tcPr>
            <w:tcW w:w="498" w:type="dxa"/>
          </w:tcPr>
          <w:p w14:paraId="24FFE29B" w14:textId="77777777" w:rsidR="00943C4A" w:rsidRPr="00770560" w:rsidRDefault="00943C4A" w:rsidP="00943C4A">
            <w:pPr>
              <w:pStyle w:val="Table"/>
              <w:keepNext/>
              <w:rPr>
                <w:sz w:val="14"/>
              </w:rPr>
            </w:pPr>
            <w:r w:rsidRPr="00770560">
              <w:rPr>
                <w:sz w:val="14"/>
              </w:rPr>
              <w:t>2</w:t>
            </w:r>
          </w:p>
        </w:tc>
        <w:tc>
          <w:tcPr>
            <w:tcW w:w="3330" w:type="dxa"/>
          </w:tcPr>
          <w:p w14:paraId="07A51A25" w14:textId="4AAFCD21" w:rsidR="00943C4A" w:rsidRPr="00770560" w:rsidRDefault="00943C4A" w:rsidP="00943C4A">
            <w:pPr>
              <w:pStyle w:val="Table"/>
              <w:keepNext/>
              <w:rPr>
                <w:sz w:val="14"/>
              </w:rPr>
            </w:pPr>
            <w:r>
              <w:rPr>
                <w:sz w:val="14"/>
              </w:rPr>
              <w:t>F</w:t>
            </w:r>
            <w:r w:rsidRPr="00770560">
              <w:rPr>
                <w:sz w:val="14"/>
              </w:rPr>
              <w:t>rom its early stages, any changed or new program that addresses the collection or use of patient or practice data involve a broader collaboration between the Department of Health, general practices, PHNs, data extraction tool vendors and clinical information system vendors.</w:t>
            </w:r>
          </w:p>
        </w:tc>
        <w:tc>
          <w:tcPr>
            <w:tcW w:w="1275" w:type="dxa"/>
          </w:tcPr>
          <w:p w14:paraId="63E8BC01" w14:textId="5D92A5A9" w:rsidR="00943C4A" w:rsidRPr="00770560" w:rsidRDefault="00943C4A" w:rsidP="00943C4A">
            <w:pPr>
              <w:pStyle w:val="Table"/>
              <w:keepNext/>
              <w:rPr>
                <w:sz w:val="14"/>
              </w:rPr>
            </w:pPr>
            <w:r>
              <w:rPr>
                <w:sz w:val="14"/>
              </w:rPr>
              <w:t>Continuing</w:t>
            </w:r>
          </w:p>
        </w:tc>
        <w:tc>
          <w:tcPr>
            <w:tcW w:w="4253" w:type="dxa"/>
          </w:tcPr>
          <w:p w14:paraId="378D06CF" w14:textId="23C43B4F" w:rsidR="00943C4A" w:rsidRPr="00770560" w:rsidRDefault="00943C4A" w:rsidP="00943C4A">
            <w:pPr>
              <w:pStyle w:val="Table"/>
              <w:keepNext/>
              <w:rPr>
                <w:sz w:val="14"/>
              </w:rPr>
            </w:pPr>
            <w:r w:rsidRPr="00943C4A">
              <w:rPr>
                <w:sz w:val="14"/>
              </w:rPr>
              <w:t xml:space="preserve">The Department will continue to engage with relevant stakeholders on programs, which collect patient or practice data. </w:t>
            </w:r>
          </w:p>
        </w:tc>
      </w:tr>
      <w:tr w:rsidR="00943C4A" w:rsidRPr="00431176" w14:paraId="71D36A9B" w14:textId="19EA7A16" w:rsidTr="00E065A3">
        <w:tc>
          <w:tcPr>
            <w:tcW w:w="498" w:type="dxa"/>
          </w:tcPr>
          <w:p w14:paraId="692F2C34" w14:textId="77777777" w:rsidR="00943C4A" w:rsidRPr="00770560" w:rsidRDefault="00943C4A" w:rsidP="00943C4A">
            <w:pPr>
              <w:pStyle w:val="Table"/>
              <w:keepNext/>
              <w:rPr>
                <w:sz w:val="14"/>
              </w:rPr>
            </w:pPr>
            <w:r w:rsidRPr="00770560">
              <w:rPr>
                <w:sz w:val="14"/>
              </w:rPr>
              <w:t>3</w:t>
            </w:r>
          </w:p>
        </w:tc>
        <w:tc>
          <w:tcPr>
            <w:tcW w:w="3330" w:type="dxa"/>
          </w:tcPr>
          <w:p w14:paraId="51BFA646" w14:textId="48C05542" w:rsidR="00943C4A" w:rsidRPr="00770560" w:rsidRDefault="00943C4A" w:rsidP="00943C4A">
            <w:pPr>
              <w:pStyle w:val="Table"/>
              <w:keepNext/>
              <w:rPr>
                <w:sz w:val="14"/>
              </w:rPr>
            </w:pPr>
            <w:r>
              <w:rPr>
                <w:sz w:val="14"/>
              </w:rPr>
              <w:t>T</w:t>
            </w:r>
            <w:r w:rsidRPr="00770560">
              <w:rPr>
                <w:sz w:val="14"/>
              </w:rPr>
              <w:t>argeted information campaigns and information resources be provided well in advance to address any anticipated concerns of both general practices and patients ahead of the implementation of any new or changed data collection program.</w:t>
            </w:r>
          </w:p>
        </w:tc>
        <w:tc>
          <w:tcPr>
            <w:tcW w:w="1275" w:type="dxa"/>
          </w:tcPr>
          <w:p w14:paraId="405AAE09" w14:textId="74A7B657" w:rsidR="00943C4A" w:rsidRPr="00770560" w:rsidRDefault="00943C4A" w:rsidP="00943C4A">
            <w:pPr>
              <w:pStyle w:val="Table"/>
              <w:keepNext/>
              <w:rPr>
                <w:sz w:val="14"/>
              </w:rPr>
            </w:pPr>
            <w:r>
              <w:rPr>
                <w:sz w:val="14"/>
              </w:rPr>
              <w:t>Continuing</w:t>
            </w:r>
          </w:p>
        </w:tc>
        <w:tc>
          <w:tcPr>
            <w:tcW w:w="4253" w:type="dxa"/>
          </w:tcPr>
          <w:p w14:paraId="2EDED13C" w14:textId="14722E8C" w:rsidR="00943C4A" w:rsidRPr="00770560" w:rsidRDefault="00943C4A" w:rsidP="00943C4A">
            <w:pPr>
              <w:pStyle w:val="Table"/>
              <w:keepNext/>
              <w:rPr>
                <w:sz w:val="14"/>
              </w:rPr>
            </w:pPr>
            <w:r w:rsidRPr="00943C4A">
              <w:rPr>
                <w:sz w:val="14"/>
              </w:rPr>
              <w:t xml:space="preserve">The Department will continue to provide relevant stakeholders the opportunity to comment on proposed resources to ensure queries and concerns are addressed prior to public release. The Department will work to improve lead times for public release of resources and material to support sector readiness. </w:t>
            </w:r>
          </w:p>
        </w:tc>
      </w:tr>
      <w:tr w:rsidR="00943C4A" w:rsidRPr="00431176" w14:paraId="4FD509B8" w14:textId="4A590140" w:rsidTr="00E065A3">
        <w:tc>
          <w:tcPr>
            <w:tcW w:w="498" w:type="dxa"/>
          </w:tcPr>
          <w:p w14:paraId="56ADA642" w14:textId="77777777" w:rsidR="00943C4A" w:rsidRPr="00770560" w:rsidRDefault="00943C4A" w:rsidP="00943C4A">
            <w:pPr>
              <w:pStyle w:val="Table"/>
              <w:rPr>
                <w:sz w:val="14"/>
              </w:rPr>
            </w:pPr>
            <w:r w:rsidRPr="00770560">
              <w:rPr>
                <w:sz w:val="14"/>
              </w:rPr>
              <w:t>4</w:t>
            </w:r>
          </w:p>
        </w:tc>
        <w:tc>
          <w:tcPr>
            <w:tcW w:w="3330" w:type="dxa"/>
          </w:tcPr>
          <w:p w14:paraId="5ED005D2" w14:textId="46C6C81D" w:rsidR="00943C4A" w:rsidRPr="00770560" w:rsidRDefault="00943C4A" w:rsidP="00943C4A">
            <w:pPr>
              <w:pStyle w:val="Table"/>
              <w:rPr>
                <w:sz w:val="14"/>
              </w:rPr>
            </w:pPr>
            <w:r>
              <w:rPr>
                <w:sz w:val="14"/>
              </w:rPr>
              <w:t xml:space="preserve">That </w:t>
            </w:r>
            <w:r w:rsidRPr="00770560">
              <w:rPr>
                <w:sz w:val="14"/>
              </w:rPr>
              <w:t>planning and budgeting for any programs involving the collection of data account for the high resource and effort cost associated with the implementation of data privacy and security best practice controls.</w:t>
            </w:r>
          </w:p>
        </w:tc>
        <w:tc>
          <w:tcPr>
            <w:tcW w:w="1275" w:type="dxa"/>
          </w:tcPr>
          <w:p w14:paraId="6D7C2CF1" w14:textId="0BE91070" w:rsidR="00943C4A" w:rsidRPr="00770560" w:rsidRDefault="00943C4A" w:rsidP="00943C4A">
            <w:pPr>
              <w:pStyle w:val="Table"/>
              <w:rPr>
                <w:sz w:val="14"/>
              </w:rPr>
            </w:pPr>
            <w:r>
              <w:rPr>
                <w:sz w:val="14"/>
              </w:rPr>
              <w:t>Continuing</w:t>
            </w:r>
          </w:p>
        </w:tc>
        <w:tc>
          <w:tcPr>
            <w:tcW w:w="4253" w:type="dxa"/>
          </w:tcPr>
          <w:p w14:paraId="6857FFC3" w14:textId="24D105DE" w:rsidR="00943C4A" w:rsidRPr="00770560" w:rsidRDefault="00943C4A" w:rsidP="00943C4A">
            <w:pPr>
              <w:pStyle w:val="Table"/>
              <w:rPr>
                <w:sz w:val="14"/>
              </w:rPr>
            </w:pPr>
            <w:r w:rsidRPr="00943C4A">
              <w:rPr>
                <w:sz w:val="14"/>
              </w:rPr>
              <w:t xml:space="preserve">The Department will continue to monitor the costs and regulatory burdens associated with implementing data privacy principles and security best practice controls. This will be assessed through ongoing engagement with relevant stakeholders required to implement these measures.   </w:t>
            </w:r>
          </w:p>
        </w:tc>
      </w:tr>
      <w:tr w:rsidR="00943C4A" w:rsidRPr="00431176" w14:paraId="34234381" w14:textId="1A65A7FF" w:rsidTr="0092087B">
        <w:tc>
          <w:tcPr>
            <w:tcW w:w="498" w:type="dxa"/>
          </w:tcPr>
          <w:p w14:paraId="3AE2AE89" w14:textId="77777777" w:rsidR="00943C4A" w:rsidRPr="00770560" w:rsidRDefault="00943C4A" w:rsidP="00943C4A">
            <w:pPr>
              <w:pStyle w:val="Table"/>
              <w:rPr>
                <w:sz w:val="14"/>
              </w:rPr>
            </w:pPr>
            <w:r w:rsidRPr="00770560">
              <w:rPr>
                <w:sz w:val="14"/>
              </w:rPr>
              <w:t>5</w:t>
            </w:r>
          </w:p>
        </w:tc>
        <w:tc>
          <w:tcPr>
            <w:tcW w:w="3330" w:type="dxa"/>
          </w:tcPr>
          <w:p w14:paraId="254E9DAE" w14:textId="3C93BFE5" w:rsidR="00943C4A" w:rsidRPr="00770560" w:rsidRDefault="00943C4A" w:rsidP="00943C4A">
            <w:pPr>
              <w:pStyle w:val="Table"/>
              <w:rPr>
                <w:sz w:val="14"/>
              </w:rPr>
            </w:pPr>
            <w:r>
              <w:rPr>
                <w:sz w:val="14"/>
              </w:rPr>
              <w:t>T</w:t>
            </w:r>
            <w:r w:rsidRPr="00770560">
              <w:rPr>
                <w:sz w:val="14"/>
              </w:rPr>
              <w:t>o support consistency in privacy and security maturity across PHNs, opportunities for ongoing inter-PHN collaboration to share knowledge and practices be identified.</w:t>
            </w:r>
          </w:p>
        </w:tc>
        <w:tc>
          <w:tcPr>
            <w:tcW w:w="1275" w:type="dxa"/>
          </w:tcPr>
          <w:p w14:paraId="5403E2DE" w14:textId="399DDB19" w:rsidR="00943C4A" w:rsidRPr="0092087B" w:rsidRDefault="00943C4A" w:rsidP="00943C4A">
            <w:pPr>
              <w:pStyle w:val="Table"/>
              <w:rPr>
                <w:sz w:val="14"/>
              </w:rPr>
            </w:pPr>
            <w:r w:rsidRPr="0092087B">
              <w:rPr>
                <w:sz w:val="14"/>
              </w:rPr>
              <w:t>Actioned</w:t>
            </w:r>
          </w:p>
        </w:tc>
        <w:tc>
          <w:tcPr>
            <w:tcW w:w="4253" w:type="dxa"/>
            <w:shd w:val="clear" w:color="auto" w:fill="auto"/>
          </w:tcPr>
          <w:p w14:paraId="4670281A" w14:textId="77777777" w:rsidR="00943C4A" w:rsidRPr="00943C4A" w:rsidRDefault="00943C4A" w:rsidP="00943C4A">
            <w:pPr>
              <w:pStyle w:val="Table"/>
              <w:rPr>
                <w:sz w:val="14"/>
              </w:rPr>
            </w:pPr>
            <w:r w:rsidRPr="00943C4A">
              <w:rPr>
                <w:sz w:val="14"/>
              </w:rPr>
              <w:t xml:space="preserve">PHNs have a number of established networks for collaboration in data privacy and security, such as the PHN Data Steering Group and state based data governance committees.  </w:t>
            </w:r>
          </w:p>
          <w:p w14:paraId="57BF39CC" w14:textId="77777777" w:rsidR="00943C4A" w:rsidRPr="00943C4A" w:rsidRDefault="00943C4A" w:rsidP="00943C4A">
            <w:pPr>
              <w:pStyle w:val="Table"/>
              <w:rPr>
                <w:sz w:val="14"/>
              </w:rPr>
            </w:pPr>
            <w:r w:rsidRPr="00943C4A">
              <w:rPr>
                <w:sz w:val="14"/>
              </w:rPr>
              <w:t xml:space="preserve">This will be bolstered by the Government’s $10 million investment in a PHN National Data Storage and Analysis Solution (NDSAS).  </w:t>
            </w:r>
          </w:p>
          <w:p w14:paraId="5EF9B46C" w14:textId="5E193B79" w:rsidR="00943C4A" w:rsidRPr="0092087B" w:rsidRDefault="00943C4A" w:rsidP="00943C4A">
            <w:pPr>
              <w:pStyle w:val="Table"/>
              <w:rPr>
                <w:sz w:val="14"/>
              </w:rPr>
            </w:pPr>
            <w:r w:rsidRPr="00943C4A">
              <w:rPr>
                <w:sz w:val="14"/>
              </w:rPr>
              <w:t>In addition, the Department has established a PHN PIP QI working group and SharePoint site to facilitate collaboration and the sharing of knowledge across regions. The working group provides PHNs with direct access to the Departmental PIP QI staff ensuring timely support.</w:t>
            </w:r>
          </w:p>
        </w:tc>
      </w:tr>
      <w:tr w:rsidR="00943C4A" w:rsidRPr="00431176" w14:paraId="5CC2AE5B" w14:textId="6DCB6426" w:rsidTr="00E065A3">
        <w:tc>
          <w:tcPr>
            <w:tcW w:w="498" w:type="dxa"/>
          </w:tcPr>
          <w:p w14:paraId="2ED80BD9" w14:textId="77777777" w:rsidR="00943C4A" w:rsidRPr="00770560" w:rsidRDefault="00943C4A" w:rsidP="00943C4A">
            <w:pPr>
              <w:pStyle w:val="Table"/>
              <w:rPr>
                <w:sz w:val="14"/>
              </w:rPr>
            </w:pPr>
            <w:r w:rsidRPr="00770560">
              <w:rPr>
                <w:sz w:val="14"/>
              </w:rPr>
              <w:t>6</w:t>
            </w:r>
          </w:p>
        </w:tc>
        <w:tc>
          <w:tcPr>
            <w:tcW w:w="3330" w:type="dxa"/>
          </w:tcPr>
          <w:p w14:paraId="314B62FE" w14:textId="0EF66232" w:rsidR="00943C4A" w:rsidRPr="00770560" w:rsidRDefault="00943C4A" w:rsidP="00943C4A">
            <w:pPr>
              <w:pStyle w:val="Table"/>
              <w:rPr>
                <w:sz w:val="14"/>
              </w:rPr>
            </w:pPr>
            <w:r w:rsidRPr="00770560">
              <w:rPr>
                <w:sz w:val="14"/>
              </w:rPr>
              <w:t>PHNs be provided with an optional standard contract which includes the data privacy and security controls expected in contractual arrangements and other agreements with third-party providers. This should be supported by the facilitation of collaboration and knowledge sharing between PHNs, particularly in the area of contract management.</w:t>
            </w:r>
          </w:p>
        </w:tc>
        <w:tc>
          <w:tcPr>
            <w:tcW w:w="1275" w:type="dxa"/>
          </w:tcPr>
          <w:p w14:paraId="03047329" w14:textId="60D198BE" w:rsidR="00943C4A" w:rsidRPr="00770560" w:rsidRDefault="00943C4A" w:rsidP="00943C4A">
            <w:pPr>
              <w:pStyle w:val="Table"/>
              <w:rPr>
                <w:sz w:val="14"/>
              </w:rPr>
            </w:pPr>
            <w:r>
              <w:rPr>
                <w:sz w:val="14"/>
              </w:rPr>
              <w:t>Actioned</w:t>
            </w:r>
          </w:p>
        </w:tc>
        <w:tc>
          <w:tcPr>
            <w:tcW w:w="4253" w:type="dxa"/>
          </w:tcPr>
          <w:p w14:paraId="3D143DB4" w14:textId="77777777" w:rsidR="00943C4A" w:rsidRPr="00943C4A" w:rsidRDefault="00943C4A" w:rsidP="00943C4A">
            <w:pPr>
              <w:pStyle w:val="Table"/>
              <w:rPr>
                <w:sz w:val="14"/>
              </w:rPr>
            </w:pPr>
            <w:r w:rsidRPr="00943C4A">
              <w:rPr>
                <w:sz w:val="14"/>
              </w:rPr>
              <w:t xml:space="preserve">The Department has developed a model data sharing agreement which has been co-designed with PHNs, the PIP Advisory Group (PIPAG) and its Data Governance Sub Committee. </w:t>
            </w:r>
          </w:p>
          <w:p w14:paraId="7EB0035E" w14:textId="4C8FF5B6" w:rsidR="00943C4A" w:rsidRPr="00770560" w:rsidRDefault="00943C4A" w:rsidP="00943C4A">
            <w:pPr>
              <w:pStyle w:val="Table"/>
              <w:rPr>
                <w:sz w:val="14"/>
              </w:rPr>
            </w:pPr>
            <w:r w:rsidRPr="00943C4A">
              <w:rPr>
                <w:sz w:val="14"/>
              </w:rPr>
              <w:t>The model data sharing agreement sets out model terms and conditions for the creation and submission of the PIP Eligible Data Set.</w:t>
            </w:r>
          </w:p>
        </w:tc>
      </w:tr>
      <w:tr w:rsidR="00943C4A" w:rsidRPr="00431176" w14:paraId="208DB77E" w14:textId="2E2E6A7A" w:rsidTr="00E065A3">
        <w:tc>
          <w:tcPr>
            <w:tcW w:w="498" w:type="dxa"/>
          </w:tcPr>
          <w:p w14:paraId="33A7B752" w14:textId="77777777" w:rsidR="00943C4A" w:rsidRPr="00770560" w:rsidRDefault="00943C4A" w:rsidP="00943C4A">
            <w:pPr>
              <w:pStyle w:val="Table"/>
              <w:rPr>
                <w:sz w:val="14"/>
              </w:rPr>
            </w:pPr>
            <w:r w:rsidRPr="00770560">
              <w:rPr>
                <w:sz w:val="14"/>
              </w:rPr>
              <w:t>7</w:t>
            </w:r>
          </w:p>
        </w:tc>
        <w:tc>
          <w:tcPr>
            <w:tcW w:w="3330" w:type="dxa"/>
          </w:tcPr>
          <w:p w14:paraId="4430A299" w14:textId="2F715837" w:rsidR="00943C4A" w:rsidRPr="00770560" w:rsidRDefault="00943C4A" w:rsidP="00943C4A">
            <w:pPr>
              <w:pStyle w:val="Table"/>
              <w:rPr>
                <w:sz w:val="14"/>
              </w:rPr>
            </w:pPr>
            <w:r>
              <w:rPr>
                <w:sz w:val="14"/>
              </w:rPr>
              <w:t>G</w:t>
            </w:r>
            <w:r w:rsidRPr="00770560">
              <w:rPr>
                <w:sz w:val="14"/>
              </w:rPr>
              <w:t xml:space="preserve">uidance be provided on the level of security controls that are expected around the direct </w:t>
            </w:r>
            <w:r w:rsidR="00D171CC">
              <w:rPr>
                <w:sz w:val="14"/>
              </w:rPr>
              <w:t>reporti</w:t>
            </w:r>
            <w:r w:rsidR="00D171CC" w:rsidRPr="00770560">
              <w:rPr>
                <w:sz w:val="14"/>
              </w:rPr>
              <w:t>ng</w:t>
            </w:r>
            <w:r w:rsidRPr="00770560">
              <w:rPr>
                <w:sz w:val="14"/>
              </w:rPr>
              <w:t xml:space="preserve"> of the PIP Eligible Data Set and that vendors are supported in the development of interfaces which ensure that data privacy and security is maintained.</w:t>
            </w:r>
          </w:p>
        </w:tc>
        <w:tc>
          <w:tcPr>
            <w:tcW w:w="1275" w:type="dxa"/>
          </w:tcPr>
          <w:p w14:paraId="18D0E27E" w14:textId="47530351" w:rsidR="00943C4A" w:rsidRPr="00770560" w:rsidRDefault="00943C4A" w:rsidP="00943C4A">
            <w:pPr>
              <w:pStyle w:val="Table"/>
              <w:rPr>
                <w:sz w:val="14"/>
              </w:rPr>
            </w:pPr>
            <w:r>
              <w:rPr>
                <w:sz w:val="14"/>
              </w:rPr>
              <w:t>Actioned</w:t>
            </w:r>
          </w:p>
        </w:tc>
        <w:tc>
          <w:tcPr>
            <w:tcW w:w="4253" w:type="dxa"/>
          </w:tcPr>
          <w:p w14:paraId="4D53669E" w14:textId="292897D7" w:rsidR="00B65135" w:rsidRDefault="00863AAE" w:rsidP="00943C4A">
            <w:pPr>
              <w:pStyle w:val="Table"/>
              <w:rPr>
                <w:sz w:val="14"/>
              </w:rPr>
            </w:pPr>
            <w:r>
              <w:rPr>
                <w:sz w:val="14"/>
              </w:rPr>
              <w:t xml:space="preserve">The Department </w:t>
            </w:r>
            <w:r w:rsidR="00B65135" w:rsidRPr="00943C4A">
              <w:rPr>
                <w:sz w:val="14"/>
              </w:rPr>
              <w:t>engaged Doll Martin Associates Pty Ltd. to develop clear and concise resources for the PIP Eligible Data Set submission requirements.</w:t>
            </w:r>
            <w:r w:rsidR="00B65135">
              <w:rPr>
                <w:sz w:val="14"/>
              </w:rPr>
              <w:t xml:space="preserve"> These resources </w:t>
            </w:r>
            <w:r>
              <w:rPr>
                <w:sz w:val="14"/>
              </w:rPr>
              <w:t xml:space="preserve">have been finalised and </w:t>
            </w:r>
            <w:r w:rsidR="00B65135">
              <w:rPr>
                <w:sz w:val="14"/>
              </w:rPr>
              <w:t xml:space="preserve">will assist in providing clarity around privacy and security requirements for the data set by articulating the type of data required by general practice to PHNs and emphasising de-identification and suppression requirements.   </w:t>
            </w:r>
          </w:p>
          <w:p w14:paraId="682103EC" w14:textId="77777777" w:rsidR="00B65135" w:rsidRDefault="00B65135" w:rsidP="00943C4A">
            <w:pPr>
              <w:pStyle w:val="Table"/>
              <w:rPr>
                <w:sz w:val="14"/>
              </w:rPr>
            </w:pPr>
          </w:p>
          <w:p w14:paraId="1D3029B6" w14:textId="67B586C0" w:rsidR="00943C4A" w:rsidRPr="00943C4A" w:rsidRDefault="00943C4A" w:rsidP="00943C4A">
            <w:pPr>
              <w:pStyle w:val="Table"/>
              <w:rPr>
                <w:sz w:val="14"/>
              </w:rPr>
            </w:pPr>
            <w:r w:rsidRPr="00943C4A">
              <w:rPr>
                <w:sz w:val="14"/>
              </w:rPr>
              <w:t>The Department will</w:t>
            </w:r>
            <w:r w:rsidR="00B65135">
              <w:rPr>
                <w:sz w:val="14"/>
              </w:rPr>
              <w:t xml:space="preserve"> also</w:t>
            </w:r>
            <w:r w:rsidRPr="00943C4A">
              <w:rPr>
                <w:sz w:val="14"/>
              </w:rPr>
              <w:t xml:space="preserve"> continue to work with the PIPAG Data Governance Sub-Committee to ensure that the PIP Eligible Data Set Data Governance Framework provides sufficient guidance on security and privacy arrangements. </w:t>
            </w:r>
            <w:r w:rsidRPr="00943C4A">
              <w:rPr>
                <w:sz w:val="14"/>
              </w:rPr>
              <w:br/>
            </w:r>
          </w:p>
          <w:p w14:paraId="2200379D" w14:textId="5BBCFF1C" w:rsidR="00943C4A" w:rsidRPr="00770560" w:rsidRDefault="00943C4A" w:rsidP="00943C4A">
            <w:pPr>
              <w:pStyle w:val="Table"/>
              <w:rPr>
                <w:sz w:val="14"/>
              </w:rPr>
            </w:pPr>
            <w:r w:rsidRPr="00943C4A">
              <w:rPr>
                <w:sz w:val="14"/>
              </w:rPr>
              <w:t>The Department has also developed a time limited PHN Data Working Group to assist software vendors and PHNs in understanding PIP QI data requirements including those relating to data privacy and security.</w:t>
            </w:r>
          </w:p>
        </w:tc>
      </w:tr>
      <w:tr w:rsidR="00943C4A" w:rsidRPr="00431176" w14:paraId="16A28C69" w14:textId="31A8A47D" w:rsidTr="00E065A3">
        <w:tc>
          <w:tcPr>
            <w:tcW w:w="498" w:type="dxa"/>
          </w:tcPr>
          <w:p w14:paraId="77C52DB1" w14:textId="77777777" w:rsidR="00943C4A" w:rsidRPr="00770560" w:rsidRDefault="00943C4A" w:rsidP="00943C4A">
            <w:pPr>
              <w:pStyle w:val="Table"/>
              <w:rPr>
                <w:sz w:val="14"/>
              </w:rPr>
            </w:pPr>
            <w:r w:rsidRPr="00770560">
              <w:rPr>
                <w:sz w:val="14"/>
              </w:rPr>
              <w:t>8</w:t>
            </w:r>
          </w:p>
        </w:tc>
        <w:tc>
          <w:tcPr>
            <w:tcW w:w="3330" w:type="dxa"/>
          </w:tcPr>
          <w:p w14:paraId="6276E618" w14:textId="6F65F4FB" w:rsidR="00943C4A" w:rsidRPr="00770560" w:rsidRDefault="00943C4A" w:rsidP="00943C4A">
            <w:pPr>
              <w:pStyle w:val="Table"/>
              <w:rPr>
                <w:sz w:val="14"/>
              </w:rPr>
            </w:pPr>
            <w:r>
              <w:rPr>
                <w:sz w:val="14"/>
              </w:rPr>
              <w:t>A</w:t>
            </w:r>
            <w:r w:rsidRPr="00770560">
              <w:rPr>
                <w:sz w:val="14"/>
              </w:rPr>
              <w:t xml:space="preserve"> detailed specification on the </w:t>
            </w:r>
            <w:r w:rsidR="00D171CC">
              <w:rPr>
                <w:sz w:val="14"/>
              </w:rPr>
              <w:t>report</w:t>
            </w:r>
            <w:r w:rsidRPr="00770560">
              <w:rPr>
                <w:sz w:val="14"/>
              </w:rPr>
              <w:t>ing, data aggregation and manipulation requirements of the national data custodian be developed and provided to PHNs expeditiously to inform planning and change management.</w:t>
            </w:r>
          </w:p>
        </w:tc>
        <w:tc>
          <w:tcPr>
            <w:tcW w:w="1275" w:type="dxa"/>
          </w:tcPr>
          <w:p w14:paraId="06661E3C" w14:textId="71617335" w:rsidR="00943C4A" w:rsidRPr="00770560" w:rsidRDefault="00943C4A" w:rsidP="00943C4A">
            <w:pPr>
              <w:pStyle w:val="Table"/>
              <w:rPr>
                <w:sz w:val="14"/>
              </w:rPr>
            </w:pPr>
            <w:r>
              <w:rPr>
                <w:sz w:val="14"/>
              </w:rPr>
              <w:t>In progress</w:t>
            </w:r>
          </w:p>
        </w:tc>
        <w:tc>
          <w:tcPr>
            <w:tcW w:w="4253" w:type="dxa"/>
          </w:tcPr>
          <w:p w14:paraId="3C77CB15" w14:textId="63941C98" w:rsidR="00943C4A" w:rsidRPr="00770560" w:rsidRDefault="00943C4A" w:rsidP="00863AAE">
            <w:pPr>
              <w:pStyle w:val="Table"/>
              <w:rPr>
                <w:sz w:val="14"/>
              </w:rPr>
            </w:pPr>
            <w:r w:rsidRPr="00943C4A">
              <w:rPr>
                <w:sz w:val="14"/>
              </w:rPr>
              <w:t>The Department has established a Regional and National Data Custodian SharePoint site to enable collaboration between the Australian Institute of Health We</w:t>
            </w:r>
            <w:r w:rsidR="00D171CC">
              <w:rPr>
                <w:sz w:val="14"/>
              </w:rPr>
              <w:t>lfare (AIHW) and the PHNs on</w:t>
            </w:r>
            <w:r w:rsidRPr="00943C4A">
              <w:rPr>
                <w:sz w:val="14"/>
              </w:rPr>
              <w:t xml:space="preserve"> specific data sharing requirements. The AIHW is working directly with a number of PHNs to develop and test data shells and mechanisms for the exchange of data including supporting data sharing </w:t>
            </w:r>
            <w:proofErr w:type="gramStart"/>
            <w:r w:rsidRPr="00943C4A">
              <w:rPr>
                <w:sz w:val="14"/>
              </w:rPr>
              <w:t>agreements..</w:t>
            </w:r>
            <w:proofErr w:type="gramEnd"/>
          </w:p>
        </w:tc>
      </w:tr>
      <w:tr w:rsidR="00943C4A" w:rsidRPr="00431176" w14:paraId="6094FC57" w14:textId="7FD131ED" w:rsidTr="00E065A3">
        <w:tc>
          <w:tcPr>
            <w:tcW w:w="498" w:type="dxa"/>
          </w:tcPr>
          <w:p w14:paraId="74F15CDA" w14:textId="77777777" w:rsidR="00943C4A" w:rsidRPr="00770560" w:rsidRDefault="00943C4A" w:rsidP="00943C4A">
            <w:pPr>
              <w:pStyle w:val="Table"/>
              <w:rPr>
                <w:sz w:val="14"/>
              </w:rPr>
            </w:pPr>
            <w:r w:rsidRPr="00770560">
              <w:rPr>
                <w:sz w:val="14"/>
              </w:rPr>
              <w:t>9</w:t>
            </w:r>
          </w:p>
        </w:tc>
        <w:tc>
          <w:tcPr>
            <w:tcW w:w="3330" w:type="dxa"/>
          </w:tcPr>
          <w:p w14:paraId="6A8406B0" w14:textId="53F3A678" w:rsidR="00943C4A" w:rsidRPr="00770560" w:rsidRDefault="00943C4A" w:rsidP="00943C4A">
            <w:pPr>
              <w:pStyle w:val="Table"/>
              <w:rPr>
                <w:sz w:val="14"/>
              </w:rPr>
            </w:pPr>
            <w:r>
              <w:rPr>
                <w:sz w:val="14"/>
              </w:rPr>
              <w:t>A</w:t>
            </w:r>
            <w:r w:rsidRPr="00770560">
              <w:rPr>
                <w:sz w:val="14"/>
              </w:rPr>
              <w:t>n independent testing and validation of the data extraction process through data extraction tools be performed to review effectiveness of security controls and processes, including the de-identification of data.</w:t>
            </w:r>
          </w:p>
        </w:tc>
        <w:tc>
          <w:tcPr>
            <w:tcW w:w="1275" w:type="dxa"/>
          </w:tcPr>
          <w:p w14:paraId="66017290" w14:textId="7420BD3C" w:rsidR="00943C4A" w:rsidRPr="00770560" w:rsidRDefault="00943C4A" w:rsidP="00943C4A">
            <w:pPr>
              <w:pStyle w:val="Table"/>
              <w:rPr>
                <w:sz w:val="14"/>
              </w:rPr>
            </w:pPr>
            <w:r>
              <w:rPr>
                <w:sz w:val="14"/>
              </w:rPr>
              <w:t>Action required</w:t>
            </w:r>
          </w:p>
        </w:tc>
        <w:tc>
          <w:tcPr>
            <w:tcW w:w="4253" w:type="dxa"/>
          </w:tcPr>
          <w:p w14:paraId="2C0CBD6D" w14:textId="1EC52ECF" w:rsidR="00943C4A" w:rsidRPr="00943C4A" w:rsidRDefault="00943C4A" w:rsidP="00943C4A">
            <w:pPr>
              <w:pStyle w:val="Table"/>
              <w:rPr>
                <w:sz w:val="14"/>
              </w:rPr>
            </w:pPr>
            <w:r w:rsidRPr="00943C4A">
              <w:rPr>
                <w:sz w:val="14"/>
              </w:rPr>
              <w:t xml:space="preserve">As noted under Recommendation 1, the Department is currently considering the potential need for a regulatory impact statement process to assess regulatory options to improve, privacy, security and interoperability arrangements for general practice and/or broader health data. The RIS will address independent testing and validation of data from differing extraction tools.   </w:t>
            </w:r>
          </w:p>
        </w:tc>
      </w:tr>
      <w:tr w:rsidR="00943C4A" w:rsidRPr="00431176" w14:paraId="22655EA9" w14:textId="0C9153B8" w:rsidTr="00E065A3">
        <w:tc>
          <w:tcPr>
            <w:tcW w:w="498" w:type="dxa"/>
          </w:tcPr>
          <w:p w14:paraId="4EA18360" w14:textId="77777777" w:rsidR="00943C4A" w:rsidRPr="00770560" w:rsidRDefault="00943C4A" w:rsidP="00943C4A">
            <w:pPr>
              <w:pStyle w:val="Table"/>
              <w:rPr>
                <w:sz w:val="14"/>
              </w:rPr>
            </w:pPr>
            <w:r w:rsidRPr="00770560">
              <w:rPr>
                <w:sz w:val="14"/>
              </w:rPr>
              <w:lastRenderedPageBreak/>
              <w:t>10</w:t>
            </w:r>
          </w:p>
        </w:tc>
        <w:tc>
          <w:tcPr>
            <w:tcW w:w="3330" w:type="dxa"/>
          </w:tcPr>
          <w:p w14:paraId="2539D7B0" w14:textId="53436A85" w:rsidR="00943C4A" w:rsidRPr="00770560" w:rsidRDefault="00943C4A" w:rsidP="00943C4A">
            <w:pPr>
              <w:pStyle w:val="Table"/>
              <w:rPr>
                <w:sz w:val="14"/>
              </w:rPr>
            </w:pPr>
            <w:r w:rsidRPr="00770560">
              <w:rPr>
                <w:sz w:val="14"/>
              </w:rPr>
              <w:t xml:space="preserve">PIP Eligible Data Set regional and national data custodians review their archiving and data disposal requirements and seek where possible to dispose of the PIP Eligible Data Set where it is no longer being used for its intended purposes. The requirement to dispose of the PIP Eligible Data Set once it is no longer needed to fulfil a contractual obligation should be included in contractual arrangements with third-party vendors.  </w:t>
            </w:r>
          </w:p>
        </w:tc>
        <w:tc>
          <w:tcPr>
            <w:tcW w:w="1275" w:type="dxa"/>
          </w:tcPr>
          <w:p w14:paraId="0056F0ED" w14:textId="43AB53BD" w:rsidR="00943C4A" w:rsidRPr="00770560" w:rsidRDefault="00943C4A" w:rsidP="00943C4A">
            <w:pPr>
              <w:pStyle w:val="Table"/>
              <w:rPr>
                <w:sz w:val="14"/>
              </w:rPr>
            </w:pPr>
            <w:r>
              <w:rPr>
                <w:sz w:val="14"/>
              </w:rPr>
              <w:t>Action required</w:t>
            </w:r>
          </w:p>
        </w:tc>
        <w:tc>
          <w:tcPr>
            <w:tcW w:w="4253" w:type="dxa"/>
          </w:tcPr>
          <w:p w14:paraId="4A4691D7" w14:textId="07925855" w:rsidR="00943C4A" w:rsidRPr="00770560" w:rsidRDefault="00943C4A" w:rsidP="00943C4A">
            <w:pPr>
              <w:pStyle w:val="Table"/>
              <w:rPr>
                <w:sz w:val="14"/>
              </w:rPr>
            </w:pPr>
            <w:r w:rsidRPr="00943C4A">
              <w:rPr>
                <w:sz w:val="14"/>
              </w:rPr>
              <w:t xml:space="preserve">The Department will develop PIP QI archiving and disposal requirements in consultation with the PIPAG and its Data Governance Sub-Committee.  </w:t>
            </w:r>
          </w:p>
        </w:tc>
      </w:tr>
      <w:tr w:rsidR="00943C4A" w:rsidRPr="00431176" w14:paraId="005E6CC0" w14:textId="0796DEF1" w:rsidTr="00E065A3">
        <w:tc>
          <w:tcPr>
            <w:tcW w:w="498" w:type="dxa"/>
          </w:tcPr>
          <w:p w14:paraId="76EAB882" w14:textId="77777777" w:rsidR="00943C4A" w:rsidRPr="00770560" w:rsidRDefault="00943C4A" w:rsidP="00943C4A">
            <w:pPr>
              <w:pStyle w:val="Table"/>
              <w:rPr>
                <w:sz w:val="14"/>
              </w:rPr>
            </w:pPr>
            <w:r w:rsidRPr="00770560">
              <w:rPr>
                <w:sz w:val="14"/>
              </w:rPr>
              <w:t>11</w:t>
            </w:r>
          </w:p>
        </w:tc>
        <w:tc>
          <w:tcPr>
            <w:tcW w:w="3330" w:type="dxa"/>
          </w:tcPr>
          <w:p w14:paraId="25B550CF" w14:textId="09263A69" w:rsidR="00943C4A" w:rsidRPr="00770560" w:rsidRDefault="00943C4A" w:rsidP="00943C4A">
            <w:pPr>
              <w:pStyle w:val="Table"/>
              <w:rPr>
                <w:sz w:val="14"/>
              </w:rPr>
            </w:pPr>
            <w:r w:rsidRPr="00770560">
              <w:rPr>
                <w:sz w:val="14"/>
              </w:rPr>
              <w:t xml:space="preserve">In order to avoid uncertainty, it is recommended that the Department and the AIHW provide detailed specifications for the PIP Eligible Data Set in one document, which includes definitions for Improvement Measures and their denominators and numerators, and how each of these measures should be disaggregated when they are </w:t>
            </w:r>
            <w:r w:rsidR="00D171CC">
              <w:rPr>
                <w:sz w:val="14"/>
              </w:rPr>
              <w:t>report</w:t>
            </w:r>
            <w:r w:rsidRPr="00770560">
              <w:rPr>
                <w:sz w:val="14"/>
              </w:rPr>
              <w:t>ed, for example, by which specific age groups, sex groups, gender groups etc.  This information should be made available to all stakeholders in the PIP QI process.</w:t>
            </w:r>
          </w:p>
        </w:tc>
        <w:tc>
          <w:tcPr>
            <w:tcW w:w="1275" w:type="dxa"/>
          </w:tcPr>
          <w:p w14:paraId="2203A1AF" w14:textId="38392993" w:rsidR="00943C4A" w:rsidRPr="00770560" w:rsidRDefault="00863AAE" w:rsidP="00943C4A">
            <w:pPr>
              <w:pStyle w:val="Table"/>
              <w:rPr>
                <w:sz w:val="14"/>
              </w:rPr>
            </w:pPr>
            <w:r>
              <w:rPr>
                <w:sz w:val="14"/>
              </w:rPr>
              <w:t>Actioned</w:t>
            </w:r>
          </w:p>
        </w:tc>
        <w:tc>
          <w:tcPr>
            <w:tcW w:w="4253" w:type="dxa"/>
          </w:tcPr>
          <w:p w14:paraId="5934ACB3" w14:textId="633B0B8A" w:rsidR="00943C4A" w:rsidRPr="00943C4A" w:rsidRDefault="00863AAE" w:rsidP="00943C4A">
            <w:pPr>
              <w:pStyle w:val="Table"/>
              <w:rPr>
                <w:sz w:val="14"/>
              </w:rPr>
            </w:pPr>
            <w:r>
              <w:rPr>
                <w:sz w:val="14"/>
              </w:rPr>
              <w:t xml:space="preserve">The Department </w:t>
            </w:r>
            <w:r w:rsidR="00943C4A" w:rsidRPr="00943C4A">
              <w:rPr>
                <w:sz w:val="14"/>
              </w:rPr>
              <w:t>engaged Doll Martin Associates Pty Ltd. to develop clear and concise resources for the PIP Eligible Data Set submission require</w:t>
            </w:r>
            <w:r>
              <w:rPr>
                <w:sz w:val="14"/>
              </w:rPr>
              <w:t>ments. These resources,</w:t>
            </w:r>
            <w:r w:rsidR="00943C4A" w:rsidRPr="00943C4A">
              <w:rPr>
                <w:sz w:val="14"/>
              </w:rPr>
              <w:t xml:space="preserve"> developed in collaboration with the AIHW and the Department, PHNs and the Software Providers</w:t>
            </w:r>
            <w:r>
              <w:rPr>
                <w:sz w:val="14"/>
              </w:rPr>
              <w:t xml:space="preserve"> have been finalised and are as </w:t>
            </w:r>
            <w:proofErr w:type="gramStart"/>
            <w:r>
              <w:rPr>
                <w:sz w:val="14"/>
              </w:rPr>
              <w:t>follows:</w:t>
            </w:r>
            <w:r w:rsidR="00943C4A" w:rsidRPr="00943C4A">
              <w:rPr>
                <w:sz w:val="14"/>
              </w:rPr>
              <w:t>.</w:t>
            </w:r>
            <w:proofErr w:type="gramEnd"/>
            <w:r w:rsidR="00943C4A" w:rsidRPr="00943C4A">
              <w:rPr>
                <w:sz w:val="14"/>
              </w:rPr>
              <w:t xml:space="preserve"> </w:t>
            </w:r>
          </w:p>
          <w:p w14:paraId="1CA7A7A2" w14:textId="77777777" w:rsidR="00943C4A" w:rsidRPr="00943C4A" w:rsidRDefault="00943C4A" w:rsidP="00943C4A">
            <w:pPr>
              <w:pStyle w:val="Table"/>
              <w:numPr>
                <w:ilvl w:val="0"/>
                <w:numId w:val="7"/>
              </w:numPr>
              <w:rPr>
                <w:sz w:val="14"/>
              </w:rPr>
            </w:pPr>
            <w:r w:rsidRPr="00943C4A">
              <w:rPr>
                <w:sz w:val="14"/>
              </w:rPr>
              <w:t>PIP QI Data Specifications</w:t>
            </w:r>
          </w:p>
          <w:p w14:paraId="66D6C10C" w14:textId="77777777" w:rsidR="00943C4A" w:rsidRPr="00943C4A" w:rsidRDefault="00943C4A" w:rsidP="00943C4A">
            <w:pPr>
              <w:pStyle w:val="Table"/>
              <w:numPr>
                <w:ilvl w:val="0"/>
                <w:numId w:val="7"/>
              </w:numPr>
              <w:rPr>
                <w:sz w:val="14"/>
              </w:rPr>
            </w:pPr>
            <w:r w:rsidRPr="00943C4A">
              <w:rPr>
                <w:sz w:val="14"/>
              </w:rPr>
              <w:t xml:space="preserve">PIP QI Code Mapping </w:t>
            </w:r>
          </w:p>
          <w:p w14:paraId="57B8E956" w14:textId="77777777" w:rsidR="00943C4A" w:rsidRPr="00943C4A" w:rsidRDefault="00943C4A" w:rsidP="00943C4A">
            <w:pPr>
              <w:pStyle w:val="Table"/>
              <w:numPr>
                <w:ilvl w:val="0"/>
                <w:numId w:val="7"/>
              </w:numPr>
              <w:rPr>
                <w:sz w:val="14"/>
              </w:rPr>
            </w:pPr>
            <w:r w:rsidRPr="00943C4A">
              <w:rPr>
                <w:sz w:val="14"/>
              </w:rPr>
              <w:t>PIP QI Technical Specifications (version 2)</w:t>
            </w:r>
          </w:p>
          <w:p w14:paraId="6BDC6B5F" w14:textId="77777777" w:rsidR="00943C4A" w:rsidRPr="00943C4A" w:rsidRDefault="00943C4A" w:rsidP="00943C4A">
            <w:pPr>
              <w:pStyle w:val="Table"/>
              <w:numPr>
                <w:ilvl w:val="0"/>
                <w:numId w:val="7"/>
              </w:numPr>
              <w:rPr>
                <w:sz w:val="14"/>
              </w:rPr>
            </w:pPr>
            <w:r w:rsidRPr="00943C4A">
              <w:rPr>
                <w:sz w:val="14"/>
              </w:rPr>
              <w:t>PIP QI User Guide</w:t>
            </w:r>
          </w:p>
          <w:p w14:paraId="02100145" w14:textId="0CBDB17D" w:rsidR="00943C4A" w:rsidRPr="00943C4A" w:rsidRDefault="00863AAE" w:rsidP="00943C4A">
            <w:pPr>
              <w:pStyle w:val="Table"/>
              <w:rPr>
                <w:sz w:val="14"/>
              </w:rPr>
            </w:pPr>
            <w:r>
              <w:rPr>
                <w:sz w:val="14"/>
              </w:rPr>
              <w:t xml:space="preserve">These documents </w:t>
            </w:r>
            <w:r w:rsidR="00943C4A" w:rsidRPr="00943C4A">
              <w:rPr>
                <w:sz w:val="14"/>
              </w:rPr>
              <w:t xml:space="preserve">clarify how each measure is calculated and will provide in-depth information for clinical information system providers and clear information for practices. </w:t>
            </w:r>
          </w:p>
          <w:p w14:paraId="47C6F657" w14:textId="0C02D2B2" w:rsidR="00943C4A" w:rsidRPr="00770560" w:rsidRDefault="00943C4A" w:rsidP="00863AAE">
            <w:pPr>
              <w:pStyle w:val="Table"/>
              <w:rPr>
                <w:sz w:val="14"/>
              </w:rPr>
            </w:pPr>
            <w:r w:rsidRPr="00943C4A">
              <w:rPr>
                <w:sz w:val="14"/>
              </w:rPr>
              <w:t xml:space="preserve">The documents </w:t>
            </w:r>
            <w:r w:rsidR="00863AAE">
              <w:rPr>
                <w:sz w:val="14"/>
              </w:rPr>
              <w:t xml:space="preserve">have been endorsed </w:t>
            </w:r>
            <w:r w:rsidRPr="00943C4A">
              <w:rPr>
                <w:sz w:val="14"/>
              </w:rPr>
              <w:t>by the PIPAG and its Data Governance Sub-Committee</w:t>
            </w:r>
            <w:r w:rsidR="00863AAE">
              <w:rPr>
                <w:sz w:val="14"/>
              </w:rPr>
              <w:t xml:space="preserve"> and subsequently released to key stakeholders</w:t>
            </w:r>
            <w:r w:rsidRPr="00943C4A">
              <w:rPr>
                <w:sz w:val="14"/>
              </w:rPr>
              <w:t xml:space="preserve">.  </w:t>
            </w:r>
          </w:p>
        </w:tc>
      </w:tr>
      <w:tr w:rsidR="00943C4A" w:rsidRPr="00431176" w14:paraId="5AFA4EC3" w14:textId="32610DC7" w:rsidTr="00E065A3">
        <w:tc>
          <w:tcPr>
            <w:tcW w:w="498" w:type="dxa"/>
          </w:tcPr>
          <w:p w14:paraId="417EC1BD" w14:textId="77777777" w:rsidR="00943C4A" w:rsidRPr="00770560" w:rsidRDefault="00943C4A" w:rsidP="00943C4A">
            <w:pPr>
              <w:pStyle w:val="Table"/>
              <w:rPr>
                <w:sz w:val="14"/>
              </w:rPr>
            </w:pPr>
            <w:r w:rsidRPr="00770560">
              <w:rPr>
                <w:sz w:val="14"/>
              </w:rPr>
              <w:t>12</w:t>
            </w:r>
          </w:p>
        </w:tc>
        <w:tc>
          <w:tcPr>
            <w:tcW w:w="3330" w:type="dxa"/>
          </w:tcPr>
          <w:p w14:paraId="36DB4E26" w14:textId="25C74D6B" w:rsidR="00943C4A" w:rsidRPr="00770560" w:rsidRDefault="00943C4A" w:rsidP="00943C4A">
            <w:pPr>
              <w:pStyle w:val="Table"/>
              <w:rPr>
                <w:sz w:val="14"/>
              </w:rPr>
            </w:pPr>
            <w:r>
              <w:rPr>
                <w:sz w:val="14"/>
              </w:rPr>
              <w:t>T</w:t>
            </w:r>
            <w:r w:rsidRPr="00770560">
              <w:rPr>
                <w:sz w:val="14"/>
              </w:rPr>
              <w:t>he Department of Health and the national data custodian review and publish the purposes for requiring disaggregation by ethnicity and sexual orientation, considering their status as sensitive information and the associated risks associated with disclosing this information.</w:t>
            </w:r>
          </w:p>
        </w:tc>
        <w:tc>
          <w:tcPr>
            <w:tcW w:w="1275" w:type="dxa"/>
          </w:tcPr>
          <w:p w14:paraId="1651CB8B" w14:textId="071B9602" w:rsidR="00943C4A" w:rsidRPr="00770560" w:rsidRDefault="00863AAE" w:rsidP="00943C4A">
            <w:pPr>
              <w:pStyle w:val="Table"/>
              <w:rPr>
                <w:sz w:val="14"/>
              </w:rPr>
            </w:pPr>
            <w:r>
              <w:rPr>
                <w:sz w:val="14"/>
              </w:rPr>
              <w:t>Actioned</w:t>
            </w:r>
          </w:p>
        </w:tc>
        <w:tc>
          <w:tcPr>
            <w:tcW w:w="4253" w:type="dxa"/>
          </w:tcPr>
          <w:p w14:paraId="145740BA" w14:textId="5704730F" w:rsidR="00943C4A" w:rsidRPr="00770560" w:rsidRDefault="00863AAE" w:rsidP="00943C4A">
            <w:pPr>
              <w:pStyle w:val="Table"/>
              <w:rPr>
                <w:sz w:val="14"/>
              </w:rPr>
            </w:pPr>
            <w:r w:rsidRPr="00863AAE">
              <w:rPr>
                <w:sz w:val="14"/>
              </w:rPr>
              <w:t>The Department in consultation with PIPAG and PIPAG DGSC reviewed the requirement for disaggregation by ethnicity and sexual orientation. Noting the sensitivity of this information and the associated risks both ethnicity and sexual orientation have been removed.</w:t>
            </w:r>
          </w:p>
        </w:tc>
      </w:tr>
      <w:tr w:rsidR="00943C4A" w:rsidRPr="00431176" w14:paraId="7E2DED5B" w14:textId="374B367F" w:rsidTr="00E065A3">
        <w:tc>
          <w:tcPr>
            <w:tcW w:w="498" w:type="dxa"/>
          </w:tcPr>
          <w:p w14:paraId="4FAC82AE" w14:textId="77777777" w:rsidR="00943C4A" w:rsidRPr="00770560" w:rsidRDefault="00943C4A" w:rsidP="00943C4A">
            <w:pPr>
              <w:pStyle w:val="Table"/>
              <w:rPr>
                <w:sz w:val="14"/>
              </w:rPr>
            </w:pPr>
            <w:r w:rsidRPr="00770560">
              <w:rPr>
                <w:sz w:val="14"/>
              </w:rPr>
              <w:t>13</w:t>
            </w:r>
          </w:p>
        </w:tc>
        <w:tc>
          <w:tcPr>
            <w:tcW w:w="3330" w:type="dxa"/>
          </w:tcPr>
          <w:p w14:paraId="281E2002" w14:textId="0A4F53A7" w:rsidR="00943C4A" w:rsidRPr="00770560" w:rsidRDefault="00943C4A" w:rsidP="00943C4A">
            <w:pPr>
              <w:pStyle w:val="Table"/>
              <w:rPr>
                <w:sz w:val="14"/>
              </w:rPr>
            </w:pPr>
            <w:r w:rsidRPr="00770560">
              <w:rPr>
                <w:sz w:val="14"/>
              </w:rPr>
              <w:t xml:space="preserve">PHNs currently collecting person-level data as a part of PIP QI </w:t>
            </w:r>
            <w:r w:rsidR="00D171CC">
              <w:rPr>
                <w:sz w:val="14"/>
              </w:rPr>
              <w:t>reportin</w:t>
            </w:r>
            <w:r w:rsidRPr="00770560">
              <w:rPr>
                <w:sz w:val="14"/>
              </w:rPr>
              <w:t xml:space="preserve">g review and confirm that they have considered the enhanced security controls which mitigate the greater risk of re-identification associated with small and granular data sets. </w:t>
            </w:r>
          </w:p>
        </w:tc>
        <w:tc>
          <w:tcPr>
            <w:tcW w:w="1275" w:type="dxa"/>
          </w:tcPr>
          <w:p w14:paraId="26BEBB8E" w14:textId="5254BBFD" w:rsidR="00943C4A" w:rsidRPr="00770560" w:rsidRDefault="00943C4A" w:rsidP="00943C4A">
            <w:pPr>
              <w:pStyle w:val="Table"/>
              <w:rPr>
                <w:sz w:val="14"/>
              </w:rPr>
            </w:pPr>
            <w:r>
              <w:rPr>
                <w:sz w:val="14"/>
              </w:rPr>
              <w:t>In progress</w:t>
            </w:r>
          </w:p>
        </w:tc>
        <w:tc>
          <w:tcPr>
            <w:tcW w:w="4253" w:type="dxa"/>
          </w:tcPr>
          <w:p w14:paraId="227EB81A" w14:textId="3CE00B26" w:rsidR="00943C4A" w:rsidRPr="00770560" w:rsidRDefault="00943C4A" w:rsidP="00863AAE">
            <w:pPr>
              <w:pStyle w:val="Table"/>
              <w:rPr>
                <w:sz w:val="14"/>
              </w:rPr>
            </w:pPr>
            <w:r w:rsidRPr="00943C4A">
              <w:rPr>
                <w:sz w:val="14"/>
              </w:rPr>
              <w:t>As noted under Recom</w:t>
            </w:r>
            <w:r w:rsidR="00863AAE">
              <w:rPr>
                <w:sz w:val="14"/>
              </w:rPr>
              <w:t xml:space="preserve">mendation 11, the Department </w:t>
            </w:r>
            <w:r w:rsidRPr="00943C4A">
              <w:rPr>
                <w:sz w:val="14"/>
              </w:rPr>
              <w:t>engaged Doll Martin Associates Pty Ltd. to develop materials which further clarify the data format and requirements pertaining to the PIP Eligible Data Set. The Department will also continue to work with the PIPAG Data Governance Sub-Committee on ensuring all data custodians are aware of their responsibilities.</w:t>
            </w:r>
          </w:p>
        </w:tc>
      </w:tr>
      <w:tr w:rsidR="00943C4A" w:rsidRPr="00431176" w14:paraId="09B57337" w14:textId="6D68BC5C" w:rsidTr="00E065A3">
        <w:tc>
          <w:tcPr>
            <w:tcW w:w="498" w:type="dxa"/>
          </w:tcPr>
          <w:p w14:paraId="42F7B3CB" w14:textId="77777777" w:rsidR="00943C4A" w:rsidRPr="00770560" w:rsidRDefault="00943C4A" w:rsidP="00943C4A">
            <w:pPr>
              <w:pStyle w:val="Table"/>
              <w:rPr>
                <w:sz w:val="14"/>
              </w:rPr>
            </w:pPr>
            <w:r w:rsidRPr="00770560">
              <w:rPr>
                <w:sz w:val="14"/>
              </w:rPr>
              <w:t>14</w:t>
            </w:r>
          </w:p>
        </w:tc>
        <w:tc>
          <w:tcPr>
            <w:tcW w:w="3330" w:type="dxa"/>
          </w:tcPr>
          <w:p w14:paraId="33B956C7" w14:textId="6E524E07" w:rsidR="00943C4A" w:rsidRPr="00770560" w:rsidRDefault="00943C4A" w:rsidP="00943C4A">
            <w:pPr>
              <w:pStyle w:val="Table"/>
              <w:rPr>
                <w:sz w:val="14"/>
              </w:rPr>
            </w:pPr>
            <w:r w:rsidRPr="00770560">
              <w:rPr>
                <w:sz w:val="14"/>
              </w:rPr>
              <w:t xml:space="preserve">PHNs, the Department of Health and the national data custodian should review and clarify the requirements for the format of </w:t>
            </w:r>
            <w:r w:rsidR="00D171CC">
              <w:rPr>
                <w:sz w:val="14"/>
              </w:rPr>
              <w:t>report</w:t>
            </w:r>
            <w:r w:rsidRPr="00770560">
              <w:rPr>
                <w:sz w:val="14"/>
              </w:rPr>
              <w:t xml:space="preserve">ing, to remove the confusion regarding aggregated versus person level </w:t>
            </w:r>
            <w:r w:rsidR="00D171CC">
              <w:rPr>
                <w:sz w:val="14"/>
              </w:rPr>
              <w:t>report</w:t>
            </w:r>
            <w:r w:rsidRPr="00770560">
              <w:rPr>
                <w:sz w:val="14"/>
              </w:rPr>
              <w:t>ing</w:t>
            </w:r>
            <w:r w:rsidR="00D171CC">
              <w:rPr>
                <w:sz w:val="14"/>
              </w:rPr>
              <w:t>.</w:t>
            </w:r>
          </w:p>
        </w:tc>
        <w:tc>
          <w:tcPr>
            <w:tcW w:w="1275" w:type="dxa"/>
          </w:tcPr>
          <w:p w14:paraId="78199D53" w14:textId="35A359C5" w:rsidR="00943C4A" w:rsidRPr="00770560" w:rsidRDefault="00943C4A" w:rsidP="00943C4A">
            <w:pPr>
              <w:pStyle w:val="Table"/>
              <w:rPr>
                <w:sz w:val="14"/>
              </w:rPr>
            </w:pPr>
            <w:r>
              <w:rPr>
                <w:sz w:val="14"/>
              </w:rPr>
              <w:t>In progress</w:t>
            </w:r>
          </w:p>
        </w:tc>
        <w:tc>
          <w:tcPr>
            <w:tcW w:w="4253" w:type="dxa"/>
          </w:tcPr>
          <w:p w14:paraId="10BE4128" w14:textId="058B0E89" w:rsidR="00943C4A" w:rsidRPr="00943C4A" w:rsidRDefault="00943C4A" w:rsidP="00943C4A">
            <w:pPr>
              <w:pStyle w:val="Table"/>
              <w:rPr>
                <w:sz w:val="14"/>
              </w:rPr>
            </w:pPr>
            <w:r w:rsidRPr="00943C4A">
              <w:rPr>
                <w:sz w:val="14"/>
              </w:rPr>
              <w:t>As noted under Recomm</w:t>
            </w:r>
            <w:r w:rsidR="00863AAE">
              <w:rPr>
                <w:sz w:val="14"/>
              </w:rPr>
              <w:t xml:space="preserve">endation 11, the Department </w:t>
            </w:r>
            <w:r w:rsidRPr="00943C4A">
              <w:rPr>
                <w:sz w:val="14"/>
              </w:rPr>
              <w:t xml:space="preserve">engaged Doll Martin Associates Pty Ltd. to develop materials which further clarify the data requirements pertaining to the PIP Eligible Data Set. </w:t>
            </w:r>
          </w:p>
          <w:p w14:paraId="6DD65200" w14:textId="77777777" w:rsidR="00943C4A" w:rsidRPr="00943C4A" w:rsidRDefault="00943C4A" w:rsidP="00943C4A">
            <w:pPr>
              <w:pStyle w:val="Table"/>
              <w:rPr>
                <w:sz w:val="14"/>
              </w:rPr>
            </w:pPr>
            <w:r w:rsidRPr="00943C4A">
              <w:rPr>
                <w:sz w:val="14"/>
              </w:rPr>
              <w:t xml:space="preserve">Materials include: </w:t>
            </w:r>
          </w:p>
          <w:p w14:paraId="5214CC39" w14:textId="77777777" w:rsidR="00943C4A" w:rsidRPr="00943C4A" w:rsidRDefault="00943C4A" w:rsidP="00943C4A">
            <w:pPr>
              <w:pStyle w:val="Table"/>
              <w:numPr>
                <w:ilvl w:val="0"/>
                <w:numId w:val="7"/>
              </w:numPr>
              <w:rPr>
                <w:sz w:val="14"/>
              </w:rPr>
            </w:pPr>
            <w:r w:rsidRPr="00943C4A">
              <w:rPr>
                <w:sz w:val="14"/>
              </w:rPr>
              <w:t>PIP QI Data Specifications</w:t>
            </w:r>
          </w:p>
          <w:p w14:paraId="02EB9B39" w14:textId="77777777" w:rsidR="00943C4A" w:rsidRPr="00943C4A" w:rsidRDefault="00943C4A" w:rsidP="00943C4A">
            <w:pPr>
              <w:pStyle w:val="Table"/>
              <w:numPr>
                <w:ilvl w:val="0"/>
                <w:numId w:val="7"/>
              </w:numPr>
              <w:rPr>
                <w:sz w:val="14"/>
              </w:rPr>
            </w:pPr>
            <w:r w:rsidRPr="00943C4A">
              <w:rPr>
                <w:sz w:val="14"/>
              </w:rPr>
              <w:t xml:space="preserve">PIP QI Code Mapping </w:t>
            </w:r>
          </w:p>
          <w:p w14:paraId="23AE9E7E" w14:textId="77777777" w:rsidR="00943C4A" w:rsidRPr="00943C4A" w:rsidRDefault="00943C4A" w:rsidP="00943C4A">
            <w:pPr>
              <w:pStyle w:val="Table"/>
              <w:numPr>
                <w:ilvl w:val="0"/>
                <w:numId w:val="7"/>
              </w:numPr>
              <w:rPr>
                <w:sz w:val="14"/>
              </w:rPr>
            </w:pPr>
            <w:r w:rsidRPr="00943C4A">
              <w:rPr>
                <w:sz w:val="14"/>
              </w:rPr>
              <w:t>PIP QI Technical Specifications (version 2)</w:t>
            </w:r>
          </w:p>
          <w:p w14:paraId="7D0317DF" w14:textId="77777777" w:rsidR="00943C4A" w:rsidRPr="00943C4A" w:rsidRDefault="00943C4A" w:rsidP="00943C4A">
            <w:pPr>
              <w:pStyle w:val="Table"/>
              <w:numPr>
                <w:ilvl w:val="0"/>
                <w:numId w:val="7"/>
              </w:numPr>
              <w:rPr>
                <w:sz w:val="14"/>
              </w:rPr>
            </w:pPr>
            <w:r w:rsidRPr="00943C4A">
              <w:rPr>
                <w:sz w:val="14"/>
              </w:rPr>
              <w:t xml:space="preserve">PIP QI User Guide </w:t>
            </w:r>
          </w:p>
          <w:p w14:paraId="538DCEDA" w14:textId="7AB7BD85" w:rsidR="00943C4A" w:rsidRPr="00770560" w:rsidRDefault="00943C4A" w:rsidP="00943C4A">
            <w:pPr>
              <w:pStyle w:val="Table"/>
              <w:rPr>
                <w:sz w:val="14"/>
              </w:rPr>
            </w:pPr>
            <w:r w:rsidRPr="00943C4A">
              <w:rPr>
                <w:sz w:val="14"/>
              </w:rPr>
              <w:t>The Department will also work closely with PHNs and Software Providers through the PHN Data Working to ensure there is a clear understanding of the data requirements for PIP QI.</w:t>
            </w:r>
          </w:p>
        </w:tc>
      </w:tr>
    </w:tbl>
    <w:p w14:paraId="1B535217" w14:textId="78610687" w:rsidR="0000457E" w:rsidRDefault="0000457E" w:rsidP="00431176">
      <w:pPr>
        <w:pStyle w:val="ListParagraph"/>
        <w:ind w:left="360"/>
        <w:jc w:val="center"/>
        <w:rPr>
          <w:rFonts w:ascii="Verdana" w:hAnsi="Verdana"/>
          <w:color w:val="000000"/>
          <w:sz w:val="20"/>
          <w:szCs w:val="20"/>
          <w:shd w:val="clear" w:color="auto" w:fill="FFFFFF"/>
        </w:rPr>
      </w:pPr>
    </w:p>
    <w:tbl>
      <w:tblPr>
        <w:tblStyle w:val="TableGrid"/>
        <w:tblW w:w="0" w:type="auto"/>
        <w:tblInd w:w="-5" w:type="dxa"/>
        <w:tblLook w:val="04A0" w:firstRow="1" w:lastRow="0" w:firstColumn="1" w:lastColumn="0" w:noHBand="0" w:noVBand="1"/>
      </w:tblPr>
      <w:tblGrid>
        <w:gridCol w:w="1276"/>
        <w:gridCol w:w="8080"/>
      </w:tblGrid>
      <w:tr w:rsidR="00325A8E" w:rsidRPr="00E065A3" w14:paraId="664A2592" w14:textId="77777777" w:rsidTr="00A83C30">
        <w:tc>
          <w:tcPr>
            <w:tcW w:w="1276" w:type="dxa"/>
            <w:shd w:val="clear" w:color="auto" w:fill="F2F2F2" w:themeFill="background1" w:themeFillShade="F2"/>
          </w:tcPr>
          <w:p w14:paraId="56B32B1C" w14:textId="77777777" w:rsidR="00325A8E" w:rsidRPr="00E065A3" w:rsidRDefault="00325A8E" w:rsidP="00E817D5">
            <w:pPr>
              <w:pStyle w:val="ListParagraph"/>
              <w:ind w:left="0"/>
              <w:rPr>
                <w:rFonts w:ascii="Verdana" w:hAnsi="Verdana"/>
                <w:b/>
                <w:color w:val="000000"/>
                <w:sz w:val="12"/>
                <w:szCs w:val="20"/>
                <w:shd w:val="clear" w:color="auto" w:fill="FFFFFF"/>
              </w:rPr>
            </w:pPr>
            <w:r w:rsidRPr="00E065A3">
              <w:rPr>
                <w:rFonts w:ascii="Verdana" w:hAnsi="Verdana"/>
                <w:b/>
                <w:color w:val="000000"/>
                <w:sz w:val="12"/>
                <w:szCs w:val="20"/>
                <w:shd w:val="clear" w:color="auto" w:fill="FFFFFF"/>
              </w:rPr>
              <w:t>Current Status</w:t>
            </w:r>
          </w:p>
        </w:tc>
        <w:tc>
          <w:tcPr>
            <w:tcW w:w="8080" w:type="dxa"/>
            <w:shd w:val="clear" w:color="auto" w:fill="F2F2F2" w:themeFill="background1" w:themeFillShade="F2"/>
          </w:tcPr>
          <w:p w14:paraId="3289A9F7" w14:textId="77777777" w:rsidR="00325A8E" w:rsidRPr="00E065A3" w:rsidRDefault="00325A8E" w:rsidP="00E817D5">
            <w:pPr>
              <w:pStyle w:val="ListParagraph"/>
              <w:ind w:left="0"/>
              <w:rPr>
                <w:rFonts w:ascii="Verdana" w:hAnsi="Verdana"/>
                <w:b/>
                <w:color w:val="000000"/>
                <w:sz w:val="12"/>
                <w:szCs w:val="20"/>
                <w:shd w:val="clear" w:color="auto" w:fill="FFFFFF"/>
              </w:rPr>
            </w:pPr>
            <w:r w:rsidRPr="00E065A3">
              <w:rPr>
                <w:rFonts w:ascii="Verdana" w:hAnsi="Verdana"/>
                <w:b/>
                <w:color w:val="000000"/>
                <w:sz w:val="12"/>
                <w:szCs w:val="20"/>
                <w:shd w:val="clear" w:color="auto" w:fill="FFFFFF"/>
              </w:rPr>
              <w:t>Definition</w:t>
            </w:r>
          </w:p>
        </w:tc>
      </w:tr>
      <w:tr w:rsidR="00325A8E" w:rsidRPr="00E065A3" w14:paraId="139B59FC" w14:textId="77777777" w:rsidTr="00A83C30">
        <w:tc>
          <w:tcPr>
            <w:tcW w:w="1276" w:type="dxa"/>
          </w:tcPr>
          <w:p w14:paraId="45903EC3" w14:textId="77777777" w:rsidR="00325A8E" w:rsidRPr="00325A8E" w:rsidRDefault="00325A8E" w:rsidP="00E817D5">
            <w:pPr>
              <w:pStyle w:val="ListParagraph"/>
              <w:ind w:left="0"/>
              <w:rPr>
                <w:rFonts w:ascii="Verdana" w:hAnsi="Verdana"/>
                <w:b/>
                <w:color w:val="000000"/>
                <w:sz w:val="12"/>
                <w:szCs w:val="20"/>
                <w:shd w:val="clear" w:color="auto" w:fill="FFFFFF"/>
              </w:rPr>
            </w:pPr>
            <w:r w:rsidRPr="00325A8E">
              <w:rPr>
                <w:rFonts w:ascii="Verdana" w:hAnsi="Verdana"/>
                <w:b/>
                <w:color w:val="000000"/>
                <w:sz w:val="12"/>
                <w:szCs w:val="20"/>
                <w:shd w:val="clear" w:color="auto" w:fill="FFFFFF"/>
              </w:rPr>
              <w:t>In progress</w:t>
            </w:r>
          </w:p>
        </w:tc>
        <w:tc>
          <w:tcPr>
            <w:tcW w:w="8080" w:type="dxa"/>
          </w:tcPr>
          <w:p w14:paraId="49C487D2" w14:textId="77777777" w:rsidR="00325A8E" w:rsidRPr="00E065A3" w:rsidRDefault="00325A8E" w:rsidP="00E817D5">
            <w:pPr>
              <w:pStyle w:val="ListParagraph"/>
              <w:ind w:left="0"/>
              <w:rPr>
                <w:rFonts w:ascii="Verdana" w:hAnsi="Verdana"/>
                <w:color w:val="000000"/>
                <w:sz w:val="12"/>
                <w:szCs w:val="20"/>
                <w:shd w:val="clear" w:color="auto" w:fill="FFFFFF"/>
              </w:rPr>
            </w:pPr>
            <w:r w:rsidRPr="00E065A3">
              <w:rPr>
                <w:rFonts w:ascii="Verdana" w:hAnsi="Verdana"/>
                <w:color w:val="000000"/>
                <w:sz w:val="12"/>
                <w:szCs w:val="20"/>
                <w:shd w:val="clear" w:color="auto" w:fill="FFFFFF"/>
              </w:rPr>
              <w:t>Work on this recommendation has already commenced</w:t>
            </w:r>
          </w:p>
        </w:tc>
      </w:tr>
      <w:tr w:rsidR="00325A8E" w:rsidRPr="00E065A3" w14:paraId="5CA5ACBA" w14:textId="77777777" w:rsidTr="00A83C30">
        <w:tc>
          <w:tcPr>
            <w:tcW w:w="1276" w:type="dxa"/>
          </w:tcPr>
          <w:p w14:paraId="49D7D217" w14:textId="77777777" w:rsidR="00325A8E" w:rsidRPr="00325A8E" w:rsidRDefault="00325A8E" w:rsidP="00E817D5">
            <w:pPr>
              <w:pStyle w:val="ListParagraph"/>
              <w:ind w:left="0"/>
              <w:rPr>
                <w:rFonts w:ascii="Verdana" w:hAnsi="Verdana"/>
                <w:b/>
                <w:color w:val="000000"/>
                <w:sz w:val="12"/>
                <w:szCs w:val="20"/>
                <w:shd w:val="clear" w:color="auto" w:fill="FFFFFF"/>
              </w:rPr>
            </w:pPr>
            <w:r w:rsidRPr="00325A8E">
              <w:rPr>
                <w:rFonts w:ascii="Verdana" w:hAnsi="Verdana"/>
                <w:b/>
                <w:color w:val="000000"/>
                <w:sz w:val="12"/>
                <w:szCs w:val="20"/>
                <w:shd w:val="clear" w:color="auto" w:fill="FFFFFF"/>
              </w:rPr>
              <w:t>Actioned</w:t>
            </w:r>
          </w:p>
        </w:tc>
        <w:tc>
          <w:tcPr>
            <w:tcW w:w="8080" w:type="dxa"/>
          </w:tcPr>
          <w:p w14:paraId="77A3A960" w14:textId="77777777" w:rsidR="00325A8E" w:rsidRPr="00E065A3" w:rsidRDefault="00325A8E" w:rsidP="00E817D5">
            <w:pPr>
              <w:pStyle w:val="ListParagraph"/>
              <w:ind w:left="0"/>
              <w:rPr>
                <w:rFonts w:ascii="Verdana" w:hAnsi="Verdana"/>
                <w:color w:val="000000"/>
                <w:sz w:val="12"/>
                <w:szCs w:val="20"/>
                <w:shd w:val="clear" w:color="auto" w:fill="FFFFFF"/>
              </w:rPr>
            </w:pPr>
            <w:r w:rsidRPr="00E065A3">
              <w:rPr>
                <w:rFonts w:ascii="Verdana" w:hAnsi="Verdana"/>
                <w:color w:val="000000"/>
                <w:sz w:val="12"/>
                <w:szCs w:val="20"/>
                <w:shd w:val="clear" w:color="auto" w:fill="FFFFFF"/>
              </w:rPr>
              <w:t>The recommendation has already been actioned and implemented</w:t>
            </w:r>
          </w:p>
        </w:tc>
      </w:tr>
      <w:tr w:rsidR="00E55E51" w:rsidRPr="00E065A3" w14:paraId="6478AA72" w14:textId="77777777" w:rsidTr="00A83C30">
        <w:tc>
          <w:tcPr>
            <w:tcW w:w="1276" w:type="dxa"/>
          </w:tcPr>
          <w:p w14:paraId="7EEE99E2" w14:textId="39F5E157" w:rsidR="00E55E51" w:rsidRPr="00325A8E" w:rsidRDefault="00E55E51" w:rsidP="00E817D5">
            <w:pPr>
              <w:pStyle w:val="ListParagraph"/>
              <w:ind w:left="0"/>
              <w:rPr>
                <w:rFonts w:ascii="Verdana" w:hAnsi="Verdana"/>
                <w:b/>
                <w:color w:val="000000"/>
                <w:sz w:val="12"/>
                <w:szCs w:val="20"/>
                <w:shd w:val="clear" w:color="auto" w:fill="FFFFFF"/>
              </w:rPr>
            </w:pPr>
            <w:r>
              <w:rPr>
                <w:rFonts w:ascii="Verdana" w:hAnsi="Verdana"/>
                <w:b/>
                <w:color w:val="000000"/>
                <w:sz w:val="12"/>
                <w:szCs w:val="20"/>
                <w:shd w:val="clear" w:color="auto" w:fill="FFFFFF"/>
              </w:rPr>
              <w:t>Action required</w:t>
            </w:r>
          </w:p>
        </w:tc>
        <w:tc>
          <w:tcPr>
            <w:tcW w:w="8080" w:type="dxa"/>
          </w:tcPr>
          <w:p w14:paraId="22925FF9" w14:textId="5071FF5C" w:rsidR="00E55E51" w:rsidRPr="00E065A3" w:rsidRDefault="00E55E51" w:rsidP="00E817D5">
            <w:pPr>
              <w:pStyle w:val="ListParagraph"/>
              <w:ind w:left="0"/>
              <w:rPr>
                <w:rFonts w:ascii="Verdana" w:hAnsi="Verdana"/>
                <w:color w:val="000000"/>
                <w:sz w:val="12"/>
                <w:szCs w:val="20"/>
                <w:shd w:val="clear" w:color="auto" w:fill="FFFFFF"/>
              </w:rPr>
            </w:pPr>
            <w:r>
              <w:rPr>
                <w:rFonts w:ascii="Verdana" w:hAnsi="Verdana"/>
                <w:color w:val="000000"/>
                <w:sz w:val="12"/>
                <w:szCs w:val="20"/>
                <w:shd w:val="clear" w:color="auto" w:fill="FFFFFF"/>
              </w:rPr>
              <w:t xml:space="preserve">The Department will undertake steps to address the recommendation </w:t>
            </w:r>
          </w:p>
        </w:tc>
      </w:tr>
      <w:tr w:rsidR="00E55E51" w:rsidRPr="00E065A3" w14:paraId="52A17E2D" w14:textId="77777777" w:rsidTr="00A83C30">
        <w:tc>
          <w:tcPr>
            <w:tcW w:w="1276" w:type="dxa"/>
          </w:tcPr>
          <w:p w14:paraId="6DCD4B21" w14:textId="0D8DEDDB" w:rsidR="00E55E51" w:rsidRDefault="00E55E51" w:rsidP="00E55E51">
            <w:pPr>
              <w:pStyle w:val="ListParagraph"/>
              <w:ind w:left="0"/>
              <w:rPr>
                <w:rFonts w:ascii="Verdana" w:hAnsi="Verdana"/>
                <w:b/>
                <w:color w:val="000000"/>
                <w:sz w:val="12"/>
                <w:szCs w:val="20"/>
                <w:shd w:val="clear" w:color="auto" w:fill="FFFFFF"/>
              </w:rPr>
            </w:pPr>
            <w:r w:rsidRPr="00325A8E">
              <w:rPr>
                <w:rFonts w:ascii="Verdana" w:hAnsi="Verdana"/>
                <w:b/>
                <w:color w:val="000000"/>
                <w:sz w:val="12"/>
                <w:szCs w:val="20"/>
                <w:shd w:val="clear" w:color="auto" w:fill="FFFFFF"/>
              </w:rPr>
              <w:t>Continuing</w:t>
            </w:r>
          </w:p>
        </w:tc>
        <w:tc>
          <w:tcPr>
            <w:tcW w:w="8080" w:type="dxa"/>
          </w:tcPr>
          <w:p w14:paraId="77C81A2F" w14:textId="18EAA2D5" w:rsidR="00E55E51" w:rsidRDefault="00E55E51" w:rsidP="00E55E51">
            <w:pPr>
              <w:pStyle w:val="ListParagraph"/>
              <w:ind w:left="0"/>
              <w:rPr>
                <w:rFonts w:ascii="Verdana" w:hAnsi="Verdana"/>
                <w:color w:val="000000"/>
                <w:sz w:val="12"/>
                <w:szCs w:val="20"/>
                <w:shd w:val="clear" w:color="auto" w:fill="FFFFFF"/>
              </w:rPr>
            </w:pPr>
            <w:r w:rsidRPr="00E065A3">
              <w:rPr>
                <w:rFonts w:ascii="Verdana" w:hAnsi="Verdana"/>
                <w:color w:val="000000"/>
                <w:sz w:val="12"/>
                <w:szCs w:val="20"/>
                <w:shd w:val="clear" w:color="auto" w:fill="FFFFFF"/>
              </w:rPr>
              <w:t>The Department will continue its work in key areas to support the successful implementation of PIP QI</w:t>
            </w:r>
          </w:p>
        </w:tc>
      </w:tr>
    </w:tbl>
    <w:p w14:paraId="3D446427" w14:textId="77777777" w:rsidR="00E065A3" w:rsidRPr="00A05271" w:rsidRDefault="00E065A3" w:rsidP="00A05271">
      <w:pPr>
        <w:rPr>
          <w:rFonts w:ascii="Verdana" w:hAnsi="Verdana"/>
          <w:color w:val="000000"/>
          <w:sz w:val="20"/>
          <w:szCs w:val="20"/>
          <w:shd w:val="clear" w:color="auto" w:fill="FFFFFF"/>
        </w:rPr>
      </w:pPr>
    </w:p>
    <w:sectPr w:rsidR="00E065A3" w:rsidRPr="00A05271" w:rsidSect="00BE18EC">
      <w:footerReference w:type="default" r:id="rId11"/>
      <w:headerReference w:type="first" r:id="rId12"/>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30B6" w14:textId="77777777" w:rsidR="00C915A8" w:rsidRDefault="00C915A8" w:rsidP="00C915A8">
      <w:pPr>
        <w:spacing w:after="0" w:line="240" w:lineRule="auto"/>
      </w:pPr>
      <w:r>
        <w:separator/>
      </w:r>
    </w:p>
  </w:endnote>
  <w:endnote w:type="continuationSeparator" w:id="0">
    <w:p w14:paraId="1EA0A04B" w14:textId="77777777" w:rsidR="00C915A8" w:rsidRDefault="00C915A8" w:rsidP="00C9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B991" w14:textId="06CB4F61" w:rsidR="00583E44" w:rsidRPr="00583E44" w:rsidRDefault="00583E44">
    <w:pPr>
      <w:pStyle w:val="Footer"/>
      <w:rPr>
        <w:rFonts w:ascii="Verdana" w:hAnsi="Verdana"/>
      </w:rPr>
    </w:pPr>
    <w:r w:rsidRPr="00583E44">
      <w:rPr>
        <w:rFonts w:ascii="Verdana" w:hAnsi="Verdana"/>
      </w:rPr>
      <w:t>PIP QI Da</w:t>
    </w:r>
    <w:r w:rsidR="0096688B">
      <w:rPr>
        <w:rFonts w:ascii="Verdana" w:hAnsi="Verdana"/>
      </w:rPr>
      <w:t xml:space="preserve">ta Privacy and Security Review – Summary and </w:t>
    </w:r>
    <w:r w:rsidRPr="00583E44">
      <w:rPr>
        <w:rFonts w:ascii="Verdana" w:hAnsi="Verdana"/>
      </w:rPr>
      <w:t>Recommendations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CAD9" w14:textId="77777777" w:rsidR="00C915A8" w:rsidRDefault="00C915A8" w:rsidP="00C915A8">
      <w:pPr>
        <w:spacing w:after="0" w:line="240" w:lineRule="auto"/>
      </w:pPr>
      <w:r>
        <w:separator/>
      </w:r>
    </w:p>
  </w:footnote>
  <w:footnote w:type="continuationSeparator" w:id="0">
    <w:p w14:paraId="5DF85BA4" w14:textId="77777777" w:rsidR="00C915A8" w:rsidRDefault="00C915A8" w:rsidP="00C91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8A5A" w14:textId="195AF38B" w:rsidR="00583E44" w:rsidRDefault="00583E44">
    <w:pPr>
      <w:pStyle w:val="Header"/>
    </w:pPr>
    <w:r>
      <w:rPr>
        <w:noProof/>
        <w:lang w:eastAsia="en-AU"/>
      </w:rPr>
      <w:drawing>
        <wp:inline distT="0" distB="0" distL="0" distR="0" wp14:anchorId="513DE73F" wp14:editId="4EDD4E3A">
          <wp:extent cx="1533525" cy="1066800"/>
          <wp:effectExtent l="0" t="0" r="9525" b="0"/>
          <wp:docPr id="4" name="Picture 4"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5218"/>
                  <a:stretch/>
                </pic:blipFill>
                <pic:spPr bwMode="auto">
                  <a:xfrm>
                    <a:off x="0" y="0"/>
                    <a:ext cx="1533525" cy="1066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341"/>
    <w:multiLevelType w:val="hybridMultilevel"/>
    <w:tmpl w:val="9B021690"/>
    <w:lvl w:ilvl="0" w:tplc="41A262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04CE4"/>
    <w:multiLevelType w:val="hybridMultilevel"/>
    <w:tmpl w:val="FEB28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21E86"/>
    <w:multiLevelType w:val="hybridMultilevel"/>
    <w:tmpl w:val="59C8E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E56AF6"/>
    <w:multiLevelType w:val="hybridMultilevel"/>
    <w:tmpl w:val="67D243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350F53"/>
    <w:multiLevelType w:val="hybridMultilevel"/>
    <w:tmpl w:val="0DE6AFD4"/>
    <w:lvl w:ilvl="0" w:tplc="4EC8E1AC">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B20977"/>
    <w:multiLevelType w:val="hybridMultilevel"/>
    <w:tmpl w:val="9DD6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CE"/>
    <w:rsid w:val="0000457E"/>
    <w:rsid w:val="00016123"/>
    <w:rsid w:val="000263E7"/>
    <w:rsid w:val="000815DE"/>
    <w:rsid w:val="000F064B"/>
    <w:rsid w:val="001102A3"/>
    <w:rsid w:val="00111088"/>
    <w:rsid w:val="00167CCB"/>
    <w:rsid w:val="00197E79"/>
    <w:rsid w:val="001A4CBA"/>
    <w:rsid w:val="001A536F"/>
    <w:rsid w:val="00267C7D"/>
    <w:rsid w:val="00280050"/>
    <w:rsid w:val="002A32E0"/>
    <w:rsid w:val="002A68C9"/>
    <w:rsid w:val="002E4C77"/>
    <w:rsid w:val="002F12FD"/>
    <w:rsid w:val="002F7F4A"/>
    <w:rsid w:val="00304005"/>
    <w:rsid w:val="00325A8E"/>
    <w:rsid w:val="00385FDC"/>
    <w:rsid w:val="003926D1"/>
    <w:rsid w:val="003C3204"/>
    <w:rsid w:val="003D4A3B"/>
    <w:rsid w:val="003D7369"/>
    <w:rsid w:val="00425BAE"/>
    <w:rsid w:val="00426609"/>
    <w:rsid w:val="00431176"/>
    <w:rsid w:val="00444A50"/>
    <w:rsid w:val="004845C8"/>
    <w:rsid w:val="00493410"/>
    <w:rsid w:val="00502562"/>
    <w:rsid w:val="005268F7"/>
    <w:rsid w:val="00527C61"/>
    <w:rsid w:val="0054067A"/>
    <w:rsid w:val="00583E44"/>
    <w:rsid w:val="005E3520"/>
    <w:rsid w:val="00636171"/>
    <w:rsid w:val="00661FDB"/>
    <w:rsid w:val="006B1C1C"/>
    <w:rsid w:val="006C7DAC"/>
    <w:rsid w:val="00710101"/>
    <w:rsid w:val="00770560"/>
    <w:rsid w:val="007D130C"/>
    <w:rsid w:val="007D4C38"/>
    <w:rsid w:val="00800374"/>
    <w:rsid w:val="00820495"/>
    <w:rsid w:val="00827661"/>
    <w:rsid w:val="00836A6A"/>
    <w:rsid w:val="0083736C"/>
    <w:rsid w:val="00863AAE"/>
    <w:rsid w:val="00883E35"/>
    <w:rsid w:val="00896E0E"/>
    <w:rsid w:val="0092087B"/>
    <w:rsid w:val="00943C4A"/>
    <w:rsid w:val="00944797"/>
    <w:rsid w:val="0096688B"/>
    <w:rsid w:val="00976DD9"/>
    <w:rsid w:val="00A05271"/>
    <w:rsid w:val="00A63B82"/>
    <w:rsid w:val="00A678A3"/>
    <w:rsid w:val="00A83C30"/>
    <w:rsid w:val="00AD20CB"/>
    <w:rsid w:val="00AF258D"/>
    <w:rsid w:val="00B40003"/>
    <w:rsid w:val="00B65135"/>
    <w:rsid w:val="00B72EE0"/>
    <w:rsid w:val="00BA22EF"/>
    <w:rsid w:val="00BD6DF9"/>
    <w:rsid w:val="00BE18EC"/>
    <w:rsid w:val="00BF3FA2"/>
    <w:rsid w:val="00C549CB"/>
    <w:rsid w:val="00C915A8"/>
    <w:rsid w:val="00CC3ECE"/>
    <w:rsid w:val="00CC6835"/>
    <w:rsid w:val="00D171CC"/>
    <w:rsid w:val="00D255CE"/>
    <w:rsid w:val="00D43593"/>
    <w:rsid w:val="00D92F6B"/>
    <w:rsid w:val="00D948BC"/>
    <w:rsid w:val="00DD7CD2"/>
    <w:rsid w:val="00E065A3"/>
    <w:rsid w:val="00E1038A"/>
    <w:rsid w:val="00E37000"/>
    <w:rsid w:val="00E55E51"/>
    <w:rsid w:val="00EE36C6"/>
    <w:rsid w:val="00F14D6C"/>
    <w:rsid w:val="00F21704"/>
    <w:rsid w:val="00F92327"/>
    <w:rsid w:val="00FC3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89175E"/>
  <w15:chartTrackingRefBased/>
  <w15:docId w15:val="{22010E4F-1176-480D-8BBD-BFD9C37D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55CE"/>
    <w:rPr>
      <w:b/>
      <w:bCs/>
    </w:rPr>
  </w:style>
  <w:style w:type="character" w:customStyle="1" w:styleId="colorlink9">
    <w:name w:val="colorlink9"/>
    <w:basedOn w:val="DefaultParagraphFont"/>
    <w:rsid w:val="00D255CE"/>
  </w:style>
  <w:style w:type="character" w:customStyle="1" w:styleId="colorlink6">
    <w:name w:val="colorlink6"/>
    <w:basedOn w:val="DefaultParagraphFont"/>
    <w:rsid w:val="00D255CE"/>
  </w:style>
  <w:style w:type="character" w:customStyle="1" w:styleId="colorlink4">
    <w:name w:val="colorlink4"/>
    <w:basedOn w:val="DefaultParagraphFont"/>
    <w:rsid w:val="00D255CE"/>
  </w:style>
  <w:style w:type="character" w:customStyle="1" w:styleId="colorlink3">
    <w:name w:val="colorlink3"/>
    <w:basedOn w:val="DefaultParagraphFont"/>
    <w:rsid w:val="00D255CE"/>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uiPriority w:val="34"/>
    <w:qFormat/>
    <w:rsid w:val="007D4C38"/>
    <w:pPr>
      <w:ind w:left="720"/>
      <w:contextualSpacing/>
    </w:pPr>
  </w:style>
  <w:style w:type="paragraph" w:styleId="BalloonText">
    <w:name w:val="Balloon Text"/>
    <w:basedOn w:val="Normal"/>
    <w:link w:val="BalloonTextChar"/>
    <w:uiPriority w:val="99"/>
    <w:semiHidden/>
    <w:unhideWhenUsed/>
    <w:rsid w:val="00836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A6A"/>
    <w:rPr>
      <w:rFonts w:ascii="Segoe UI" w:hAnsi="Segoe UI" w:cs="Segoe UI"/>
      <w:sz w:val="18"/>
      <w:szCs w:val="18"/>
    </w:rPr>
  </w:style>
  <w:style w:type="character" w:styleId="CommentReference">
    <w:name w:val="annotation reference"/>
    <w:basedOn w:val="DefaultParagraphFont"/>
    <w:uiPriority w:val="99"/>
    <w:semiHidden/>
    <w:unhideWhenUsed/>
    <w:rsid w:val="003C3204"/>
    <w:rPr>
      <w:sz w:val="16"/>
      <w:szCs w:val="16"/>
    </w:rPr>
  </w:style>
  <w:style w:type="paragraph" w:styleId="CommentText">
    <w:name w:val="annotation text"/>
    <w:basedOn w:val="Normal"/>
    <w:link w:val="CommentTextChar"/>
    <w:uiPriority w:val="99"/>
    <w:semiHidden/>
    <w:unhideWhenUsed/>
    <w:rsid w:val="003C3204"/>
    <w:pPr>
      <w:spacing w:line="240" w:lineRule="auto"/>
    </w:pPr>
    <w:rPr>
      <w:sz w:val="20"/>
      <w:szCs w:val="20"/>
    </w:rPr>
  </w:style>
  <w:style w:type="character" w:customStyle="1" w:styleId="CommentTextChar">
    <w:name w:val="Comment Text Char"/>
    <w:basedOn w:val="DefaultParagraphFont"/>
    <w:link w:val="CommentText"/>
    <w:uiPriority w:val="99"/>
    <w:semiHidden/>
    <w:rsid w:val="003C3204"/>
    <w:rPr>
      <w:sz w:val="20"/>
      <w:szCs w:val="20"/>
    </w:rPr>
  </w:style>
  <w:style w:type="paragraph" w:styleId="CommentSubject">
    <w:name w:val="annotation subject"/>
    <w:basedOn w:val="CommentText"/>
    <w:next w:val="CommentText"/>
    <w:link w:val="CommentSubjectChar"/>
    <w:uiPriority w:val="99"/>
    <w:semiHidden/>
    <w:unhideWhenUsed/>
    <w:rsid w:val="003C3204"/>
    <w:rPr>
      <w:b/>
      <w:bCs/>
    </w:rPr>
  </w:style>
  <w:style w:type="character" w:customStyle="1" w:styleId="CommentSubjectChar">
    <w:name w:val="Comment Subject Char"/>
    <w:basedOn w:val="CommentTextChar"/>
    <w:link w:val="CommentSubject"/>
    <w:uiPriority w:val="99"/>
    <w:semiHidden/>
    <w:rsid w:val="003C3204"/>
    <w:rPr>
      <w:b/>
      <w:bCs/>
      <w:sz w:val="20"/>
      <w:szCs w:val="20"/>
    </w:rPr>
  </w:style>
  <w:style w:type="paragraph" w:styleId="BodyText">
    <w:name w:val="Body Text"/>
    <w:basedOn w:val="Normal"/>
    <w:link w:val="BodyTextChar"/>
    <w:uiPriority w:val="99"/>
    <w:semiHidden/>
    <w:unhideWhenUsed/>
    <w:rsid w:val="00827661"/>
    <w:pPr>
      <w:spacing w:after="120"/>
    </w:pPr>
  </w:style>
  <w:style w:type="character" w:customStyle="1" w:styleId="BodyTextChar">
    <w:name w:val="Body Text Char"/>
    <w:basedOn w:val="DefaultParagraphFont"/>
    <w:link w:val="BodyText"/>
    <w:uiPriority w:val="99"/>
    <w:semiHidden/>
    <w:rsid w:val="00827661"/>
  </w:style>
  <w:style w:type="paragraph" w:customStyle="1" w:styleId="Table">
    <w:name w:val="Table"/>
    <w:basedOn w:val="BodyText"/>
    <w:link w:val="TableChar1"/>
    <w:qFormat/>
    <w:rsid w:val="00A63B82"/>
    <w:pPr>
      <w:keepLines/>
      <w:tabs>
        <w:tab w:val="left" w:pos="0"/>
      </w:tabs>
      <w:spacing w:before="60" w:after="60" w:line="240" w:lineRule="auto"/>
    </w:pPr>
    <w:rPr>
      <w:rFonts w:ascii="Arial" w:eastAsia="Times New Roman" w:hAnsi="Arial"/>
      <w:sz w:val="20"/>
    </w:rPr>
  </w:style>
  <w:style w:type="character" w:customStyle="1" w:styleId="TableChar1">
    <w:name w:val="Table Char1"/>
    <w:link w:val="Table"/>
    <w:rsid w:val="00A63B82"/>
    <w:rPr>
      <w:rFonts w:ascii="Arial" w:eastAsia="Times New Roman" w:hAnsi="Arial"/>
      <w:sz w:val="20"/>
    </w:rPr>
  </w:style>
  <w:style w:type="table" w:styleId="TableGrid">
    <w:name w:val="Table Grid"/>
    <w:basedOn w:val="TableNormal"/>
    <w:uiPriority w:val="59"/>
    <w:rsid w:val="0000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Left">
    <w:name w:val="Table Heading (Left"/>
    <w:basedOn w:val="Normal"/>
    <w:next w:val="Normal"/>
    <w:rsid w:val="00431176"/>
    <w:pPr>
      <w:keepNext/>
      <w:suppressAutoHyphens/>
      <w:spacing w:before="120" w:after="0" w:line="276" w:lineRule="auto"/>
    </w:pPr>
    <w:rPr>
      <w:rFonts w:ascii="Arial" w:eastAsia="Calibri" w:hAnsi="Arial" w:cs="Arial"/>
      <w:b/>
      <w:bCs/>
      <w:color w:val="002060"/>
      <w:sz w:val="20"/>
    </w:rPr>
  </w:style>
  <w:style w:type="paragraph" w:styleId="Revision">
    <w:name w:val="Revision"/>
    <w:hidden/>
    <w:uiPriority w:val="99"/>
    <w:semiHidden/>
    <w:rsid w:val="00431176"/>
    <w:pPr>
      <w:spacing w:after="0" w:line="240" w:lineRule="auto"/>
    </w:pPr>
  </w:style>
  <w:style w:type="paragraph" w:styleId="Header">
    <w:name w:val="header"/>
    <w:basedOn w:val="Normal"/>
    <w:link w:val="HeaderChar"/>
    <w:uiPriority w:val="99"/>
    <w:unhideWhenUsed/>
    <w:rsid w:val="00C91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5A8"/>
  </w:style>
  <w:style w:type="paragraph" w:styleId="Footer">
    <w:name w:val="footer"/>
    <w:basedOn w:val="Normal"/>
    <w:link w:val="FooterChar"/>
    <w:uiPriority w:val="99"/>
    <w:unhideWhenUsed/>
    <w:rsid w:val="00C91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5A8"/>
  </w:style>
  <w:style w:type="character" w:styleId="Emphasis">
    <w:name w:val="Emphasis"/>
    <w:basedOn w:val="DefaultParagraphFont"/>
    <w:qFormat/>
    <w:rsid w:val="00BE18EC"/>
    <w:rPr>
      <w:i/>
      <w:iCs/>
    </w:rPr>
  </w:style>
  <w:style w:type="paragraph" w:styleId="Subtitle">
    <w:name w:val="Subtitle"/>
    <w:basedOn w:val="Normal"/>
    <w:next w:val="Normal"/>
    <w:link w:val="SubtitleChar"/>
    <w:qFormat/>
    <w:rsid w:val="00BE18EC"/>
    <w:pPr>
      <w:numPr>
        <w:ilvl w:val="1"/>
      </w:numPr>
      <w:spacing w:before="120" w:after="80" w:line="240" w:lineRule="auto"/>
      <w:jc w:val="center"/>
    </w:pPr>
    <w:rPr>
      <w:rFonts w:ascii="Arial" w:eastAsiaTheme="majorEastAsia" w:hAnsi="Arial" w:cstheme="majorBidi"/>
      <w:iCs/>
      <w:color w:val="32373A"/>
      <w:spacing w:val="15"/>
      <w:sz w:val="36"/>
    </w:rPr>
  </w:style>
  <w:style w:type="character" w:customStyle="1" w:styleId="SubtitleChar">
    <w:name w:val="Subtitle Char"/>
    <w:basedOn w:val="DefaultParagraphFont"/>
    <w:link w:val="Subtitle"/>
    <w:rsid w:val="00BE18EC"/>
    <w:rPr>
      <w:rFonts w:ascii="Arial" w:eastAsiaTheme="majorEastAsia" w:hAnsi="Arial" w:cstheme="majorBidi"/>
      <w:iCs/>
      <w:color w:val="32373A"/>
      <w:spacing w:val="15"/>
      <w:sz w:val="36"/>
    </w:rPr>
  </w:style>
  <w:style w:type="paragraph" w:styleId="Title">
    <w:name w:val="Title"/>
    <w:basedOn w:val="Normal"/>
    <w:next w:val="Normal"/>
    <w:link w:val="TitleChar"/>
    <w:qFormat/>
    <w:rsid w:val="00BE18EC"/>
    <w:pPr>
      <w:spacing w:before="2760" w:after="300" w:line="360" w:lineRule="auto"/>
      <w:contextualSpacing/>
      <w:jc w:val="center"/>
    </w:pPr>
    <w:rPr>
      <w:rFonts w:ascii="Arial" w:eastAsiaTheme="majorEastAsia" w:hAnsi="Arial" w:cstheme="majorBidi"/>
      <w:b/>
      <w:color w:val="003D69"/>
      <w:kern w:val="28"/>
      <w:sz w:val="64"/>
      <w:szCs w:val="52"/>
    </w:rPr>
  </w:style>
  <w:style w:type="character" w:customStyle="1" w:styleId="TitleChar">
    <w:name w:val="Title Char"/>
    <w:basedOn w:val="DefaultParagraphFont"/>
    <w:link w:val="Title"/>
    <w:rsid w:val="00BE18EC"/>
    <w:rPr>
      <w:rFonts w:ascii="Arial" w:eastAsiaTheme="majorEastAsia" w:hAnsi="Arial" w:cstheme="majorBidi"/>
      <w:b/>
      <w:color w:val="003D69"/>
      <w:kern w:val="28"/>
      <w:sz w:val="6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9127">
      <w:bodyDiv w:val="1"/>
      <w:marLeft w:val="0"/>
      <w:marRight w:val="0"/>
      <w:marTop w:val="0"/>
      <w:marBottom w:val="0"/>
      <w:divBdr>
        <w:top w:val="none" w:sz="0" w:space="0" w:color="auto"/>
        <w:left w:val="none" w:sz="0" w:space="0" w:color="auto"/>
        <w:bottom w:val="none" w:sz="0" w:space="0" w:color="auto"/>
        <w:right w:val="none" w:sz="0" w:space="0" w:color="auto"/>
      </w:divBdr>
    </w:div>
    <w:div w:id="19027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8130BA1-96D1-4FF2-A503-EE005FA40C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CCF5155AA5D9459F99BA1632B7D7F7" ma:contentTypeVersion="" ma:contentTypeDescription="PDMS Document Site Content Type" ma:contentTypeScope="" ma:versionID="bc95ae45feb2d2c2e3a6d3ffa179df34">
  <xsd:schema xmlns:xsd="http://www.w3.org/2001/XMLSchema" xmlns:xs="http://www.w3.org/2001/XMLSchema" xmlns:p="http://schemas.microsoft.com/office/2006/metadata/properties" xmlns:ns2="48130BA1-96D1-4FF2-A503-EE005FA40C2D" targetNamespace="http://schemas.microsoft.com/office/2006/metadata/properties" ma:root="true" ma:fieldsID="544ee3ab350a85311160e511619fc067" ns2:_="">
    <xsd:import namespace="48130BA1-96D1-4FF2-A503-EE005FA40C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30BA1-96D1-4FF2-A503-EE005FA40C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240A-5A65-40D8-81BD-3F0E5646D4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8130BA1-96D1-4FF2-A503-EE005FA40C2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565C59-6AE4-4DB7-AE03-CAA121D02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30BA1-96D1-4FF2-A503-EE005FA40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FAF92-697D-4069-AB8D-2FA21C8DE53A}">
  <ds:schemaRefs>
    <ds:schemaRef ds:uri="http://schemas.microsoft.com/sharepoint/v3/contenttype/forms"/>
  </ds:schemaRefs>
</ds:datastoreItem>
</file>

<file path=customXml/itemProps4.xml><?xml version="1.0" encoding="utf-8"?>
<ds:datastoreItem xmlns:ds="http://schemas.openxmlformats.org/officeDocument/2006/customXml" ds:itemID="{7B01C7F5-D822-4DB3-AE73-93DCB5E8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2112</Words>
  <Characters>11786</Characters>
  <Application>Microsoft Office Word</Application>
  <DocSecurity>0</DocSecurity>
  <Lines>336</Lines>
  <Paragraphs>217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Incentive Program Quality Improvement Incentive</dc:title>
  <dc:subject/>
  <dc:creator>Australian Government Department of Health</dc:creator>
  <cp:keywords/>
  <dc:description/>
  <cp:lastModifiedBy>JACOB, Reuben</cp:lastModifiedBy>
  <cp:revision>3</cp:revision>
  <cp:lastPrinted>2020-08-17T06:00:00Z</cp:lastPrinted>
  <dcterms:created xsi:type="dcterms:W3CDTF">2020-08-26T07:05:00Z</dcterms:created>
  <dcterms:modified xsi:type="dcterms:W3CDTF">2022-10-19T04:12:00Z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0x010100266966F133664895A6EE3632470D45F50040CCF5155AA5D9459F99BA1632B7D7F7</vt:lpwstr>
  </property>
</Properties>
</file>